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3AEDC" w14:textId="77777777" w:rsidR="00A80ACF" w:rsidRDefault="00A80ACF" w:rsidP="00A80ACF">
      <w:pPr>
        <w:pStyle w:val="Caption"/>
        <w:keepNext/>
      </w:pPr>
      <w:r>
        <w:t>Table S</w:t>
      </w:r>
      <w:fldSimple w:instr=" SEQ Table \* ARABIC ">
        <w:r>
          <w:rPr>
            <w:noProof/>
          </w:rPr>
          <w:t>1</w:t>
        </w:r>
      </w:fldSimple>
      <w:r>
        <w:t>. Allocation methods used in LCA studies of crop or feed systems.</w:t>
      </w:r>
    </w:p>
    <w:tbl>
      <w:tblPr>
        <w:tblW w:w="1105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417"/>
        <w:gridCol w:w="3544"/>
        <w:gridCol w:w="4961"/>
      </w:tblGrid>
      <w:tr w:rsidR="00B21551" w:rsidRPr="008427C7" w14:paraId="2B7DC3DD" w14:textId="77777777" w:rsidTr="00D32891">
        <w:trPr>
          <w:trHeight w:val="290"/>
          <w:tblHeader/>
        </w:trPr>
        <w:tc>
          <w:tcPr>
            <w:tcW w:w="1135" w:type="dxa"/>
            <w:noWrap/>
          </w:tcPr>
          <w:p w14:paraId="7AC7F5B3" w14:textId="77777777" w:rsidR="00A80ACF" w:rsidRPr="00BF29E4" w:rsidRDefault="00A80ACF"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b/>
                <w:bCs/>
                <w:color w:val="000000"/>
                <w:sz w:val="18"/>
                <w:szCs w:val="18"/>
                <w:lang w:eastAsia="en-CA"/>
              </w:rPr>
              <w:t>Citation</w:t>
            </w:r>
          </w:p>
        </w:tc>
        <w:tc>
          <w:tcPr>
            <w:tcW w:w="1417" w:type="dxa"/>
            <w:noWrap/>
          </w:tcPr>
          <w:p w14:paraId="6429D4AD"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b/>
                <w:bCs/>
                <w:color w:val="000000"/>
                <w:sz w:val="18"/>
                <w:szCs w:val="18"/>
                <w:lang w:eastAsia="en-CA"/>
              </w:rPr>
              <w:t>Product system</w:t>
            </w:r>
          </w:p>
        </w:tc>
        <w:tc>
          <w:tcPr>
            <w:tcW w:w="3544" w:type="dxa"/>
            <w:noWrap/>
          </w:tcPr>
          <w:p w14:paraId="33D0EC68"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b/>
                <w:bCs/>
                <w:color w:val="000000"/>
                <w:sz w:val="18"/>
                <w:szCs w:val="18"/>
                <w:lang w:eastAsia="en-CA"/>
              </w:rPr>
              <w:t>Co-products allocated between</w:t>
            </w:r>
          </w:p>
        </w:tc>
        <w:tc>
          <w:tcPr>
            <w:tcW w:w="4961" w:type="dxa"/>
            <w:noWrap/>
          </w:tcPr>
          <w:p w14:paraId="710A1969"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b/>
                <w:bCs/>
                <w:color w:val="000000"/>
                <w:sz w:val="18"/>
                <w:szCs w:val="18"/>
                <w:lang w:eastAsia="en-CA"/>
              </w:rPr>
              <w:t>Method of allocation</w:t>
            </w:r>
          </w:p>
        </w:tc>
      </w:tr>
      <w:tr w:rsidR="00B21551" w:rsidRPr="008427C7" w14:paraId="08CBEC9D" w14:textId="77777777" w:rsidTr="00D32891">
        <w:trPr>
          <w:trHeight w:val="290"/>
        </w:trPr>
        <w:tc>
          <w:tcPr>
            <w:tcW w:w="1135" w:type="dxa"/>
            <w:noWrap/>
            <w:vAlign w:val="center"/>
            <w:hideMark/>
          </w:tcPr>
          <w:p w14:paraId="12CFAC5C" w14:textId="21358CAE" w:rsidR="00A80ACF" w:rsidRPr="00BF29E4" w:rsidRDefault="00A80ACF"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{"citationItems":[{"id":"ITEM-1","itemData":{"DOI":"10.1007/s11367-017-1393-9","ISSN":"16147502","abstract":"Purpose: The focus of the life-cycle assessment (LCA) of an agricultural plant product is typically on one crop. However, isolating one crop from the cropping system that it belongs to is often challenging because the crops are often interlinked with the other crops in the cropping system. The main objectives of this discussion article are as follows: (i) to discuss the characteristics of cropping systems which might affect the LCA methodology, (ii) to discuss the advantages and the disadvantages of the current available methods for the life-cycle assessment of cropping systems, and (iii) to offer a framework to carry out LCA of crops and cropping systems. Methods: The definition of cropping systems is provided together with a description of two types of LCA: product LCA and system LCA. The LCA issues related to cropping system characteristics have been classified as (1) crop interrelationship, (2) crop management and emissions, and (3) functional unit issues. The LCA approaches presented are as follows: cropping system, allocation approaches, crop-by-crop approach, and combined approaches. The various approaches are described together with their advantages and disadvantages, applicability, comprehensiveness, and accuracy. Results and discussion: The cropping system approach is best suited for system LCA. For product LCA, none of the methods is fully exhaustive and accurate. The crop sequence approach takes into consideration the cropping system issues, if they happen within the year or season, and cannot be applied for intercropping and agroforestry systems. The allocation approaches take into account the cropping system effects by establishing a mathematical relationship between crops present in the cropping systems. The model for integrative life-cycle assessment in agriculture (MiLA) approach considers cropping system issues if they are related to multiproduct and nutrient cycling, while the crop-by-crop approach is highly affected by assumptions and considers cropping system issues only if they are related to the analyzed crop. Conclusions: Each LCA approach presents advantages and disadvantages. For system LCA, the cropping system approach is recommended. For product LCA, environmental burdens should be attributed applying the following hierarchy: (1) attributed to the crop if based on a clear causality, (2) attributed with combined approaches and specific criteria, and (3) attributed with allocation approaches and generic criteria. These approach…","author":[{"dropping-particle":"","family":"Goglio","given":"Pietro","non-dropping-particle":"","parse-names":false,"suffix":""},{"dropping-particle":"","family":"Brankatschk","given":"Gerhard","non-dropping-particle":"","parse-names":false,"suffix":""},{"dropping-particle":"","family":"Knudsen","given":"Marie Trydeman","non-dropping-particle":"","parse-names":false,"suffix":""},{"dropping-particle":"","family":"Williams","given":"Adrian G.","non-dropping-particle":"","parse-names":false,"suffix":""},{"dropping-particle":"","family":"Nemecek","given":"Thomas","non-dropping-particle":"","parse-names":false,"suffix":""}],"container-title":"International Journal of Life Cycle Assessment","id":"ITEM-1","issue":"9","issued":{"date-parts":[["2018"]]},"page":"1735-1743","publisher":"The International Journal of Life Cycle Assessment","title":"Addressing crop interactions within cropping systems in LCA","type":"article-journal","volume":"23"},"uris":["http://www.mendeley.com/documents/?uuid=d66c3aa7-29d6-45cf-97be-8e5161528a5e"]}],"mendeley":{"formattedCitation":"(Goglio et al., 2018)","manualFormatting":"Goglio et al. (2018)","plainTextFormattedCitation":"(Goglio et al., 2018)","previouslyFormattedCitation":"&lt;sup&gt;1&lt;/sup&gt;"},"properties":{"noteIndex":0},"schema":"https://github.com/citation-style-language/schema/raw/master/csl-citation.json"}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Goglio et al. (</w:t>
            </w:r>
            <w:r w:rsidRPr="008427C7">
              <w:rPr>
                <w:rFonts w:ascii="Calibri" w:eastAsia="Times New Roman" w:hAnsi="Calibri" w:cs="Calibri"/>
                <w:noProof/>
                <w:color w:val="000000"/>
                <w:sz w:val="18"/>
                <w:szCs w:val="18"/>
                <w:lang w:eastAsia="en-CA"/>
              </w:rPr>
              <w:t>2018)</w:t>
            </w:r>
            <w:r w:rsidRPr="00BF29E4">
              <w:rPr>
                <w:rFonts w:ascii="Calibri" w:eastAsia="Times New Roman" w:hAnsi="Calibri" w:cs="Calibri"/>
                <w:color w:val="000000"/>
                <w:sz w:val="18"/>
                <w:szCs w:val="18"/>
                <w:lang w:eastAsia="en-CA"/>
              </w:rPr>
              <w:fldChar w:fldCharType="end"/>
            </w:r>
          </w:p>
        </w:tc>
        <w:tc>
          <w:tcPr>
            <w:tcW w:w="1417" w:type="dxa"/>
            <w:noWrap/>
            <w:vAlign w:val="center"/>
            <w:hideMark/>
          </w:tcPr>
          <w:p w14:paraId="44140C4E"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discussion article of crop interactions within cropping systems</w:t>
            </w:r>
          </w:p>
        </w:tc>
        <w:tc>
          <w:tcPr>
            <w:tcW w:w="3544" w:type="dxa"/>
            <w:vAlign w:val="center"/>
          </w:tcPr>
          <w:p w14:paraId="5028DFBB"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Pr>
                <w:rFonts w:ascii="Calibri" w:eastAsia="Times New Roman" w:hAnsi="Calibri" w:cs="Calibri"/>
                <w:color w:val="000000"/>
                <w:sz w:val="18"/>
                <w:szCs w:val="18"/>
                <w:lang w:eastAsia="en-CA"/>
              </w:rPr>
              <w:t>crops in rotation</w:t>
            </w:r>
          </w:p>
        </w:tc>
        <w:tc>
          <w:tcPr>
            <w:tcW w:w="4961" w:type="dxa"/>
            <w:noWrap/>
            <w:vAlign w:val="center"/>
            <w:hideMark/>
          </w:tcPr>
          <w:p w14:paraId="4B1BE924" w14:textId="17016B32" w:rsidR="00A80ACF" w:rsidRPr="008427C7" w:rsidRDefault="00A80ACF" w:rsidP="0081690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hierarchy</w:t>
            </w:r>
            <w:r w:rsidR="00295C4C">
              <w:rPr>
                <w:rFonts w:ascii="Calibri" w:eastAsia="Times New Roman" w:hAnsi="Calibri" w:cs="Calibri"/>
                <w:color w:val="000000"/>
                <w:sz w:val="18"/>
                <w:szCs w:val="18"/>
                <w:lang w:eastAsia="en-CA"/>
              </w:rPr>
              <w:t>:</w:t>
            </w:r>
            <w:r w:rsidRPr="008427C7">
              <w:rPr>
                <w:rFonts w:ascii="Calibri" w:eastAsia="Times New Roman" w:hAnsi="Calibri" w:cs="Calibri"/>
                <w:color w:val="000000"/>
                <w:sz w:val="18"/>
                <w:szCs w:val="18"/>
                <w:lang w:eastAsia="en-CA"/>
              </w:rPr>
              <w:t xml:space="preserve"> 1) </w:t>
            </w:r>
            <w:r w:rsidR="00295C4C">
              <w:rPr>
                <w:rFonts w:ascii="Calibri" w:eastAsia="Times New Roman" w:hAnsi="Calibri" w:cs="Calibri"/>
                <w:color w:val="000000"/>
                <w:sz w:val="18"/>
                <w:szCs w:val="18"/>
                <w:lang w:eastAsia="en-CA"/>
              </w:rPr>
              <w:t>subdivision</w:t>
            </w:r>
            <w:r w:rsidRPr="008427C7">
              <w:rPr>
                <w:rFonts w:ascii="Calibri" w:eastAsia="Times New Roman" w:hAnsi="Calibri" w:cs="Calibri"/>
                <w:color w:val="000000"/>
                <w:sz w:val="18"/>
                <w:szCs w:val="18"/>
                <w:lang w:eastAsia="en-CA"/>
              </w:rPr>
              <w:t xml:space="preserve">, 2) </w:t>
            </w:r>
            <w:r w:rsidR="00295C4C">
              <w:rPr>
                <w:rFonts w:ascii="Calibri" w:eastAsia="Times New Roman" w:hAnsi="Calibri" w:cs="Calibri"/>
                <w:color w:val="000000"/>
                <w:sz w:val="18"/>
                <w:szCs w:val="18"/>
                <w:lang w:eastAsia="en-CA"/>
              </w:rPr>
              <w:t>causal allocation</w:t>
            </w:r>
            <w:r w:rsidRPr="008427C7">
              <w:rPr>
                <w:rFonts w:ascii="Calibri" w:eastAsia="Times New Roman" w:hAnsi="Calibri" w:cs="Calibri"/>
                <w:color w:val="000000"/>
                <w:sz w:val="18"/>
                <w:szCs w:val="18"/>
                <w:lang w:eastAsia="en-CA"/>
              </w:rPr>
              <w:t xml:space="preserve">, 3) </w:t>
            </w:r>
            <w:r w:rsidR="00295C4C">
              <w:rPr>
                <w:rFonts w:ascii="Calibri" w:eastAsia="Times New Roman" w:hAnsi="Calibri" w:cs="Calibri"/>
                <w:color w:val="000000"/>
                <w:sz w:val="18"/>
                <w:szCs w:val="18"/>
                <w:lang w:eastAsia="en-CA"/>
              </w:rPr>
              <w:t>other physical allocation</w:t>
            </w:r>
          </w:p>
        </w:tc>
      </w:tr>
      <w:tr w:rsidR="00B21551" w:rsidRPr="008427C7" w14:paraId="208EDAB6" w14:textId="77777777" w:rsidTr="00D32891">
        <w:trPr>
          <w:trHeight w:val="290"/>
        </w:trPr>
        <w:tc>
          <w:tcPr>
            <w:tcW w:w="1135" w:type="dxa"/>
            <w:noWrap/>
            <w:vAlign w:val="center"/>
          </w:tcPr>
          <w:p w14:paraId="1240F10B" w14:textId="454B1E63" w:rsidR="00A80ACF" w:rsidRPr="00BF29E4" w:rsidRDefault="00A80ACF" w:rsidP="00C821FE">
            <w:pPr>
              <w:spacing w:after="0" w:line="240" w:lineRule="auto"/>
              <w:rPr>
                <w:rFonts w:ascii="Calibri" w:eastAsia="Times New Roman" w:hAnsi="Calibri" w:cs="Calibri"/>
                <w:color w:val="000000"/>
                <w:sz w:val="18"/>
                <w:szCs w:val="18"/>
                <w:lang w:eastAsia="en-CA"/>
              </w:rPr>
            </w:pPr>
            <w:r w:rsidRPr="00BF29E4">
              <w:rPr>
                <w:sz w:val="18"/>
                <w:szCs w:val="18"/>
              </w:rPr>
              <w:fldChar w:fldCharType="begin" w:fldLock="1"/>
            </w:r>
            <w:r w:rsidR="00C27421">
              <w:rPr>
                <w:sz w:val="18"/>
                <w:szCs w:val="18"/>
              </w:rPr>
              <w:instrText>ADDIN CSL_CITATION {"citationItems":[{"id":"ITEM-1","itemData":{"DOI":"10.1007/s13593-017-0464-4","ISBN":"1359301704","ISSN":"17730155","abstract":"Agriculture is the key for achieving the United Nations sustainable development goals: food security and climate action. To achieve these targets “climate-smart” agricultural practices need to be developed. Life cycle assessment and product carbon footprints are well established and internationally recognized tools to assist the process of improving environmental performance. However, there is room for methodological improvement of agricultural life cycle assessments and product carbon footprints. For agronomists, it is widely known that crop rotations and crop residues do fulfill important agronomic functions, but they are not adequately represented in current life cycle assessment and product carbon footprint modeling practice. New methods tested in this study allow the inclusion of crop rotation effects and crop residues as co-products, whilst keeping at the same time the product focus. Product carbon footprints are calculated with and without consideration of these effects; results are compared. If crop rotations are considered, wheat bread, cow milk, and rapeseed biodiesel have lower product carbon footprints (− 11, − 22, and − 16%, respectively). The product carbon footprint of straw bioethanol significantly increases (+ 80%) when considering straw as an agricultural co-product instead of as waste. Ignoring crop rotation effects underestimates the annual greenhouse gas savings of EU-28 rapeseed biodiesel by 1.67 million t CO2e and 20%, respectively. Here, we demonstrate for the first time that crop rotations and straw harvest should be considered for the product carbon footprints of bread, milk, and first- and second-generation biofuels. Since crop rotations and straw harvest are performed worldwide, the findings are relevant to all regions in the world. Comparing crop rotations and identifying climate-smart agricultural practices without losing the production orientation are key challenges for environmental assessments of agriculture in order to achieve the challenging combination of the food security and climate action sustainable development goals.","author":[{"dropping-particle":"","family":"Brankatschk","given":"Gerhard","non-dropping-particle":"","parse-names":false,"suffix":""},{"dropping-particle":"","family":"Finkbeiner","given":"Matthias","non-dropping-particle":"","parse-names":false,"suffix":""}],"container-title":"Agronomy for Sustainable Development","id":"ITEM-1","issue":"6","issued":{"date-parts":[["2017"]]},"publisher":"Agronomy for Sustainable Development","title":"Crop rotations and crop residues are relevant parameters for agricultural carbon footprints","type":"article-journal","volume":"37"},"uris":["http://www.mendeley.com/documents/?uuid=c290dee8-f98e-4748-bfa1-84f2c09eec1a"]}],"mendeley":{"formattedCitation":"(Brankatschk and Finkbeiner, 2017)","manualFormatting":"Brankatschk and Finkbeiner (2017)","plainTextFormattedCitation":"(Brankatschk and Finkbeiner, 2017)","previouslyFormattedCitation":"&lt;sup&gt;2&lt;/sup&gt;"},"properties":{"noteIndex":0},"schema":"https://github.com/citation-style-language/schema/raw/master/csl-citation.json"}</w:instrText>
            </w:r>
            <w:r w:rsidRPr="00BF29E4">
              <w:rPr>
                <w:sz w:val="18"/>
                <w:szCs w:val="18"/>
              </w:rPr>
              <w:fldChar w:fldCharType="separate"/>
            </w:r>
            <w:r w:rsidRPr="00BF29E4">
              <w:rPr>
                <w:noProof/>
                <w:sz w:val="18"/>
                <w:szCs w:val="18"/>
              </w:rPr>
              <w:t>Brankatschk and Finkbeiner (</w:t>
            </w:r>
            <w:r w:rsidRPr="008427C7">
              <w:rPr>
                <w:noProof/>
                <w:sz w:val="18"/>
                <w:szCs w:val="18"/>
              </w:rPr>
              <w:t>2017)</w:t>
            </w:r>
            <w:r w:rsidRPr="00BF29E4">
              <w:rPr>
                <w:sz w:val="18"/>
                <w:szCs w:val="18"/>
              </w:rPr>
              <w:fldChar w:fldCharType="end"/>
            </w:r>
          </w:p>
        </w:tc>
        <w:tc>
          <w:tcPr>
            <w:tcW w:w="1417" w:type="dxa"/>
            <w:noWrap/>
            <w:vAlign w:val="center"/>
          </w:tcPr>
          <w:p w14:paraId="606BFAB3"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sz w:val="18"/>
                <w:szCs w:val="18"/>
              </w:rPr>
              <w:t>methodological paper for crop systems</w:t>
            </w:r>
          </w:p>
        </w:tc>
        <w:tc>
          <w:tcPr>
            <w:tcW w:w="3544" w:type="dxa"/>
            <w:vAlign w:val="center"/>
          </w:tcPr>
          <w:p w14:paraId="297D9EB6"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sz w:val="18"/>
                <w:szCs w:val="18"/>
              </w:rPr>
              <w:t>crops in rotation</w:t>
            </w:r>
          </w:p>
        </w:tc>
        <w:tc>
          <w:tcPr>
            <w:tcW w:w="4961" w:type="dxa"/>
            <w:noWrap/>
            <w:vAlign w:val="center"/>
          </w:tcPr>
          <w:p w14:paraId="533E855B" w14:textId="4E9D029D" w:rsidR="00A80ACF" w:rsidRPr="008427C7" w:rsidRDefault="00295C4C" w:rsidP="00295C4C">
            <w:pPr>
              <w:spacing w:after="0" w:line="240" w:lineRule="auto"/>
              <w:rPr>
                <w:rFonts w:ascii="Calibri" w:eastAsia="Times New Roman" w:hAnsi="Calibri" w:cs="Calibri"/>
                <w:color w:val="000000"/>
                <w:sz w:val="18"/>
                <w:szCs w:val="18"/>
                <w:lang w:eastAsia="en-CA"/>
              </w:rPr>
            </w:pPr>
            <w:r>
              <w:rPr>
                <w:sz w:val="18"/>
                <w:szCs w:val="18"/>
              </w:rPr>
              <w:t xml:space="preserve">allocation method proposed: </w:t>
            </w:r>
            <w:r w:rsidR="00A80ACF">
              <w:rPr>
                <w:sz w:val="18"/>
                <w:szCs w:val="18"/>
              </w:rPr>
              <w:t>C</w:t>
            </w:r>
            <w:r w:rsidR="00A80ACF" w:rsidRPr="008427C7">
              <w:rPr>
                <w:sz w:val="18"/>
                <w:szCs w:val="18"/>
              </w:rPr>
              <w:t xml:space="preserve">ereal </w:t>
            </w:r>
            <w:r w:rsidR="00A80ACF">
              <w:rPr>
                <w:sz w:val="18"/>
                <w:szCs w:val="18"/>
              </w:rPr>
              <w:t>U</w:t>
            </w:r>
            <w:r w:rsidR="00A80ACF" w:rsidRPr="008427C7">
              <w:rPr>
                <w:sz w:val="18"/>
                <w:szCs w:val="18"/>
              </w:rPr>
              <w:t>nit based on animal nutritional value</w:t>
            </w:r>
            <w:r>
              <w:rPr>
                <w:sz w:val="18"/>
                <w:szCs w:val="18"/>
              </w:rPr>
              <w:t xml:space="preserve"> using barley as a benchmark - </w:t>
            </w:r>
            <w:r w:rsidR="00A80ACF" w:rsidRPr="008427C7">
              <w:rPr>
                <w:sz w:val="18"/>
                <w:szCs w:val="18"/>
              </w:rPr>
              <w:t xml:space="preserve">include inventory for entire crop rotation but keep functional unit as e.g. 1 t wheat crop, everything else is a co-product </w:t>
            </w:r>
            <w:r>
              <w:rPr>
                <w:sz w:val="18"/>
                <w:szCs w:val="18"/>
              </w:rPr>
              <w:t>allocated based on Cereal Unit</w:t>
            </w:r>
            <w:r w:rsidR="00A80ACF" w:rsidRPr="008427C7">
              <w:rPr>
                <w:sz w:val="18"/>
                <w:szCs w:val="18"/>
              </w:rPr>
              <w:t xml:space="preserve"> - conversion factors reported in </w:t>
            </w:r>
            <w:r w:rsidR="00A80ACF">
              <w:rPr>
                <w:sz w:val="18"/>
                <w:szCs w:val="18"/>
              </w:rPr>
              <w:fldChar w:fldCharType="begin" w:fldLock="1"/>
            </w:r>
            <w:r w:rsidR="00C27421">
              <w:rPr>
                <w:sz w:val="18"/>
                <w:szCs w:val="18"/>
              </w:rPr>
              <w:instrText>ADDIN CSL_CITATION {"citationItems":[{"id":"ITEM-1","itemData":{"DOI":"10.1016/j.agsy.2015.05.008","ISSN":"0308521X","abstract":"Despite large efforts there are still methodological challenges to bring life cycle modeling closer to agricultural reality. Here, we focus on the inclusion of the effects occurring between the crops grown in the same agricultural field in temporal succession. These so called crop-rotation effects are caused by changes in physical, chemical and biological properties of the agricultural land over time (presence and availability of different micro and macronutrients, soil structure, soil texture, phytosanitary conditions, presence of weeds, etc.) due to the rotation of crops. Since a huge number of parameters contribute to crop-rotation effects, they cannot be easily measured. Therefore, LCA (Life Cycle Assessment) studies with system boundaries containing only one vegetation period have a limited ability to include these effects - unless explicit modeling measures have been taken to include individual crop-rotation effects. Existing approaches for the inclusion of crop-rotation effects are described, e.g. via transferring certain amounts of nutrients and their environmental burdens to subsequent crops. Still, many crop-rotation effects between crops are not covered in recent LCA methodology; corresponding gaps are identified and described. Examples include reduced input of agrochemicals via improved phytosanitary conditions, stabilization of yields via reduction of harvest failures, improved yields via improved soil texture, soil structure and improved conditions for soil organisms. Overall, most crop-rotation effects are not properly addressed in current LCA practice. Thus, LCA results and the quality of derived recommendations are negatively affected - for example incentives for the (unlimited) removal of crop residues are set based on LCA results without considering potential adverse effects on soil fertility. In other words, these gaps might lead to unintended free-rider problems. A new approach for the modeling of crop-rotation effects is suggested. It consists of six steps. First, align the system boundary during the inventory analysis to the level of the whole crop rotation system; second, determine all inputs of the whole crop rotation; third, do the same for the outputs; fourth, convert all outputs to a common agriculture-specific denominator, the so-called Cereal Unit; fifth, calculate an output-specific allocation share using the ratio of each individual output to the sum of all outputs of the crop rotation; and sixth, apply the allocation sha…","author":[{"dropping-particle":"","family":"Brankatschk","given":"Gerhard","non-dropping-particle":"","parse-names":false,"suffix":""},{"dropping-particle":"","family":"Finkbeiner","given":"Matthias","non-dropping-particle":"","parse-names":false,"suffix":""}],"container-title":"Agricultural Systems","id":"ITEM-1","issued":{"date-parts":[["2015"]]},"page":"66-76","publisher":"Elsevier B.V.","title":"Modeling crop rotation in agricultural LCAs - Challenges and potential solutions","type":"article-journal","volume":"138"},"uris":["http://www.mendeley.com/documents/?uuid=eedfc0e6-1277-4bb5-a4d9-06611979e8ea"]}],"mendeley":{"formattedCitation":"(Brankatschk and Finkbeiner, 2015)","manualFormatting":"Brankatschk and Finkbeiner (2015)","plainTextFormattedCitation":"(Brankatschk and Finkbeiner, 2015)","previouslyFormattedCitation":"&lt;sup&gt;3&lt;/sup&gt;"},"properties":{"noteIndex":0},"schema":"https://github.com/citation-style-language/schema/raw/master/csl-citation.json"}</w:instrText>
            </w:r>
            <w:r w:rsidR="00A80ACF">
              <w:rPr>
                <w:sz w:val="18"/>
                <w:szCs w:val="18"/>
              </w:rPr>
              <w:fldChar w:fldCharType="separate"/>
            </w:r>
            <w:r w:rsidR="00A80ACF" w:rsidRPr="00F65394">
              <w:rPr>
                <w:noProof/>
                <w:sz w:val="18"/>
                <w:szCs w:val="18"/>
              </w:rPr>
              <w:t xml:space="preserve">Brankatschk and Finkbeiner </w:t>
            </w:r>
            <w:r w:rsidR="00A80ACF">
              <w:rPr>
                <w:noProof/>
                <w:sz w:val="18"/>
                <w:szCs w:val="18"/>
              </w:rPr>
              <w:t>(</w:t>
            </w:r>
            <w:r w:rsidR="00A80ACF" w:rsidRPr="00F65394">
              <w:rPr>
                <w:noProof/>
                <w:sz w:val="18"/>
                <w:szCs w:val="18"/>
              </w:rPr>
              <w:t>2015)</w:t>
            </w:r>
            <w:r w:rsidR="00A80ACF">
              <w:rPr>
                <w:sz w:val="18"/>
                <w:szCs w:val="18"/>
              </w:rPr>
              <w:fldChar w:fldCharType="end"/>
            </w:r>
            <w:r w:rsidR="00A80ACF" w:rsidRPr="008427C7">
              <w:rPr>
                <w:sz w:val="18"/>
                <w:szCs w:val="18"/>
              </w:rPr>
              <w:t>)</w:t>
            </w:r>
          </w:p>
        </w:tc>
      </w:tr>
      <w:tr w:rsidR="00B21551" w:rsidRPr="008427C7" w14:paraId="15682BF0" w14:textId="77777777" w:rsidTr="00D32891">
        <w:trPr>
          <w:trHeight w:val="290"/>
        </w:trPr>
        <w:tc>
          <w:tcPr>
            <w:tcW w:w="1135" w:type="dxa"/>
            <w:noWrap/>
            <w:vAlign w:val="center"/>
            <w:hideMark/>
          </w:tcPr>
          <w:p w14:paraId="23694C1D" w14:textId="6A228019" w:rsidR="00A80ACF" w:rsidRPr="00BF29E4" w:rsidRDefault="00A80ACF"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{"citationItems":[{"id":"ITEM-1","itemData":{"DOI":"10.1007/s11367-020-01812-x","ISBN":"1136702001812","ISSN":"16147502","abstract":"Purpose: There is an imperative to accurately assess the environmental sustainability of crop system interventions in the context of food security and climate change. Previous studies have indicated that the incorporation of legumes into cereal rotations could reduce overall environmental burdens from cropping systems. However, most life cycle assessment (LCA) studies focus on individual crops and miss environmental consequences of inter-annual crop sequence and nutrient cycling effects. This review investigates state-of-the-art representation of inter-crop rotation effects within legume LCA studies. Methods: A literature review was undertaken, starting with a search for all peer-reviewed articles with combinations of ‘LCA’, ‘legumes’ and ‘rotations’ or synonyms thereof. In total, 3180 articles were obtained. Articles were screened for compliance with all of the following requirements: (i) reporting results based on LCA or life cycle inventory methodology; (ii) inclusion of (a) legume(s); (iii) the legume(s) is/are analysed within the context of a wider cropping system (i.e. rotation or intercropping). Seventy articles satisfying these requirements were analysed. Results and discussion: We identified three broad approaches to legume LCA. Most studies involved simple attributional LCA disregarding important interactions across years and crops in rotations. N-fertilizer reduction through legume residue N carryover is either disregarded or the benefit is attributed to the following crop in such studies, whilst N leaching burdens from residues are usually attributed to the legume crop. Some studies applied robust allocation approaches and/or complex functional units to enable analysis of entire rotation sequences, accounting for nutrient cycling and break crop effects. Finally, a few studies applied consequential LCA to identify downstream substitution effects, though these studies did not simultaneously account for agronomic effects of rotational sequence changes. Conclusions: We recommend that LCA studies for legume cropping systems should (i) evaluate entire rotations; (ii) represent nitrogen and ideally carbon cycling; (iii) for attributional studies, define at least two functional units, where one should encompass the multifunctional outputs of an entire rotation and the other should enable product footprints to be calculated; (iv) for CLCA studies, account for both agronomic changes in rotations and markets effects; (v) include impact categories that …","author":[{"dropping-particle":"","family":"Costa","given":"Marcela Porto","non-dropping-particle":"","parse-names":false,"suffix":""},{"dropping-particle":"","family":"Chadwick","given":"David","non-dropping-particle":"","parse-names":false,"suffix":""},{"dropping-particle":"","family":"Saget","given":"Sophie","non-dropping-particle":"","parse-names":false,"suffix":""},{"dropping-particle":"","family":"Rees","given":"Robert M.","non-dropping-particle":"","parse-names":false,"suffix":""},{"dropping-particle":"","family":"Williams","given":"Michael","non-dropping-particle":"","parse-names":false,"suffix":""},{"dropping-particle":"","family":"Styles","given":"David","non-dropping-particle":"","parse-names":false,"suffix":""}],"container-title":"International Journal of Life Cycle Assessment","id":"ITEM-1","issue":"10","issued":{"date-parts":[["2020"]]},"page":"1942-1956","publisher":"The International Journal of Life Cycle Assessment","title":"Representing crop rotations in life cycle assessment: a review of legume LCA studies","type":"article-journal","volume":"25"},"uris":["http://www.mendeley.com/documents/?uuid=e90f15d5-8cb9-48dd-a90c-1787ff56dc98"]}],"mendeley":{"formattedCitation":"(Costa et al., 2020)","manualFormatting":"Costa et al. (2020)","plainTextFormattedCitation":"(Costa et al., 2020)","previouslyFormattedCitation":"&lt;sup&gt;4&lt;/sup&gt;"},"properties":{"noteIndex":0},"schema":"https://github.com/citation-style-language/schema/raw/master/csl-citation.json"}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Costa et al. (</w:t>
            </w:r>
            <w:r w:rsidRPr="008427C7">
              <w:rPr>
                <w:rFonts w:ascii="Calibri" w:eastAsia="Times New Roman" w:hAnsi="Calibri" w:cs="Calibri"/>
                <w:noProof/>
                <w:color w:val="000000"/>
                <w:sz w:val="18"/>
                <w:szCs w:val="18"/>
                <w:lang w:eastAsia="en-CA"/>
              </w:rPr>
              <w:t>2020)</w:t>
            </w:r>
            <w:r w:rsidRPr="00BF29E4">
              <w:rPr>
                <w:rFonts w:ascii="Calibri" w:eastAsia="Times New Roman" w:hAnsi="Calibri" w:cs="Calibri"/>
                <w:color w:val="000000"/>
                <w:sz w:val="18"/>
                <w:szCs w:val="18"/>
                <w:lang w:eastAsia="en-CA"/>
              </w:rPr>
              <w:fldChar w:fldCharType="end"/>
            </w:r>
          </w:p>
        </w:tc>
        <w:tc>
          <w:tcPr>
            <w:tcW w:w="1417" w:type="dxa"/>
            <w:noWrap/>
            <w:vAlign w:val="center"/>
            <w:hideMark/>
          </w:tcPr>
          <w:p w14:paraId="1999BFC4"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review of legume studies</w:t>
            </w:r>
          </w:p>
        </w:tc>
        <w:tc>
          <w:tcPr>
            <w:tcW w:w="3544" w:type="dxa"/>
            <w:noWrap/>
            <w:vAlign w:val="center"/>
            <w:hideMark/>
          </w:tcPr>
          <w:p w14:paraId="3A5E83C4"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final products and co-products, upstream products, nutrient flow between legumes and following crops</w:t>
            </w:r>
          </w:p>
        </w:tc>
        <w:tc>
          <w:tcPr>
            <w:tcW w:w="4961" w:type="dxa"/>
            <w:noWrap/>
            <w:vAlign w:val="center"/>
            <w:hideMark/>
          </w:tcPr>
          <w:p w14:paraId="56F1CD92" w14:textId="7A1AA21A" w:rsidR="00A80ACF" w:rsidRPr="008427C7" w:rsidRDefault="00A80ACF" w:rsidP="0081690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46% of studies</w:t>
            </w:r>
            <w:r w:rsidR="0081690E">
              <w:rPr>
                <w:rFonts w:ascii="Calibri" w:eastAsia="Times New Roman" w:hAnsi="Calibri" w:cs="Calibri"/>
                <w:color w:val="000000"/>
                <w:sz w:val="18"/>
                <w:szCs w:val="18"/>
                <w:lang w:eastAsia="en-CA"/>
              </w:rPr>
              <w:t xml:space="preserve"> used Cereal Unit</w:t>
            </w:r>
            <w:r w:rsidRPr="008427C7">
              <w:rPr>
                <w:rFonts w:ascii="Calibri" w:eastAsia="Times New Roman" w:hAnsi="Calibri" w:cs="Calibri"/>
                <w:color w:val="000000"/>
                <w:sz w:val="18"/>
                <w:szCs w:val="18"/>
                <w:lang w:eastAsia="en-CA"/>
              </w:rPr>
              <w:t xml:space="preserve"> </w:t>
            </w:r>
            <w:r>
              <w:rPr>
                <w:rFonts w:ascii="Calibri" w:eastAsia="Times New Roman" w:hAnsi="Calibri" w:cs="Calibri"/>
                <w:color w:val="000000"/>
                <w:sz w:val="18"/>
                <w:szCs w:val="18"/>
                <w:lang w:eastAsia="en-CA"/>
              </w:rPr>
              <w:t>(</w:t>
            </w:r>
            <w:proofErr w:type="spellStart"/>
            <w:r w:rsidRPr="00BF29E4">
              <w:rPr>
                <w:sz w:val="18"/>
                <w:szCs w:val="18"/>
              </w:rPr>
              <w:fldChar w:fldCharType="begin" w:fldLock="1"/>
            </w:r>
            <w:r w:rsidR="00C27421">
              <w:rPr>
                <w:sz w:val="18"/>
                <w:szCs w:val="18"/>
              </w:rPr>
              <w:instrText>ADDIN CSL_CITATION {"citationItems":[{"id":"ITEM-1","itemData":{"DOI":"10.1007/s13593-017-0464-4","ISBN":"1359301704","ISSN":"17730155","abstract":"Agriculture is the key for achieving the United Nations sustainable development goals: food security and climate action. To achieve these targets “climate-smart” agricultural practices need to be developed. Life cycle assessment and product carbon footprints are well established and internationally recognized tools to assist the process of improving environmental performance. However, there is room for methodological improvement of agricultural life cycle assessments and product carbon footprints. For agronomists, it is widely known that crop rotations and crop residues do fulfill important agronomic functions, but they are not adequately represented in current life cycle assessment and product carbon footprint modeling practice. New methods tested in this study allow the inclusion of crop rotation effects and crop residues as co-products, whilst keeping at the same time the product focus. Product carbon footprints are calculated with and without consideration of these effects; results are compared. If crop rotations are considered, wheat bread, cow milk, and rapeseed biodiesel have lower product carbon footprints (− 11, − 22, and − 16%, respectively). The product carbon footprint of straw bioethanol significantly increases (+ 80%) when considering straw as an agricultural co-product instead of as waste. Ignoring crop rotation effects underestimates the annual greenhouse gas savings of EU-28 rapeseed biodiesel by 1.67 million t CO2e and 20%, respectively. Here, we demonstrate for the first time that crop rotations and straw harvest should be considered for the product carbon footprints of bread, milk, and first- and second-generation biofuels. Since crop rotations and straw harvest are performed worldwide, the findings are relevant to all regions in the world. Comparing crop rotations and identifying climate-smart agricultural practices without losing the production orientation are key challenges for environmental assessments of agriculture in order to achieve the challenging combination of the food security and climate action sustainable development goals.","author":[{"dropping-particle":"","family":"Brankatschk","given":"Gerhard","non-dropping-particle":"","parse-names":false,"suffix":""},{"dropping-particle":"","family":"Finkbeiner","given":"Matthias","non-dropping-particle":"","parse-names":false,"suffix":""}],"container-title":"Agronomy for Sustainable Development","id":"ITEM-1","issue":"6","issued":{"date-parts":[["2017"]]},"publisher":"Agronomy for Sustainable Development","title":"Crop rotations and crop residues are relevant parameters for agricultural carbon footprints","type":"article-journal","volume":"37"},"uris":["http://www.mendeley.com/documents/?uuid=c290dee8-f98e-4748-bfa1-84f2c09eec1a"]}],"mendeley":{"formattedCitation":"(Brankatschk and Finkbeiner, 2017)","manualFormatting":"Brankatschk and Finkbeiner 2017)","plainTextFormattedCitation":"(Brankatschk and Finkbeiner, 2017)","previouslyFormattedCitation":"&lt;sup&gt;2&lt;/sup&gt;"},"properties":{"noteIndex":0},"schema":"https://github.com/citation-style-language/schema/raw/master/csl-citation.json"}</w:instrText>
            </w:r>
            <w:r w:rsidRPr="00BF29E4">
              <w:rPr>
                <w:sz w:val="18"/>
                <w:szCs w:val="18"/>
              </w:rPr>
              <w:fldChar w:fldCharType="separate"/>
            </w:r>
            <w:r>
              <w:rPr>
                <w:noProof/>
                <w:sz w:val="18"/>
                <w:szCs w:val="18"/>
              </w:rPr>
              <w:t>Brankatschk</w:t>
            </w:r>
            <w:proofErr w:type="spellEnd"/>
            <w:r>
              <w:rPr>
                <w:noProof/>
                <w:sz w:val="18"/>
                <w:szCs w:val="18"/>
              </w:rPr>
              <w:t xml:space="preserve"> and Finkbeiner </w:t>
            </w:r>
            <w:r w:rsidRPr="008427C7">
              <w:rPr>
                <w:noProof/>
                <w:sz w:val="18"/>
                <w:szCs w:val="18"/>
              </w:rPr>
              <w:t>2017)</w:t>
            </w:r>
            <w:r w:rsidRPr="00BF29E4">
              <w:rPr>
                <w:sz w:val="18"/>
                <w:szCs w:val="18"/>
              </w:rPr>
              <w:fldChar w:fldCharType="end"/>
            </w:r>
            <w:r>
              <w:rPr>
                <w:sz w:val="18"/>
                <w:szCs w:val="18"/>
              </w:rPr>
              <w:t>;</w:t>
            </w:r>
            <w:r w:rsidRPr="008427C7" w:rsidDel="00F65394">
              <w:rPr>
                <w:rFonts w:ascii="Calibri" w:eastAsia="Times New Roman" w:hAnsi="Calibri" w:cs="Calibri"/>
                <w:color w:val="000000"/>
                <w:sz w:val="18"/>
                <w:szCs w:val="18"/>
                <w:lang w:eastAsia="en-CA"/>
              </w:rPr>
              <w:t xml:space="preserve"> </w:t>
            </w:r>
            <w:r w:rsidRPr="008427C7">
              <w:rPr>
                <w:rFonts w:ascii="Calibri" w:eastAsia="Times New Roman" w:hAnsi="Calibri" w:cs="Calibri"/>
                <w:color w:val="000000"/>
                <w:sz w:val="18"/>
                <w:szCs w:val="18"/>
                <w:lang w:eastAsia="en-CA"/>
              </w:rPr>
              <w:t>15% claimed no co-products (generally if area-based FU or temporal frame covers all crops - e.g. everything associated with non-harvested legume cover crops fully attributed to crop harvested after - but if legume harvested the N benefit is fully attributed to following crop but leaching fully attributed to legume)</w:t>
            </w:r>
            <w:r>
              <w:rPr>
                <w:rFonts w:ascii="Calibri" w:eastAsia="Times New Roman" w:hAnsi="Calibri" w:cs="Calibri"/>
                <w:color w:val="000000"/>
                <w:sz w:val="18"/>
                <w:szCs w:val="18"/>
                <w:lang w:eastAsia="en-CA"/>
              </w:rPr>
              <w:t>;</w:t>
            </w:r>
            <w:r w:rsidRPr="008427C7">
              <w:rPr>
                <w:rFonts w:ascii="Calibri" w:eastAsia="Times New Roman" w:hAnsi="Calibri" w:cs="Calibri"/>
                <w:color w:val="000000"/>
                <w:sz w:val="18"/>
                <w:szCs w:val="18"/>
                <w:lang w:eastAsia="en-CA"/>
              </w:rPr>
              <w:t xml:space="preserve"> 27% used mass, energy or economic allocation, 3% system expansion, 3% biophysical allocation</w:t>
            </w:r>
          </w:p>
        </w:tc>
      </w:tr>
      <w:tr w:rsidR="00B21551" w:rsidRPr="008427C7" w14:paraId="1E83843A" w14:textId="77777777" w:rsidTr="00D32891">
        <w:trPr>
          <w:trHeight w:val="290"/>
        </w:trPr>
        <w:tc>
          <w:tcPr>
            <w:tcW w:w="1135" w:type="dxa"/>
            <w:noWrap/>
            <w:vAlign w:val="center"/>
          </w:tcPr>
          <w:p w14:paraId="586A5E1E" w14:textId="179B2C32" w:rsidR="00A80ACF" w:rsidRPr="00BF29E4" w:rsidRDefault="00A80ACF" w:rsidP="00C821FE">
            <w:pPr>
              <w:spacing w:after="0" w:line="240" w:lineRule="auto"/>
              <w:rPr>
                <w:rFonts w:ascii="Calibri" w:eastAsia="Times New Roman" w:hAnsi="Calibri" w:cs="Calibri"/>
                <w:color w:val="000000"/>
                <w:sz w:val="18"/>
                <w:szCs w:val="18"/>
                <w:lang w:eastAsia="en-CA"/>
              </w:rPr>
            </w:pPr>
            <w:r w:rsidRPr="00BF29E4">
              <w:rPr>
                <w:sz w:val="18"/>
                <w:szCs w:val="18"/>
              </w:rPr>
              <w:fldChar w:fldCharType="begin" w:fldLock="1"/>
            </w:r>
            <w:r w:rsidR="00C27421">
              <w:rPr>
                <w:sz w:val="18"/>
                <w:szCs w:val="18"/>
              </w:rPr>
              <w:instrText>ADDIN CSL_CITATION {"citationItems":[{"id":"ITEM-1","itemData":{"DOI":"10.1016/j.jclepro.2017.03.096","ISSN":"09596526","abstract":"Edible oils constitute an import commodity in terms of food, trade and environmental impacts. This paper discusses the application of life cycle analysis (LCA), an environment management tool, in edible oil systems. Enhancing their environmental performance can play an important role in making a shift towards sustainable agri-food systems. The aim of this review is to collate the LCA studies conducted on edible oil systems, performing a qualitative analysis to identify trends among the key methodological choices in order to assess the level of harmonization and analogy among studies. In addition, the areas worth of further investigation in future LCA applications are highlighted. The review carried out is qualitative and seeks to identify general pattern in the environmental impacts of edible oil systems. The key conclusion of the review is that increased comprehensiveness and harmonization of the methodological considerations is needed for future LCAs in this area. Defining of goals, functional unit and system boundary were having most iterative choices, while allocation criteria was found to have most heterogeneous choices. This attempt at understanding the current research trends of edible oil LCA studies would be useful in responsible addressing of the future research challenges in the area.","author":[{"dropping-particle":"","family":"Khatri","given":"Poonam","non-dropping-particle":"","parse-names":false,"suffix":""},{"dropping-particle":"","family":"Jain","given":"Suresh","non-dropping-particle":"","parse-names":false,"suffix":""}],"container-title":"Journal of Cleaner Production","id":"ITEM-1","issued":{"date-parts":[["2017"]]},"page":"63-76","publisher":"Elsevier Ltd","title":"Environmental life cycle assessment of edible oils: A review of current knowledge and future research challenges","type":"article-journal","volume":"152"},"uris":["http://www.mendeley.com/documents/?uuid=f83a9359-3c00-4b6c-af7e-6518f1feeb2a"]}],"mendeley":{"formattedCitation":"(Khatri and Jain, 2017)","manualFormatting":"Khatri and Jain (2017)","plainTextFormattedCitation":"(Khatri and Jain, 2017)","previouslyFormattedCitation":"&lt;sup&gt;5&lt;/sup&gt;"},"properties":{"noteIndex":0},"schema":"https://github.com/citation-style-language/schema/raw/master/csl-citation.json"}</w:instrText>
            </w:r>
            <w:r w:rsidRPr="00BF29E4">
              <w:rPr>
                <w:sz w:val="18"/>
                <w:szCs w:val="18"/>
              </w:rPr>
              <w:fldChar w:fldCharType="separate"/>
            </w:r>
            <w:r w:rsidRPr="00BF29E4">
              <w:rPr>
                <w:noProof/>
                <w:sz w:val="18"/>
                <w:szCs w:val="18"/>
              </w:rPr>
              <w:t>Khatri and Jain (</w:t>
            </w:r>
            <w:r w:rsidRPr="008427C7">
              <w:rPr>
                <w:noProof/>
                <w:sz w:val="18"/>
                <w:szCs w:val="18"/>
              </w:rPr>
              <w:t>2017)</w:t>
            </w:r>
            <w:r w:rsidRPr="00BF29E4">
              <w:rPr>
                <w:sz w:val="18"/>
                <w:szCs w:val="18"/>
              </w:rPr>
              <w:fldChar w:fldCharType="end"/>
            </w:r>
          </w:p>
        </w:tc>
        <w:tc>
          <w:tcPr>
            <w:tcW w:w="1417" w:type="dxa"/>
            <w:noWrap/>
            <w:vAlign w:val="center"/>
          </w:tcPr>
          <w:p w14:paraId="03A98D21"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sz w:val="18"/>
                <w:szCs w:val="18"/>
              </w:rPr>
              <w:t>review of edible oil systems</w:t>
            </w:r>
          </w:p>
        </w:tc>
        <w:tc>
          <w:tcPr>
            <w:tcW w:w="3544" w:type="dxa"/>
            <w:noWrap/>
            <w:vAlign w:val="center"/>
          </w:tcPr>
          <w:p w14:paraId="1A97D181"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sz w:val="18"/>
                <w:szCs w:val="18"/>
              </w:rPr>
              <w:t>oil and co-products</w:t>
            </w:r>
          </w:p>
        </w:tc>
        <w:tc>
          <w:tcPr>
            <w:tcW w:w="4961" w:type="dxa"/>
            <w:noWrap/>
            <w:vAlign w:val="center"/>
          </w:tcPr>
          <w:p w14:paraId="4D4D0346" w14:textId="4E392AEC" w:rsidR="00A80ACF" w:rsidRPr="008427C7" w:rsidRDefault="0047386B" w:rsidP="00C821FE">
            <w:pPr>
              <w:spacing w:after="0" w:line="240" w:lineRule="auto"/>
              <w:rPr>
                <w:rFonts w:ascii="Calibri" w:eastAsia="Times New Roman" w:hAnsi="Calibri" w:cs="Calibri"/>
                <w:color w:val="000000"/>
                <w:sz w:val="18"/>
                <w:szCs w:val="18"/>
                <w:lang w:eastAsia="en-CA"/>
              </w:rPr>
            </w:pPr>
            <w:r>
              <w:rPr>
                <w:sz w:val="18"/>
                <w:szCs w:val="18"/>
              </w:rPr>
              <w:t>i</w:t>
            </w:r>
            <w:r w:rsidR="00A80ACF">
              <w:rPr>
                <w:sz w:val="18"/>
                <w:szCs w:val="18"/>
              </w:rPr>
              <w:t xml:space="preserve">n order of </w:t>
            </w:r>
            <w:proofErr w:type="gramStart"/>
            <w:r w:rsidR="00A80ACF">
              <w:rPr>
                <w:sz w:val="18"/>
                <w:szCs w:val="18"/>
              </w:rPr>
              <w:t>most commonly applied</w:t>
            </w:r>
            <w:proofErr w:type="gramEnd"/>
            <w:r w:rsidR="00A80ACF">
              <w:rPr>
                <w:sz w:val="18"/>
                <w:szCs w:val="18"/>
              </w:rPr>
              <w:t xml:space="preserve"> in reviewed literature: </w:t>
            </w:r>
            <w:r w:rsidR="0081690E">
              <w:rPr>
                <w:sz w:val="18"/>
                <w:szCs w:val="18"/>
              </w:rPr>
              <w:t xml:space="preserve">1) </w:t>
            </w:r>
            <w:r w:rsidR="00A80ACF" w:rsidRPr="008427C7">
              <w:rPr>
                <w:sz w:val="18"/>
                <w:szCs w:val="18"/>
              </w:rPr>
              <w:t>system expansion</w:t>
            </w:r>
            <w:r w:rsidR="0081690E">
              <w:rPr>
                <w:sz w:val="18"/>
                <w:szCs w:val="18"/>
              </w:rPr>
              <w:t>,</w:t>
            </w:r>
            <w:r w:rsidR="00A80ACF" w:rsidRPr="008427C7">
              <w:rPr>
                <w:sz w:val="18"/>
                <w:szCs w:val="18"/>
              </w:rPr>
              <w:t xml:space="preserve"> </w:t>
            </w:r>
            <w:r w:rsidR="0081690E">
              <w:rPr>
                <w:sz w:val="18"/>
                <w:szCs w:val="18"/>
              </w:rPr>
              <w:t xml:space="preserve">2) </w:t>
            </w:r>
            <w:r w:rsidR="00A80ACF" w:rsidRPr="008427C7">
              <w:rPr>
                <w:sz w:val="18"/>
                <w:szCs w:val="18"/>
              </w:rPr>
              <w:t xml:space="preserve">not specified, </w:t>
            </w:r>
            <w:r w:rsidR="0081690E">
              <w:rPr>
                <w:sz w:val="18"/>
                <w:szCs w:val="18"/>
              </w:rPr>
              <w:t xml:space="preserve">3) </w:t>
            </w:r>
            <w:r w:rsidR="00A80ACF" w:rsidRPr="008427C7">
              <w:rPr>
                <w:sz w:val="18"/>
                <w:szCs w:val="18"/>
              </w:rPr>
              <w:t xml:space="preserve">mass, </w:t>
            </w:r>
            <w:r w:rsidR="0081690E">
              <w:rPr>
                <w:sz w:val="18"/>
                <w:szCs w:val="18"/>
              </w:rPr>
              <w:t xml:space="preserve">4) </w:t>
            </w:r>
            <w:r w:rsidR="00A80ACF" w:rsidRPr="008427C7">
              <w:rPr>
                <w:sz w:val="18"/>
                <w:szCs w:val="18"/>
              </w:rPr>
              <w:t xml:space="preserve">economic, </w:t>
            </w:r>
            <w:r w:rsidR="0081690E">
              <w:rPr>
                <w:sz w:val="18"/>
                <w:szCs w:val="18"/>
              </w:rPr>
              <w:t xml:space="preserve">5) </w:t>
            </w:r>
            <w:r w:rsidR="00A80ACF" w:rsidRPr="008427C7">
              <w:rPr>
                <w:sz w:val="18"/>
                <w:szCs w:val="18"/>
              </w:rPr>
              <w:t xml:space="preserve">not applied, </w:t>
            </w:r>
            <w:r w:rsidR="0081690E">
              <w:rPr>
                <w:sz w:val="18"/>
                <w:szCs w:val="18"/>
              </w:rPr>
              <w:t xml:space="preserve">6) </w:t>
            </w:r>
            <w:r w:rsidR="00A80ACF" w:rsidRPr="008427C7">
              <w:rPr>
                <w:sz w:val="18"/>
                <w:szCs w:val="18"/>
              </w:rPr>
              <w:t xml:space="preserve">other, </w:t>
            </w:r>
            <w:proofErr w:type="gramStart"/>
            <w:r w:rsidR="0081690E">
              <w:rPr>
                <w:sz w:val="18"/>
                <w:szCs w:val="18"/>
              </w:rPr>
              <w:t>7)</w:t>
            </w:r>
            <w:r w:rsidR="00A80ACF" w:rsidRPr="008427C7">
              <w:rPr>
                <w:sz w:val="18"/>
                <w:szCs w:val="18"/>
              </w:rPr>
              <w:t>energy</w:t>
            </w:r>
            <w:proofErr w:type="gramEnd"/>
          </w:p>
        </w:tc>
      </w:tr>
      <w:tr w:rsidR="00B21551" w:rsidRPr="008427C7" w14:paraId="76F44A78" w14:textId="77777777" w:rsidTr="00D32891">
        <w:trPr>
          <w:trHeight w:val="290"/>
        </w:trPr>
        <w:tc>
          <w:tcPr>
            <w:tcW w:w="1135" w:type="dxa"/>
            <w:noWrap/>
            <w:vAlign w:val="center"/>
          </w:tcPr>
          <w:p w14:paraId="367458D9" w14:textId="4726D59E" w:rsidR="00A80ACF" w:rsidRPr="00BF29E4" w:rsidRDefault="00A80ACF" w:rsidP="00C821FE">
            <w:pPr>
              <w:spacing w:after="0" w:line="240" w:lineRule="auto"/>
              <w:rPr>
                <w:sz w:val="18"/>
                <w:szCs w:val="18"/>
              </w:rPr>
            </w:pPr>
            <w:r w:rsidRPr="00BF29E4">
              <w:rPr>
                <w:sz w:val="18"/>
                <w:szCs w:val="18"/>
              </w:rPr>
              <w:fldChar w:fldCharType="begin" w:fldLock="1"/>
            </w:r>
            <w:r w:rsidR="00C27421">
              <w:rPr>
                <w:sz w:val="18"/>
                <w:szCs w:val="18"/>
              </w:rPr>
              <w:instrText>ADDIN CSL_CITATION {"citationItems":[{"id":"ITEM-1","itemData":{"DOI":"10.1007/s11367-015-0872-0","ISBN":"1136701508","ISSN":"16147502","abstract":"Purpose: Although, according to the ISO 14044 standard, economic allocation should be the solution of last resort, it is frequently used in LCA studies of agri-food systems because of the inadequacy of solutions preferred by ISO. We propose a new way of allocating impacts to plant co-products according to the underlying physical relationships between the co-products. We compare this method to two current allocation methods. Methods: (i) We surveyed 24 LCA studies from peer-reviewed scientific journals and scientific reports for the 2000–2013 period that attributed impacts to plant co-products used as animal feed to establish the prevalence of allocation methods in recent LCA studies. (ii) We calculated allocation factors for 21 plant co-products used as ingredients for animal feeds according to three methods: energy allocation based on lower heating values (En), economic allocation based on average prices for a 5-year period (Ec), and allocation based on plant physiological construction cost of plant compounds (Cc). Results and discussion: (i) In the studies surveyed, Ec was used in 19 out of 24 cases. En was used in three studies, system expansion and mass allocation were used in two studies, while nitrogen content was used in one study. (ii) Compared to En and Ec, Cc yielded higher allocation factors for protein-rich co-products and lower factors for lipids. Whereas the difference between En and Cc was modest (up to 5 percentage points), the difference between Ec and Cc was more variable and sometimes large (up to 18 percentage points). Conclusions: Although, according to the ISO 14044 standard, Ec should be the solution of last resort, it is frequently used in LCA studies of agri-food systems because of the inadequacy of solutions preferred by ISO. For plant co-products, Cc is an attractive option, as it is based on the physiological mechanisms involved in plant growth rather than on a common property of the co-products.","author":[{"dropping-particle":"","family":"Werf","given":"Hayo M.G.","non-dropping-particle":"van der","parse-names":false,"suffix":""},{"dropping-particle":"","family":"Nguyen","given":"Thi Tuyet Hanh","non-dropping-particle":"","parse-names":false,"suffix":""}],"container-title":"International Journal of Life Cycle Assessment","id":"ITEM-1","issue":"6","issued":{"date-parts":[["2015"]]},"page":"777-784","title":"Construction cost of plant compounds provides a physical relationship for co-product allocation in life cycle assessment","type":"article-journal","volume":"20"},"uris":["http://www.mendeley.com/documents/?uuid=de698d0d-b2e9-40f9-8aab-7e479493f609"]}],"mendeley":{"formattedCitation":"(van der Werf and Nguyen, 2015)","manualFormatting":"van der Werf and Nguyen (2015)","plainTextFormattedCitation":"(van der Werf and Nguyen, 2015)","previouslyFormattedCitation":"&lt;sup&gt;6&lt;/sup&gt;"},"properties":{"noteIndex":0},"schema":"https://github.com/citation-style-language/schema/raw/master/csl-citation.json"}</w:instrText>
            </w:r>
            <w:r w:rsidRPr="00BF29E4">
              <w:rPr>
                <w:sz w:val="18"/>
                <w:szCs w:val="18"/>
              </w:rPr>
              <w:fldChar w:fldCharType="separate"/>
            </w:r>
            <w:r w:rsidRPr="00BF29E4">
              <w:rPr>
                <w:noProof/>
                <w:sz w:val="18"/>
                <w:szCs w:val="18"/>
              </w:rPr>
              <w:t>van der Werf and Nguyen (</w:t>
            </w:r>
            <w:r w:rsidRPr="008427C7">
              <w:rPr>
                <w:noProof/>
                <w:sz w:val="18"/>
                <w:szCs w:val="18"/>
              </w:rPr>
              <w:t>2015)</w:t>
            </w:r>
            <w:r w:rsidRPr="00BF29E4">
              <w:rPr>
                <w:sz w:val="18"/>
                <w:szCs w:val="18"/>
              </w:rPr>
              <w:fldChar w:fldCharType="end"/>
            </w:r>
          </w:p>
        </w:tc>
        <w:tc>
          <w:tcPr>
            <w:tcW w:w="1417" w:type="dxa"/>
            <w:noWrap/>
            <w:vAlign w:val="center"/>
          </w:tcPr>
          <w:p w14:paraId="28814404" w14:textId="77777777" w:rsidR="00A80ACF" w:rsidRPr="008427C7" w:rsidRDefault="00A80ACF" w:rsidP="00C821FE">
            <w:pPr>
              <w:spacing w:after="0" w:line="240" w:lineRule="auto"/>
              <w:rPr>
                <w:sz w:val="18"/>
                <w:szCs w:val="18"/>
              </w:rPr>
            </w:pPr>
            <w:r w:rsidRPr="008427C7">
              <w:rPr>
                <w:sz w:val="18"/>
                <w:szCs w:val="18"/>
              </w:rPr>
              <w:t>crop plants</w:t>
            </w:r>
          </w:p>
        </w:tc>
        <w:tc>
          <w:tcPr>
            <w:tcW w:w="3544" w:type="dxa"/>
            <w:noWrap/>
            <w:vAlign w:val="center"/>
          </w:tcPr>
          <w:p w14:paraId="021B165D" w14:textId="77777777" w:rsidR="00A80ACF" w:rsidRPr="008427C7" w:rsidRDefault="00A80ACF" w:rsidP="00C821FE">
            <w:pPr>
              <w:spacing w:after="0" w:line="240" w:lineRule="auto"/>
              <w:rPr>
                <w:sz w:val="18"/>
                <w:szCs w:val="18"/>
              </w:rPr>
            </w:pPr>
            <w:r w:rsidRPr="008427C7">
              <w:rPr>
                <w:sz w:val="18"/>
                <w:szCs w:val="18"/>
              </w:rPr>
              <w:t>21 plant co-products used as ingredients for animal feeds</w:t>
            </w:r>
          </w:p>
        </w:tc>
        <w:tc>
          <w:tcPr>
            <w:tcW w:w="4961" w:type="dxa"/>
            <w:noWrap/>
            <w:vAlign w:val="center"/>
          </w:tcPr>
          <w:p w14:paraId="64359725" w14:textId="31B41C08" w:rsidR="00A80ACF" w:rsidRPr="008427C7" w:rsidRDefault="00A80ACF" w:rsidP="0047386B">
            <w:pPr>
              <w:spacing w:after="0" w:line="240" w:lineRule="auto"/>
              <w:rPr>
                <w:sz w:val="18"/>
                <w:szCs w:val="18"/>
              </w:rPr>
            </w:pPr>
            <w:r w:rsidRPr="008427C7">
              <w:rPr>
                <w:sz w:val="18"/>
                <w:szCs w:val="18"/>
              </w:rPr>
              <w:t>energy; economic; physiological construction cost of plant compounds (new methodology proposed). Lit review of 24 LCA studies from 2000-2013 for plant co-products used as animal feed: economic used in 19, energy in 3, system expansion and mass allocation in 2, nitrogen content in 1.</w:t>
            </w:r>
          </w:p>
        </w:tc>
      </w:tr>
      <w:tr w:rsidR="00B21551" w:rsidRPr="008427C7" w14:paraId="4222796C" w14:textId="77777777" w:rsidTr="00D32891">
        <w:trPr>
          <w:trHeight w:val="290"/>
        </w:trPr>
        <w:tc>
          <w:tcPr>
            <w:tcW w:w="1135" w:type="dxa"/>
            <w:noWrap/>
            <w:vAlign w:val="center"/>
          </w:tcPr>
          <w:p w14:paraId="14D9E13F" w14:textId="4EE65362" w:rsidR="00A80ACF" w:rsidRPr="00BF29E4" w:rsidRDefault="00A80ACF" w:rsidP="00C821FE">
            <w:pPr>
              <w:spacing w:after="0" w:line="240" w:lineRule="auto"/>
              <w:rPr>
                <w:rFonts w:ascii="Calibri" w:eastAsia="Times New Roman" w:hAnsi="Calibri" w:cs="Calibri"/>
                <w:color w:val="000000"/>
                <w:sz w:val="18"/>
                <w:szCs w:val="18"/>
                <w:lang w:eastAsia="en-CA"/>
              </w:rPr>
            </w:pPr>
            <w:r w:rsidRPr="00BF29E4">
              <w:rPr>
                <w:sz w:val="18"/>
                <w:szCs w:val="18"/>
              </w:rPr>
              <w:fldChar w:fldCharType="begin" w:fldLock="1"/>
            </w:r>
            <w:r w:rsidR="00C27421">
              <w:rPr>
                <w:sz w:val="18"/>
                <w:szCs w:val="18"/>
              </w:rPr>
              <w:instrText>ADDIN CSL_CITATION {"citationItems":[{"id":"ITEM-1","itemData":{"DOI":"10.1007/978-3-319-64641-1_7","ISBN":"9783319646404","author":[{"dropping-particle":"","family":"Summerscales","given":"John","non-dropping-particle":"","parse-names":false,"suffix":""},{"dropping-particle":"","family":"Dissanayake","given":"Nilmini P. J.","non-dropping-particle":"","parse-names":false,"suffix":""}],"container-title":"Advances in Natural Fibre Composites","id":"ITEM-1","issued":{"date-parts":[["2018"]]},"page":"223-235","title":"Allocation in the Life Cycle Assessment (LCA) of Flax Fibres for the Reinforcement of Composites","type":"chapter"},"uris":["http://www.mendeley.com/documents/?uuid=74251def-3b35-47f2-a09b-154e473f712c"]}],"mendeley":{"formattedCitation":"(Summerscales and Dissanayake, 2018)","manualFormatting":"Summerscales and Dissanayake (2018)","plainTextFormattedCitation":"(Summerscales and Dissanayake, 2018)","previouslyFormattedCitation":"&lt;sup&gt;7&lt;/sup&gt;"},"properties":{"noteIndex":0},"schema":"https://github.com/citation-style-language/schema/raw/master/csl-citation.json"}</w:instrText>
            </w:r>
            <w:r w:rsidRPr="00BF29E4">
              <w:rPr>
                <w:sz w:val="18"/>
                <w:szCs w:val="18"/>
              </w:rPr>
              <w:fldChar w:fldCharType="separate"/>
            </w:r>
            <w:r w:rsidRPr="00BF29E4">
              <w:rPr>
                <w:noProof/>
                <w:sz w:val="18"/>
                <w:szCs w:val="18"/>
              </w:rPr>
              <w:t>Summerscales and Dissanayake (</w:t>
            </w:r>
            <w:r w:rsidRPr="008427C7">
              <w:rPr>
                <w:noProof/>
                <w:sz w:val="18"/>
                <w:szCs w:val="18"/>
              </w:rPr>
              <w:t>2018)</w:t>
            </w:r>
            <w:r w:rsidRPr="00BF29E4">
              <w:rPr>
                <w:sz w:val="18"/>
                <w:szCs w:val="18"/>
              </w:rPr>
              <w:fldChar w:fldCharType="end"/>
            </w:r>
          </w:p>
        </w:tc>
        <w:tc>
          <w:tcPr>
            <w:tcW w:w="1417" w:type="dxa"/>
            <w:noWrap/>
            <w:vAlign w:val="center"/>
          </w:tcPr>
          <w:p w14:paraId="05A2E6E9"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sz w:val="18"/>
                <w:szCs w:val="18"/>
              </w:rPr>
              <w:t>flax</w:t>
            </w:r>
          </w:p>
        </w:tc>
        <w:tc>
          <w:tcPr>
            <w:tcW w:w="3544" w:type="dxa"/>
            <w:noWrap/>
            <w:vAlign w:val="center"/>
          </w:tcPr>
          <w:p w14:paraId="558134E3"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sz w:val="18"/>
                <w:szCs w:val="18"/>
              </w:rPr>
              <w:t>seed, long fibre, short fibre, dust</w:t>
            </w:r>
          </w:p>
        </w:tc>
        <w:tc>
          <w:tcPr>
            <w:tcW w:w="4961" w:type="dxa"/>
            <w:noWrap/>
            <w:vAlign w:val="center"/>
          </w:tcPr>
          <w:p w14:paraId="58D6C3CD"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sz w:val="18"/>
                <w:szCs w:val="18"/>
              </w:rPr>
              <w:t>economic, mass</w:t>
            </w:r>
          </w:p>
        </w:tc>
      </w:tr>
      <w:tr w:rsidR="00B21551" w:rsidRPr="008427C7" w14:paraId="0ED064F5" w14:textId="77777777" w:rsidTr="00D32891">
        <w:trPr>
          <w:trHeight w:val="290"/>
        </w:trPr>
        <w:tc>
          <w:tcPr>
            <w:tcW w:w="1135" w:type="dxa"/>
            <w:noWrap/>
            <w:vAlign w:val="center"/>
          </w:tcPr>
          <w:p w14:paraId="3F98F7EE" w14:textId="3C2718CB" w:rsidR="00A80ACF" w:rsidRPr="00BF29E4" w:rsidRDefault="00A80ACF" w:rsidP="00C821FE">
            <w:pPr>
              <w:spacing w:after="0" w:line="240" w:lineRule="auto"/>
              <w:rPr>
                <w:sz w:val="18"/>
                <w:szCs w:val="18"/>
              </w:rPr>
            </w:pPr>
            <w:r w:rsidRPr="00BF29E4">
              <w:rPr>
                <w:sz w:val="18"/>
                <w:szCs w:val="18"/>
              </w:rPr>
              <w:fldChar w:fldCharType="begin" w:fldLock="1"/>
            </w:r>
            <w:r w:rsidR="00C27421">
              <w:rPr>
                <w:sz w:val="18"/>
                <w:szCs w:val="18"/>
              </w:rPr>
              <w:instrText>ADDIN CSL_CITATION {"citationItems":[{"id":"ITEM-1","itemData":{"DOI":"10.3390/agriculture11101005","ISSN":"20770472","abstract":"This study aimed to estimate the environmental impact of barley production in the Basque Country, Northern Spain, using cradle-to-gate life cycle assessment (LCA) methodology, as well as to assess how methodological choices (i.e., the use of IPCC 2019 Guidelines versus allocation methods) can influence such estimation. The production of mineral fertiliser and the direct emissions of nitrous oxide (N2O) resulting from the application of nitrogen (N) fertiliser were identified as the two main contributors (40% and 30% of all greenhouse gas emissions, respectively) to the environmental impact of barley production. Pertaining to GHG emissions themselves, the use of calcium ammonium nitrate fertiliser was found to be the main contributor. Therefore, the optimization of N fertiliser application was established as a key process to reduce the environmental impact of barley production. The fertiliser-related release of N and phosphorous (P) to the environment was the main contributor to particulate matter formation, terrestrial acidification, and terrestrial and marine eutrophication. The incorporation of environmental data on NH3, NOx, NO3−, and PO43− to the LCA led to a more accurate estimation of barley production impact. A sensitivity analysis showed that the use of economic allocation, compared to mass allocation, increased the estimation of climate change-related impact by 80%. In turn, the application of the IPCC 2019 Refinement Guidelines increased this estimation by a factor of 1.12 and 0.86 in wet regions and decreased in dry regions, respectively. Our results emphasise the importance of the choice of methodology, adapted to the specific case under study, when estimating the environmental impact of food production systems.","author":[{"dropping-particle":"","family":"Hierro","given":"Óscar","non-dropping-particle":"Del","parse-names":false,"suffix":""},{"dropping-particle":"","family":"Gallejones","given":"Patricia","non-dropping-particle":"","parse-names":false,"suffix":""},{"dropping-particle":"","family":"Besga","given":"Gerardo","non-dropping-particle":"","parse-names":false,"suffix":""},{"dropping-particle":"","family":"Artetxe","given":"Ainara","non-dropping-particle":"","parse-names":false,"suffix":""},{"dropping-particle":"","family":"Garbisu","given":"Carlos","non-dropping-particle":"","parse-names":false,"suffix":""}],"container-title":"Agriculture (Switzerland)","id":"ITEM-1","issue":"10","issued":{"date-parts":[["2021"]]},"title":"A comparison of ipcc guidelines and allocation methods to estimate the environmental impact of barley production in the basque country through life cycle assessment (Lca)","type":"article-journal","volume":"11"},"uris":["http://www.mendeley.com/documents/?uuid=dca209c9-4c59-4309-8041-09e51eb8cd74"]}],"mendeley":{"formattedCitation":"(Del Hierro et al., 2021)","manualFormatting":"Del Hierro et al. (2021)","plainTextFormattedCitation":"(Del Hierro et al., 2021)","previouslyFormattedCitation":"&lt;sup&gt;8&lt;/sup&gt;"},"properties":{"noteIndex":0},"schema":"https://github.com/citation-style-language/schema/raw/master/csl-citation.json"}</w:instrText>
            </w:r>
            <w:r w:rsidRPr="00BF29E4">
              <w:rPr>
                <w:sz w:val="18"/>
                <w:szCs w:val="18"/>
              </w:rPr>
              <w:fldChar w:fldCharType="separate"/>
            </w:r>
            <w:r w:rsidRPr="00BF29E4">
              <w:rPr>
                <w:noProof/>
                <w:sz w:val="18"/>
                <w:szCs w:val="18"/>
              </w:rPr>
              <w:t>Del Hierro et al. (</w:t>
            </w:r>
            <w:r w:rsidRPr="008427C7">
              <w:rPr>
                <w:noProof/>
                <w:sz w:val="18"/>
                <w:szCs w:val="18"/>
              </w:rPr>
              <w:t>2021)</w:t>
            </w:r>
            <w:r w:rsidRPr="00BF29E4">
              <w:rPr>
                <w:sz w:val="18"/>
                <w:szCs w:val="18"/>
              </w:rPr>
              <w:fldChar w:fldCharType="end"/>
            </w:r>
          </w:p>
        </w:tc>
        <w:tc>
          <w:tcPr>
            <w:tcW w:w="1417" w:type="dxa"/>
            <w:noWrap/>
            <w:vAlign w:val="center"/>
          </w:tcPr>
          <w:p w14:paraId="6A6C3B2D" w14:textId="77777777" w:rsidR="00A80ACF" w:rsidRPr="008427C7" w:rsidRDefault="00A80ACF" w:rsidP="00C821FE">
            <w:pPr>
              <w:spacing w:after="0" w:line="240" w:lineRule="auto"/>
              <w:rPr>
                <w:sz w:val="18"/>
                <w:szCs w:val="18"/>
              </w:rPr>
            </w:pPr>
            <w:r w:rsidRPr="008427C7">
              <w:rPr>
                <w:sz w:val="18"/>
                <w:szCs w:val="18"/>
              </w:rPr>
              <w:t>barley</w:t>
            </w:r>
          </w:p>
        </w:tc>
        <w:tc>
          <w:tcPr>
            <w:tcW w:w="3544" w:type="dxa"/>
            <w:noWrap/>
            <w:vAlign w:val="center"/>
          </w:tcPr>
          <w:p w14:paraId="552725C2" w14:textId="77777777" w:rsidR="00A80ACF" w:rsidRPr="008427C7" w:rsidRDefault="00A80ACF" w:rsidP="00C821FE">
            <w:pPr>
              <w:spacing w:after="0" w:line="240" w:lineRule="auto"/>
              <w:rPr>
                <w:sz w:val="18"/>
                <w:szCs w:val="18"/>
              </w:rPr>
            </w:pPr>
            <w:r w:rsidRPr="008427C7">
              <w:rPr>
                <w:sz w:val="18"/>
                <w:szCs w:val="18"/>
              </w:rPr>
              <w:t>barley grain and barley straw</w:t>
            </w:r>
          </w:p>
        </w:tc>
        <w:tc>
          <w:tcPr>
            <w:tcW w:w="4961" w:type="dxa"/>
            <w:noWrap/>
            <w:vAlign w:val="center"/>
          </w:tcPr>
          <w:p w14:paraId="59E05958" w14:textId="77777777" w:rsidR="00A80ACF" w:rsidRPr="008427C7" w:rsidRDefault="00A80ACF" w:rsidP="00C821FE">
            <w:pPr>
              <w:spacing w:after="0" w:line="240" w:lineRule="auto"/>
              <w:rPr>
                <w:sz w:val="18"/>
                <w:szCs w:val="18"/>
              </w:rPr>
            </w:pPr>
            <w:r w:rsidRPr="008427C7">
              <w:rPr>
                <w:sz w:val="18"/>
                <w:szCs w:val="18"/>
              </w:rPr>
              <w:t>economic compared to mass</w:t>
            </w:r>
          </w:p>
        </w:tc>
      </w:tr>
      <w:tr w:rsidR="00B21551" w:rsidRPr="008427C7" w14:paraId="389D96DC" w14:textId="77777777" w:rsidTr="00D32891">
        <w:trPr>
          <w:trHeight w:val="290"/>
        </w:trPr>
        <w:tc>
          <w:tcPr>
            <w:tcW w:w="1135" w:type="dxa"/>
            <w:noWrap/>
            <w:vAlign w:val="center"/>
          </w:tcPr>
          <w:p w14:paraId="6BBDB244" w14:textId="4AC6EEB6" w:rsidR="00A80ACF" w:rsidRPr="00BF29E4" w:rsidRDefault="00A80ACF" w:rsidP="00C821FE">
            <w:pPr>
              <w:spacing w:after="0" w:line="240" w:lineRule="auto"/>
              <w:rPr>
                <w:sz w:val="18"/>
                <w:szCs w:val="18"/>
              </w:rPr>
            </w:pPr>
            <w:r w:rsidRPr="00BF29E4">
              <w:rPr>
                <w:sz w:val="18"/>
                <w:szCs w:val="18"/>
              </w:rPr>
              <w:fldChar w:fldCharType="begin" w:fldLock="1"/>
            </w:r>
            <w:r w:rsidR="00C27421">
              <w:rPr>
                <w:sz w:val="18"/>
                <w:szCs w:val="18"/>
              </w:rPr>
              <w:instrText>ADDIN CSL_CITATION {"citationItems":[{"id":"ITEM-1","itemData":{"DOI":"10.1016/j.jclepro.2017.07.008","ISSN":"09596526","abstract":"This paper is based upon a comparative environmental evaluation between organic and conventional cultivation of barley, under favorable pedo-climatic conditions. A Life Cycle Assessment (LCA) was performed alternatively using, as Functional Units (FUs), 1 ha of land involved in cultivation of barley to seek environmental sustainability and 1 kg of dry matter grains of produced barley to check productive efficiency. The study aims at highlighting the best solution for cultivation of barley. The topic was addressed because of the lack of comprehensive comparisons between organic and conventional management of barley production systems, which involve specific methodological assumptions (i.e. different FUs, economic allocation procedure between product and co-product). Findings from comparative LCA show that organic barley cultivation is the most environmentally sustainable solution (but not efficient in production), vice versa conventional barley cultivation is the solution most efficient in production (but not environmentally sustainable). Using 1 ha as FU, the cultivation of organic barley produces environmental impacts for 2.33 pt vs. the 2.55 pt of the cultivation of conventional barley. Vice-versa using 1 kg as FU, organic barley accounts for 3.103E-04 pt vs. the 2.396E-04 pt of conventional barley. Efficiency in production and environmental sustainability may also depend on qualitative elements (crop quality and adaptiveness to specific pedo-climatic conditions).","author":[{"dropping-particle":"","family":"Tricase","given":"Caterina","non-dropping-particle":"","parse-names":false,"suffix":""},{"dropping-particle":"","family":"Lamonaca","given":"Emilia","non-dropping-particle":"","parse-names":false,"suffix":""},{"dropping-particle":"","family":"Ingrao","given":"Carlo","non-dropping-particle":"","parse-names":false,"suffix":""},{"dropping-particle":"","family":"Bacenetti","given":"Jacopo","non-dropping-particle":"","parse-names":false,"suffix":""},{"dropping-particle":"","family":"Giudice","given":"Agata","non-dropping-particle":"Lo","parse-names":false,"suffix":""}],"container-title":"Journal of Cleaner Production","id":"ITEM-1","issued":{"date-parts":[["2018"]]},"page":"3747-3759","publisher":"Elsevier Ltd","title":"A comparative Life Cycle Assessment between organic and conventional barley cultivation for sustainable agriculture pathways","type":"article-journal","volume":"172"},"uris":["http://www.mendeley.com/documents/?uuid=38d4b488-5540-421c-8f95-994276f928e7"]}],"mendeley":{"formattedCitation":"(Tricase et al., 2018)","manualFormatting":"Tricase et al. (2018)","plainTextFormattedCitation":"(Tricase et al., 2018)","previouslyFormattedCitation":"&lt;sup&gt;9&lt;/sup&gt;"},"properties":{"noteIndex":0},"schema":"https://github.com/citation-style-language/schema/raw/master/csl-citation.json"}</w:instrText>
            </w:r>
            <w:r w:rsidRPr="00BF29E4">
              <w:rPr>
                <w:sz w:val="18"/>
                <w:szCs w:val="18"/>
              </w:rPr>
              <w:fldChar w:fldCharType="separate"/>
            </w:r>
            <w:r w:rsidRPr="00BF29E4">
              <w:rPr>
                <w:noProof/>
                <w:sz w:val="18"/>
                <w:szCs w:val="18"/>
              </w:rPr>
              <w:t>Tricase et al. (</w:t>
            </w:r>
            <w:r w:rsidRPr="008427C7">
              <w:rPr>
                <w:noProof/>
                <w:sz w:val="18"/>
                <w:szCs w:val="18"/>
              </w:rPr>
              <w:t>2018)</w:t>
            </w:r>
            <w:r w:rsidRPr="00BF29E4">
              <w:rPr>
                <w:sz w:val="18"/>
                <w:szCs w:val="18"/>
              </w:rPr>
              <w:fldChar w:fldCharType="end"/>
            </w:r>
          </w:p>
        </w:tc>
        <w:tc>
          <w:tcPr>
            <w:tcW w:w="1417" w:type="dxa"/>
            <w:noWrap/>
            <w:vAlign w:val="center"/>
          </w:tcPr>
          <w:p w14:paraId="676CBB6F" w14:textId="77777777" w:rsidR="00A80ACF" w:rsidRPr="008427C7" w:rsidRDefault="00A80ACF" w:rsidP="00C821FE">
            <w:pPr>
              <w:spacing w:after="0" w:line="240" w:lineRule="auto"/>
              <w:rPr>
                <w:sz w:val="18"/>
                <w:szCs w:val="18"/>
              </w:rPr>
            </w:pPr>
            <w:r w:rsidRPr="008427C7">
              <w:rPr>
                <w:sz w:val="18"/>
                <w:szCs w:val="18"/>
              </w:rPr>
              <w:t>barley</w:t>
            </w:r>
          </w:p>
        </w:tc>
        <w:tc>
          <w:tcPr>
            <w:tcW w:w="3544" w:type="dxa"/>
            <w:noWrap/>
            <w:vAlign w:val="center"/>
          </w:tcPr>
          <w:p w14:paraId="515F7E58" w14:textId="77777777" w:rsidR="00A80ACF" w:rsidRPr="008427C7" w:rsidRDefault="00A80ACF" w:rsidP="00C821FE">
            <w:pPr>
              <w:spacing w:after="0" w:line="240" w:lineRule="auto"/>
              <w:rPr>
                <w:sz w:val="18"/>
                <w:szCs w:val="18"/>
              </w:rPr>
            </w:pPr>
            <w:r w:rsidRPr="008427C7">
              <w:rPr>
                <w:sz w:val="18"/>
                <w:szCs w:val="18"/>
              </w:rPr>
              <w:t>barley grain and barley straw</w:t>
            </w:r>
          </w:p>
        </w:tc>
        <w:tc>
          <w:tcPr>
            <w:tcW w:w="4961" w:type="dxa"/>
            <w:noWrap/>
            <w:vAlign w:val="center"/>
          </w:tcPr>
          <w:p w14:paraId="577EDAD2" w14:textId="77777777" w:rsidR="00A80ACF" w:rsidRPr="008427C7" w:rsidRDefault="00A80ACF" w:rsidP="00C821FE">
            <w:pPr>
              <w:spacing w:after="0" w:line="240" w:lineRule="auto"/>
              <w:rPr>
                <w:sz w:val="18"/>
                <w:szCs w:val="18"/>
              </w:rPr>
            </w:pPr>
            <w:r w:rsidRPr="008427C7">
              <w:rPr>
                <w:sz w:val="18"/>
                <w:szCs w:val="18"/>
              </w:rPr>
              <w:t>economic</w:t>
            </w:r>
          </w:p>
        </w:tc>
      </w:tr>
      <w:tr w:rsidR="00B21551" w:rsidRPr="008427C7" w14:paraId="578899E8" w14:textId="77777777" w:rsidTr="00D32891">
        <w:trPr>
          <w:trHeight w:val="290"/>
        </w:trPr>
        <w:tc>
          <w:tcPr>
            <w:tcW w:w="1135" w:type="dxa"/>
            <w:noWrap/>
            <w:vAlign w:val="center"/>
          </w:tcPr>
          <w:p w14:paraId="10B15755" w14:textId="0D22B21D" w:rsidR="00A80ACF" w:rsidRPr="00BF29E4" w:rsidRDefault="00A80ACF" w:rsidP="00C821FE">
            <w:pPr>
              <w:spacing w:after="0" w:line="240" w:lineRule="auto"/>
              <w:rPr>
                <w:sz w:val="18"/>
                <w:szCs w:val="18"/>
              </w:rPr>
            </w:pPr>
            <w:r w:rsidRPr="00BF29E4">
              <w:rPr>
                <w:sz w:val="18"/>
                <w:szCs w:val="18"/>
              </w:rPr>
              <w:fldChar w:fldCharType="begin" w:fldLock="1"/>
            </w:r>
            <w:r w:rsidR="00C27421">
              <w:rPr>
                <w:sz w:val="18"/>
                <w:szCs w:val="18"/>
              </w:rPr>
              <w:instrText>ADDIN CSL_CITATION {"citationItems":[{"id":"ITEM-1","itemData":{"DOI":"10.1016/j.jclepro.2016.05.154","ISSN":"09596526","abstract":"The purpose of this work is to compare the environmental impacts of spring barley cultivation in Denmark under current (year 2010) and future (year 2050) climatic conditions. Therefore, a Life Cycle Assessment was carried out for the production of 1 kg of spring barley in Denmark, at farm gate. Both under 2010 and 2050 climatic conditions, four subscenarios were modelled, based on a combination of two soil types and two climates. Included in the assessment were seed production, soil preparation, fertilization, pesticide application, and harvest. When processes in the life cycle resulted in co-products, the resulting environmental impacts were allocated between the main product and their respective by-products using economic allocation. Impact assessment was done using the ReCiPe (H) methodology, except for toxicity impacts, which were assessed using USEtox. The results show that the impacts for all impact categories, except human and freshwater eco-toxicity, are higher when the barley is produced under climatic circumstances representative for 2050. Comparison of the 2010 and 2050 climatic scenarios indicates that a predicted decrease in barley yields under the 2050 climatic conditions is the main driver for the increased impacts. This finding was confirmed by the sensitivity analysis. Because this study focused solely on the impacts of climate change, technological improvements and political measures to reduce impacts in the 2050 scenario are not taken into account. Options to mitigate the environmental impacts are discussed.","author":[{"dropping-particle":"","family":"Dijkman","given":"Teunis J.","non-dropping-particle":"","parse-names":false,"suffix":""},{"dropping-particle":"","family":"Birkved","given":"Morten","non-dropping-particle":"","parse-names":false,"suffix":""},{"dropping-particle":"","family":"Saxe","given":"Henrik","non-dropping-particle":"","parse-names":false,"suffix":""},{"dropping-particle":"","family":"Wenzel","given":"Henrik","non-dropping-particle":"","parse-names":false,"suffix":""},{"dropping-particle":"","family":"Hauschild","given":"Michael Z.","non-dropping-particle":"","parse-names":false,"suffix":""}],"container-title":"Journal of Cleaner Production","id":"ITEM-1","issued":{"date-parts":[["2017"]]},"page":"644-653","publisher":"Elsevier Ltd","title":"Environmental impacts of barley cultivation under current and future climatic conditions","type":"article-journal","volume":"140"},"uris":["http://www.mendeley.com/documents/?uuid=fa3a3d01-f654-4614-a6a9-7d6af04bf3ef"]}],"mendeley":{"formattedCitation":"(Dijkman et al., 2017)","manualFormatting":"Dijkman et al. (2017)","plainTextFormattedCitation":"(Dijkman et al., 2017)","previouslyFormattedCitation":"&lt;sup&gt;10&lt;/sup&gt;"},"properties":{"noteIndex":0},"schema":"https://github.com/citation-style-language/schema/raw/master/csl-citation.json"}</w:instrText>
            </w:r>
            <w:r w:rsidRPr="00BF29E4">
              <w:rPr>
                <w:sz w:val="18"/>
                <w:szCs w:val="18"/>
              </w:rPr>
              <w:fldChar w:fldCharType="separate"/>
            </w:r>
            <w:r w:rsidRPr="00BF29E4">
              <w:rPr>
                <w:noProof/>
                <w:sz w:val="18"/>
                <w:szCs w:val="18"/>
              </w:rPr>
              <w:t>Dijkman et al. (</w:t>
            </w:r>
            <w:r w:rsidRPr="008427C7">
              <w:rPr>
                <w:noProof/>
                <w:sz w:val="18"/>
                <w:szCs w:val="18"/>
              </w:rPr>
              <w:t>2017)</w:t>
            </w:r>
            <w:r w:rsidRPr="00BF29E4">
              <w:rPr>
                <w:sz w:val="18"/>
                <w:szCs w:val="18"/>
              </w:rPr>
              <w:fldChar w:fldCharType="end"/>
            </w:r>
          </w:p>
        </w:tc>
        <w:tc>
          <w:tcPr>
            <w:tcW w:w="1417" w:type="dxa"/>
            <w:noWrap/>
            <w:vAlign w:val="center"/>
          </w:tcPr>
          <w:p w14:paraId="7E701072" w14:textId="77777777" w:rsidR="00A80ACF" w:rsidRPr="008427C7" w:rsidRDefault="00A80ACF" w:rsidP="00C821FE">
            <w:pPr>
              <w:spacing w:after="0" w:line="240" w:lineRule="auto"/>
              <w:rPr>
                <w:sz w:val="18"/>
                <w:szCs w:val="18"/>
              </w:rPr>
            </w:pPr>
            <w:r w:rsidRPr="008427C7">
              <w:rPr>
                <w:sz w:val="18"/>
                <w:szCs w:val="18"/>
              </w:rPr>
              <w:t>barley</w:t>
            </w:r>
          </w:p>
        </w:tc>
        <w:tc>
          <w:tcPr>
            <w:tcW w:w="3544" w:type="dxa"/>
            <w:noWrap/>
            <w:vAlign w:val="center"/>
          </w:tcPr>
          <w:p w14:paraId="2C33EAF0" w14:textId="77777777" w:rsidR="00A80ACF" w:rsidRPr="008427C7" w:rsidRDefault="00A80ACF" w:rsidP="00C821FE">
            <w:pPr>
              <w:spacing w:after="0" w:line="240" w:lineRule="auto"/>
              <w:rPr>
                <w:sz w:val="18"/>
                <w:szCs w:val="18"/>
              </w:rPr>
            </w:pPr>
            <w:r w:rsidRPr="008427C7">
              <w:rPr>
                <w:sz w:val="18"/>
                <w:szCs w:val="18"/>
              </w:rPr>
              <w:t>all life cycle co-products</w:t>
            </w:r>
          </w:p>
        </w:tc>
        <w:tc>
          <w:tcPr>
            <w:tcW w:w="4961" w:type="dxa"/>
            <w:noWrap/>
            <w:vAlign w:val="center"/>
          </w:tcPr>
          <w:p w14:paraId="5EC8C709" w14:textId="77777777" w:rsidR="00A80ACF" w:rsidRPr="008427C7" w:rsidRDefault="00A80ACF" w:rsidP="00C821FE">
            <w:pPr>
              <w:spacing w:after="0" w:line="240" w:lineRule="auto"/>
              <w:rPr>
                <w:sz w:val="18"/>
                <w:szCs w:val="18"/>
              </w:rPr>
            </w:pPr>
            <w:r w:rsidRPr="008427C7">
              <w:rPr>
                <w:sz w:val="18"/>
                <w:szCs w:val="18"/>
              </w:rPr>
              <w:t>economic</w:t>
            </w:r>
          </w:p>
        </w:tc>
      </w:tr>
      <w:tr w:rsidR="00B21551" w:rsidRPr="008427C7" w14:paraId="62903B37" w14:textId="77777777" w:rsidTr="00D32891">
        <w:trPr>
          <w:trHeight w:val="290"/>
        </w:trPr>
        <w:tc>
          <w:tcPr>
            <w:tcW w:w="1135" w:type="dxa"/>
            <w:noWrap/>
            <w:vAlign w:val="center"/>
          </w:tcPr>
          <w:p w14:paraId="2E8539DD" w14:textId="34915616" w:rsidR="00A80ACF" w:rsidRPr="00BF29E4" w:rsidRDefault="00A80ACF" w:rsidP="00C821FE">
            <w:pPr>
              <w:spacing w:after="0" w:line="240" w:lineRule="auto"/>
              <w:rPr>
                <w:sz w:val="18"/>
                <w:szCs w:val="18"/>
              </w:rPr>
            </w:pPr>
            <w:r w:rsidRPr="00BF29E4">
              <w:rPr>
                <w:sz w:val="18"/>
                <w:szCs w:val="18"/>
              </w:rPr>
              <w:fldChar w:fldCharType="begin" w:fldLock="1"/>
            </w:r>
            <w:r w:rsidR="00C27421">
              <w:rPr>
                <w:sz w:val="18"/>
                <w:szCs w:val="18"/>
              </w:rPr>
              <w:instrText xml:space="preserve">ADDIN CSL_CITATION {"citationItems":[{"id":"ITEM-1","itemData":{"DOI":"10.1016/j.jclepro.2019.03.154","ISSN":"09596526","abstract":"Measured field data were used to compare two allocation methods on life cycle greenhouse gas emissions from corn (Zea mays L.)stover production in the Midwest U.S. We used publicly-available crop yield, nitrogen fertilizer, and direct soil nitrous oxide emissions data from the USDA-ARS Resilient Economic Agricultural Practices research program. Field data were aggregated from 9 locations across 26 site-years for 3 stover harvest rates (no removal; moderate removal – 3.1 Mg ha−1; high removal – 7.2 Mg ha−1)and 2 tillage practices (conventional; reduced/no-till). Net carbon uptake by crops was computed from measured plant carbon content. Monte Carlo simulations sampled input distributions to assess variability in farm-to-gate GHG emissions. The base analysis assumed no change in soil organic carbon stocks. In all cases, net CO2 uptake during crop growth and soil-respired CO2 dominated system emissions. Emissions were most sensitive to co-product accounting method, with system expansion emissions </w:instrText>
            </w:r>
            <w:r w:rsidR="00C27421">
              <w:rPr>
                <w:rFonts w:ascii="Cambria Math" w:hAnsi="Cambria Math" w:cs="Cambria Math"/>
                <w:sz w:val="18"/>
                <w:szCs w:val="18"/>
              </w:rPr>
              <w:instrText>∼</w:instrText>
            </w:r>
            <w:r w:rsidR="00C27421">
              <w:rPr>
                <w:sz w:val="18"/>
                <w:szCs w:val="18"/>
              </w:rPr>
              <w:instrText>15% lower than mass allocation. Regardless of accounting method, lowest emissions occurred for a moderate removal rate under reduced/no-till management. The absence of correlations between N fertilization rate and stover removal rate or soil N2O emissions in this study challenges the use of such assumptions typically employed in life cycle assessments Storage of all carbon retained on the field as SOC could reduce emissions by an additional 15%. Our results highlight how variability in GHG emissions due to location and weather can overshadow the impact of farm management practices on field-to-farm gate emissions.","author":[{"dropping-particle":"","family":"Locker","given":"C. Rebecca","non-dropping-particle":"","parse-names":false,"suffix":""},{"dropping-particle":"","family":"Torkamani","given":"Sarah","non-dropping-particle":"","parse-names":false,"suffix":""},{"dropping-particle":"","family":"Laurenzi","given":"Ian J.","non-dropping-particle":"","parse-names":false,"suffix":""},{"dropping-particle":"","family":"Jin","given":"Virginia L.","non-dropping-particle":"","parse-names":false,"suffix":""},{"dropping-particle":"","family":"Schmer","given":"Marty R.","non-dropping-particle":"","parse-names":false,"suffix":""},{"dropping-particle":"","family":"Karlen","given":"Douglas L.","non-dropping-particle":"","parse-names":false,"suffix":""}],"container-title":"Journal of Cleaner Production","id":"ITEM-1","issued":{"date-parts":[["2019"]]},"page":"1116-1127","publisher":"Elsevier Ltd","title":"Field-to-farm gate greenhouse gas emissions from corn stover production in the Midwestern U.S.","type":"article-journal","volume":"226"},"uris":["http://www.mendeley.com/documents/?uuid=a5173493-9216-42b4-9b21-f2666b175de8"]}],"mendeley":{"formattedCitation":"(Locker et al., 2019)","manualFormatting":"Locker et al. (2019)","plainTextFormattedCitation":"(Locker et al., 2019)","previouslyFormattedCitation":"&lt;sup&gt;11&lt;/sup&gt;"},"properties":{"noteIndex":0},"schema":"https://github.com/citation-style-language/schema/raw/master/csl-citation.json"}</w:instrText>
            </w:r>
            <w:r w:rsidRPr="00BF29E4">
              <w:rPr>
                <w:sz w:val="18"/>
                <w:szCs w:val="18"/>
              </w:rPr>
              <w:fldChar w:fldCharType="separate"/>
            </w:r>
            <w:r w:rsidRPr="00BF29E4">
              <w:rPr>
                <w:noProof/>
                <w:sz w:val="18"/>
                <w:szCs w:val="18"/>
              </w:rPr>
              <w:t>Locker et al. (</w:t>
            </w:r>
            <w:r w:rsidRPr="008427C7">
              <w:rPr>
                <w:noProof/>
                <w:sz w:val="18"/>
                <w:szCs w:val="18"/>
              </w:rPr>
              <w:t>2019)</w:t>
            </w:r>
            <w:r w:rsidRPr="00BF29E4">
              <w:rPr>
                <w:sz w:val="18"/>
                <w:szCs w:val="18"/>
              </w:rPr>
              <w:fldChar w:fldCharType="end"/>
            </w:r>
          </w:p>
        </w:tc>
        <w:tc>
          <w:tcPr>
            <w:tcW w:w="1417" w:type="dxa"/>
            <w:noWrap/>
            <w:vAlign w:val="center"/>
          </w:tcPr>
          <w:p w14:paraId="4809B24B" w14:textId="77777777" w:rsidR="00A80ACF" w:rsidRPr="008427C7" w:rsidRDefault="00A80ACF" w:rsidP="00C821FE">
            <w:pPr>
              <w:spacing w:after="0" w:line="240" w:lineRule="auto"/>
              <w:rPr>
                <w:sz w:val="18"/>
                <w:szCs w:val="18"/>
              </w:rPr>
            </w:pPr>
            <w:r w:rsidRPr="008427C7">
              <w:rPr>
                <w:sz w:val="18"/>
                <w:szCs w:val="18"/>
              </w:rPr>
              <w:t>corn stover</w:t>
            </w:r>
          </w:p>
        </w:tc>
        <w:tc>
          <w:tcPr>
            <w:tcW w:w="3544" w:type="dxa"/>
            <w:noWrap/>
            <w:vAlign w:val="center"/>
          </w:tcPr>
          <w:p w14:paraId="3709CD60" w14:textId="77777777" w:rsidR="00A80ACF" w:rsidRPr="008427C7" w:rsidRDefault="00A80ACF" w:rsidP="00C821FE">
            <w:pPr>
              <w:spacing w:after="0" w:line="240" w:lineRule="auto"/>
              <w:rPr>
                <w:sz w:val="18"/>
                <w:szCs w:val="18"/>
              </w:rPr>
            </w:pPr>
            <w:r w:rsidRPr="008427C7">
              <w:rPr>
                <w:sz w:val="18"/>
                <w:szCs w:val="18"/>
              </w:rPr>
              <w:t>grain and stover</w:t>
            </w:r>
          </w:p>
        </w:tc>
        <w:tc>
          <w:tcPr>
            <w:tcW w:w="4961" w:type="dxa"/>
            <w:noWrap/>
            <w:vAlign w:val="center"/>
          </w:tcPr>
          <w:p w14:paraId="0E18A575" w14:textId="77777777" w:rsidR="00A80ACF" w:rsidRPr="008427C7" w:rsidRDefault="00A80ACF" w:rsidP="00C821FE">
            <w:pPr>
              <w:spacing w:after="0" w:line="240" w:lineRule="auto"/>
              <w:rPr>
                <w:sz w:val="18"/>
                <w:szCs w:val="18"/>
              </w:rPr>
            </w:pPr>
            <w:r w:rsidRPr="008427C7">
              <w:rPr>
                <w:sz w:val="18"/>
                <w:szCs w:val="18"/>
              </w:rPr>
              <w:t>system expansion and mass allocation</w:t>
            </w:r>
          </w:p>
        </w:tc>
      </w:tr>
      <w:tr w:rsidR="00B21551" w:rsidRPr="008427C7" w14:paraId="07635558" w14:textId="77777777" w:rsidTr="00D32891">
        <w:trPr>
          <w:trHeight w:val="290"/>
        </w:trPr>
        <w:tc>
          <w:tcPr>
            <w:tcW w:w="1135" w:type="dxa"/>
            <w:noWrap/>
            <w:vAlign w:val="center"/>
          </w:tcPr>
          <w:p w14:paraId="523C9248" w14:textId="48A7B145" w:rsidR="00A80ACF" w:rsidRPr="00BF29E4" w:rsidRDefault="00A80ACF" w:rsidP="00C821FE">
            <w:pPr>
              <w:spacing w:after="0" w:line="240" w:lineRule="auto"/>
              <w:rPr>
                <w:sz w:val="18"/>
                <w:szCs w:val="18"/>
              </w:rPr>
            </w:pPr>
            <w:r w:rsidRPr="00BF29E4">
              <w:rPr>
                <w:sz w:val="18"/>
                <w:szCs w:val="18"/>
              </w:rPr>
              <w:fldChar w:fldCharType="begin" w:fldLock="1"/>
            </w:r>
            <w:r w:rsidR="00C27421">
              <w:rPr>
                <w:sz w:val="18"/>
                <w:szCs w:val="18"/>
              </w:rPr>
              <w:instrText>ADDIN CSL_CITATION {"citationItems":[{"id":"ITEM-1","itemData":{"DOI":"10.1021/acs.est.9b03273","ISSN":"15205851","PMID":"31381851","abstract":"Distiller's grains are a byproduct of corn ethanol production and provide an opportunity for increasing the economic viability and sustainability of the overall grain-to-fuels process. Typically, these grains are dried and sold as a ruminant feed adjunct. This study considers utilization of the residuals in a novel supplementary fermentation process to produce two products, enriched protein and fusel alcohols. The value-added proposition and environmental impact of this second fermentation step for distiller's grains are evaluated by considering three different processing scenarios. Techno-economic results show the minimum protein selling price, assuming fusel alcohol products are valued at $0.79 per liter gasoline equivalent, ranges between $1.65-$2.48 kg protein-1 for the different cases. Environmental impacts of the systems were evaluated through life cycle assessment. Results show a baseline emission results of 17 g CO2-eq (MJ fuel)-1 for the fuel product and 10.3 kg CO2-eq kg protein-1 for the protein product. Sensitivity to allocation methods show a dramatic impact with results ranging between -8 to 140 g CO2-eq (MJ fuel)-1 for the fuel product and -0.3 to 6.4 kg CO2-eq kg protein-1 for the protein product. The discussion is focused on the potential impact of the technology on corn ethanol production economics and sustainability.","author":[{"dropping-particle":"","family":"Derose","given":"Katherine","non-dropping-particle":"","parse-names":false,"suffix":""},{"dropping-particle":"","family":"Liu","given":"Fang","non-dropping-particle":"","parse-names":false,"suffix":""},{"dropping-particle":"","family":"Davis","given":"Ryan W.","non-dropping-particle":"","parse-names":false,"suffix":""},{"dropping-particle":"","family":"Simmons","given":"Blake A.","non-dropping-particle":"","parse-names":false,"suffix":""},{"dropping-particle":"","family":"Quinn","given":"Jason C.","non-dropping-particle":"","parse-names":false,"suffix":""}],"container-title":"Environmental Science and Technology","id":"ITEM-1","issue":"17","issued":{"date-parts":[["2019"]]},"page":"10525-10533","title":"Conversion of Distiller's Grains to Renewable Fuels and High Value Protein: Integrated Techno-Economic and Life Cycle Assessment","type":"article-journal","volume":"53"},"uris":["http://www.mendeley.com/documents/?uuid=1d3af72c-4ec2-4c70-873f-53d7f64d15da"]}],"mendeley":{"formattedCitation":"(Derose et al., 2019)","manualFormatting":"Derose et al. (2019)","plainTextFormattedCitation":"(Derose et al., 2019)","previouslyFormattedCitation":"&lt;sup&gt;12&lt;/sup&gt;"},"properties":{"noteIndex":0},"schema":"https://github.com/citation-style-language/schema/raw/master/csl-citation.json"}</w:instrText>
            </w:r>
            <w:r w:rsidRPr="00BF29E4">
              <w:rPr>
                <w:sz w:val="18"/>
                <w:szCs w:val="18"/>
              </w:rPr>
              <w:fldChar w:fldCharType="separate"/>
            </w:r>
            <w:r w:rsidRPr="00BF29E4">
              <w:rPr>
                <w:noProof/>
                <w:sz w:val="18"/>
                <w:szCs w:val="18"/>
              </w:rPr>
              <w:t>Derose et al. (</w:t>
            </w:r>
            <w:r w:rsidRPr="008427C7">
              <w:rPr>
                <w:noProof/>
                <w:sz w:val="18"/>
                <w:szCs w:val="18"/>
              </w:rPr>
              <w:t>2019)</w:t>
            </w:r>
            <w:r w:rsidRPr="00BF29E4">
              <w:rPr>
                <w:sz w:val="18"/>
                <w:szCs w:val="18"/>
              </w:rPr>
              <w:fldChar w:fldCharType="end"/>
            </w:r>
          </w:p>
        </w:tc>
        <w:tc>
          <w:tcPr>
            <w:tcW w:w="1417" w:type="dxa"/>
            <w:noWrap/>
            <w:vAlign w:val="center"/>
          </w:tcPr>
          <w:p w14:paraId="78C4C42C" w14:textId="77777777" w:rsidR="00A80ACF" w:rsidRPr="008427C7" w:rsidRDefault="00A80ACF" w:rsidP="00C821FE">
            <w:pPr>
              <w:spacing w:after="0" w:line="240" w:lineRule="auto"/>
              <w:rPr>
                <w:sz w:val="18"/>
                <w:szCs w:val="18"/>
              </w:rPr>
            </w:pPr>
            <w:r w:rsidRPr="008427C7">
              <w:rPr>
                <w:sz w:val="18"/>
                <w:szCs w:val="18"/>
              </w:rPr>
              <w:t>Distiller's Grains</w:t>
            </w:r>
          </w:p>
        </w:tc>
        <w:tc>
          <w:tcPr>
            <w:tcW w:w="3544" w:type="dxa"/>
            <w:noWrap/>
            <w:vAlign w:val="center"/>
          </w:tcPr>
          <w:p w14:paraId="2FA6BB08" w14:textId="77777777" w:rsidR="00A80ACF" w:rsidRPr="008427C7" w:rsidRDefault="00A80ACF" w:rsidP="00C821FE">
            <w:pPr>
              <w:spacing w:after="0" w:line="240" w:lineRule="auto"/>
              <w:rPr>
                <w:sz w:val="18"/>
                <w:szCs w:val="18"/>
              </w:rPr>
            </w:pPr>
            <w:r w:rsidRPr="008427C7">
              <w:rPr>
                <w:sz w:val="18"/>
                <w:szCs w:val="18"/>
              </w:rPr>
              <w:t>corn ethanol and Distiller's grains</w:t>
            </w:r>
          </w:p>
        </w:tc>
        <w:tc>
          <w:tcPr>
            <w:tcW w:w="4961" w:type="dxa"/>
            <w:noWrap/>
            <w:vAlign w:val="center"/>
          </w:tcPr>
          <w:p w14:paraId="2A61DCE0" w14:textId="77777777" w:rsidR="00A80ACF" w:rsidRPr="008427C7" w:rsidRDefault="00A80ACF" w:rsidP="00C821FE">
            <w:pPr>
              <w:spacing w:after="0" w:line="240" w:lineRule="auto"/>
              <w:rPr>
                <w:sz w:val="18"/>
                <w:szCs w:val="18"/>
              </w:rPr>
            </w:pPr>
            <w:r w:rsidRPr="008427C7">
              <w:rPr>
                <w:sz w:val="18"/>
                <w:szCs w:val="18"/>
              </w:rPr>
              <w:t>energy and economic</w:t>
            </w:r>
          </w:p>
        </w:tc>
      </w:tr>
      <w:tr w:rsidR="00B21551" w:rsidRPr="008427C7" w14:paraId="54C58E43" w14:textId="77777777" w:rsidTr="00D32891">
        <w:trPr>
          <w:trHeight w:val="290"/>
        </w:trPr>
        <w:tc>
          <w:tcPr>
            <w:tcW w:w="1135" w:type="dxa"/>
            <w:noWrap/>
            <w:vAlign w:val="center"/>
            <w:hideMark/>
          </w:tcPr>
          <w:p w14:paraId="08CDCDE4" w14:textId="6AFF4161" w:rsidR="00A80ACF" w:rsidRPr="00BF29E4" w:rsidRDefault="00A80ACF"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{"citationItems":[{"id":"ITEM-1","itemData":{"DOI":"10.1016/j.biombioe.2012.03.021","ISSN":"09619534","abstract":"Biofuels could become increasingly important for agriculture; however there is growing concern regarding the possible environmental drawbacks due to the risks of increased inputs during crop cultivation. These risks need to be evaluated in order to assess the best management practices. In this study, a life cycle assessment (LCA) was carried out: (i) to evaluate the environmental impacts of three cropping systems characterized by different external input levels (low S1, medium S2 and high S3) applied to sunflower and maize, both in rotation with wheat, in a Mediterranean region; (ii) to estimate the environmental benefits of the optimization of cropping systems for energy management. Output-input ratio, net energy balance, global warming potential (GWP), eutrophication potential (EP) and acidification potential (AP) were used as LCA impact categories. Data from cropping systems (external input and crop yields) were collected from a long-term experiment carried out in the coastal plain of Tuscany; data regarding fertilizers, machinery and pesticide production were taken from literature. The results obtained showed S1 with the highest output-input ratios and the lowest impact for the selected impact categories. The other cropping systems S2 and S3 showed limited differences between them for all the impact categories evaluated. Fertilizer use and application, irrigation and machinery use caused most of the environmental impacts and energy consumption. The allocation procedure, showing residues as co-products, had a strong influence on the overall efficiency of agricultural systems. © 2012 Elsevier Ltd.","author":[{"dropping-particle":"","family":"Goglio","given":"Pietro","non-dropping-particle":"","parse-names":false,"suffix":""},{"dropping-particle":"","family":"Bonari","given":"Enrico","non-dropping-particle":"","parse-names":false,"suffix":""},{"dropping-particle":"","family":"Mazzoncini","given":"Marco","non-dropping-particle":"","parse-names":false,"suffix":""}],"container-title":"Biomass and Bioenergy","id":"ITEM-1","issue":"6","issued":{"date-parts":[["2012"]]},"page":"33-42","publisher":"Elsevier Ltd","title":"LCA of cropping systems with different external input levels for energetic purposes","type":"article-journal","volume":"42"},"uris":["http://www.mendeley.com/documents/?uuid=edbeddfa-72cc-440d-bb0c-096cd0907430"]}],"mendeley":{"formattedCitation":"(Goglio et al., 2012)","manualFormatting":"Goglio et al. (2012)","plainTextFormattedCitation":"(Goglio et al., 2012)","previouslyFormattedCitation":"&lt;sup&gt;13&lt;/sup&gt;"},"properties":{"noteIndex":0},"schema":"https://github.com/citation-style-language/schema/raw/master/csl-citation.json"}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 xml:space="preserve">Goglio et al. </w:t>
            </w:r>
            <w:r w:rsidRPr="008427C7">
              <w:rPr>
                <w:rFonts w:ascii="Calibri" w:eastAsia="Times New Roman" w:hAnsi="Calibri" w:cs="Calibri"/>
                <w:noProof/>
                <w:color w:val="000000"/>
                <w:sz w:val="18"/>
                <w:szCs w:val="18"/>
                <w:lang w:eastAsia="en-CA"/>
              </w:rPr>
              <w:t>(2012)</w:t>
            </w:r>
            <w:r w:rsidRPr="00BF29E4">
              <w:rPr>
                <w:rFonts w:ascii="Calibri" w:eastAsia="Times New Roman" w:hAnsi="Calibri" w:cs="Calibri"/>
                <w:color w:val="000000"/>
                <w:sz w:val="18"/>
                <w:szCs w:val="18"/>
                <w:lang w:eastAsia="en-CA"/>
              </w:rPr>
              <w:fldChar w:fldCharType="end"/>
            </w:r>
          </w:p>
        </w:tc>
        <w:tc>
          <w:tcPr>
            <w:tcW w:w="1417" w:type="dxa"/>
            <w:noWrap/>
            <w:vAlign w:val="center"/>
            <w:hideMark/>
          </w:tcPr>
          <w:p w14:paraId="5A604ACA"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sunflower and maize, both in rotation with wheat</w:t>
            </w:r>
          </w:p>
        </w:tc>
        <w:tc>
          <w:tcPr>
            <w:tcW w:w="3544" w:type="dxa"/>
            <w:noWrap/>
            <w:vAlign w:val="center"/>
            <w:hideMark/>
          </w:tcPr>
          <w:p w14:paraId="3B22129B"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grain and residues</w:t>
            </w:r>
          </w:p>
        </w:tc>
        <w:tc>
          <w:tcPr>
            <w:tcW w:w="4961" w:type="dxa"/>
            <w:noWrap/>
            <w:vAlign w:val="center"/>
            <w:hideMark/>
          </w:tcPr>
          <w:p w14:paraId="25309B61"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physical (mass) compared to no allocation (all impacts to grain)</w:t>
            </w:r>
          </w:p>
        </w:tc>
      </w:tr>
      <w:tr w:rsidR="00B21551" w:rsidRPr="008427C7" w14:paraId="75CF9450" w14:textId="77777777" w:rsidTr="00D32891">
        <w:trPr>
          <w:trHeight w:val="290"/>
        </w:trPr>
        <w:tc>
          <w:tcPr>
            <w:tcW w:w="1135" w:type="dxa"/>
            <w:noWrap/>
            <w:vAlign w:val="center"/>
            <w:hideMark/>
          </w:tcPr>
          <w:p w14:paraId="39EF78C2" w14:textId="638EDC76" w:rsidR="00A80ACF" w:rsidRPr="00BF29E4" w:rsidRDefault="00A80ACF"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{"citationItems":[{"id":"ITEM-1","itemData":{"DOI":"10.1002/jeq2.20158","ISSN":"15372537","PMID":"33150625","abstract":"In the northern Great Plains (NGP), wheat is the primary grain commodity. There is a need for the NGP to have a detailed analysis of environmental impacts for wheat-based agricultural production systems to better understand regional agroecosystems. This article provides a cradle-to-field gate life cycle assessment (LCA) for NGP dryland wheat (Triticum aestivum L.) production. The environmental impacts for winter wheat production using crop rotation and agricultural intensification are quantified. Fourteen no-till crop rotations ranging in duration from 2 to 6 yr were evaluated and compared using data from a historical 13-yr replicated rotation study (&gt;300 observations). Midpoint LCA categories chosen for this comparison are energy, agricultural land use, climate change potential, freshwater eutrophication, and freshwater ecotoxicity due to their direct links with agricultural management practices. The NGP farmers commonly use a fallow period every other year due to moisture limitations. This specific agricultural practice and allocations within rotations are critical considerations within agricultural LCAs. Two aspects of fallow considerations and a sensitivity analysis were also performed. The allocated midpoint impacts between crops in rotational studies averaged 0.31, 0.79, 0.62, and 0.63 kg CO2 eq. per unit of winter wheat when energy, economic, mass, and cereal unit allocations were used, respectively. Economic analysis of the studied experimental crop was performed; results demonstrated that crop insurance policies improved diversification economics by 20%. Agricultural diversification benefits and burdens were better represented by endpoint damage assessments than by midpoint impact analysis.","author":[{"dropping-particle":"","family":"Shrestha","given":"Prashansa","non-dropping-particle":"","parse-names":false,"suffix":""},{"dropping-particle":"","family":"Karim","given":"Rifat A.","non-dropping-particle":"","parse-names":false,"suffix":""},{"dropping-particle":"","family":"Sieverding","given":"Heidi L.","non-dropping-particle":"","parse-names":false,"suffix":""},{"dropping-particle":"","family":"Archer","given":"David W.","non-dropping-particle":"","parse-names":false,"suffix":""},{"dropping-particle":"","family":"Kumar","given":"Sandeep","non-dropping-particle":"","parse-names":false,"suffix":""},{"dropping-particle":"","family":"Nleya","given":"Thandi","non-dropping-particle":"","parse-names":false,"suffix":""},{"dropping-particle":"","family":"Graham","given":"Christopher J.","non-dropping-particle":"","parse-names":false,"suffix":""},{"dropping-particle":"","family":"Stone","given":"James J.","non-dropping-particle":"","parse-names":false,"suffix":""}],"container-title":"Journal of Environmental Quality","id":"ITEM-1","issue":"6","issued":{"date-parts":[["2020"]]},"page":"1515-1529","title":"Life cycle assessment of wheat production and wheat-based crop rotations","type":"article-journal","volume":"49"},"uris":["http://www.mendeley.com/documents/?uuid=9d5e3b42-a97c-4191-8b7e-4a267d1b8d79"]}],"mendeley":{"formattedCitation":"(Shrestha et al., 2020)","manualFormatting":"Shrestha et al. (2020)","plainTextFormattedCitation":"(Shrestha et al., 2020)","previouslyFormattedCitation":"&lt;sup&gt;14&lt;/sup&gt;"},"properties":{"noteIndex":0},"schema":"https://github.com/citation-style-language/schema/raw/master/csl-citation.json"}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Shrestha et al. (</w:t>
            </w:r>
            <w:r w:rsidRPr="008427C7">
              <w:rPr>
                <w:rFonts w:ascii="Calibri" w:eastAsia="Times New Roman" w:hAnsi="Calibri" w:cs="Calibri"/>
                <w:noProof/>
                <w:color w:val="000000"/>
                <w:sz w:val="18"/>
                <w:szCs w:val="18"/>
                <w:lang w:eastAsia="en-CA"/>
              </w:rPr>
              <w:t>2020)</w:t>
            </w:r>
            <w:r w:rsidRPr="00BF29E4">
              <w:rPr>
                <w:rFonts w:ascii="Calibri" w:eastAsia="Times New Roman" w:hAnsi="Calibri" w:cs="Calibri"/>
                <w:color w:val="000000"/>
                <w:sz w:val="18"/>
                <w:szCs w:val="18"/>
                <w:lang w:eastAsia="en-CA"/>
              </w:rPr>
              <w:fldChar w:fldCharType="end"/>
            </w:r>
          </w:p>
        </w:tc>
        <w:tc>
          <w:tcPr>
            <w:tcW w:w="1417" w:type="dxa"/>
            <w:noWrap/>
            <w:vAlign w:val="center"/>
            <w:hideMark/>
          </w:tcPr>
          <w:p w14:paraId="32F86AD7"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wheat</w:t>
            </w:r>
          </w:p>
        </w:tc>
        <w:tc>
          <w:tcPr>
            <w:tcW w:w="3544" w:type="dxa"/>
            <w:noWrap/>
            <w:vAlign w:val="center"/>
            <w:hideMark/>
          </w:tcPr>
          <w:p w14:paraId="7F279511"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winter wheat main product with all other rotational crops in crop rotation co-products</w:t>
            </w:r>
          </w:p>
        </w:tc>
        <w:tc>
          <w:tcPr>
            <w:tcW w:w="4961" w:type="dxa"/>
            <w:noWrap/>
            <w:vAlign w:val="center"/>
            <w:hideMark/>
          </w:tcPr>
          <w:p w14:paraId="2C8E9AA6" w14:textId="6D1EB025" w:rsidR="00A80ACF" w:rsidRPr="008427C7" w:rsidRDefault="0047386B" w:rsidP="00C821FE">
            <w:pPr>
              <w:spacing w:after="0" w:line="240" w:lineRule="auto"/>
              <w:rPr>
                <w:rFonts w:ascii="Calibri" w:eastAsia="Times New Roman" w:hAnsi="Calibri" w:cs="Calibri"/>
                <w:color w:val="000000"/>
                <w:sz w:val="18"/>
                <w:szCs w:val="18"/>
                <w:lang w:eastAsia="en-CA"/>
              </w:rPr>
            </w:pPr>
            <w:r>
              <w:rPr>
                <w:rFonts w:ascii="Calibri" w:eastAsia="Times New Roman" w:hAnsi="Calibri" w:cs="Calibri"/>
                <w:color w:val="000000"/>
                <w:sz w:val="18"/>
                <w:szCs w:val="18"/>
                <w:lang w:eastAsia="en-CA"/>
              </w:rPr>
              <w:t>energy, economic, mass, Cereal U</w:t>
            </w:r>
            <w:r w:rsidR="00A80ACF" w:rsidRPr="008427C7">
              <w:rPr>
                <w:rFonts w:ascii="Calibri" w:eastAsia="Times New Roman" w:hAnsi="Calibri" w:cs="Calibri"/>
                <w:color w:val="000000"/>
                <w:sz w:val="18"/>
                <w:szCs w:val="18"/>
                <w:lang w:eastAsia="en-CA"/>
              </w:rPr>
              <w:t>nit</w:t>
            </w:r>
          </w:p>
        </w:tc>
      </w:tr>
      <w:tr w:rsidR="00B21551" w:rsidRPr="008427C7" w14:paraId="68286302" w14:textId="77777777" w:rsidTr="00D32891">
        <w:trPr>
          <w:trHeight w:val="290"/>
        </w:trPr>
        <w:tc>
          <w:tcPr>
            <w:tcW w:w="1135" w:type="dxa"/>
            <w:noWrap/>
            <w:vAlign w:val="center"/>
          </w:tcPr>
          <w:p w14:paraId="3779C23D" w14:textId="002CF591" w:rsidR="00A80ACF" w:rsidRPr="00BF29E4" w:rsidRDefault="00A80ACF" w:rsidP="00C821FE">
            <w:pPr>
              <w:spacing w:after="0" w:line="240" w:lineRule="auto"/>
              <w:rPr>
                <w:rFonts w:ascii="Calibri" w:eastAsia="Times New Roman" w:hAnsi="Calibri" w:cs="Calibri"/>
                <w:color w:val="000000"/>
                <w:sz w:val="18"/>
                <w:szCs w:val="18"/>
                <w:lang w:eastAsia="en-CA"/>
              </w:rPr>
            </w:pPr>
            <w:r w:rsidRPr="00BF29E4">
              <w:rPr>
                <w:sz w:val="18"/>
                <w:szCs w:val="18"/>
              </w:rPr>
              <w:fldChar w:fldCharType="begin" w:fldLock="1"/>
            </w:r>
            <w:r w:rsidR="00C27421">
              <w:rPr>
                <w:sz w:val="18"/>
                <w:szCs w:val="18"/>
              </w:rPr>
              <w:instrText>ADDIN CSL_CITATION {"citationItems":[{"id":"ITEM-1","itemData":{"DOI":"10.1002/bbb.1966","ISSN":"19321031","abstract":"Feedstocks from lignocellulosic biomass (LCB) include crop residues and dedicated perennial biomass crops. The latter are often considered superior in terms of climate change mitigation potential. Uncertainty remains over their availability as feedstocks for biomass provision and the net greenhouse gas emissions (GHG) during crop production. Our objective was to assess the optimal land allocation to wheat and Miscanthus in a specific case study located in England, to increase biomass availability, improve the carbon balance (and reduce the consequent GHG emissions), and minimally constrain grain production losses from wheat. Using soil and climate variables for a catchment in east England, biomass yields and direct nitrogen emissions were simulated with validated process-based models. A ‘Field to up-stream factory gate’ life-cycle assessment was conducted to estimate indirect management-related GHG emissions. Results show that feedstock supply from wheat straw can be supplemented beneficially with LCB from Miscanthus grown on selected low-quality soils. In our study, 8% of the less productive arable land area was dedicated to Miscanthus, increasing total LCB provision by about 150%, with a 52% reduction in GHG emission per ton LCB delivered and only a minor effect on wheat grain production (−3%). In conclusion, even without considering the likely carbon sequestration in impoverished soils, agriculture should embrace the opportunities to provide the bioeconomy with LCB from dedicated, perennial crops. © 2019 Society of Chemical Industry and John Wiley &amp; Sons, Ltd.","author":[{"dropping-particle":"","family":"Ni","given":"Yuanzhi","non-dropping-particle":"","parse-names":false,"suffix":""},{"dropping-particle":"","family":"Mwabonje","given":"Onesmus N.","non-dropping-particle":"","parse-names":false,"suffix":""},{"dropping-particle":"","family":"Richter","given":"Goetz M.","non-dropping-particle":"","parse-names":false,"suffix":""},{"dropping-particle":"","family":"Qi","given":"Aiming","non-dropping-particle":"","parse-names":false,"suffix":""},{"dropping-particle":"","family":"Yeung","given":"Kenny","non-dropping-particle":"","parse-names":false,"suffix":""},{"dropping-particle":"","family":"Patel","given":"Martin","non-dropping-particle":"","parse-names":false,"suffix":""},{"dropping-particle":"","family":"Woods","given":"Jeremy","non-dropping-particle":"","parse-names":false,"suffix":""}],"container-title":"Biofuels, Bioproducts and Biorefining","id":"ITEM-1","issue":"3","issued":{"date-parts":[["2019"]]},"page":"568-581","title":"Assessing availability and greenhouse gas emissions of lignocellulosic biomass feedstock supply – case study for a catchment in England","type":"article-journal","volume":"13"},"uris":["http://www.mendeley.com/documents/?uuid=c3e8e048-74ce-48b0-982b-c7e6a26f7b01"]}],"mendeley":{"formattedCitation":"(Ni et al., 2019)","manualFormatting":"Ni et al. (2019)","plainTextFormattedCitation":"(Ni et al., 2019)","previouslyFormattedCitation":"&lt;sup&gt;15&lt;/sup&gt;"},"properties":{"noteIndex":0},"schema":"https://github.com/citation-style-language/schema/raw/master/csl-citation.json"}</w:instrText>
            </w:r>
            <w:r w:rsidRPr="00BF29E4">
              <w:rPr>
                <w:sz w:val="18"/>
                <w:szCs w:val="18"/>
              </w:rPr>
              <w:fldChar w:fldCharType="separate"/>
            </w:r>
            <w:r w:rsidRPr="00BF29E4">
              <w:rPr>
                <w:noProof/>
                <w:sz w:val="18"/>
                <w:szCs w:val="18"/>
              </w:rPr>
              <w:t>Ni et al. (</w:t>
            </w:r>
            <w:r w:rsidRPr="008427C7">
              <w:rPr>
                <w:noProof/>
                <w:sz w:val="18"/>
                <w:szCs w:val="18"/>
              </w:rPr>
              <w:t>2019)</w:t>
            </w:r>
            <w:r w:rsidRPr="00BF29E4">
              <w:rPr>
                <w:sz w:val="18"/>
                <w:szCs w:val="18"/>
              </w:rPr>
              <w:fldChar w:fldCharType="end"/>
            </w:r>
          </w:p>
        </w:tc>
        <w:tc>
          <w:tcPr>
            <w:tcW w:w="1417" w:type="dxa"/>
            <w:noWrap/>
            <w:vAlign w:val="center"/>
          </w:tcPr>
          <w:p w14:paraId="551D7DB1"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sz w:val="18"/>
                <w:szCs w:val="18"/>
              </w:rPr>
              <w:t>wheat</w:t>
            </w:r>
          </w:p>
        </w:tc>
        <w:tc>
          <w:tcPr>
            <w:tcW w:w="3544" w:type="dxa"/>
            <w:noWrap/>
            <w:vAlign w:val="center"/>
          </w:tcPr>
          <w:p w14:paraId="676BDFD7"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sz w:val="18"/>
                <w:szCs w:val="18"/>
              </w:rPr>
              <w:t>wheat grain and straw</w:t>
            </w:r>
          </w:p>
        </w:tc>
        <w:tc>
          <w:tcPr>
            <w:tcW w:w="4961" w:type="dxa"/>
            <w:noWrap/>
            <w:vAlign w:val="center"/>
          </w:tcPr>
          <w:p w14:paraId="30773491"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sz w:val="18"/>
                <w:szCs w:val="18"/>
              </w:rPr>
              <w:t>economic, energy, calorific values</w:t>
            </w:r>
          </w:p>
        </w:tc>
      </w:tr>
      <w:tr w:rsidR="00B21551" w:rsidRPr="008427C7" w14:paraId="22F448D8" w14:textId="77777777" w:rsidTr="00D32891">
        <w:trPr>
          <w:trHeight w:val="290"/>
        </w:trPr>
        <w:tc>
          <w:tcPr>
            <w:tcW w:w="1135" w:type="dxa"/>
            <w:noWrap/>
            <w:vAlign w:val="center"/>
          </w:tcPr>
          <w:p w14:paraId="706B36BD" w14:textId="1954613D" w:rsidR="00A80ACF" w:rsidRPr="00BF29E4" w:rsidRDefault="00A80ACF" w:rsidP="00C821FE">
            <w:pPr>
              <w:spacing w:after="0" w:line="240" w:lineRule="auto"/>
              <w:rPr>
                <w:rFonts w:ascii="Calibri" w:eastAsia="Times New Roman" w:hAnsi="Calibri" w:cs="Calibri"/>
                <w:color w:val="000000"/>
                <w:sz w:val="18"/>
                <w:szCs w:val="18"/>
                <w:lang w:eastAsia="en-CA"/>
              </w:rPr>
            </w:pPr>
            <w:r w:rsidRPr="00BF29E4">
              <w:rPr>
                <w:sz w:val="18"/>
                <w:szCs w:val="18"/>
              </w:rPr>
              <w:fldChar w:fldCharType="begin" w:fldLock="1"/>
            </w:r>
            <w:r w:rsidR="00C27421">
              <w:rPr>
                <w:sz w:val="18"/>
                <w:szCs w:val="18"/>
              </w:rPr>
              <w:instrText>ADDIN CSL_CITATION {"citationItems":[{"id":"ITEM-1","itemData":{"DOI":"10.1016/j.jclepro.2016.10.173","ISBN":"0874404452","ISSN":"09596526","abstract":"This work assessed the environmental impact of cereal straw end-practices at farm gate and highlighted the best on-farm scenario. A sample of cereal farms located in Apulia Region, in Southern Italy, was investigated through a survey questionnaire. Straw incorporation in the soil, straw burning and baling, were the three practices considered. In the light of the ever-growing demand of straw for energy feedstock production, we discussed two scenarios, namely the status quo and the demand pulled scenarios, each one with a different mix of the three straw end-practices. Following farmer's intentions, in the demand pulled scenario a high percentage of straw was baled while reducing straw incorporation; straw burning practice was not eliminated because it allows farmers to prepare the soil for cultivation. Sensitivity analysis tested different wheat and straw allocation methods (economic vs mass and cereal unit allocation). The environmental impact of alternative straw end-practices and scenarios was assessed by means of an attributional Life Cycle Assessment. Straw incorporation resulted the best environmental practice. Scenarios had quite similar impacts for 8 out of 11 impact categories, but the demand pulled scenario was less impacting than the status quo on global warming, human toxicity, and photochemical oxidation impact categories. These results allow us to conclude that the perspective of selling the straw on the local market for energy production is a better solution compared to the current situation.","author":[{"dropping-particle":"","family":"Palmieri","given":"N.","non-dropping-particle":"","parse-names":false,"suffix":""},{"dropping-particle":"","family":"Forleo","given":"M. B.","non-dropping-particle":"","parse-names":false,"suffix":""},{"dropping-particle":"","family":"Giannoccaro","given":"G.","non-dropping-particle":"","parse-names":false,"suffix":""},{"dropping-particle":"","family":"Suardi","given":"A.","non-dropping-particle":"","parse-names":false,"suffix":""}],"container-title":"Journal of Cleaner Production","id":"ITEM-1","issued":{"date-parts":[["2017"]]},"page":"2950-2964","publisher":"Elsevier Ltd","title":"Environmental impact of cereal straw management: An on-farm assessment","type":"article-journal","volume":"142"},"uris":["http://www.mendeley.com/documents/?uuid=d646d4ba-5c9a-4959-9c60-27b8f1a8e86c"]}],"mendeley":{"formattedCitation":"(N. Palmieri et al., 2017)","manualFormatting":"Palmieri et al. (2017)","plainTextFormattedCitation":"(N. Palmieri et al., 2017)","previouslyFormattedCitation":"&lt;sup&gt;16&lt;/sup&gt;"},"properties":{"noteIndex":0},"schema":"https://github.com/citation-style-language/schema/raw/master/csl-citation.json"}</w:instrText>
            </w:r>
            <w:r w:rsidRPr="00BF29E4">
              <w:rPr>
                <w:sz w:val="18"/>
                <w:szCs w:val="18"/>
              </w:rPr>
              <w:fldChar w:fldCharType="separate"/>
            </w:r>
            <w:r w:rsidRPr="00BF29E4">
              <w:rPr>
                <w:noProof/>
                <w:sz w:val="18"/>
                <w:szCs w:val="18"/>
              </w:rPr>
              <w:t xml:space="preserve">Palmieri et al. </w:t>
            </w:r>
            <w:r w:rsidRPr="008427C7">
              <w:rPr>
                <w:noProof/>
                <w:sz w:val="18"/>
                <w:szCs w:val="18"/>
              </w:rPr>
              <w:t>(2017)</w:t>
            </w:r>
            <w:r w:rsidRPr="00BF29E4">
              <w:rPr>
                <w:sz w:val="18"/>
                <w:szCs w:val="18"/>
              </w:rPr>
              <w:fldChar w:fldCharType="end"/>
            </w:r>
          </w:p>
        </w:tc>
        <w:tc>
          <w:tcPr>
            <w:tcW w:w="1417" w:type="dxa"/>
            <w:noWrap/>
            <w:vAlign w:val="center"/>
          </w:tcPr>
          <w:p w14:paraId="5C1FE9E5"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sz w:val="18"/>
                <w:szCs w:val="18"/>
              </w:rPr>
              <w:t>wheat straw</w:t>
            </w:r>
          </w:p>
        </w:tc>
        <w:tc>
          <w:tcPr>
            <w:tcW w:w="3544" w:type="dxa"/>
            <w:noWrap/>
            <w:vAlign w:val="center"/>
          </w:tcPr>
          <w:p w14:paraId="4F5CCC22"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sz w:val="18"/>
                <w:szCs w:val="18"/>
              </w:rPr>
              <w:t>wheat and straw</w:t>
            </w:r>
          </w:p>
        </w:tc>
        <w:tc>
          <w:tcPr>
            <w:tcW w:w="4961" w:type="dxa"/>
            <w:noWrap/>
            <w:vAlign w:val="center"/>
          </w:tcPr>
          <w:p w14:paraId="36101B4E"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sz w:val="18"/>
                <w:szCs w:val="18"/>
              </w:rPr>
              <w:t>economic, mass, cereal unit</w:t>
            </w:r>
          </w:p>
        </w:tc>
      </w:tr>
      <w:tr w:rsidR="00B21551" w:rsidRPr="008427C7" w14:paraId="0D909610" w14:textId="77777777" w:rsidTr="00D32891">
        <w:trPr>
          <w:trHeight w:val="290"/>
        </w:trPr>
        <w:tc>
          <w:tcPr>
            <w:tcW w:w="1135" w:type="dxa"/>
            <w:noWrap/>
            <w:vAlign w:val="center"/>
          </w:tcPr>
          <w:p w14:paraId="109B4137" w14:textId="65454630" w:rsidR="00A80ACF" w:rsidRPr="00BF29E4" w:rsidRDefault="00A80ACF" w:rsidP="00C821FE">
            <w:pPr>
              <w:spacing w:after="0" w:line="240" w:lineRule="auto"/>
              <w:rPr>
                <w:rFonts w:ascii="Calibri" w:eastAsia="Times New Roman" w:hAnsi="Calibri" w:cs="Calibri"/>
                <w:color w:val="000000"/>
                <w:sz w:val="18"/>
                <w:szCs w:val="18"/>
                <w:lang w:eastAsia="en-CA"/>
              </w:rPr>
            </w:pPr>
            <w:r w:rsidRPr="00BF29E4">
              <w:rPr>
                <w:sz w:val="18"/>
                <w:szCs w:val="18"/>
              </w:rPr>
              <w:fldChar w:fldCharType="begin" w:fldLock="1"/>
            </w:r>
            <w:r w:rsidR="00C27421">
              <w:rPr>
                <w:sz w:val="18"/>
                <w:szCs w:val="18"/>
              </w:rPr>
              <w:instrText>ADDIN CSL_CITATION {"citationItems":[{"id":"ITEM-1","itemData":{"DOI":"10.1016/j.jenvman.2019.06.016","ISSN":"10958630","PMID":"31252231","abstract":"In recent years, the need to substitute fossil fuels with renewable biomass has been a key driver in the development of the biorefinery concept. One of the possible routes towards the development of bioproducts under this scheme is through a sugar intermediate. Sugars, such as glucose, can be produced through starch crops, for instance wheat. While there are many environmental assessment studies that consider sugar as a platform for biofuel production, the main focus is on the end product of the value chain (typically bioethanol), but not on sugars as the basic feedstock. Taking the bottom-up perspective as a roadmap, the assessment of technological, economic and environmental barriers in the biorefinery scheme must take into account the sustainability of sugar production with the aim of improving its current framework or finding novel technologies. This study investigates the environmental sustainability of wheat cultivation and grain processing in different European countries by applying the life cycle assessment (LCA) methodology with a cradle to gate approach. Moreover, 1 kg of glucose at the factory gate has been considered as a functional unit for reporting the environmental results. The chosen impact categories are climate change (CC), particular matter (PM), human toxicity (HT), freshwater eutrophication (FE), terrestrial eutrophication (TE), acidification (AC) and abiotic depletion (AD). Mass and economic allocations are evaluated as the processing of grain wheat generates different valuable by-products, namely wheat bran, gluten meal and gluten feed. The results show that agricultural activities play an important role in the environmental impacts, predominantly due to the production of agrochemicals and field emissions derived from fertilisation. In addition, the choice of allocation has a greater environmental influence (both positive or negative) on the by-products than the main product under investigation.","author":[{"dropping-particle":"","family":"Salim","given":"Iana","non-dropping-particle":"","parse-names":false,"suffix":""},{"dropping-particle":"","family":"González-García","given":"Sara","non-dropping-particle":"","parse-names":false,"suffix":""},{"dropping-particle":"","family":"Feijoo","given":"Gumersindo","non-dropping-particle":"","parse-names":false,"suffix":""},{"dropping-particle":"","family":"Moreira","given":"Maria Teresa","non-dropping-particle":"","parse-names":false,"suffix":""}],"container-title":"Journal of Environmental Management","id":"ITEM-1","issue":"Cc","issued":{"date-parts":[["2019"]]},"page":"323-332","title":"Assessing the environmental sustainability of glucose from wheat as a fermentation feedstock","type":"article-journal","volume":"247"},"uris":["http://www.mendeley.com/documents/?uuid=6d3b3e33-aa72-4a4a-aea3-c8a99490136a"]}],"mendeley":{"formattedCitation":"(Salim et al., 2019)","manualFormatting":"Salim et al. (2019)","plainTextFormattedCitation":"(Salim et al., 2019)","previouslyFormattedCitation":"&lt;sup&gt;17&lt;/sup&gt;"},"properties":{"noteIndex":0},"schema":"https://github.com/citation-style-language/schema/raw/master/csl-citation.json"}</w:instrText>
            </w:r>
            <w:r w:rsidRPr="00BF29E4">
              <w:rPr>
                <w:sz w:val="18"/>
                <w:szCs w:val="18"/>
              </w:rPr>
              <w:fldChar w:fldCharType="separate"/>
            </w:r>
            <w:r w:rsidRPr="00BF29E4">
              <w:rPr>
                <w:noProof/>
                <w:sz w:val="18"/>
                <w:szCs w:val="18"/>
              </w:rPr>
              <w:t xml:space="preserve">Salim et al. </w:t>
            </w:r>
            <w:r w:rsidRPr="008427C7">
              <w:rPr>
                <w:noProof/>
                <w:sz w:val="18"/>
                <w:szCs w:val="18"/>
              </w:rPr>
              <w:t>(2019)</w:t>
            </w:r>
            <w:r w:rsidRPr="00BF29E4">
              <w:rPr>
                <w:sz w:val="18"/>
                <w:szCs w:val="18"/>
              </w:rPr>
              <w:fldChar w:fldCharType="end"/>
            </w:r>
          </w:p>
        </w:tc>
        <w:tc>
          <w:tcPr>
            <w:tcW w:w="1417" w:type="dxa"/>
            <w:noWrap/>
            <w:vAlign w:val="center"/>
          </w:tcPr>
          <w:p w14:paraId="2F219E0B"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sz w:val="18"/>
                <w:szCs w:val="18"/>
              </w:rPr>
              <w:t>glucose from wheat</w:t>
            </w:r>
          </w:p>
        </w:tc>
        <w:tc>
          <w:tcPr>
            <w:tcW w:w="3544" w:type="dxa"/>
            <w:noWrap/>
            <w:vAlign w:val="center"/>
          </w:tcPr>
          <w:p w14:paraId="37B8D547"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sz w:val="18"/>
                <w:szCs w:val="18"/>
              </w:rPr>
              <w:t>wheat for glucose and wheat straw; glucose and valuable by-products bran, gluten meal and gluten feed</w:t>
            </w:r>
          </w:p>
        </w:tc>
        <w:tc>
          <w:tcPr>
            <w:tcW w:w="4961" w:type="dxa"/>
            <w:noWrap/>
            <w:vAlign w:val="center"/>
          </w:tcPr>
          <w:p w14:paraId="48DAD0FF"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sz w:val="18"/>
                <w:szCs w:val="18"/>
              </w:rPr>
              <w:t>economic and mass</w:t>
            </w:r>
          </w:p>
        </w:tc>
      </w:tr>
      <w:tr w:rsidR="00B21551" w:rsidRPr="008427C7" w14:paraId="3C0F7D9B" w14:textId="77777777" w:rsidTr="00D32891">
        <w:trPr>
          <w:trHeight w:val="290"/>
        </w:trPr>
        <w:tc>
          <w:tcPr>
            <w:tcW w:w="1135" w:type="dxa"/>
            <w:noWrap/>
            <w:vAlign w:val="center"/>
            <w:hideMark/>
          </w:tcPr>
          <w:p w14:paraId="7ED9ABF7" w14:textId="57F1C1F7" w:rsidR="00A80ACF" w:rsidRPr="00BF29E4" w:rsidRDefault="00A80ACF"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lastRenderedPageBreak/>
              <w:fldChar w:fldCharType="begin" w:fldLock="1"/>
            </w:r>
            <w:r w:rsidR="00C27421">
              <w:rPr>
                <w:rFonts w:ascii="Calibri" w:eastAsia="Times New Roman" w:hAnsi="Calibri" w:cs="Calibri"/>
                <w:color w:val="000000"/>
                <w:sz w:val="18"/>
                <w:szCs w:val="18"/>
                <w:lang w:eastAsia="en-CA"/>
              </w:rPr>
              <w:instrText>ADDIN CSL_CITATION {"citationItems":[{"id":"ITEM-1","itemData":{"DOI":"10.1016/j.jclepro.2019.118376","ISSN":"09596526","abstract":"There is a need to find sustainable alternative protein sources in order to meet the increasing protein demand of the growing population. Legumes such as faba beans are underutilized protein rich sources and can be valorized as hybrid protein ingredient through dry fractionation technologies. Also, cereal side streams can be interesting sources towards multifunctional protein ingredients. The aim of this study was to assess the environmental impacts of the production of oat protein concentrate (OPC) and faba bean protein concentrate (FBC) using life cycle assessment (LCA) methodology and to compare the impact per kg protein to other relevant proteins. The OPC is obtained as a side stream of the beta glucan extraction process, which also produces valuable oat oil, while FBC is the only main product obtained from dehulled faba beans. Average European oat cultivation and faba bean cultivation with low and high yield were modelled. Data for protein concentrates production was from real factories who have suitable facilities, but are not currently producing concentrates commercially. The major hotspot in the carbon footprint of oat protein concentrate comes from energy consumption in processing. For faba bean protein concentrate, energy consumption in processing is lower and cultivation of faba bean is the main hotspot. The carbon footprint of oat protein concentrate is more than 50 percent lower, compared to dairy proteins per kg protein, while the carbon footprint of faba bean concentrate protein is 80–90 percent lower. Compared to legume protein sources, OPC has four times higher impacts. This is mainly due to the lower amount of processing steps needed to reach high protein content concentrates from faba beans resulting mainly from relatively lower level of lipids, which enables more energy-efficient dry separation, and high initial protein content of legumes compared to cereals. Moreover, legume cultivation requires very little nitrogen fertilizers due to symbiotic N2 fixation. This study shows that OPC and FBC have lower carbon footprints than animal protein sources. However, it should be remembered, that the environmental impacts of OPC are very sensitive to the allocation method and allocation basis. In this study economic allocation was used and prices of the different products (OPC, oat oil and beta glucan) play a key role in defining the climate impacts of OPC.","author":[{"dropping-particle":"","family":"Heusala","given":"Hannele","non-dropping-particle":"","parse-names":false,"suffix":""},{"dropping-particle":"","family":"Sinkko","given":"Taija","non-dropping-particle":"","parse-names":false,"suffix":""},{"dropping-particle":"","family":"Sözer","given":"Nesli","non-dropping-particle":"","parse-names":false,"suffix":""},{"dropping-particle":"","family":"Hytönen","given":"Eemeli","non-dropping-particle":"","parse-names":false,"suffix":""},{"dropping-particle":"","family":"Mogensen","given":"Lisbeth","non-dropping-particle":"","parse-names":false,"suffix":""},{"dropping-particle":"","family":"Knudsen","given":"Marie Trydeman","non-dropping-particle":"","parse-names":false,"suffix":""}],"container-title":"Journal of Cleaner Production","id":"ITEM-1","issued":{"date-parts":[["2020"]]},"page":"1-9","title":"Carbon footprint and land use of oat and faba bean protein concentrates using a life cycle assessment approach","type":"article-journal","volume":"242"},"uris":["http://www.mendeley.com/documents/?uuid=6ea2e9cc-24b0-41c9-a6d1-2ff06e5df4b7"]}],"mendeley":{"formattedCitation":"(Heusala et al., 2020b)","manualFormatting":"Heusala et al. (2020)","plainTextFormattedCitation":"(Heusala et al., 2020b)","previouslyFormattedCitation":"&lt;sup&gt;18&lt;/sup&gt;"},"properties":{"noteIndex":0},"schema":"https://github.com/citation-style-language/schema/raw/master/csl-citation.json"}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 xml:space="preserve">Heusala et al. </w:t>
            </w:r>
            <w:r w:rsidRPr="008427C7">
              <w:rPr>
                <w:rFonts w:ascii="Calibri" w:eastAsia="Times New Roman" w:hAnsi="Calibri" w:cs="Calibri"/>
                <w:noProof/>
                <w:color w:val="000000"/>
                <w:sz w:val="18"/>
                <w:szCs w:val="18"/>
                <w:lang w:eastAsia="en-CA"/>
              </w:rPr>
              <w:t>(2020)</w:t>
            </w:r>
            <w:r w:rsidRPr="00BF29E4">
              <w:rPr>
                <w:rFonts w:ascii="Calibri" w:eastAsia="Times New Roman" w:hAnsi="Calibri" w:cs="Calibri"/>
                <w:color w:val="000000"/>
                <w:sz w:val="18"/>
                <w:szCs w:val="18"/>
                <w:lang w:eastAsia="en-CA"/>
              </w:rPr>
              <w:fldChar w:fldCharType="end"/>
            </w:r>
          </w:p>
        </w:tc>
        <w:tc>
          <w:tcPr>
            <w:tcW w:w="1417" w:type="dxa"/>
            <w:noWrap/>
            <w:vAlign w:val="center"/>
            <w:hideMark/>
          </w:tcPr>
          <w:p w14:paraId="7FA71FDB"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oat and faba bean protein concentrates</w:t>
            </w:r>
          </w:p>
        </w:tc>
        <w:tc>
          <w:tcPr>
            <w:tcW w:w="3544" w:type="dxa"/>
            <w:noWrap/>
            <w:vAlign w:val="center"/>
            <w:hideMark/>
          </w:tcPr>
          <w:p w14:paraId="497E21F3"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oat protein concentrate, oat oil, beta glucan</w:t>
            </w:r>
          </w:p>
        </w:tc>
        <w:tc>
          <w:tcPr>
            <w:tcW w:w="4961" w:type="dxa"/>
            <w:noWrap/>
            <w:vAlign w:val="center"/>
            <w:hideMark/>
          </w:tcPr>
          <w:p w14:paraId="06E937D4"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economic</w:t>
            </w:r>
          </w:p>
        </w:tc>
      </w:tr>
      <w:tr w:rsidR="00B21551" w:rsidRPr="008427C7" w14:paraId="7C0BB12B" w14:textId="77777777" w:rsidTr="00D32891">
        <w:trPr>
          <w:trHeight w:val="290"/>
        </w:trPr>
        <w:tc>
          <w:tcPr>
            <w:tcW w:w="1135" w:type="dxa"/>
            <w:noWrap/>
            <w:vAlign w:val="center"/>
          </w:tcPr>
          <w:p w14:paraId="395288FD" w14:textId="3FAAB619" w:rsidR="00A80ACF" w:rsidRPr="00BF29E4" w:rsidRDefault="00A80ACF" w:rsidP="00C821FE">
            <w:pPr>
              <w:spacing w:after="0" w:line="240" w:lineRule="auto"/>
              <w:rPr>
                <w:rFonts w:ascii="Calibri" w:eastAsia="Times New Roman" w:hAnsi="Calibri" w:cs="Calibri"/>
                <w:color w:val="000000"/>
                <w:sz w:val="18"/>
                <w:szCs w:val="18"/>
                <w:lang w:eastAsia="en-CA"/>
              </w:rPr>
            </w:pPr>
            <w:r w:rsidRPr="00BF29E4">
              <w:rPr>
                <w:sz w:val="18"/>
                <w:szCs w:val="18"/>
              </w:rPr>
              <w:fldChar w:fldCharType="begin" w:fldLock="1"/>
            </w:r>
            <w:r w:rsidR="00C27421">
              <w:rPr>
                <w:sz w:val="18"/>
                <w:szCs w:val="18"/>
              </w:rPr>
              <w:instrText>ADDIN CSL_CITATION {"citationItems":[{"id":"ITEM-1","itemData":{"DOI":"10.1016/j.jclepro.2020.122938","ISSN":"09596526","abstract":"There is potential to reduce greenhouse gas emissions by reducing the intake of animal-based proteins. In western countries, the intake of proteins can usually simply be reduced, but substituting even only part of the intake of animal-based proteins with plant-based proteins would also benefit both human health and the environment. The aim of this study was to assess the environmental benefits of using protein-rich side streams from oat beta glucan processing as an ingredient in protein-enriched foods. The environmental impact of food products (bread, pasta, and oatgurt) containing oat protein concentrate (OPC) was assessed using Life Cycle Assessment methodology from cradle-to-processing. The environmental impact was compared with those of regular food products and existing plant protein sources as per kilogram of product (mass) and per kilogram of protein to assess the environmental benefits of novel products. All the ‘high in protein’ versions of foods containing OPC have a nearly equal carbon footprint per kg of protein, and all three products can be used as substitutes for commonly used pasta, bread, and yogurt in the diet. Thus, they all have similar potential to reduce food consumption greenhouse gas emissions. All the foods containing OPC also have very low land use per kg of product compared with the regular products. When products containing OPC are compared with other protein-rich food products, products containing OPC have a smaller carbon footprint per kg of protein compared with animal-based protein sources and a similar footprint with naturally protein-rich plant products like legumes. The potential to reduce the carbon footprint by substituting animal-based protein sources with novel foods containing plant protein concentrates looks promising in the light of these results, as long as the consumption of animal protein sources in the overall diet is reduced at the same time.","author":[{"dropping-particle":"","family":"Heusala","given":"Hannele","non-dropping-particle":"","parse-names":false,"suffix":""},{"dropping-particle":"","family":"Sinkko","given":"Taija","non-dropping-particle":"","parse-names":false,"suffix":""},{"dropping-particle":"","family":"Mogensen","given":"Lisbeth","non-dropping-particle":"","parse-names":false,"suffix":""},{"dropping-particle":"","family":"Knudsen","given":"Marie Trydeman","non-dropping-particle":"","parse-names":false,"suffix":""}],"container-title":"Journal of Cleaner Production","id":"ITEM-1","issued":{"date-parts":[["2020"]]},"page":"122938","publisher":"Elsevier Ltd","title":"Carbon footprint and land use of food products containing oat protein concentrate","type":"article-journal","volume":"276"},"uris":["http://www.mendeley.com/documents/?uuid=5b6f6fae-f1bf-4317-817e-f795694394ae"]}],"mendeley":{"formattedCitation":"(Heusala et al., 2020a)","manualFormatting":"Heusala et al. (2020a)","plainTextFormattedCitation":"(Heusala et al., 2020a)","previouslyFormattedCitation":"&lt;sup&gt;19&lt;/sup&gt;"},"properties":{"noteIndex":0},"schema":"https://github.com/citation-style-language/schema/raw/master/csl-citation.json"}</w:instrText>
            </w:r>
            <w:r w:rsidRPr="00BF29E4">
              <w:rPr>
                <w:sz w:val="18"/>
                <w:szCs w:val="18"/>
              </w:rPr>
              <w:fldChar w:fldCharType="separate"/>
            </w:r>
            <w:r w:rsidRPr="00BF29E4">
              <w:rPr>
                <w:noProof/>
                <w:sz w:val="18"/>
                <w:szCs w:val="18"/>
              </w:rPr>
              <w:t xml:space="preserve">Heusala et al. </w:t>
            </w:r>
            <w:r w:rsidRPr="008427C7">
              <w:rPr>
                <w:noProof/>
                <w:sz w:val="18"/>
                <w:szCs w:val="18"/>
              </w:rPr>
              <w:t>(2020a)</w:t>
            </w:r>
            <w:r w:rsidRPr="00BF29E4">
              <w:rPr>
                <w:sz w:val="18"/>
                <w:szCs w:val="18"/>
              </w:rPr>
              <w:fldChar w:fldCharType="end"/>
            </w:r>
          </w:p>
        </w:tc>
        <w:tc>
          <w:tcPr>
            <w:tcW w:w="1417" w:type="dxa"/>
            <w:noWrap/>
            <w:vAlign w:val="center"/>
          </w:tcPr>
          <w:p w14:paraId="2E5E180B"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sz w:val="18"/>
                <w:szCs w:val="18"/>
              </w:rPr>
              <w:t>foods made with oat protein concentrate</w:t>
            </w:r>
          </w:p>
        </w:tc>
        <w:tc>
          <w:tcPr>
            <w:tcW w:w="3544" w:type="dxa"/>
            <w:noWrap/>
            <w:vAlign w:val="center"/>
          </w:tcPr>
          <w:p w14:paraId="6ACD386F"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sz w:val="18"/>
                <w:szCs w:val="18"/>
              </w:rPr>
              <w:t>oat protein concentrate, oat starch are co-products of beta glucan production, oat oil also produced</w:t>
            </w:r>
          </w:p>
        </w:tc>
        <w:tc>
          <w:tcPr>
            <w:tcW w:w="4961" w:type="dxa"/>
            <w:noWrap/>
            <w:vAlign w:val="center"/>
          </w:tcPr>
          <w:p w14:paraId="5DFADD61"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sz w:val="18"/>
                <w:szCs w:val="18"/>
              </w:rPr>
              <w:t>economic</w:t>
            </w:r>
          </w:p>
        </w:tc>
      </w:tr>
      <w:tr w:rsidR="00B21551" w:rsidRPr="008427C7" w14:paraId="11E35991" w14:textId="77777777" w:rsidTr="00D32891">
        <w:trPr>
          <w:trHeight w:val="290"/>
        </w:trPr>
        <w:tc>
          <w:tcPr>
            <w:tcW w:w="1135" w:type="dxa"/>
            <w:noWrap/>
            <w:vAlign w:val="center"/>
          </w:tcPr>
          <w:p w14:paraId="6798C424" w14:textId="7C56DA8D" w:rsidR="00A80ACF" w:rsidRPr="00BF29E4" w:rsidRDefault="00A80ACF" w:rsidP="00C821FE">
            <w:pPr>
              <w:spacing w:after="0" w:line="240" w:lineRule="auto"/>
              <w:rPr>
                <w:sz w:val="18"/>
                <w:szCs w:val="18"/>
              </w:rPr>
            </w:pPr>
            <w:r w:rsidRPr="00BF29E4">
              <w:rPr>
                <w:sz w:val="18"/>
                <w:szCs w:val="18"/>
              </w:rPr>
              <w:fldChar w:fldCharType="begin" w:fldLock="1"/>
            </w:r>
            <w:r w:rsidR="00C27421">
              <w:rPr>
                <w:sz w:val="18"/>
                <w:szCs w:val="18"/>
              </w:rPr>
              <w:instrText>ADDIN CSL_CITATION {"citationItems":[{"id":"ITEM-1","itemData":{"DOI":"10.1016/j.jclepro.2020.125063","ISSN":"09596526","abstract":"The globally growing demand to produce more food with fewer inputs, less energy, and lower greenhouse gas (GHG) emissions challenges current agricultural practices. Recycled fertilizers made of various side streams and types of biomass have been developed mainly to improve nutrient recycling in food systems. However, the knowledge of the impacts of different recycled fertilizers on GHG emissions and energy use is lacking. There is also a need for developing environmental assessment methods for quantifying the impacts of recycling processes, particularly in terms of choosing reasonable methods for co-product allocation. The aims of this study were to address the above mentioned research gaps by i) assessing energy use and GHG emissions of various recycled fertilizers, ii) comparing the recycled fertilizers with mineral fertilizers, and iii) comparing the impacts of using different co-product allocation methods for the recycled fertilizers. Attributional Life Cycle Assessment (LCA) was used for estimating energy use and GHG emissions of recycled fertilizers, including ammonium sulfate, biogas digestate, and meat and bone meal, using kg of nitrogen in the fertilizers as a functional unit. In addition, the energy use and GHG emissions of oat production when using the recycled and mineral fertilizers were quantified. The data were obtained from field experiments, LCA databases, published literature, and fertilizer companies. The life-cycle energy consumption and GHG emissions of recycled fertilizers were found to be lower than that of mineral fertilizer, but also differences between recycled fertilizer products were notable. The biggest differences between fertilizers occurred in manufacturing and transportation. However, this conclusion is highly sensitive to several decisions, such as data sources and LCA methods used. Handling the raw materials of recycled fertilizers as by-products instead of residues adds burdens from primary production to fertilizers. Also handling the materials as waste increases the impacts due to burdens from the recycling process. Since the raw materials of fertilizers have only little economic value, applying economic allocation results to significantly lower impacts than mass allocation. Consequential LCA studies would be needed to improve the understanding of the wider impacts of recycled fertilizers, e.g. considering the benefits of avoided waste management processes.","author":[{"dropping-particle":"","family":"Kyttä","given":"Venla","non-dropping-particle":"","parse-names":false,"suffix":""},{"dropping-particle":"","family":"Helenius","given":"Juha","non-dropping-particle":"","parse-names":false,"suffix":""},{"dropping-particle":"","family":"Tuomisto","given":"Hanna L.","non-dropping-particle":"","parse-names":false,"suffix":""}],"container-title":"Journal of Cleaner Production","id":"ITEM-1","issued":{"date-parts":[["2021"]]},"title":"Carbon footprint and energy use of recycled fertilizers in arable farming","type":"article-journal","volume":"287"},"uris":["http://www.mendeley.com/documents/?uuid=35eeeb62-7a90-4b40-8247-f04cc68e4207"]}],"mendeley":{"formattedCitation":"(Kyttä et al., 2021a)","manualFormatting":"Kyttä et al. (2021)","plainTextFormattedCitation":"(Kyttä et al., 2021a)","previouslyFormattedCitation":"&lt;sup&gt;20&lt;/sup&gt;"},"properties":{"noteIndex":0},"schema":"https://github.com/citation-style-language/schema/raw/master/csl-citation.json"}</w:instrText>
            </w:r>
            <w:r w:rsidRPr="00BF29E4">
              <w:rPr>
                <w:sz w:val="18"/>
                <w:szCs w:val="18"/>
              </w:rPr>
              <w:fldChar w:fldCharType="separate"/>
            </w:r>
            <w:r w:rsidRPr="00BF29E4">
              <w:rPr>
                <w:noProof/>
                <w:sz w:val="18"/>
                <w:szCs w:val="18"/>
              </w:rPr>
              <w:t xml:space="preserve">Kyttä et al. </w:t>
            </w:r>
            <w:r w:rsidRPr="008427C7">
              <w:rPr>
                <w:noProof/>
                <w:sz w:val="18"/>
                <w:szCs w:val="18"/>
              </w:rPr>
              <w:t>(2021)</w:t>
            </w:r>
            <w:r w:rsidRPr="00BF29E4">
              <w:rPr>
                <w:sz w:val="18"/>
                <w:szCs w:val="18"/>
              </w:rPr>
              <w:fldChar w:fldCharType="end"/>
            </w:r>
          </w:p>
        </w:tc>
        <w:tc>
          <w:tcPr>
            <w:tcW w:w="1417" w:type="dxa"/>
            <w:noWrap/>
            <w:vAlign w:val="center"/>
          </w:tcPr>
          <w:p w14:paraId="6AA98D4A" w14:textId="77777777" w:rsidR="00A80ACF" w:rsidRPr="008427C7" w:rsidRDefault="00A80ACF" w:rsidP="00C821FE">
            <w:pPr>
              <w:spacing w:after="0" w:line="240" w:lineRule="auto"/>
              <w:rPr>
                <w:sz w:val="18"/>
                <w:szCs w:val="18"/>
              </w:rPr>
            </w:pPr>
            <w:r w:rsidRPr="008427C7">
              <w:rPr>
                <w:sz w:val="18"/>
                <w:szCs w:val="18"/>
              </w:rPr>
              <w:t>recycled fertilizers to produce oats</w:t>
            </w:r>
          </w:p>
        </w:tc>
        <w:tc>
          <w:tcPr>
            <w:tcW w:w="3544" w:type="dxa"/>
            <w:noWrap/>
            <w:vAlign w:val="center"/>
          </w:tcPr>
          <w:p w14:paraId="059E4586" w14:textId="77777777" w:rsidR="00A80ACF" w:rsidRPr="008427C7" w:rsidRDefault="00A80ACF" w:rsidP="00C821FE">
            <w:pPr>
              <w:spacing w:after="0" w:line="240" w:lineRule="auto"/>
              <w:rPr>
                <w:sz w:val="18"/>
                <w:szCs w:val="18"/>
              </w:rPr>
            </w:pPr>
            <w:r w:rsidRPr="008427C7">
              <w:rPr>
                <w:sz w:val="18"/>
                <w:szCs w:val="18"/>
              </w:rPr>
              <w:t>fertilizers, tallow, biogas</w:t>
            </w:r>
          </w:p>
        </w:tc>
        <w:tc>
          <w:tcPr>
            <w:tcW w:w="4961" w:type="dxa"/>
            <w:noWrap/>
            <w:vAlign w:val="center"/>
          </w:tcPr>
          <w:p w14:paraId="23DDDFE7" w14:textId="77777777" w:rsidR="00A80ACF" w:rsidRPr="008427C7" w:rsidRDefault="00A80ACF" w:rsidP="00C821FE">
            <w:pPr>
              <w:spacing w:after="0" w:line="240" w:lineRule="auto"/>
              <w:rPr>
                <w:sz w:val="18"/>
                <w:szCs w:val="18"/>
              </w:rPr>
            </w:pPr>
            <w:r w:rsidRPr="008427C7">
              <w:rPr>
                <w:sz w:val="18"/>
                <w:szCs w:val="18"/>
              </w:rPr>
              <w:t>economic</w:t>
            </w:r>
          </w:p>
        </w:tc>
      </w:tr>
      <w:tr w:rsidR="00B21551" w:rsidRPr="008427C7" w14:paraId="64014B0D" w14:textId="77777777" w:rsidTr="00D32891">
        <w:trPr>
          <w:trHeight w:val="290"/>
        </w:trPr>
        <w:tc>
          <w:tcPr>
            <w:tcW w:w="1135" w:type="dxa"/>
            <w:noWrap/>
            <w:vAlign w:val="center"/>
          </w:tcPr>
          <w:p w14:paraId="59EFCF70" w14:textId="679F8763" w:rsidR="00A80ACF" w:rsidRPr="00BF29E4" w:rsidRDefault="00A80ACF" w:rsidP="00C821FE">
            <w:pPr>
              <w:spacing w:after="0" w:line="240" w:lineRule="auto"/>
              <w:rPr>
                <w:rFonts w:ascii="Calibri" w:eastAsia="Times New Roman" w:hAnsi="Calibri" w:cs="Calibri"/>
                <w:color w:val="000000"/>
                <w:sz w:val="18"/>
                <w:szCs w:val="18"/>
                <w:lang w:eastAsia="en-CA"/>
              </w:rPr>
            </w:pPr>
            <w:r w:rsidRPr="00BF29E4">
              <w:rPr>
                <w:sz w:val="18"/>
                <w:szCs w:val="18"/>
              </w:rPr>
              <w:fldChar w:fldCharType="begin" w:fldLock="1"/>
            </w:r>
            <w:r w:rsidR="00C27421">
              <w:rPr>
                <w:sz w:val="18"/>
                <w:szCs w:val="18"/>
              </w:rPr>
              <w:instrText>ADDIN CSL_CITATION {"citationItems":[{"id":"ITEM-1","itemData":{"DOI":"10.1007/s11367-016-1089-6","ISSN":"16147502","abstract":"In the ``Cerrado'' (Brazilian savanna), sunflower comes mostly from a cropping system where its seeding follows soybean harvest. Soybean has a much higher economic value, but this association with sunflower reduces the environmental impacts from both crops by sharing resources. This study performed a life-cycle assessment (LCA) of the soybean-sunflower cropping system, identified its hotspots, and compared its environmental performance with two hypothetical monocultures, in order to corroborate its benefits.","author":[{"dropping-particle":"","family":"Matsuura","given":"Marília I.S.Folegatti","non-dropping-particle":"","parse-names":false,"suffix":""},{"dropping-particle":"","family":"Dias","given":"Fernando R.T.","non-dropping-particle":"","parse-names":false,"suffix":""},{"dropping-particle":"","family":"Picoli","given":"Juliana F.","non-dropping-particle":"","parse-names":false,"suffix":""},{"dropping-particle":"","family":"Lucas","given":"Kássio R.Garcia","non-dropping-particle":"","parse-names":false,"suffix":""},{"dropping-particle":"","family":"Castro","given":"Cesar","non-dropping-particle":"de","parse-names":false,"suffix":""},{"dropping-particle":"","family":"Hirakuri","given":"Marcelo H.","non-dropping-particle":"","parse-names":false,"suffix":""}],"container-title":"International Journal of Life Cycle Assessment","id":"ITEM-1","issue":"4","issued":{"date-parts":[["2017"]]},"page":"492-501","publisher":"The International Journal of Life Cycle Assessment","title":"Life-cycle assessment of the soybean-sunflower production system in the Brazilian Cerrado","type":"article-journal","volume":"22"},"uris":["http://www.mendeley.com/documents/?uuid=c87d6a84-3399-4534-ad97-aea318889635"]}],"mendeley":{"formattedCitation":"(Matsuura et al., 2017)","manualFormatting":"Matsuura et al. (2017)","plainTextFormattedCitation":"(Matsuura et al., 2017)","previouslyFormattedCitation":"&lt;sup&gt;21&lt;/sup&gt;"},"properties":{"noteIndex":0},"schema":"https://github.com/citation-style-language/schema/raw/master/csl-citation.json"}</w:instrText>
            </w:r>
            <w:r w:rsidRPr="00BF29E4">
              <w:rPr>
                <w:sz w:val="18"/>
                <w:szCs w:val="18"/>
              </w:rPr>
              <w:fldChar w:fldCharType="separate"/>
            </w:r>
            <w:r w:rsidRPr="00BF29E4">
              <w:rPr>
                <w:noProof/>
                <w:sz w:val="18"/>
                <w:szCs w:val="18"/>
              </w:rPr>
              <w:t xml:space="preserve">Matsuura et al. </w:t>
            </w:r>
            <w:r w:rsidRPr="008427C7">
              <w:rPr>
                <w:noProof/>
                <w:sz w:val="18"/>
                <w:szCs w:val="18"/>
              </w:rPr>
              <w:t>(2017)</w:t>
            </w:r>
            <w:r w:rsidRPr="00BF29E4">
              <w:rPr>
                <w:sz w:val="18"/>
                <w:szCs w:val="18"/>
              </w:rPr>
              <w:fldChar w:fldCharType="end"/>
            </w:r>
          </w:p>
        </w:tc>
        <w:tc>
          <w:tcPr>
            <w:tcW w:w="1417" w:type="dxa"/>
            <w:noWrap/>
            <w:vAlign w:val="center"/>
          </w:tcPr>
          <w:p w14:paraId="5FF5EBA1"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sz w:val="18"/>
                <w:szCs w:val="18"/>
              </w:rPr>
              <w:t>soybean-sunflower production system</w:t>
            </w:r>
          </w:p>
        </w:tc>
        <w:tc>
          <w:tcPr>
            <w:tcW w:w="3544" w:type="dxa"/>
            <w:noWrap/>
            <w:vAlign w:val="center"/>
          </w:tcPr>
          <w:p w14:paraId="785D6790"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sz w:val="18"/>
                <w:szCs w:val="18"/>
              </w:rPr>
              <w:t>sunflower and soybean</w:t>
            </w:r>
          </w:p>
        </w:tc>
        <w:tc>
          <w:tcPr>
            <w:tcW w:w="4961" w:type="dxa"/>
            <w:noWrap/>
            <w:vAlign w:val="center"/>
          </w:tcPr>
          <w:p w14:paraId="325AE49E"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sz w:val="18"/>
                <w:szCs w:val="18"/>
              </w:rPr>
              <w:t>time of soil occupation, yield, economic</w:t>
            </w:r>
          </w:p>
        </w:tc>
      </w:tr>
      <w:tr w:rsidR="00B21551" w:rsidRPr="008427C7" w14:paraId="5BCBC4AF" w14:textId="77777777" w:rsidTr="00D32891">
        <w:trPr>
          <w:trHeight w:val="290"/>
        </w:trPr>
        <w:tc>
          <w:tcPr>
            <w:tcW w:w="1135" w:type="dxa"/>
            <w:noWrap/>
            <w:vAlign w:val="center"/>
          </w:tcPr>
          <w:p w14:paraId="20A920C5" w14:textId="66E5091D" w:rsidR="00A80ACF" w:rsidRPr="00BF29E4" w:rsidRDefault="00A80ACF" w:rsidP="00C821FE">
            <w:pPr>
              <w:spacing w:after="0" w:line="240" w:lineRule="auto"/>
              <w:rPr>
                <w:rFonts w:ascii="Calibri" w:eastAsia="Times New Roman" w:hAnsi="Calibri" w:cs="Calibri"/>
                <w:color w:val="000000"/>
                <w:sz w:val="18"/>
                <w:szCs w:val="18"/>
                <w:lang w:eastAsia="en-CA"/>
              </w:rPr>
            </w:pPr>
            <w:r w:rsidRPr="00BF29E4">
              <w:rPr>
                <w:sz w:val="18"/>
                <w:szCs w:val="18"/>
              </w:rPr>
              <w:fldChar w:fldCharType="begin" w:fldLock="1"/>
            </w:r>
            <w:r w:rsidR="00C27421">
              <w:rPr>
                <w:sz w:val="18"/>
                <w:szCs w:val="18"/>
              </w:rPr>
              <w:instrText>ADDIN CSL_CITATION {"citationItems":[{"id":"ITEM-1","itemData":{"DOI":"10.3390/su12145699","ISSN":"20711050","abstract":"There is a major international effort to improve the availability of data for life cycle assessment (LCA), as these assessments have become one of the main pillars driving European policy with respect to the sustainable use of resources. However, there is still a lack of data even for Europe. This study presents a cradle-to-farm gate assessment, or LCA, of winter and spring rapeseed produced in the northern European country of Latvia. The LCA model is based on an in-depth and up-to-date agricultural practice used in the region and covers the time span of 2008-2016. An LCA of rapeseed oil produced by cold pressing was carried out. The environmental impact assessment was calculated with the ReCiPe impact assessment method version 1.03, a hierarchical (H) perspective, along with the cumulative energy demand method v1.11. Cultivation of winter rapeseed has a lower environmental impact than cultivation of spring rapeseed due to higher agricultural inputs and higher yield. The greatest impact is on human health. Mineral fertilizers (production and application) and agricultural machinery are responsible for the greatest environmental impact. The results for the mill stage of rapeseed oil demonstrated that the choice of the allocation method has a significant impact on the environmental performance results.","author":[{"dropping-particle":"","family":"Fridrihsone","given":"Anda","non-dropping-particle":"","parse-names":false,"suffix":""},{"dropping-particle":"","family":"Romagnoli","given":"Francesco","non-dropping-particle":"","parse-names":false,"suffix":""},{"dropping-particle":"","family":"Cabulis","given":"Ugis","non-dropping-particle":"","parse-names":false,"suffix":""}],"container-title":"Sustainability (Switzerland)","id":"ITEM-1","issue":"14","issued":{"date-parts":[["2020"]]},"title":"Environmental life cycle assessment of rapeseed and rapeseed oil produced in Northern Europe: A Latvian case study","type":"article-journal","volume":"12"},"uris":["http://www.mendeley.com/documents/?uuid=aa5ca9da-8e98-406c-81f4-2e2ead537144"]}],"mendeley":{"formattedCitation":"(Fridrihsone et al., 2020)","manualFormatting":"Fridrihsone et al. (2020)","plainTextFormattedCitation":"(Fridrihsone et al., 2020)","previouslyFormattedCitation":"&lt;sup&gt;22&lt;/sup&gt;"},"properties":{"noteIndex":0},"schema":"https://github.com/citation-style-language/schema/raw/master/csl-citation.json"}</w:instrText>
            </w:r>
            <w:r w:rsidRPr="00BF29E4">
              <w:rPr>
                <w:sz w:val="18"/>
                <w:szCs w:val="18"/>
              </w:rPr>
              <w:fldChar w:fldCharType="separate"/>
            </w:r>
            <w:r w:rsidRPr="00BF29E4">
              <w:rPr>
                <w:noProof/>
                <w:sz w:val="18"/>
                <w:szCs w:val="18"/>
              </w:rPr>
              <w:t xml:space="preserve">Fridrihsone et al. </w:t>
            </w:r>
            <w:r w:rsidRPr="008427C7">
              <w:rPr>
                <w:noProof/>
                <w:sz w:val="18"/>
                <w:szCs w:val="18"/>
              </w:rPr>
              <w:t>(2020)</w:t>
            </w:r>
            <w:r w:rsidRPr="00BF29E4">
              <w:rPr>
                <w:sz w:val="18"/>
                <w:szCs w:val="18"/>
              </w:rPr>
              <w:fldChar w:fldCharType="end"/>
            </w:r>
          </w:p>
        </w:tc>
        <w:tc>
          <w:tcPr>
            <w:tcW w:w="1417" w:type="dxa"/>
            <w:noWrap/>
            <w:vAlign w:val="center"/>
          </w:tcPr>
          <w:p w14:paraId="135AE063"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sz w:val="18"/>
                <w:szCs w:val="18"/>
              </w:rPr>
              <w:t>rapeseed</w:t>
            </w:r>
          </w:p>
        </w:tc>
        <w:tc>
          <w:tcPr>
            <w:tcW w:w="3544" w:type="dxa"/>
            <w:noWrap/>
            <w:vAlign w:val="center"/>
          </w:tcPr>
          <w:p w14:paraId="205EFFFF"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sz w:val="18"/>
                <w:szCs w:val="18"/>
              </w:rPr>
              <w:t>oil mill stage: rapeseed oil and cake/expeller</w:t>
            </w:r>
          </w:p>
        </w:tc>
        <w:tc>
          <w:tcPr>
            <w:tcW w:w="4961" w:type="dxa"/>
            <w:noWrap/>
            <w:vAlign w:val="center"/>
          </w:tcPr>
          <w:p w14:paraId="778F9ECB"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sz w:val="18"/>
                <w:szCs w:val="18"/>
              </w:rPr>
              <w:t>1) system expansion (protein residues as animal food would offset production of soy meal), 2) mass, 3) energy, 4) economic</w:t>
            </w:r>
          </w:p>
        </w:tc>
      </w:tr>
      <w:tr w:rsidR="00B21551" w:rsidRPr="008427C7" w14:paraId="6BF33344" w14:textId="77777777" w:rsidTr="00D32891">
        <w:trPr>
          <w:trHeight w:val="290"/>
        </w:trPr>
        <w:tc>
          <w:tcPr>
            <w:tcW w:w="1135" w:type="dxa"/>
            <w:noWrap/>
            <w:vAlign w:val="center"/>
            <w:hideMark/>
          </w:tcPr>
          <w:p w14:paraId="33455FFE" w14:textId="574FBF56" w:rsidR="00A80ACF" w:rsidRPr="00BF29E4" w:rsidRDefault="00A80ACF"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{"citationItems":[{"id":"ITEM-1","itemData":{"DOI":"10.1016/j.jclepro.2017.08.109","ISSN":"09596526","abstract":"The present study evaluated the environmental impacts of edible mustard oil production using Life Cycle Assessment (LCA). The study aimed at identification of environmental hotspots and also studying the influence on LCA results due to system variables including oilseed processing scales, extraction methods and allocation choice. The assessment was performed at both midpoint and endpoint levels using ReCiPe method. The LCA results clearly identified the agriculture stage as the hotspot having dominating share in all the environmental impact potentials. Within agriculture stage, the major contribution came from use of electricity, fertilizers production, field emissions, and transport of agriculture inputs. Inclusion of biogenic uptake of CO2 from atmosphere during photosynthesis contributed in net benefits for the climate change potential impact category. In industry subsystem, small scale processing showed to have higher environmental impacts. In comparison to small-scale processing, the environmental impacts of medium and large-scale were reducing by around 4% and 8%, respectively. However in large scale processing, the benefits of high oil extraction, and more efficient use of raw materials and energy were overshadowed by longer transport distances. In the comparison of environmental impacts of extraction methods, full pressing technology (FPT) showed lower impacts than solvent extraction combined with pressing technology (SEPT). Though, the percent difference in average environmental impacts was found statistically significant (P &lt; 0.05). Further, the results were significantly influenced by the method used for allocation of environmental impacts between products and co-products in both agriculture (seed and straw) and industry (oil and cake) subsystems.","author":[{"dropping-particle":"","family":"Khatri","given":"Poonam","non-dropping-particle":"","parse-names":false,"suffix":""},{"dropping-particle":"","family":"Jain","given":"Suresh","non-dropping-particle":"","parse-names":false,"suffix":""},{"dropping-particle":"","family":"Pandey","given":"Suneel","non-dropping-particle":"","parse-names":false,"suffix":""}],"container-title":"Journal of Cleaner Production","id":"ITEM-1","issued":{"date-parts":[["2017"]]},"page":"988-997","publisher":"Elsevier Ltd","title":"A cradle-to-gate assessment of environmental impacts for production of mustard oil using life cycle assessment approach","type":"article-journal","volume":"166"},"uris":["http://www.mendeley.com/documents/?uuid=8b63490b-1bd1-4112-84f8-d3993229f42c"]}],"mendeley":{"formattedCitation":"(Khatri et al., 2017)","manualFormatting":"Khatri et al. (2017)","plainTextFormattedCitation":"(Khatri et al., 2017)","previouslyFormattedCitation":"&lt;sup&gt;23&lt;/sup&gt;"},"properties":{"noteIndex":0},"schema":"https://github.com/citation-style-language/schema/raw/master/csl-citation.json"}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 xml:space="preserve">Khatri et al. </w:t>
            </w:r>
            <w:r w:rsidRPr="008427C7">
              <w:rPr>
                <w:rFonts w:ascii="Calibri" w:eastAsia="Times New Roman" w:hAnsi="Calibri" w:cs="Calibri"/>
                <w:noProof/>
                <w:color w:val="000000"/>
                <w:sz w:val="18"/>
                <w:szCs w:val="18"/>
                <w:lang w:eastAsia="en-CA"/>
              </w:rPr>
              <w:t>(2017)</w:t>
            </w:r>
            <w:r w:rsidRPr="00BF29E4">
              <w:rPr>
                <w:rFonts w:ascii="Calibri" w:eastAsia="Times New Roman" w:hAnsi="Calibri" w:cs="Calibri"/>
                <w:color w:val="000000"/>
                <w:sz w:val="18"/>
                <w:szCs w:val="18"/>
                <w:lang w:eastAsia="en-CA"/>
              </w:rPr>
              <w:fldChar w:fldCharType="end"/>
            </w:r>
          </w:p>
        </w:tc>
        <w:tc>
          <w:tcPr>
            <w:tcW w:w="1417" w:type="dxa"/>
            <w:noWrap/>
            <w:vAlign w:val="center"/>
            <w:hideMark/>
          </w:tcPr>
          <w:p w14:paraId="078054C4"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mustard oil</w:t>
            </w:r>
          </w:p>
        </w:tc>
        <w:tc>
          <w:tcPr>
            <w:tcW w:w="3544" w:type="dxa"/>
            <w:noWrap/>
            <w:vAlign w:val="center"/>
            <w:hideMark/>
          </w:tcPr>
          <w:p w14:paraId="61408D3C"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seed and straw; oil and cake</w:t>
            </w:r>
          </w:p>
        </w:tc>
        <w:tc>
          <w:tcPr>
            <w:tcW w:w="4961" w:type="dxa"/>
            <w:noWrap/>
            <w:vAlign w:val="center"/>
            <w:hideMark/>
          </w:tcPr>
          <w:p w14:paraId="0477332F"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system expansion and economic allocation for agricultural system; economic and mass allocation for industrial system</w:t>
            </w:r>
          </w:p>
        </w:tc>
      </w:tr>
      <w:tr w:rsidR="00B21551" w:rsidRPr="008427C7" w14:paraId="7AE429A9" w14:textId="77777777" w:rsidTr="00D32891">
        <w:trPr>
          <w:trHeight w:val="290"/>
        </w:trPr>
        <w:tc>
          <w:tcPr>
            <w:tcW w:w="1135" w:type="dxa"/>
            <w:noWrap/>
            <w:vAlign w:val="center"/>
            <w:hideMark/>
          </w:tcPr>
          <w:p w14:paraId="6C02A373" w14:textId="4838F9F4" w:rsidR="00A80ACF" w:rsidRPr="00BF29E4" w:rsidRDefault="00A80ACF"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{"citationItems":[{"id":"ITEM-1","itemData":{"DOI":"10.1007/s11367-021-01957-3","ISBN":"0123456789","ISSN":"16147502","abstract":"Purpose: A life cycle assessment was performed for the production of a total mixed ration (TMR) fed to finishing feedlot cattle in California, USA. The goal was to determine the climate change impact of the feed supply chain associated with the production of 1 kg finishing TMR (kg CO2e/kg TMR). A secondary goal was to compare the climate change impact of feed versus finished beef (kg CO2e/kg live weight). Methods: The TMR was based on feeds commonly fed to finishing cattle in California. The Livestock Environmental Assessment and Performance Partnership (LEAP) guidelines were followed for inventory data collection. System boundaries included the production of crops and feed additives, transportation of TMR components, and compound feed production. Data were sourced from national databases and Ecoinvent™ unit process data. Three scenarios were assessed as a result of allocation at the transportation step: Scenario A (100% empty return load); Scenario B (50% empty return load): and Scenario C (0% empty return load). Energy, mass, and economic allocation, and system expansion of dried distillers grain solubles (DDGS) were assessed for sensitivity analysis. Total feedlot emission data from Stackhouse-Lawson et al. (2012) were used to compare to impacts of TMR production. Results: Total emissions were determined to be 0.630 kg CO2e/kg TMR for Scenario A, 0.576 kg CO2e/kg TMR for Scenario B, and 0.521 kg CO2e/kg TMR for Scenario C. Corn production, transportation, and liquid premix production were primary contributors to the life cycle impacts of TMR production. Mass-based allocation of DDGS was found to have the most significant effect on overall impacts of the finishing TMR, with a 42% increase in life cycle emissions compared to other allocation methods. For Scenario A, feed used in Angus feedlot production contributed to 76% of total Angus feedlot emissions. Additionally, feed used in Holstein feedlot production contributed to 58% of total Holstein feedlot emissions. Conclusions and recommendations: The present study demonstrates a need to better assess the feed supply chain of feedlot beef production in order to accurately identify areas that have the most significant impacts on overall emissions. This may aid in minimizing impacts associated with feed production and, by extension, beef production. The present study may also serve to inform future decisions for improvements or alterations of the LEAP guidelines.","author":[{"dropping-particle":"","family":"Werth","given":"Samantha J.","non-dropping-particle":"","parse-names":false,"suffix":""},{"dropping-particle":"","family":"Rocha","given":"Alice S.","non-dropping-particle":"","parse-names":false,"suffix":""},{"dropping-particle":"","family":"Oltjen","given":"James W.","non-dropping-particle":"","parse-names":false,"suffix":""},{"dropping-particle":"","family":"Kebreab","given":"Ermias","non-dropping-particle":"","parse-names":false,"suffix":""},{"dropping-particle":"","family":"Mitloehner","given":"Frank M.","non-dropping-particle":"","parse-names":false,"suffix":""}],"container-title":"International Journal of Life Cycle Assessment","id":"ITEM-1","issue":"9","issued":{"date-parts":[["2021"]]},"page":"1779-1793","publisher":"Springer Berlin Heidelberg","title":"A life cycle assessment of the environmental impacts of cattle feedlot finishing rations","type":"article-journal","volume":"26"},"uris":["http://www.mendeley.com/documents/?uuid=af93f68e-b602-47fd-b153-b2d8786327cc"]}],"mendeley":{"formattedCitation":"(Werth et al., 2021)","manualFormatting":"Werth et al. (2021)","plainTextFormattedCitation":"(Werth et al., 2021)","previouslyFormattedCitation":"&lt;sup&gt;24&lt;/sup&gt;"},"properties":{"noteIndex":0},"schema":"https://github.com/citation-style-language/schema/raw/master/csl-citation.json"}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 xml:space="preserve">Werth et al. </w:t>
            </w:r>
            <w:r w:rsidRPr="008427C7">
              <w:rPr>
                <w:rFonts w:ascii="Calibri" w:eastAsia="Times New Roman" w:hAnsi="Calibri" w:cs="Calibri"/>
                <w:noProof/>
                <w:color w:val="000000"/>
                <w:sz w:val="18"/>
                <w:szCs w:val="18"/>
                <w:lang w:eastAsia="en-CA"/>
              </w:rPr>
              <w:t>(2021)</w:t>
            </w:r>
            <w:r w:rsidRPr="00BF29E4">
              <w:rPr>
                <w:rFonts w:ascii="Calibri" w:eastAsia="Times New Roman" w:hAnsi="Calibri" w:cs="Calibri"/>
                <w:color w:val="000000"/>
                <w:sz w:val="18"/>
                <w:szCs w:val="18"/>
                <w:lang w:eastAsia="en-CA"/>
              </w:rPr>
              <w:fldChar w:fldCharType="end"/>
            </w:r>
          </w:p>
        </w:tc>
        <w:tc>
          <w:tcPr>
            <w:tcW w:w="1417" w:type="dxa"/>
            <w:noWrap/>
            <w:vAlign w:val="center"/>
            <w:hideMark/>
          </w:tcPr>
          <w:p w14:paraId="3C455469"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finishing feed for cattle</w:t>
            </w:r>
          </w:p>
        </w:tc>
        <w:tc>
          <w:tcPr>
            <w:tcW w:w="3544" w:type="dxa"/>
            <w:noWrap/>
            <w:vAlign w:val="center"/>
            <w:hideMark/>
          </w:tcPr>
          <w:p w14:paraId="4AC40DB2"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different transportation scenarios; feed and DDGS</w:t>
            </w:r>
          </w:p>
        </w:tc>
        <w:tc>
          <w:tcPr>
            <w:tcW w:w="4961" w:type="dxa"/>
            <w:noWrap/>
            <w:vAlign w:val="center"/>
            <w:hideMark/>
          </w:tcPr>
          <w:p w14:paraId="5E4E3F6D"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 xml:space="preserve">transportation: 100% empty return load, 50% and 0%; DDGS: energy, mass, economic, system expansion </w:t>
            </w:r>
          </w:p>
        </w:tc>
      </w:tr>
      <w:tr w:rsidR="00B21551" w:rsidRPr="008427C7" w14:paraId="44004BB0" w14:textId="77777777" w:rsidTr="00D32891">
        <w:trPr>
          <w:trHeight w:val="290"/>
        </w:trPr>
        <w:tc>
          <w:tcPr>
            <w:tcW w:w="1135" w:type="dxa"/>
            <w:noWrap/>
            <w:vAlign w:val="center"/>
            <w:hideMark/>
          </w:tcPr>
          <w:p w14:paraId="1E1F3C45" w14:textId="0930096F" w:rsidR="00A80ACF" w:rsidRPr="00BF29E4" w:rsidRDefault="00A80ACF"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{"citationItems":[{"id":"ITEM-1","itemData":{"DOI":"10.1016/j.scitotenv.2019.133841","ISSN":"18791026","PMID":"31422320","abstract":"Today, there is an ongoing debate about the environmental sustainability of the products of organic farming. To compare the performance of conventional and organic farming systems regarding environmental impact and productivity, the comprehensive environmental assessment tool ‘life cycle assessment’ can be used. The lower crop yields attained by organic systems compared to conventional farming systems might, however, outweigh the benefits of the use of more environmental-friendly practices when evaluating the environmental impact per product unit. Although these practices are beneficial for the environment, which is reflected in the delivery of a range of ecosystem services (ES), the focus is traditionally put only on the (harvested) product. Because the agricultural product involves actually a bundle of ES, the impact should be allocated among the whole output of an agricultural system. In this study, we propose an allocation procedure based on the capacity of agricultural systems to deliver ES to divide the environmental impact over all agricultural outputs (i.e. provisioning and other ES). Allocation factors are developed for conventional and organic arable farming systems. Applying these allocation factors, we demonstrate that for about half of the studied food products (including maize, potato), organic farming has clear environmental benefits in terms of resource consumption in comparison to conventional cultivation methods. This allocation approach allows a more complete comparison of the environmental sustainability of organically and conventionally produced food.","author":[{"dropping-particle":"","family":"Boone","given":"Lieselot","non-dropping-particle":"","parse-names":false,"suffix":""},{"dropping-particle":"","family":"Roldán-Ruiz","given":"Isabel","non-dropping-particle":"","parse-names":false,"suffix":""},{"dropping-particle":"","family":"linden","given":"Veerle","non-dropping-particle":"Van","parse-names":false,"suffix":""},{"dropping-particle":"","family":"Muylle","given":"H.","non-dropping-particle":"","parse-names":false,"suffix":""},{"dropping-particle":"","family":"Dewulf","given":"Jo","non-dropping-particle":"","parse-names":false,"suffix":""}],"container-title":"Science of the Total Environment","id":"ITEM-1","issued":{"date-parts":[["2019"]]},"page":"133841","publisher":"Elsevier B.V.","title":"Environmental sustainability of conventional and organic farming: Accounting for ecosystem services in life cycle assessment","type":"article-journal","volume":"695"},"uris":["http://www.mendeley.com/documents/?uuid=a02c497b-1fae-4d22-9cac-08e1c415bc4c"]}],"mendeley":{"formattedCitation":"(Boone et al., 2019)","manualFormatting":"Boone et al. (2019)","plainTextFormattedCitation":"(Boone et al., 2019)","previouslyFormattedCitation":"&lt;sup&gt;25&lt;/sup&gt;"},"properties":{"noteIndex":0},"schema":"https://github.com/citation-style-language/schema/raw/master/csl-citation.json"}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 xml:space="preserve">Boone et al. </w:t>
            </w:r>
            <w:r w:rsidRPr="008427C7">
              <w:rPr>
                <w:rFonts w:ascii="Calibri" w:eastAsia="Times New Roman" w:hAnsi="Calibri" w:cs="Calibri"/>
                <w:noProof/>
                <w:color w:val="000000"/>
                <w:sz w:val="18"/>
                <w:szCs w:val="18"/>
                <w:lang w:eastAsia="en-CA"/>
              </w:rPr>
              <w:t>(2019)</w:t>
            </w:r>
            <w:r w:rsidRPr="00BF29E4">
              <w:rPr>
                <w:rFonts w:ascii="Calibri" w:eastAsia="Times New Roman" w:hAnsi="Calibri" w:cs="Calibri"/>
                <w:color w:val="000000"/>
                <w:sz w:val="18"/>
                <w:szCs w:val="18"/>
                <w:lang w:eastAsia="en-CA"/>
              </w:rPr>
              <w:fldChar w:fldCharType="end"/>
            </w:r>
          </w:p>
        </w:tc>
        <w:tc>
          <w:tcPr>
            <w:tcW w:w="1417" w:type="dxa"/>
            <w:noWrap/>
            <w:vAlign w:val="center"/>
            <w:hideMark/>
          </w:tcPr>
          <w:p w14:paraId="2F57F0EB"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agricultural systems (organic and conventional)</w:t>
            </w:r>
          </w:p>
        </w:tc>
        <w:tc>
          <w:tcPr>
            <w:tcW w:w="3544" w:type="dxa"/>
            <w:noWrap/>
            <w:vAlign w:val="center"/>
            <w:hideMark/>
          </w:tcPr>
          <w:p w14:paraId="5BC236A5"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all crops in system</w:t>
            </w:r>
          </w:p>
        </w:tc>
        <w:tc>
          <w:tcPr>
            <w:tcW w:w="4961" w:type="dxa"/>
            <w:noWrap/>
            <w:vAlign w:val="center"/>
            <w:hideMark/>
          </w:tcPr>
          <w:p w14:paraId="44B73886"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proposed allocation procedure based on capacity to deliver ecosystem services</w:t>
            </w:r>
          </w:p>
        </w:tc>
      </w:tr>
      <w:tr w:rsidR="00B21551" w:rsidRPr="008427C7" w14:paraId="3C5CF2AE" w14:textId="77777777" w:rsidTr="00D32891">
        <w:trPr>
          <w:trHeight w:val="290"/>
        </w:trPr>
        <w:tc>
          <w:tcPr>
            <w:tcW w:w="1135" w:type="dxa"/>
            <w:noWrap/>
            <w:vAlign w:val="center"/>
            <w:hideMark/>
          </w:tcPr>
          <w:p w14:paraId="5A648510" w14:textId="784A9624" w:rsidR="00A80ACF" w:rsidRPr="00BF29E4" w:rsidRDefault="00A80ACF"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{"citationItems":[{"id":"ITEM-1","itemData":{"DOI":"10.1007/s11367-019-01660-4","ISSN":"16147502","abstract":"Purpose: Regional values for prospective soil organic carbon (SOC) change in Australian cropland were derived via state-of-the-art modelling. This paper evaluates the applicability of the results in the context of life cycle assessment (LCA). Methods: Results of soil carbon modelling need to align with LCA requirements in order to be applicable. The following aspects were investigated in more detail: effect of SOC and variability on product carbon footprint results, data symmetry and consistency, attribution of the SOC change to activity and allocation of the SOC change to crops in rotations. Results and discussion: Results show that greenhouse gas (GHG) emissions or removals associated with SOC change even in the absence of recent land use change or land management change can potentially change Australian crop carbon footprints considerably. Over a modelling period of 62 years, the SOC continues to change. In attributional LCA, issues with attribution, allocation and data symmetry of the SOC change values are complex. Without a comprehensive understanding of the causal link between individual crops and pasture in a rotation and the change in SOC, and without a SOC change figure for an appropriate reference baseline, application in attributional LCA is limited to certain types of studies only. In consequential LCA, the data symmetry issues as well as the need for allocation and attribution can be avoided. Conclusions: The SOC change results cannot be allocated to individual crops and are therefore valid only for a full rotation cycle. This means results may be applied in attributional LCA but only in certain contexts. The main applicability is foreseen as a business-as-usual baseline for consequential LCA. A set of SOC change values will be derived for this purpose and made available with accompanying guidance for use and interpretation.","author":[{"dropping-particle":"","family":"Sevenster","given":"Maartje","non-dropping-particle":"","parse-names":false,"suffix":""},{"dropping-particle":"","family":"Luo","given":"Zhongkui","non-dropping-particle":"","parse-names":false,"suffix":""},{"dropping-particle":"","family":"Eady","given":"Sandra","non-dropping-particle":"","parse-names":false,"suffix":""},{"dropping-particle":"","family":"Grant","given":"Tim","non-dropping-particle":"","parse-names":false,"suffix":""}],"container-title":"International Journal of Life Cycle Assessment","id":"ITEM-1","issue":"7","issued":{"date-parts":[["2020"]]},"page":"1231-1241","publisher":"The International Journal of Life Cycle Assessment","title":"Including long-term soil organic carbon changes in life cycle assessment of agricultural products","type":"article-journal","volume":"25"},"uris":["http://www.mendeley.com/documents/?uuid=0ecb9075-6ffd-448b-8332-654bb49ad042"]}],"mendeley":{"formattedCitation":"(Sevenster et al., 2020)","manualFormatting":"Sevenster et al. (2020)","plainTextFormattedCitation":"(Sevenster et al., 2020)","previouslyFormattedCitation":"&lt;sup&gt;26&lt;/sup&gt;"},"properties":{"noteIndex":0},"schema":"https://github.com/citation-style-language/schema/raw/master/csl-citation.json"}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 xml:space="preserve">Sevenster et al. </w:t>
            </w:r>
            <w:r w:rsidRPr="008427C7">
              <w:rPr>
                <w:rFonts w:ascii="Calibri" w:eastAsia="Times New Roman" w:hAnsi="Calibri" w:cs="Calibri"/>
                <w:noProof/>
                <w:color w:val="000000"/>
                <w:sz w:val="18"/>
                <w:szCs w:val="18"/>
                <w:lang w:eastAsia="en-CA"/>
              </w:rPr>
              <w:t>(2020)</w:t>
            </w:r>
            <w:r w:rsidRPr="00BF29E4">
              <w:rPr>
                <w:rFonts w:ascii="Calibri" w:eastAsia="Times New Roman" w:hAnsi="Calibri" w:cs="Calibri"/>
                <w:color w:val="000000"/>
                <w:sz w:val="18"/>
                <w:szCs w:val="18"/>
                <w:lang w:eastAsia="en-CA"/>
              </w:rPr>
              <w:fldChar w:fldCharType="end"/>
            </w:r>
          </w:p>
        </w:tc>
        <w:tc>
          <w:tcPr>
            <w:tcW w:w="1417" w:type="dxa"/>
            <w:noWrap/>
            <w:vAlign w:val="center"/>
            <w:hideMark/>
          </w:tcPr>
          <w:p w14:paraId="5D51A6C1"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crop rotations</w:t>
            </w:r>
          </w:p>
        </w:tc>
        <w:tc>
          <w:tcPr>
            <w:tcW w:w="3544" w:type="dxa"/>
            <w:noWrap/>
            <w:vAlign w:val="center"/>
            <w:hideMark/>
          </w:tcPr>
          <w:p w14:paraId="20772231"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each crop in rotation</w:t>
            </w:r>
          </w:p>
        </w:tc>
        <w:tc>
          <w:tcPr>
            <w:tcW w:w="4961" w:type="dxa"/>
            <w:noWrap/>
            <w:vAlign w:val="center"/>
            <w:hideMark/>
          </w:tcPr>
          <w:p w14:paraId="156770BE"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system expansion recommended, allocation based on time in rotation when not possible</w:t>
            </w:r>
          </w:p>
        </w:tc>
      </w:tr>
      <w:tr w:rsidR="00B21551" w:rsidRPr="008427C7" w14:paraId="067F73D1" w14:textId="77777777" w:rsidTr="00D32891">
        <w:trPr>
          <w:trHeight w:val="290"/>
        </w:trPr>
        <w:tc>
          <w:tcPr>
            <w:tcW w:w="1135" w:type="dxa"/>
            <w:noWrap/>
            <w:vAlign w:val="center"/>
            <w:hideMark/>
          </w:tcPr>
          <w:p w14:paraId="54D6C5E4" w14:textId="53FD8157" w:rsidR="00A80ACF" w:rsidRPr="00BF29E4" w:rsidRDefault="00A80ACF"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{"citationItems":[{"id":"ITEM-1","itemData":{"DOI":"10.1016/j.jclepro.2017.04.124","ISSN":"09596526","abstract":"Increased attention has been paid to extending the use of agricultural life cycle assessment by linking it to bioeconomic models with positive mathematical programming. Previous extension studies might have provided insufficient support to potential users (e.g. policymakers) in finding effective means of operating an agriculture industry in a sustainable manner. This is partly a result of the fact that orthodox positive mathematical programming involves numerous calibration methods that reproduce the original land-area allocation at the reference point, implying that they generate as many simulation results as the number of calibration methods themselves. To have more of an impact, the present study proposed a procedure for using simulation results to determine a calibration method. As an illustration, the proposed procedure was applied to an upland cropping system in Hokkaido, Japan. It was observed that the selected calibration method outperformed the average cost method, the method used most frequently in practice, for the specified dataset. The procedure suggested in the present study proved to be more flexible than previous approaches with respect to the selection process of calibration methods, and it could be regarded as a step toward harmonizing the extended use of life cycle assessment with bioeconomic modelling. Implications for bioeconomic models and agricultural life cycle assessments are then discussed. The present study adds a new analytical method to the existing knowledge on the extended use of life cycle assessment with bioeconomic models.","author":[{"dropping-particle":"","family":"Nakashima","given":"Takahiro","non-dropping-particle":"","parse-names":false,"suffix":""},{"dropping-particle":"","family":"Ishikawa","given":"Shoko","non-dropping-particle":"","parse-names":false,"suffix":""}],"container-title":"Journal of Cleaner Production","id":"ITEM-1","issued":{"date-parts":[["2017"]]},"page":"875-884","publisher":"Elsevier Ltd","title":"Linking life cycle assessment to bioeconomic modelling with positive mathematical programming: An alternative approach to calibration","type":"article-journal","volume":"167"},"uris":["http://www.mendeley.com/documents/?uuid=98cd57ec-e69a-4eb9-a078-1381460456a6"]}],"mendeley":{"formattedCitation":"(Nakashima and Ishikawa, 2017)","manualFormatting":"Nakashima and Ishikawa (2017)","plainTextFormattedCitation":"(Nakashima and Ishikawa, 2017)","previouslyFormattedCitation":"&lt;sup&gt;27&lt;/sup&gt;"},"properties":{"noteIndex":0},"schema":"https://github.com/citation-style-language/schema/raw/master/csl-citation.json"}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 xml:space="preserve">Nakashima and Ishikawa </w:t>
            </w:r>
            <w:r w:rsidRPr="008427C7">
              <w:rPr>
                <w:rFonts w:ascii="Calibri" w:eastAsia="Times New Roman" w:hAnsi="Calibri" w:cs="Calibri"/>
                <w:noProof/>
                <w:color w:val="000000"/>
                <w:sz w:val="18"/>
                <w:szCs w:val="18"/>
                <w:lang w:eastAsia="en-CA"/>
              </w:rPr>
              <w:t>(2017)</w:t>
            </w:r>
            <w:r w:rsidRPr="00BF29E4">
              <w:rPr>
                <w:rFonts w:ascii="Calibri" w:eastAsia="Times New Roman" w:hAnsi="Calibri" w:cs="Calibri"/>
                <w:color w:val="000000"/>
                <w:sz w:val="18"/>
                <w:szCs w:val="18"/>
                <w:lang w:eastAsia="en-CA"/>
              </w:rPr>
              <w:fldChar w:fldCharType="end"/>
            </w:r>
          </w:p>
        </w:tc>
        <w:tc>
          <w:tcPr>
            <w:tcW w:w="1417" w:type="dxa"/>
            <w:noWrap/>
            <w:vAlign w:val="center"/>
            <w:hideMark/>
          </w:tcPr>
          <w:p w14:paraId="4E729D02"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cropping system</w:t>
            </w:r>
          </w:p>
        </w:tc>
        <w:tc>
          <w:tcPr>
            <w:tcW w:w="3544" w:type="dxa"/>
            <w:noWrap/>
            <w:vAlign w:val="center"/>
            <w:hideMark/>
          </w:tcPr>
          <w:p w14:paraId="1DFE461F"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winter wheat, sugar beet, adzuki bean, kidney bean, soybean, potato</w:t>
            </w:r>
          </w:p>
        </w:tc>
        <w:tc>
          <w:tcPr>
            <w:tcW w:w="4961" w:type="dxa"/>
            <w:noWrap/>
            <w:vAlign w:val="center"/>
            <w:hideMark/>
          </w:tcPr>
          <w:p w14:paraId="3ED4D86C"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 xml:space="preserve">land-area allocation </w:t>
            </w:r>
          </w:p>
        </w:tc>
      </w:tr>
      <w:tr w:rsidR="00B21551" w:rsidRPr="008427C7" w14:paraId="03690507" w14:textId="77777777" w:rsidTr="00D32891">
        <w:trPr>
          <w:trHeight w:val="290"/>
        </w:trPr>
        <w:tc>
          <w:tcPr>
            <w:tcW w:w="1135" w:type="dxa"/>
            <w:noWrap/>
            <w:vAlign w:val="center"/>
            <w:hideMark/>
          </w:tcPr>
          <w:p w14:paraId="628ABE77" w14:textId="606EEF0A" w:rsidR="00A80ACF" w:rsidRPr="00BF29E4" w:rsidRDefault="00A80ACF"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{"citationItems":[{"id":"ITEM-1","itemData":{"DOI":"10.1007/s11367-017-1325-8","ISBN":"09483349 (ISSN)","ISSN":"16147502","abstract":"Purpose Life cycle assessment (LCA) is a useful tool for investigating the environmental performance of agricultural products. For many crop-based products, the agricultural production step shows substantial impacts in LCA results. Using the illustrative case of cereal production in Wallonia, Belgium, the study uses sensitivity analyses to explore the parameters to be adjusted in priority when conducting a local LCA for crop production, taking into account uncertainties tied to input and output inventory data and impact characterization factors. Methods The analysis investigated local specificities in the production of eight cereal crops in Wallonia. Cropping systems were modeled according to accounting data from representative farms, including areas, yields, inputs, and machinery. Sensitivity and uncertainty analyses for input parameters and methodological choices were performed. The following parameters were evaluated: the influence of the functional unit (kg, ha, €), the link between yield and LCIA results, the relevance of using up-to-date data for mineral fer-tilizer production, the type of mineral fertilizer, the model for direct field emission calculation, and the allocation rules. Results and discussion We observed that the use of several functional units embracing the multifunctional role of agri-culture enables identifying crops with low impacts per kilo-gram, hectare, and euro at the same time. The cereal produc-tion steps with the greatest impact were mineral fertilizer production (up to 84% of the total impact, depending on crop and impact category) and emissions from the application of mineral (up to 65%) and organic (up to 94%) fertilizers. Sensitive parameters to be adjusted in priority were identified. Despite the high correlation between yield and results, simply extrapolating impacts on the basis of yield seemed mostly inappropriate. Using updated data for mineral fertilizer pro-duction reduced impacts by 6–160%. Shifting models for field emission calculation influenced acidification and eutro-phication by 5–142%. Hypotheses on allocation factors af-fected results by 10–26%. Conclusions and recommendations An LCA for the produc-tion of major Walloon cereals was conducted taking into ac-count local cropping practices and yields. The parameters rel-evant for conducting a regional LCA of crop production were identified and discussed in comparison with generic data and models. As LCA is an iterative process, further improvements would inc…","author":[{"dropping-particle":"","family":"Stappen","given":"Florence","non-dropping-particle":"Van","parse-names":false,"suffix":""},{"dropping-particle":"","family":"Mathot","given":"Michaël","non-dropping-particle":"","parse-names":false,"suffix":""},{"dropping-particle":"","family":"Loriers","given":"Astrid","non-dropping-particle":"","parse-names":false,"suffix":""},{"dropping-particle":"","family":"Delcour","given":"Alice","non-dropping-particle":"","parse-names":false,"suffix":""},{"dropping-particle":"","family":"Stilmant","given":"Didier","non-dropping-particle":"","parse-names":false,"suffix":""},{"dropping-particle":"","family":"Planchon","given":"Viviane","non-dropping-particle":"","parse-names":false,"suffix":""},{"dropping-particle":"","family":"Bodson","given":"Bernard","non-dropping-particle":"","parse-names":false,"suffix":""},{"dropping-particle":"","family":"Léonard","given":"Angélique","non-dropping-particle":"","parse-names":false,"suffix":""},{"dropping-particle":"","family":"Goffart","given":"Jean Pierre","non-dropping-particle":"","parse-names":false,"suffix":""}],"container-title":"International Journal of Life Cycle Assessment","id":"ITEM-1","issue":"2","issued":{"date-parts":[["2018"]]},"page":"225-250","publisher":"The International Journal of Life Cycle Assessment","title":"Sensitive parameters in local agricultural life cycle assessments: the illustrative case of cereal production in Wallonia, Belgium","type":"article-journal","volume":"23"},"uris":["http://www.mendeley.com/documents/?uuid=201c5bab-071f-4440-afe6-a7926570b815"]}],"mendeley":{"formattedCitation":"(Van Stappen et al., 2018)","manualFormatting":"Van Stappen et al. (2018)","plainTextFormattedCitation":"(Van Stappen et al., 2018)","previouslyFormattedCitation":"&lt;sup&gt;28&lt;/sup&gt;"},"properties":{"noteIndex":0},"schema":"https://github.com/citation-style-language/schema/raw/master/csl-citation.json"}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 xml:space="preserve">Van Stappen et al. </w:t>
            </w:r>
            <w:r w:rsidRPr="008427C7">
              <w:rPr>
                <w:rFonts w:ascii="Calibri" w:eastAsia="Times New Roman" w:hAnsi="Calibri" w:cs="Calibri"/>
                <w:noProof/>
                <w:color w:val="000000"/>
                <w:sz w:val="18"/>
                <w:szCs w:val="18"/>
                <w:lang w:eastAsia="en-CA"/>
              </w:rPr>
              <w:t>(2018)</w:t>
            </w:r>
            <w:r w:rsidRPr="00BF29E4">
              <w:rPr>
                <w:rFonts w:ascii="Calibri" w:eastAsia="Times New Roman" w:hAnsi="Calibri" w:cs="Calibri"/>
                <w:color w:val="000000"/>
                <w:sz w:val="18"/>
                <w:szCs w:val="18"/>
                <w:lang w:eastAsia="en-CA"/>
              </w:rPr>
              <w:fldChar w:fldCharType="end"/>
            </w:r>
          </w:p>
        </w:tc>
        <w:tc>
          <w:tcPr>
            <w:tcW w:w="1417" w:type="dxa"/>
            <w:noWrap/>
            <w:vAlign w:val="center"/>
            <w:hideMark/>
          </w:tcPr>
          <w:p w14:paraId="7FB9B524"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eight cereal crops</w:t>
            </w:r>
          </w:p>
        </w:tc>
        <w:tc>
          <w:tcPr>
            <w:tcW w:w="3544" w:type="dxa"/>
            <w:noWrap/>
            <w:vAlign w:val="center"/>
            <w:hideMark/>
          </w:tcPr>
          <w:p w14:paraId="12672516"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cereal for human food and animal litter/feed, straw left on field</w:t>
            </w:r>
          </w:p>
        </w:tc>
        <w:tc>
          <w:tcPr>
            <w:tcW w:w="4961" w:type="dxa"/>
            <w:noWrap/>
            <w:vAlign w:val="center"/>
            <w:hideMark/>
          </w:tcPr>
          <w:p w14:paraId="1A066BFA" w14:textId="77777777" w:rsidR="00A80ACF" w:rsidRPr="008427C7" w:rsidRDefault="00A80ACF"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economic, mass for sensitivity</w:t>
            </w:r>
          </w:p>
        </w:tc>
      </w:tr>
    </w:tbl>
    <w:p w14:paraId="6EF2A1A6" w14:textId="77777777" w:rsidR="00B66375" w:rsidRDefault="00B66375"/>
    <w:p w14:paraId="6D3061C7" w14:textId="094A5C86" w:rsidR="00340E4E" w:rsidRDefault="00340E4E" w:rsidP="00340E4E">
      <w:pPr>
        <w:pStyle w:val="Caption"/>
      </w:pPr>
      <w:r>
        <w:t>Table</w:t>
      </w:r>
      <w:r w:rsidR="00931548">
        <w:t xml:space="preserve"> S2</w:t>
      </w:r>
      <w:r>
        <w:t xml:space="preserve">. </w:t>
      </w:r>
      <w:r w:rsidRPr="009E2E3C">
        <w:t>Allocation methods used in LCA studies of dairy systems.</w:t>
      </w:r>
    </w:p>
    <w:tbl>
      <w:tblPr>
        <w:tblW w:w="1108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1417"/>
        <w:gridCol w:w="3544"/>
        <w:gridCol w:w="4961"/>
      </w:tblGrid>
      <w:tr w:rsidR="00340E4E" w:rsidRPr="008427C7" w14:paraId="18819E1F" w14:textId="77777777" w:rsidTr="00B66375">
        <w:trPr>
          <w:trHeight w:val="290"/>
          <w:tblHeader/>
        </w:trPr>
        <w:tc>
          <w:tcPr>
            <w:tcW w:w="1164" w:type="dxa"/>
            <w:noWrap/>
          </w:tcPr>
          <w:p w14:paraId="7423EE86" w14:textId="77777777" w:rsidR="00340E4E" w:rsidRPr="00BF29E4"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b/>
                <w:bCs/>
                <w:color w:val="000000"/>
                <w:sz w:val="18"/>
                <w:szCs w:val="18"/>
                <w:lang w:eastAsia="en-CA"/>
              </w:rPr>
              <w:t>Citation</w:t>
            </w:r>
          </w:p>
        </w:tc>
        <w:tc>
          <w:tcPr>
            <w:tcW w:w="1417" w:type="dxa"/>
            <w:noWrap/>
          </w:tcPr>
          <w:p w14:paraId="218285CA"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b/>
                <w:bCs/>
                <w:color w:val="000000"/>
                <w:sz w:val="18"/>
                <w:szCs w:val="18"/>
                <w:lang w:eastAsia="en-CA"/>
              </w:rPr>
              <w:t>Product system</w:t>
            </w:r>
          </w:p>
        </w:tc>
        <w:tc>
          <w:tcPr>
            <w:tcW w:w="3544" w:type="dxa"/>
            <w:noWrap/>
          </w:tcPr>
          <w:p w14:paraId="27535AA5" w14:textId="77777777" w:rsidR="00340E4E" w:rsidRPr="00C23BD9" w:rsidRDefault="00340E4E" w:rsidP="00C821FE">
            <w:pPr>
              <w:spacing w:after="0" w:line="240" w:lineRule="auto"/>
              <w:rPr>
                <w:rFonts w:ascii="Calibri" w:eastAsia="Times New Roman" w:hAnsi="Calibri" w:cs="Calibri"/>
                <w:color w:val="000000"/>
                <w:sz w:val="18"/>
                <w:szCs w:val="18"/>
                <w:lang w:eastAsia="en-CA"/>
              </w:rPr>
            </w:pPr>
            <w:r w:rsidRPr="00C23BD9">
              <w:rPr>
                <w:rFonts w:ascii="Calibri" w:eastAsia="Times New Roman" w:hAnsi="Calibri" w:cs="Calibri"/>
                <w:b/>
                <w:bCs/>
                <w:color w:val="000000"/>
                <w:sz w:val="18"/>
                <w:szCs w:val="18"/>
                <w:lang w:eastAsia="en-CA"/>
              </w:rPr>
              <w:t>Co-products allocated between</w:t>
            </w:r>
          </w:p>
        </w:tc>
        <w:tc>
          <w:tcPr>
            <w:tcW w:w="4961" w:type="dxa"/>
            <w:noWrap/>
          </w:tcPr>
          <w:p w14:paraId="43C931A0" w14:textId="77777777" w:rsidR="00340E4E" w:rsidRPr="00C23BD9" w:rsidRDefault="00340E4E" w:rsidP="00C821FE">
            <w:pPr>
              <w:spacing w:after="0" w:line="240" w:lineRule="auto"/>
              <w:rPr>
                <w:rFonts w:ascii="Calibri" w:eastAsia="Times New Roman" w:hAnsi="Calibri" w:cs="Calibri"/>
                <w:color w:val="000000"/>
                <w:sz w:val="18"/>
                <w:szCs w:val="18"/>
                <w:lang w:eastAsia="en-CA"/>
              </w:rPr>
            </w:pPr>
            <w:r w:rsidRPr="00C23BD9">
              <w:rPr>
                <w:rFonts w:ascii="Calibri" w:eastAsia="Times New Roman" w:hAnsi="Calibri" w:cs="Calibri"/>
                <w:b/>
                <w:bCs/>
                <w:color w:val="000000"/>
                <w:sz w:val="18"/>
                <w:szCs w:val="18"/>
                <w:lang w:eastAsia="en-CA"/>
              </w:rPr>
              <w:t>Method of allocation</w:t>
            </w:r>
          </w:p>
        </w:tc>
      </w:tr>
      <w:tr w:rsidR="00340E4E" w:rsidRPr="008427C7" w14:paraId="1F476F3B" w14:textId="77777777" w:rsidTr="00DA1C73">
        <w:trPr>
          <w:trHeight w:val="290"/>
        </w:trPr>
        <w:tc>
          <w:tcPr>
            <w:tcW w:w="1164" w:type="dxa"/>
            <w:noWrap/>
            <w:vAlign w:val="center"/>
            <w:hideMark/>
          </w:tcPr>
          <w:p w14:paraId="3F9BBA51" w14:textId="51FC1D14"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10.1007/s11367-021-02019-4","ISBN":"0123456789","ISSN":"0948-3349","author":[{"dropping-particle":"","family":"Kyttä","given":"Venla","non-dropping-particle":"","parse-names":false,"suffix":""},{"dropping-particle":"","family":"Roitto","given":"Marja","non-dropping-particle":"","parse-names":false,"suffix":""},{"dropping-particle":"","family":"Astaptsev","given":"Aleksi","non-dropping-particle":"","parse-names":false,"suffix":""},{"dropping-particle":"","family":"Saarinen","given":"Merja","non-dropping-particle":"","parse-names":false,"suffix":""},{"dropping-particle":"","family":"Tuomisto","given":"Hanna L.","non-dropping-particle":"","parse-names":false,"suffix":""}],"container-title":"The International Journal of Life Cycle Assessment","id":"ITEM-1","issue":"0123456789","issued":{"date-parts":[["2021"]]},"publisher":"Springer Berlin Heidelberg","title":"Review and expert survey of allocation methods used in life cycle assessment of milk and beef","type":"article-journal"},"uris":["http://www.mendeley.com/documents/?uuid=20776638-2ca5-4087-ac82-af984fc0eacb"]}],"mendeley":{"formattedCitation":"(Kyttä et al., 2021b)","manualFormatting":"Kyttä et al. (2021b)","plainTextFormattedCitation":"(Kyttä et al., 2021b)","previouslyFormattedCitation":"&lt;sup&gt;29&lt;/sup&gt;"},"properties":{"noteIndex":0},"schema":"https://github.com/citation-style-language/schema/raw/master/csl-citation.json"}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 xml:space="preserve">Kyttä et al. </w:t>
            </w:r>
            <w:r w:rsidRPr="008427C7">
              <w:rPr>
                <w:rFonts w:ascii="Calibri" w:eastAsia="Times New Roman" w:hAnsi="Calibri" w:cs="Calibri"/>
                <w:noProof/>
                <w:color w:val="000000"/>
                <w:sz w:val="18"/>
                <w:szCs w:val="18"/>
                <w:lang w:eastAsia="en-CA"/>
              </w:rPr>
              <w:t>(2021b)</w:t>
            </w:r>
            <w:r w:rsidRPr="00BF29E4">
              <w:rPr>
                <w:rFonts w:ascii="Calibri" w:eastAsia="Times New Roman" w:hAnsi="Calibri" w:cs="Calibri"/>
                <w:color w:val="000000"/>
                <w:sz w:val="18"/>
                <w:szCs w:val="18"/>
                <w:lang w:eastAsia="en-CA"/>
              </w:rPr>
              <w:fldChar w:fldCharType="end"/>
            </w:r>
          </w:p>
        </w:tc>
        <w:tc>
          <w:tcPr>
            <w:tcW w:w="1417" w:type="dxa"/>
            <w:noWrap/>
            <w:vAlign w:val="center"/>
            <w:hideMark/>
          </w:tcPr>
          <w:p w14:paraId="544791F6"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review of dairy studies</w:t>
            </w:r>
          </w:p>
        </w:tc>
        <w:tc>
          <w:tcPr>
            <w:tcW w:w="3544" w:type="dxa"/>
            <w:noWrap/>
            <w:vAlign w:val="center"/>
            <w:hideMark/>
          </w:tcPr>
          <w:p w14:paraId="58B770B8" w14:textId="77777777" w:rsidR="00340E4E" w:rsidRPr="008119C5" w:rsidRDefault="00340E4E" w:rsidP="00C821FE">
            <w:pPr>
              <w:spacing w:after="0" w:line="240" w:lineRule="auto"/>
              <w:rPr>
                <w:rFonts w:ascii="Calibri" w:eastAsia="Times New Roman" w:hAnsi="Calibri" w:cs="Calibri"/>
                <w:color w:val="000000"/>
                <w:sz w:val="18"/>
                <w:szCs w:val="18"/>
                <w:lang w:eastAsia="en-CA"/>
              </w:rPr>
            </w:pPr>
            <w:r w:rsidRPr="008119C5">
              <w:rPr>
                <w:rFonts w:ascii="Calibri" w:eastAsia="Times New Roman" w:hAnsi="Calibri" w:cs="Calibri"/>
                <w:color w:val="000000"/>
                <w:sz w:val="18"/>
                <w:szCs w:val="18"/>
                <w:lang w:eastAsia="en-CA"/>
              </w:rPr>
              <w:t>milk, meat, beef and dairy by-products e.g. fertilizers, bioenergy, hides, pet foods</w:t>
            </w:r>
          </w:p>
        </w:tc>
        <w:tc>
          <w:tcPr>
            <w:tcW w:w="4961" w:type="dxa"/>
            <w:noWrap/>
            <w:vAlign w:val="center"/>
            <w:hideMark/>
          </w:tcPr>
          <w:p w14:paraId="090D975E" w14:textId="77777777" w:rsidR="00931548" w:rsidRPr="00C23BD9" w:rsidRDefault="00931548" w:rsidP="00931548">
            <w:pPr>
              <w:spacing w:after="0" w:line="240" w:lineRule="auto"/>
              <w:rPr>
                <w:rFonts w:ascii="Calibri" w:eastAsia="Times New Roman" w:hAnsi="Calibri" w:cs="Calibri"/>
                <w:color w:val="000000"/>
                <w:sz w:val="18"/>
                <w:szCs w:val="18"/>
                <w:lang w:eastAsia="en-CA"/>
              </w:rPr>
            </w:pPr>
            <w:r w:rsidRPr="00C23BD9">
              <w:rPr>
                <w:rFonts w:ascii="Calibri" w:eastAsia="Times New Roman" w:hAnsi="Calibri" w:cs="Calibri"/>
                <w:color w:val="000000"/>
                <w:sz w:val="18"/>
                <w:szCs w:val="18"/>
                <w:lang w:eastAsia="en-CA"/>
              </w:rPr>
              <w:t>In order of frequency in the literature:</w:t>
            </w:r>
            <w:r w:rsidR="00340E4E" w:rsidRPr="00C23BD9">
              <w:rPr>
                <w:rFonts w:ascii="Calibri" w:eastAsia="Times New Roman" w:hAnsi="Calibri" w:cs="Calibri"/>
                <w:color w:val="000000"/>
                <w:sz w:val="18"/>
                <w:szCs w:val="18"/>
                <w:lang w:eastAsia="en-CA"/>
              </w:rPr>
              <w:t xml:space="preserve"> biophysical for milk and meat; economic; system expansion </w:t>
            </w:r>
          </w:p>
          <w:p w14:paraId="106C2155" w14:textId="070C971B" w:rsidR="00340E4E" w:rsidRPr="00C23BD9" w:rsidRDefault="00340E4E" w:rsidP="00931548">
            <w:pPr>
              <w:spacing w:after="0" w:line="240" w:lineRule="auto"/>
              <w:rPr>
                <w:rFonts w:ascii="Calibri" w:eastAsia="Times New Roman" w:hAnsi="Calibri" w:cs="Calibri"/>
                <w:color w:val="000000"/>
                <w:sz w:val="18"/>
                <w:szCs w:val="18"/>
                <w:lang w:eastAsia="en-CA"/>
              </w:rPr>
            </w:pPr>
            <w:r w:rsidRPr="00C23BD9">
              <w:rPr>
                <w:rFonts w:ascii="Calibri" w:eastAsia="Times New Roman" w:hAnsi="Calibri" w:cs="Calibri"/>
                <w:color w:val="000000"/>
                <w:sz w:val="18"/>
                <w:szCs w:val="18"/>
                <w:lang w:eastAsia="en-CA"/>
              </w:rPr>
              <w:t xml:space="preserve">manure handled as a </w:t>
            </w:r>
            <w:r w:rsidR="00931548" w:rsidRPr="00C23BD9">
              <w:rPr>
                <w:rFonts w:ascii="Calibri" w:eastAsia="Times New Roman" w:hAnsi="Calibri" w:cs="Calibri"/>
                <w:color w:val="000000"/>
                <w:sz w:val="18"/>
                <w:szCs w:val="18"/>
                <w:lang w:eastAsia="en-CA"/>
              </w:rPr>
              <w:t>co-product</w:t>
            </w:r>
            <w:r w:rsidRPr="00C23BD9">
              <w:rPr>
                <w:rFonts w:ascii="Calibri" w:eastAsia="Times New Roman" w:hAnsi="Calibri" w:cs="Calibri"/>
                <w:color w:val="000000"/>
                <w:sz w:val="18"/>
                <w:szCs w:val="18"/>
                <w:lang w:eastAsia="en-CA"/>
              </w:rPr>
              <w:t xml:space="preserve"> in 18 studies, 12 of which applied economic allocation and 6 </w:t>
            </w:r>
            <w:proofErr w:type="gramStart"/>
            <w:r w:rsidRPr="00C23BD9">
              <w:rPr>
                <w:rFonts w:ascii="Calibri" w:eastAsia="Times New Roman" w:hAnsi="Calibri" w:cs="Calibri"/>
                <w:color w:val="000000"/>
                <w:sz w:val="18"/>
                <w:szCs w:val="18"/>
                <w:lang w:eastAsia="en-CA"/>
              </w:rPr>
              <w:t>substitution</w:t>
            </w:r>
            <w:proofErr w:type="gramEnd"/>
          </w:p>
        </w:tc>
      </w:tr>
      <w:tr w:rsidR="00340E4E" w:rsidRPr="008427C7" w14:paraId="47A18EE9" w14:textId="77777777" w:rsidTr="00DA1C73">
        <w:trPr>
          <w:trHeight w:val="290"/>
        </w:trPr>
        <w:tc>
          <w:tcPr>
            <w:tcW w:w="1164" w:type="dxa"/>
            <w:noWrap/>
            <w:vAlign w:val="center"/>
          </w:tcPr>
          <w:p w14:paraId="1282EA80" w14:textId="0DC3ED79" w:rsidR="00340E4E" w:rsidRPr="00BF29E4" w:rsidRDefault="00340E4E" w:rsidP="00C821FE">
            <w:pPr>
              <w:spacing w:after="0" w:line="240" w:lineRule="auto"/>
              <w:rPr>
                <w:sz w:val="18"/>
                <w:szCs w:val="18"/>
              </w:rPr>
            </w:pPr>
            <w:r w:rsidRPr="00BF29E4">
              <w:rPr>
                <w:sz w:val="18"/>
                <w:szCs w:val="18"/>
              </w:rPr>
              <w:fldChar w:fldCharType="begin" w:fldLock="1"/>
            </w:r>
            <w:r w:rsidR="00C27421">
              <w:rPr>
                <w:sz w:val="18"/>
                <w:szCs w:val="18"/>
              </w:rPr>
              <w:instrText>ADDIN CSL_CITATION {"citationItems":[{"id":"ITEM-1","itemData":{"DOI":"10.1016/j.jclepro.2016.06.078","ISSN":"09596526","abstract":"Life Cycle Assessment (LCA) is one of the key tools for the evaluation of the environmental sustainability of the agricultural sector. LCA related to milk production has gained attention in recent years, but the results are often discordant and conditioned by the practitioners’ choices. This has made it difficult to clearly identify the most environmentally friendly way to produce milk. In the present paper, 44 milk LCA studies published after 2009 are reviewed, in order to evaluate the level of harmonization and comparability of methods and results, and to discuss emerging issues and hot topics that would be worth further investigation. Furthermore, the effects that the choice of functional unit and allocation rule could have on the results were statistically analyzed. The understanding of the current research direction of milk-LCA studies is useful to promote a more responsible and sustainable livestock production in the perspective of increasing animal protein demand. This review highlighted the difficulties encountered in comparing milk LCA studies, underlining the importance of practitioners’ choices in determining the results. Harmonization among LCA studies applied to the milk sector still represents a goal to be achieved. It appeared that future LCAs should investigate a broad range of impact categories, including biodiversity and water consumption; define one or more common functional units; improve transparency, giving a detailed description of system boundaries and reporting the method used for impact calculation; and systematically conduct a sensitivity analysis for a better understanding of the effects of the choices of method.","author":[{"dropping-particle":"","family":"Baldini","given":"Cecilia","non-dropping-particle":"","parse-names":false,"suffix":""},{"dropping-particle":"","family":"Gardoni","given":"Davide","non-dropping-particle":"","parse-names":false,"suffix":""},{"dropping-particle":"","family":"Guarino","given":"Marcella","non-dropping-particle":"","parse-names":false,"suffix":""}],"container-title":"Journal of Cleaner Production","id":"ITEM-1","issued":{"date-parts":[["2017"]]},"page":"421-435","publisher":"Elsevier Ltd","title":"A critical review of the recent evolution of Life Cycle Assessment applied to milk production","type":"article-journal","volume":"140"},"uris":["http://www.mendeley.com/documents/?uuid=b83d6c7d-e088-400f-884e-43afc264c5d8"]}],"mendeley":{"formattedCitation":"(Baldini et al., 2017)","manualFormatting":"Baldini et al. (2017)","plainTextFormattedCitation":"(Baldini et al., 2017)","previouslyFormattedCitation":"&lt;sup&gt;30&lt;/sup&gt;"},"properties":{"noteIndex":0},"schema":"https://github.com/citation-style-language/schema/raw/master/csl-citation.json"}</w:instrText>
            </w:r>
            <w:r w:rsidRPr="00BF29E4">
              <w:rPr>
                <w:sz w:val="18"/>
                <w:szCs w:val="18"/>
              </w:rPr>
              <w:fldChar w:fldCharType="separate"/>
            </w:r>
            <w:r w:rsidRPr="00BF29E4">
              <w:rPr>
                <w:noProof/>
                <w:sz w:val="18"/>
                <w:szCs w:val="18"/>
              </w:rPr>
              <w:t xml:space="preserve">Baldini et al. </w:t>
            </w:r>
            <w:r w:rsidRPr="008427C7">
              <w:rPr>
                <w:noProof/>
                <w:sz w:val="18"/>
                <w:szCs w:val="18"/>
              </w:rPr>
              <w:t>(2017)</w:t>
            </w:r>
            <w:r w:rsidRPr="00BF29E4">
              <w:rPr>
                <w:sz w:val="18"/>
                <w:szCs w:val="18"/>
              </w:rPr>
              <w:fldChar w:fldCharType="end"/>
            </w:r>
          </w:p>
        </w:tc>
        <w:tc>
          <w:tcPr>
            <w:tcW w:w="1417" w:type="dxa"/>
            <w:noWrap/>
            <w:vAlign w:val="center"/>
          </w:tcPr>
          <w:p w14:paraId="436AEF97" w14:textId="77777777" w:rsidR="00340E4E" w:rsidRPr="008427C7" w:rsidRDefault="00340E4E" w:rsidP="00C821FE">
            <w:pPr>
              <w:spacing w:after="0" w:line="240" w:lineRule="auto"/>
              <w:rPr>
                <w:sz w:val="18"/>
                <w:szCs w:val="18"/>
              </w:rPr>
            </w:pPr>
            <w:r w:rsidRPr="008427C7">
              <w:rPr>
                <w:sz w:val="18"/>
                <w:szCs w:val="18"/>
              </w:rPr>
              <w:t>review of milk studies</w:t>
            </w:r>
          </w:p>
        </w:tc>
        <w:tc>
          <w:tcPr>
            <w:tcW w:w="3544" w:type="dxa"/>
            <w:noWrap/>
            <w:vAlign w:val="center"/>
          </w:tcPr>
          <w:p w14:paraId="78764B72" w14:textId="77777777" w:rsidR="00340E4E" w:rsidRPr="008119C5" w:rsidRDefault="00340E4E" w:rsidP="00C821FE">
            <w:pPr>
              <w:spacing w:after="0" w:line="240" w:lineRule="auto"/>
              <w:rPr>
                <w:sz w:val="18"/>
                <w:szCs w:val="18"/>
              </w:rPr>
            </w:pPr>
            <w:r w:rsidRPr="008119C5">
              <w:rPr>
                <w:sz w:val="18"/>
                <w:szCs w:val="18"/>
              </w:rPr>
              <w:t>meat, energy from biogas, manure as common co-products of milk production</w:t>
            </w:r>
          </w:p>
        </w:tc>
        <w:tc>
          <w:tcPr>
            <w:tcW w:w="4961" w:type="dxa"/>
            <w:noWrap/>
            <w:vAlign w:val="center"/>
          </w:tcPr>
          <w:p w14:paraId="6D393B37" w14:textId="77777777" w:rsidR="00340E4E" w:rsidRPr="00C23BD9" w:rsidRDefault="00340E4E" w:rsidP="00C821FE">
            <w:pPr>
              <w:spacing w:after="0" w:line="240" w:lineRule="auto"/>
              <w:rPr>
                <w:sz w:val="18"/>
                <w:szCs w:val="18"/>
              </w:rPr>
            </w:pPr>
            <w:r w:rsidRPr="00C23BD9">
              <w:rPr>
                <w:sz w:val="18"/>
                <w:szCs w:val="18"/>
              </w:rPr>
              <w:t xml:space="preserve">IDF 2010 recommends biological method based on feed energy utilization, FAO 2010 proposed protein content. Most authors chose economic value (15 studies), then biological (7), 6 allocated all to milk, 3 mass, 2 protein, 2 system expansion, and 4 </w:t>
            </w:r>
            <w:proofErr w:type="gramStart"/>
            <w:r w:rsidRPr="00C23BD9">
              <w:rPr>
                <w:sz w:val="18"/>
                <w:szCs w:val="18"/>
              </w:rPr>
              <w:t>other</w:t>
            </w:r>
            <w:proofErr w:type="gramEnd"/>
            <w:r w:rsidRPr="00C23BD9">
              <w:rPr>
                <w:sz w:val="18"/>
                <w:szCs w:val="18"/>
              </w:rPr>
              <w:t>.</w:t>
            </w:r>
          </w:p>
        </w:tc>
      </w:tr>
      <w:tr w:rsidR="00340E4E" w:rsidRPr="008427C7" w14:paraId="53690EAF" w14:textId="77777777" w:rsidTr="00DA1C73">
        <w:trPr>
          <w:trHeight w:val="290"/>
        </w:trPr>
        <w:tc>
          <w:tcPr>
            <w:tcW w:w="1164" w:type="dxa"/>
            <w:noWrap/>
            <w:vAlign w:val="center"/>
          </w:tcPr>
          <w:p w14:paraId="1BF46A12" w14:textId="64AFC888" w:rsidR="00340E4E" w:rsidRPr="00BF29E4" w:rsidRDefault="00340E4E" w:rsidP="00C821FE">
            <w:pPr>
              <w:spacing w:after="0" w:line="240" w:lineRule="auto"/>
              <w:rPr>
                <w:sz w:val="18"/>
                <w:szCs w:val="18"/>
              </w:rPr>
            </w:pPr>
            <w:r w:rsidRPr="00BF29E4">
              <w:rPr>
                <w:sz w:val="18"/>
                <w:szCs w:val="18"/>
              </w:rPr>
              <w:fldChar w:fldCharType="begin" w:fldLock="1"/>
            </w:r>
            <w:r w:rsidR="00C27421">
              <w:rPr>
                <w:sz w:val="18"/>
                <w:szCs w:val="18"/>
              </w:rPr>
              <w:instrText>ADDIN CSL_CITATION {"citationItems":[{"id":"ITEM-1","itemData":{"DOI":"10.1071/AN15586","ISSN":"18365787","abstract":"Smallholder dairying in India and other developing countries relies on low- and medium-productive animals, and the feeding is mainly based on crop residues and other agro-industrial by-products. The diets are generally nutritionally imbalanced, resulting in productive and reproductive inefficiencies. This also negatively affects the emission intensity (Ei). For the past 3 years, the National Dairy Development Board of India has been implementing large-scale ration-balancing (RB) program in field animals. The effect of feeding balanced rations on Ei was explored. A cradle to farm-gate life-cycle assessment, taking into account the lifespan milk production, was conducted on 163 540 lactating cows and 163 550 buffaloes in northern, southern, eastern and western India. The life-cycle assessment boundary included feed production, enteric fermentation and manure management during various stages of life. On the basis of economic allocation, emissions of methane (CH4) from enteric fermentation, CH4 from manure management, nitrous oxide from manure management and greenhouse gas (GHG), i.e. carbon dioxide (CO 2), CH4 and nitrous oxide from feed production, contributed 69.9%, 6.3%, 9.6% and 14.2% in cows, and 71.6%, 7.4%, 12.6% and 8.4% in buffaloes, respectively, to the baseline (before RB) lifetime total GHG emissions. Average Ei based on economic, mass and digestibility allocation for 'baseline versus after RB' were 1.6 versus 1.1, 1.8 versus 1.2 and 1.7 versus 1.2 kg CO2-equivalent/kg fat and protein-corrected milk in cows and 2.3 versus 1.5, 2.5 versus 1.6 and 2.4 versus 1.5 kg CO2-equivalent/kg fat and protein-corrected milk in buffaloes, respectively. Feeding-balanced rations significantly improved milk production, but reduced Ei of milk on lifetime basis by 31.2% and 34.7% in cows and buffaloes, respectively. Implementation of RB program has shown considerable potential to reduce GHG emission intensity under smallholding dairy production system of India.","author":[{"dropping-particle":"","family":"Garg","given":"M. R.","non-dropping-particle":"","parse-names":false,"suffix":""},{"dropping-particle":"","family":"Sherasia","given":"P. L.","non-dropping-particle":"","parse-names":false,"suffix":""},{"dropping-particle":"","family":"Phondba","given":"B. T.","non-dropping-particle":"","parse-names":false,"suffix":""},{"dropping-particle":"","family":"Makkar","given":"H. P.S.","non-dropping-particle":"","parse-names":false,"suffix":""}],"container-title":"Animal Production Science","id":"ITEM-1","issue":"6","issued":{"date-parts":[["2018"]]},"page":"1027-1042","title":"Greenhouse gas emission intensity based on lifetime milk production of dairy animals, as affected by ration-balancing program","type":"article-journal","volume":"58"},"uris":["http://www.mendeley.com/documents/?uuid=d81a70c5-b6b8-4fd5-b2fe-d765ad21d7ef"]}],"mendeley":{"formattedCitation":"(Garg et al., 2018)","manualFormatting":"Garg et al. (2018)","plainTextFormattedCitation":"(Garg et al., 2018)","previouslyFormattedCitation":"&lt;sup&gt;31&lt;/sup&gt;"},"properties":{"noteIndex":0},"schema":"https://github.com/citation-style-language/schema/raw/master/csl-citation.json"}</w:instrText>
            </w:r>
            <w:r w:rsidRPr="00BF29E4">
              <w:rPr>
                <w:sz w:val="18"/>
                <w:szCs w:val="18"/>
              </w:rPr>
              <w:fldChar w:fldCharType="separate"/>
            </w:r>
            <w:r w:rsidRPr="00BF29E4">
              <w:rPr>
                <w:noProof/>
                <w:sz w:val="18"/>
                <w:szCs w:val="18"/>
              </w:rPr>
              <w:t xml:space="preserve">Garg et al. </w:t>
            </w:r>
            <w:r w:rsidRPr="008427C7">
              <w:rPr>
                <w:noProof/>
                <w:sz w:val="18"/>
                <w:szCs w:val="18"/>
              </w:rPr>
              <w:t>(2018)</w:t>
            </w:r>
            <w:r w:rsidRPr="00BF29E4">
              <w:rPr>
                <w:sz w:val="18"/>
                <w:szCs w:val="18"/>
              </w:rPr>
              <w:fldChar w:fldCharType="end"/>
            </w:r>
          </w:p>
        </w:tc>
        <w:tc>
          <w:tcPr>
            <w:tcW w:w="1417" w:type="dxa"/>
            <w:noWrap/>
            <w:vAlign w:val="center"/>
          </w:tcPr>
          <w:p w14:paraId="0A95FDD3" w14:textId="77777777" w:rsidR="00340E4E" w:rsidRPr="008427C7" w:rsidRDefault="00340E4E" w:rsidP="00C821FE">
            <w:pPr>
              <w:spacing w:after="0" w:line="240" w:lineRule="auto"/>
              <w:rPr>
                <w:sz w:val="18"/>
                <w:szCs w:val="18"/>
              </w:rPr>
            </w:pPr>
            <w:r w:rsidRPr="008427C7">
              <w:rPr>
                <w:sz w:val="18"/>
                <w:szCs w:val="18"/>
              </w:rPr>
              <w:t>dairy</w:t>
            </w:r>
          </w:p>
        </w:tc>
        <w:tc>
          <w:tcPr>
            <w:tcW w:w="3544" w:type="dxa"/>
            <w:noWrap/>
            <w:vAlign w:val="center"/>
          </w:tcPr>
          <w:p w14:paraId="37372D7E" w14:textId="7FBC013B" w:rsidR="00340E4E" w:rsidRPr="008119C5" w:rsidRDefault="004831EF" w:rsidP="00C821FE">
            <w:pPr>
              <w:spacing w:after="0" w:line="240" w:lineRule="auto"/>
              <w:rPr>
                <w:sz w:val="18"/>
                <w:szCs w:val="18"/>
              </w:rPr>
            </w:pPr>
            <w:r w:rsidRPr="008119C5">
              <w:rPr>
                <w:sz w:val="18"/>
                <w:szCs w:val="18"/>
              </w:rPr>
              <w:t>crop co</w:t>
            </w:r>
            <w:r w:rsidR="00340E4E" w:rsidRPr="008119C5">
              <w:rPr>
                <w:sz w:val="18"/>
                <w:szCs w:val="18"/>
              </w:rPr>
              <w:t>-products in supply chain for feed; only milk considered an output (slaughter of cows not allowed in India and manure mostly used on farm)</w:t>
            </w:r>
          </w:p>
        </w:tc>
        <w:tc>
          <w:tcPr>
            <w:tcW w:w="4961" w:type="dxa"/>
            <w:noWrap/>
            <w:vAlign w:val="center"/>
          </w:tcPr>
          <w:p w14:paraId="5AD90A32" w14:textId="77777777" w:rsidR="00340E4E" w:rsidRPr="00C23BD9" w:rsidRDefault="00340E4E" w:rsidP="00C821FE">
            <w:pPr>
              <w:spacing w:after="0" w:line="240" w:lineRule="auto"/>
              <w:rPr>
                <w:sz w:val="18"/>
                <w:szCs w:val="18"/>
              </w:rPr>
            </w:pPr>
            <w:r w:rsidRPr="00C23BD9">
              <w:rPr>
                <w:sz w:val="18"/>
                <w:szCs w:val="18"/>
              </w:rPr>
              <w:t>economic, mass, digestibility</w:t>
            </w:r>
          </w:p>
        </w:tc>
      </w:tr>
      <w:tr w:rsidR="00340E4E" w:rsidRPr="008427C7" w14:paraId="6B3A2D46" w14:textId="77777777" w:rsidTr="00DA1C73">
        <w:trPr>
          <w:trHeight w:val="290"/>
        </w:trPr>
        <w:tc>
          <w:tcPr>
            <w:tcW w:w="1164" w:type="dxa"/>
            <w:noWrap/>
            <w:vAlign w:val="center"/>
          </w:tcPr>
          <w:p w14:paraId="00652658" w14:textId="11CA34A3"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sz w:val="18"/>
                <w:szCs w:val="18"/>
              </w:rPr>
              <w:fldChar w:fldCharType="begin" w:fldLock="1"/>
            </w:r>
            <w:r w:rsidR="00C27421">
              <w:rPr>
                <w:sz w:val="18"/>
                <w:szCs w:val="18"/>
              </w:rPr>
              <w:instrText>ADDIN CSL_CITATION {"citationItems":[{"id":"ITEM-1","itemData":{"DOI":"10.3390/su131911108","ISSN":"20711050","abstract":"Life cycle assessment (LCA) was performed in dairy buffalo farms representative of Southern Italian farming systems, similar due to several characteristics, with the exception of wheat production. This work evaluated the impacts derived from this management choice, comparing farms with wheat crop (WWC) or not (NWC). In agreement with the literature, economic allocation was chosen as a useful strategy to attribute equivalents to by-products, i.e., culled animals; the same criterion was also adopted to assign pollutants to wheat grain, limited to WWC farms. Environmental impacts in terms of Global Warming Potential (GWP, kg CO2 eq), Acidification Potential (AC, g SO2 eq), Eutrophication Potential (EU, g PO43- eq), Agricultural Land Occupation (ALO, m2 y) and Water Depletion (WD, m3) were estimated. The production of wheat crop significantly affected (p &lt; 0.05) the Agricultural Land Occupation (ALO) category as WWC farms need adequate land. WWC farms could allow a significant reduction in eutrophication (EU) compared to NWC farms (p &lt; 0.05).","author":[{"dropping-particle":"","family":"Romano","given":"Elio","non-dropping-particle":"","parse-names":false,"suffix":""},{"dropping-particle":"","family":"Palo","given":"Pasquale","non-dropping-particle":"De","parse-names":false,"suffix":""},{"dropping-particle":"","family":"Tidona","given":"Flavio","non-dropping-particle":"","parse-names":false,"suffix":""},{"dropping-particle":"","family":"Maggiolino","given":"Aristide","non-dropping-particle":"","parse-names":false,"suffix":""},{"dropping-particle":"","family":"Bragaglio","given":"Andrea","non-dropping-particle":"","parse-names":false,"suffix":""}],"container-title":"Sustainability (Switzerland)","id":"ITEM-1","issue":"19","issued":{"date-parts":[["2021"]]},"page":"1-20","title":"Dairy buffalo life cycle assessment (LCA) affected by a management choice: the production of wheat crop","type":"article-journal","volume":"13"},"uris":["http://www.mendeley.com/documents/?uuid=615484f5-fbea-4f4b-b9e1-15b1f4ccefc9"]}],"mendeley":{"formattedCitation":"(Romano et al., 2021a)","manualFormatting":"Romano et al. (2021)","plainTextFormattedCitation":"(Romano et al., 2021a)","previouslyFormattedCitation":"&lt;sup&gt;32&lt;/sup&gt;"},"properties":{"noteIndex":0},"schema":"https://github.com/citation-style-language/schema/raw/master/csl-citation.json"}</w:instrText>
            </w:r>
            <w:r w:rsidRPr="00BF29E4">
              <w:rPr>
                <w:sz w:val="18"/>
                <w:szCs w:val="18"/>
              </w:rPr>
              <w:fldChar w:fldCharType="separate"/>
            </w:r>
            <w:r w:rsidRPr="00BF29E4">
              <w:rPr>
                <w:noProof/>
                <w:sz w:val="18"/>
                <w:szCs w:val="18"/>
              </w:rPr>
              <w:t xml:space="preserve">Romano et al. </w:t>
            </w:r>
            <w:r w:rsidRPr="008427C7">
              <w:rPr>
                <w:noProof/>
                <w:sz w:val="18"/>
                <w:szCs w:val="18"/>
              </w:rPr>
              <w:t>(2021)</w:t>
            </w:r>
            <w:r w:rsidRPr="00BF29E4">
              <w:rPr>
                <w:sz w:val="18"/>
                <w:szCs w:val="18"/>
              </w:rPr>
              <w:fldChar w:fldCharType="end"/>
            </w:r>
          </w:p>
        </w:tc>
        <w:tc>
          <w:tcPr>
            <w:tcW w:w="1417" w:type="dxa"/>
            <w:noWrap/>
            <w:vAlign w:val="center"/>
          </w:tcPr>
          <w:p w14:paraId="437CBE7B"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sz w:val="18"/>
                <w:szCs w:val="18"/>
              </w:rPr>
              <w:t>dairy buffalo (with wheat production scenario)</w:t>
            </w:r>
          </w:p>
        </w:tc>
        <w:tc>
          <w:tcPr>
            <w:tcW w:w="3544" w:type="dxa"/>
            <w:noWrap/>
            <w:vAlign w:val="center"/>
          </w:tcPr>
          <w:p w14:paraId="23A45D96" w14:textId="77777777" w:rsidR="00340E4E" w:rsidRPr="008119C5" w:rsidRDefault="00340E4E" w:rsidP="00C821FE">
            <w:pPr>
              <w:spacing w:after="0" w:line="240" w:lineRule="auto"/>
              <w:rPr>
                <w:rFonts w:ascii="Calibri" w:eastAsia="Times New Roman" w:hAnsi="Calibri" w:cs="Calibri"/>
                <w:color w:val="000000"/>
                <w:sz w:val="18"/>
                <w:szCs w:val="18"/>
                <w:lang w:eastAsia="en-CA"/>
              </w:rPr>
            </w:pPr>
            <w:r w:rsidRPr="008119C5">
              <w:rPr>
                <w:sz w:val="18"/>
                <w:szCs w:val="18"/>
              </w:rPr>
              <w:t>dairy and meat from culled animals and by-product wheat grain (straw used on farm as litter and feed), excluded meat provided by male calves</w:t>
            </w:r>
          </w:p>
        </w:tc>
        <w:tc>
          <w:tcPr>
            <w:tcW w:w="4961" w:type="dxa"/>
            <w:noWrap/>
            <w:vAlign w:val="center"/>
          </w:tcPr>
          <w:p w14:paraId="73A710BE" w14:textId="77777777" w:rsidR="00340E4E" w:rsidRPr="00C23BD9" w:rsidRDefault="00340E4E" w:rsidP="00C821FE">
            <w:pPr>
              <w:spacing w:after="0" w:line="240" w:lineRule="auto"/>
              <w:rPr>
                <w:rFonts w:ascii="Calibri" w:eastAsia="Times New Roman" w:hAnsi="Calibri" w:cs="Calibri"/>
                <w:color w:val="000000"/>
                <w:sz w:val="18"/>
                <w:szCs w:val="18"/>
                <w:lang w:eastAsia="en-CA"/>
              </w:rPr>
            </w:pPr>
            <w:r w:rsidRPr="00C23BD9">
              <w:rPr>
                <w:sz w:val="18"/>
                <w:szCs w:val="18"/>
              </w:rPr>
              <w:t>economic</w:t>
            </w:r>
          </w:p>
        </w:tc>
      </w:tr>
      <w:tr w:rsidR="00340E4E" w:rsidRPr="008427C7" w14:paraId="0312DA8B" w14:textId="77777777" w:rsidTr="00DA1C73">
        <w:trPr>
          <w:trHeight w:val="290"/>
        </w:trPr>
        <w:tc>
          <w:tcPr>
            <w:tcW w:w="1164" w:type="dxa"/>
            <w:noWrap/>
            <w:vAlign w:val="center"/>
            <w:hideMark/>
          </w:tcPr>
          <w:p w14:paraId="31E7D822" w14:textId="07A01EA9"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lastRenderedPageBreak/>
              <w:fldChar w:fldCharType="begin" w:fldLock="1"/>
            </w:r>
            <w:r w:rsidR="00C27421">
              <w:rPr>
                <w:rFonts w:ascii="Calibri" w:eastAsia="Times New Roman" w:hAnsi="Calibri" w:cs="Calibri"/>
                <w:color w:val="000000"/>
                <w:sz w:val="18"/>
                <w:szCs w:val="18"/>
                <w:lang w:eastAsia="en-CA"/>
              </w:rPr>
              <w:instrText>ADDIN CSL_CITATION {"citationItems":[{"id":"ITEM-1","itemData":{"DOI":"10.3390/su13084354","ISSN":"20711050","abstract":"In this study, the life cycle assessment (LCA) principle was performed to estimate the environmental impact of three dairy farms that operate using different farming systems, namely, conventional (CON), organic (ORG), and high-quality (HQ) modes. In Italy, the typical style of high-quality (HQ) farming is commonly included in the conventional system but is more strictly regulated by the Decree of the Italian Ministry of Health N◦ 185/1991. Although the farms are not fully representative of each conduct, they showed intrinsic peculiarities, e.g., the cow-culling rate of each system. This rate requires a quantification as it may be related to loss of income. Allocation criteria were applied to attribute the quantities of pollutants to the co-products: wheat, involved in the congruence and number of cows culled, the latter being undesirable and therefore necessary to quantify. Analysis of variance (ANOVA) highlighted that the no-dairy products significantly mitigated (p &lt; 0.05) some of the impacts’ categories. The allocation of culled cows decreased the impacts of the CON and particularly those of the ORG farms when the mass mode was adopted. HQ showed values similar to the results without allocation. Overall, the objective of identifying a “marker” of undesirable products, estimated by the culling rate, was partially achieved.","author":[{"dropping-particle":"","family":"Romano","given":"Elio","non-dropping-particle":"","parse-names":false,"suffix":""},{"dropping-particle":"","family":"Roma","given":"Rocco","non-dropping-particle":"","parse-names":false,"suffix":""},{"dropping-particle":"","family":"Tidona","given":"Flavio","non-dropping-particle":"","parse-names":false,"suffix":""},{"dropping-particle":"","family":"Giraffa","given":"Giorgio","non-dropping-particle":"","parse-names":false,"suffix":""},{"dropping-particle":"","family":"Bragaglio","given":"Andrea","non-dropping-particle":"","parse-names":false,"suffix":""}],"container-title":"Sustainability (Switzerland)","id":"ITEM-1","issue":"8","issued":{"date-parts":[["2021"]]},"page":"1-24","title":"Dairy farms and life cycle assessment (Lca): The allocation criterion useful to estimate undesirable products","type":"article-journal","volume":"13"},"uris":["http://www.mendeley.com/documents/?uuid=fe3cf948-ea06-4e80-b629-1fd6cb8bf9fa"]}],"mendeley":{"formattedCitation":"(Romano et al., 2021b)","manualFormatting":"Romano et al. (2021b)","plainTextFormattedCitation":"(Romano et al., 2021b)","previouslyFormattedCitation":"&lt;sup&gt;33&lt;/sup&gt;"},"properties":{"noteIndex":0},"schema":"https://github.com/citation-style-language/schema/raw/master/csl-citation.json"}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 xml:space="preserve">Romano et al. </w:t>
            </w:r>
            <w:r w:rsidRPr="008427C7">
              <w:rPr>
                <w:rFonts w:ascii="Calibri" w:eastAsia="Times New Roman" w:hAnsi="Calibri" w:cs="Calibri"/>
                <w:noProof/>
                <w:color w:val="000000"/>
                <w:sz w:val="18"/>
                <w:szCs w:val="18"/>
                <w:lang w:eastAsia="en-CA"/>
              </w:rPr>
              <w:t>(2021b)</w:t>
            </w:r>
            <w:r w:rsidRPr="00BF29E4">
              <w:rPr>
                <w:rFonts w:ascii="Calibri" w:eastAsia="Times New Roman" w:hAnsi="Calibri" w:cs="Calibri"/>
                <w:color w:val="000000"/>
                <w:sz w:val="18"/>
                <w:szCs w:val="18"/>
                <w:lang w:eastAsia="en-CA"/>
              </w:rPr>
              <w:fldChar w:fldCharType="end"/>
            </w:r>
          </w:p>
        </w:tc>
        <w:tc>
          <w:tcPr>
            <w:tcW w:w="1417" w:type="dxa"/>
            <w:noWrap/>
            <w:vAlign w:val="center"/>
            <w:hideMark/>
          </w:tcPr>
          <w:p w14:paraId="265B5404"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dairy (with on farm wheat production)</w:t>
            </w:r>
          </w:p>
        </w:tc>
        <w:tc>
          <w:tcPr>
            <w:tcW w:w="3544" w:type="dxa"/>
            <w:noWrap/>
            <w:vAlign w:val="center"/>
            <w:hideMark/>
          </w:tcPr>
          <w:p w14:paraId="18B2D1C1" w14:textId="77777777" w:rsidR="00340E4E" w:rsidRPr="008119C5" w:rsidRDefault="00340E4E" w:rsidP="00C821FE">
            <w:pPr>
              <w:spacing w:after="0" w:line="240" w:lineRule="auto"/>
              <w:rPr>
                <w:rFonts w:ascii="Calibri" w:eastAsia="Times New Roman" w:hAnsi="Calibri" w:cs="Calibri"/>
                <w:color w:val="000000"/>
                <w:sz w:val="18"/>
                <w:szCs w:val="18"/>
                <w:lang w:eastAsia="en-CA"/>
              </w:rPr>
            </w:pPr>
            <w:r w:rsidRPr="008119C5">
              <w:rPr>
                <w:rFonts w:ascii="Calibri" w:eastAsia="Times New Roman" w:hAnsi="Calibri" w:cs="Calibri"/>
                <w:color w:val="000000"/>
                <w:sz w:val="18"/>
                <w:szCs w:val="18"/>
                <w:lang w:eastAsia="en-CA"/>
              </w:rPr>
              <w:t>wheat, cows culled, dairy (main product)</w:t>
            </w:r>
          </w:p>
        </w:tc>
        <w:tc>
          <w:tcPr>
            <w:tcW w:w="4961" w:type="dxa"/>
            <w:noWrap/>
            <w:vAlign w:val="center"/>
            <w:hideMark/>
          </w:tcPr>
          <w:p w14:paraId="1F25AAB6" w14:textId="77777777" w:rsidR="00340E4E" w:rsidRPr="00C23BD9" w:rsidRDefault="00340E4E" w:rsidP="00C821FE">
            <w:pPr>
              <w:spacing w:after="0" w:line="240" w:lineRule="auto"/>
              <w:rPr>
                <w:rFonts w:ascii="Calibri" w:eastAsia="Times New Roman" w:hAnsi="Calibri" w:cs="Calibri"/>
                <w:color w:val="000000"/>
                <w:sz w:val="18"/>
                <w:szCs w:val="18"/>
                <w:lang w:eastAsia="en-CA"/>
              </w:rPr>
            </w:pPr>
            <w:r w:rsidRPr="00C23BD9">
              <w:rPr>
                <w:rFonts w:ascii="Calibri" w:eastAsia="Times New Roman" w:hAnsi="Calibri" w:cs="Calibri"/>
                <w:color w:val="000000"/>
                <w:sz w:val="18"/>
                <w:szCs w:val="18"/>
                <w:lang w:eastAsia="en-CA"/>
              </w:rPr>
              <w:t xml:space="preserve">no allocation scenario, economic, and mass scenarios. Culled cows considered products to avoid </w:t>
            </w:r>
          </w:p>
        </w:tc>
      </w:tr>
      <w:tr w:rsidR="00340E4E" w:rsidRPr="008427C7" w14:paraId="0E684C55" w14:textId="77777777" w:rsidTr="00DA1C73">
        <w:trPr>
          <w:trHeight w:val="290"/>
        </w:trPr>
        <w:tc>
          <w:tcPr>
            <w:tcW w:w="1164" w:type="dxa"/>
            <w:noWrap/>
            <w:vAlign w:val="center"/>
            <w:hideMark/>
          </w:tcPr>
          <w:p w14:paraId="0556B27C" w14:textId="2DAFA2FA"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{"citationItems":[{"id":"ITEM-1","itemData":{"DOI":"10.1016/j.idairyj.2012.08.012","ISSN":"09586946","abstract":"Data from 536 United States of America dairy farms were used to test algorithms for milk to beef allocation. A wide range of rations was represented, from pasture-based to large confined animal operations. Variety in the animal classes sent to beef provided a very robust dataset. We report an empirical relationship for the causal allocation ratio (ARc) based on detailed analysis of farm rations, to allocate whole farm emissions between milk and beef: ARc = 1-4.39.BMR; with BMR defined as the kg beef sold per kg milk sold annually. USA dairy farm green house gas emissions allocated to milk using this approach was, on average, 91.5%, compared with economic (94.4%) and the protein-based (95%) allocation methods. We include an analysis of the allocation between fluid milk and excess cream at the processing plant. This analysis shows 19.8% of the post-farm (after allocation to beef) milk production burden allocated to the excess cream. © 2012 Elsevier Ltd.","author":[{"dropping-particle":"","family":"Thoma","given":"Greg","non-dropping-particle":"","parse-names":false,"suffix":""},{"dropping-particle":"","family":"Jolliet","given":"Olivier","non-dropping-particle":"","parse-names":false,"suffix":""},{"dropping-particle":"","family":"Wang","given":"Ying","non-dropping-particle":"","parse-names":false,"suffix":""}],"container-title":"International Dairy Journal","id":"ITEM-1","issue":"1","issued":{"date-parts":[["2013"]]},"page":"S41-S49","publisher":"Elsevier Ltd","title":"A biophysical approach to allocation of life cycle environmental burdens for fluid milk supply chain analysis","type":"article-journal","volume":"31"},"uris":["http://www.mendeley.com/documents/?uuid=5d814ef9-96e8-458b-9960-d91ad284abbe"]}],"mendeley":{"formattedCitation":"(Thoma et al., 2013)","manualFormatting":"Thoma et al. (2013)","plainTextFormattedCitation":"(Thoma et al., 2013)","previouslyFormattedCitation":"&lt;sup&gt;34&lt;/sup&gt;"},"properties":{"noteIndex":0},"schema":"https://github.com/citation-style-language/schema/raw/master/csl-citation.json"}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 xml:space="preserve">Thoma et al. </w:t>
            </w:r>
            <w:r w:rsidRPr="008427C7">
              <w:rPr>
                <w:rFonts w:ascii="Calibri" w:eastAsia="Times New Roman" w:hAnsi="Calibri" w:cs="Calibri"/>
                <w:noProof/>
                <w:color w:val="000000"/>
                <w:sz w:val="18"/>
                <w:szCs w:val="18"/>
                <w:lang w:eastAsia="en-CA"/>
              </w:rPr>
              <w:t>(2013)</w:t>
            </w:r>
            <w:r w:rsidRPr="00BF29E4">
              <w:rPr>
                <w:rFonts w:ascii="Calibri" w:eastAsia="Times New Roman" w:hAnsi="Calibri" w:cs="Calibri"/>
                <w:color w:val="000000"/>
                <w:sz w:val="18"/>
                <w:szCs w:val="18"/>
                <w:lang w:eastAsia="en-CA"/>
              </w:rPr>
              <w:fldChar w:fldCharType="end"/>
            </w:r>
          </w:p>
        </w:tc>
        <w:tc>
          <w:tcPr>
            <w:tcW w:w="1417" w:type="dxa"/>
            <w:noWrap/>
            <w:vAlign w:val="center"/>
            <w:hideMark/>
          </w:tcPr>
          <w:p w14:paraId="6A09E410"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milk</w:t>
            </w:r>
          </w:p>
        </w:tc>
        <w:tc>
          <w:tcPr>
            <w:tcW w:w="3544" w:type="dxa"/>
            <w:noWrap/>
            <w:vAlign w:val="center"/>
            <w:hideMark/>
          </w:tcPr>
          <w:p w14:paraId="187F204F" w14:textId="77777777" w:rsidR="00340E4E" w:rsidRPr="008119C5" w:rsidRDefault="00340E4E" w:rsidP="00C821FE">
            <w:pPr>
              <w:spacing w:after="0" w:line="240" w:lineRule="auto"/>
              <w:rPr>
                <w:rFonts w:ascii="Calibri" w:eastAsia="Times New Roman" w:hAnsi="Calibri" w:cs="Calibri"/>
                <w:color w:val="000000"/>
                <w:sz w:val="18"/>
                <w:szCs w:val="18"/>
                <w:lang w:eastAsia="en-CA"/>
              </w:rPr>
            </w:pPr>
            <w:r w:rsidRPr="008119C5">
              <w:rPr>
                <w:rFonts w:ascii="Calibri" w:eastAsia="Times New Roman" w:hAnsi="Calibri" w:cs="Calibri"/>
                <w:color w:val="000000"/>
                <w:sz w:val="18"/>
                <w:szCs w:val="18"/>
                <w:lang w:eastAsia="en-CA"/>
              </w:rPr>
              <w:t>milk and beef, fluid milk and excess cream at processing plant, animals sold to another dairy</w:t>
            </w:r>
          </w:p>
        </w:tc>
        <w:tc>
          <w:tcPr>
            <w:tcW w:w="4961" w:type="dxa"/>
            <w:noWrap/>
            <w:vAlign w:val="center"/>
            <w:hideMark/>
          </w:tcPr>
          <w:p w14:paraId="60072D78" w14:textId="7B2DFAF8" w:rsidR="00340E4E" w:rsidRPr="00C23BD9" w:rsidRDefault="00340E4E" w:rsidP="004831EF">
            <w:pPr>
              <w:spacing w:after="0" w:line="240" w:lineRule="auto"/>
              <w:rPr>
                <w:rFonts w:ascii="Calibri" w:eastAsia="Times New Roman" w:hAnsi="Calibri" w:cs="Calibri"/>
                <w:color w:val="000000"/>
                <w:sz w:val="18"/>
                <w:szCs w:val="18"/>
                <w:lang w:eastAsia="en-CA"/>
              </w:rPr>
            </w:pPr>
            <w:r w:rsidRPr="00C23BD9">
              <w:rPr>
                <w:rFonts w:ascii="Calibri" w:eastAsia="Times New Roman" w:hAnsi="Calibri" w:cs="Calibri"/>
                <w:color w:val="000000"/>
                <w:sz w:val="18"/>
                <w:szCs w:val="18"/>
                <w:lang w:eastAsia="en-CA"/>
              </w:rPr>
              <w:t>causal</w:t>
            </w:r>
            <w:r w:rsidR="00931548" w:rsidRPr="00C23BD9">
              <w:rPr>
                <w:rFonts w:ascii="Calibri" w:eastAsia="Times New Roman" w:hAnsi="Calibri" w:cs="Calibri"/>
                <w:color w:val="000000"/>
                <w:sz w:val="18"/>
                <w:szCs w:val="18"/>
                <w:lang w:eastAsia="en-CA"/>
              </w:rPr>
              <w:t xml:space="preserve"> allocation</w:t>
            </w:r>
            <w:r w:rsidR="004831EF" w:rsidRPr="00C23BD9">
              <w:rPr>
                <w:rFonts w:ascii="Calibri" w:eastAsia="Times New Roman" w:hAnsi="Calibri" w:cs="Calibri"/>
                <w:color w:val="000000"/>
                <w:sz w:val="18"/>
                <w:szCs w:val="18"/>
                <w:lang w:eastAsia="en-CA"/>
              </w:rPr>
              <w:t xml:space="preserve"> (metabolic partitioning – equations provided in paper)</w:t>
            </w:r>
            <w:r w:rsidRPr="00C23BD9">
              <w:rPr>
                <w:rFonts w:ascii="Calibri" w:eastAsia="Times New Roman" w:hAnsi="Calibri" w:cs="Calibri"/>
                <w:color w:val="000000"/>
                <w:sz w:val="18"/>
                <w:szCs w:val="18"/>
                <w:lang w:eastAsia="en-CA"/>
              </w:rPr>
              <w:t xml:space="preserve">, </w:t>
            </w:r>
            <w:r w:rsidR="00931548" w:rsidRPr="00C23BD9">
              <w:rPr>
                <w:rFonts w:ascii="Calibri" w:eastAsia="Times New Roman" w:hAnsi="Calibri" w:cs="Calibri"/>
                <w:color w:val="000000"/>
                <w:sz w:val="18"/>
                <w:szCs w:val="18"/>
                <w:lang w:eastAsia="en-CA"/>
              </w:rPr>
              <w:t>subdivision</w:t>
            </w:r>
            <w:r w:rsidR="004831EF" w:rsidRPr="00C23BD9">
              <w:rPr>
                <w:rFonts w:ascii="Calibri" w:eastAsia="Times New Roman" w:hAnsi="Calibri" w:cs="Calibri"/>
                <w:color w:val="000000"/>
                <w:sz w:val="18"/>
                <w:szCs w:val="18"/>
                <w:lang w:eastAsia="en-CA"/>
              </w:rPr>
              <w:t xml:space="preserve"> when possible</w:t>
            </w:r>
            <w:r w:rsidR="00931548" w:rsidRPr="00C23BD9">
              <w:rPr>
                <w:rFonts w:ascii="Calibri" w:eastAsia="Times New Roman" w:hAnsi="Calibri" w:cs="Calibri"/>
                <w:color w:val="000000"/>
                <w:sz w:val="18"/>
                <w:szCs w:val="18"/>
                <w:lang w:eastAsia="en-CA"/>
              </w:rPr>
              <w:t>.</w:t>
            </w:r>
            <w:r w:rsidRPr="00C23BD9">
              <w:rPr>
                <w:rFonts w:ascii="Calibri" w:eastAsia="Times New Roman" w:hAnsi="Calibri" w:cs="Calibri"/>
                <w:color w:val="000000"/>
                <w:sz w:val="18"/>
                <w:szCs w:val="18"/>
                <w:lang w:eastAsia="en-CA"/>
              </w:rPr>
              <w:t xml:space="preserve"> Compared to economic and protein-based</w:t>
            </w:r>
          </w:p>
        </w:tc>
      </w:tr>
      <w:tr w:rsidR="00340E4E" w:rsidRPr="008427C7" w14:paraId="4BBCBD70" w14:textId="77777777" w:rsidTr="00DA1C73">
        <w:trPr>
          <w:trHeight w:val="290"/>
        </w:trPr>
        <w:tc>
          <w:tcPr>
            <w:tcW w:w="1164" w:type="dxa"/>
            <w:noWrap/>
            <w:vAlign w:val="center"/>
            <w:hideMark/>
          </w:tcPr>
          <w:p w14:paraId="52451665" w14:textId="05DE3B3C"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{"citationItems":[{"id":"ITEM-1","itemData":{"DOI":"10.1016/j.livsci.2020.104151","ISSN":"18711413","abstract":"In Andean dairy systems, livestock generates a daily income through the sale of milk and cheese but also fulfils other roles which are crucial for rural livelihoods such as the contribution of protein to local diets, the provision of draught power and organic fertilizer, the reduction of economic risk and the accrual of savings. The objective of this study was to compare different approaches to cope with multifunctionality of livestock in Life Cycle Assessment (LCA). Based on local data from a smallholder dairy production system in the Southern Peruvian Andes environmental impacts of 1 kg energy corrected milk (ECM) were calculated with LCA methodology considering nine livestock functions: production of dairy products (1) and meat (2) for the market, production of milk for family consumption (3) and as food for calves (4), provision of organic fertilizer (5) and draught power (6), role as savings asset (7), risk insurance (8) and part of family tradition (9). Impacts were distributed among these functions using different methodological approaches: NA, no allocation; EM, economic allocation to market products; ET, economic allocation to all livestock functions; FP, allocation according to farmers´ perception and SE, system expansion (substitution). The results varied considerably depending on the method used. 1 kg of ECM contributed to global warming with 1.65, 1.38, 1.25, 0.71 and 0.89 kg CO2-equivalents using mehods NA, EM, ET, FP and SE, respectively. Similar patterns were observed for acidification and eutrophication potentials. Enteric fermentation was the main source of greenhouse gases whereas eutrophication and acidification potentials were determined by alfalfa pasture management. The results of the study showed that: (i) LCA results are highly sensitive to the number and types of livestock functions considered and the allocation criteria applied, (ii) that the economic value of livestock functions does not necessarily reflect their importance for rural livelihoods and (iii) that the application of system expansion/substitution to livestock systems is limited due to lacking equivalency of functions and products from alternative production systems.","author":[{"dropping-particle":"","family":"Gilardino","given":"Alessandro","non-dropping-particle":"","parse-names":false,"suffix":""},{"dropping-particle":"","family":"Quispe","given":"Isabel","non-dropping-particle":"","parse-names":false,"suffix":""},{"dropping-particle":"","family":"Pacheco","given":"Maribel","non-dropping-particle":"","parse-names":false,"suffix":""},{"dropping-particle":"","family":"Bartl","given":"Karin","non-dropping-particle":"","parse-names":false,"suffix":""}],"container-title":"Livestock Science","id":"ITEM-1","issue":"April 2019","issued":{"date-parts":[["2020"]]},"page":"104151","publisher":"Elsevier B.V.","title":"Comparison of different methods for consideration of multifunctionality of Peruvian dairy cattle in Life Cycle Assessment","type":"article-journal","volume":"240"},"uris":["http://www.mendeley.com/documents/?uuid=a7670dfe-89c3-4fcc-b1f8-620cd2053cf9"]}],"mendeley":{"formattedCitation":"(Gilardino et al., 2020)","manualFormatting":"Gilardino et al. (2020)","plainTextFormattedCitation":"(Gilardino et al., 2020)","previouslyFormattedCitation":"&lt;sup&gt;35&lt;/sup&gt;"},"properties":{"noteIndex":0},"schema":"https://github.com/citation-style-language/schema/raw/master/csl-citation.json"}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 xml:space="preserve">Gilardino et al. </w:t>
            </w:r>
            <w:r w:rsidRPr="008427C7">
              <w:rPr>
                <w:rFonts w:ascii="Calibri" w:eastAsia="Times New Roman" w:hAnsi="Calibri" w:cs="Calibri"/>
                <w:noProof/>
                <w:color w:val="000000"/>
                <w:sz w:val="18"/>
                <w:szCs w:val="18"/>
                <w:lang w:eastAsia="en-CA"/>
              </w:rPr>
              <w:t>(2020)</w:t>
            </w:r>
            <w:r w:rsidRPr="00BF29E4">
              <w:rPr>
                <w:rFonts w:ascii="Calibri" w:eastAsia="Times New Roman" w:hAnsi="Calibri" w:cs="Calibri"/>
                <w:color w:val="000000"/>
                <w:sz w:val="18"/>
                <w:szCs w:val="18"/>
                <w:lang w:eastAsia="en-CA"/>
              </w:rPr>
              <w:fldChar w:fldCharType="end"/>
            </w:r>
          </w:p>
        </w:tc>
        <w:tc>
          <w:tcPr>
            <w:tcW w:w="1417" w:type="dxa"/>
            <w:noWrap/>
            <w:vAlign w:val="center"/>
            <w:hideMark/>
          </w:tcPr>
          <w:p w14:paraId="3F78FF67"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dairy</w:t>
            </w:r>
          </w:p>
        </w:tc>
        <w:tc>
          <w:tcPr>
            <w:tcW w:w="3544" w:type="dxa"/>
            <w:noWrap/>
            <w:vAlign w:val="center"/>
            <w:hideMark/>
          </w:tcPr>
          <w:p w14:paraId="1FEADCAD" w14:textId="1045DF67" w:rsidR="00340E4E" w:rsidRPr="008119C5" w:rsidRDefault="00340E4E" w:rsidP="00F53DFC">
            <w:pPr>
              <w:spacing w:after="0" w:line="240" w:lineRule="auto"/>
              <w:rPr>
                <w:rFonts w:ascii="Calibri" w:eastAsia="Times New Roman" w:hAnsi="Calibri" w:cs="Calibri"/>
                <w:color w:val="000000"/>
                <w:sz w:val="18"/>
                <w:szCs w:val="18"/>
                <w:lang w:eastAsia="en-CA"/>
              </w:rPr>
            </w:pPr>
            <w:r w:rsidRPr="008119C5">
              <w:rPr>
                <w:rFonts w:ascii="Calibri" w:eastAsia="Times New Roman" w:hAnsi="Calibri" w:cs="Calibri"/>
                <w:color w:val="000000"/>
                <w:sz w:val="18"/>
                <w:szCs w:val="18"/>
                <w:lang w:eastAsia="en-CA"/>
              </w:rPr>
              <w:t>dairy for market, meat for market, milk for family consumption, food for calves, org</w:t>
            </w:r>
            <w:r w:rsidR="00F53DFC" w:rsidRPr="008119C5">
              <w:rPr>
                <w:rFonts w:ascii="Calibri" w:eastAsia="Times New Roman" w:hAnsi="Calibri" w:cs="Calibri"/>
                <w:color w:val="000000"/>
                <w:sz w:val="18"/>
                <w:szCs w:val="18"/>
                <w:lang w:eastAsia="en-CA"/>
              </w:rPr>
              <w:t>anic fertilizer, draught power</w:t>
            </w:r>
          </w:p>
        </w:tc>
        <w:tc>
          <w:tcPr>
            <w:tcW w:w="4961" w:type="dxa"/>
            <w:noWrap/>
            <w:vAlign w:val="center"/>
            <w:hideMark/>
          </w:tcPr>
          <w:p w14:paraId="10208C8D" w14:textId="1E059BC5" w:rsidR="00340E4E" w:rsidRPr="00C23BD9" w:rsidRDefault="00340E4E" w:rsidP="004831EF">
            <w:pPr>
              <w:spacing w:after="0" w:line="240" w:lineRule="auto"/>
              <w:rPr>
                <w:rFonts w:ascii="Calibri" w:eastAsia="Times New Roman" w:hAnsi="Calibri" w:cs="Calibri"/>
                <w:color w:val="000000"/>
                <w:sz w:val="18"/>
                <w:szCs w:val="18"/>
                <w:lang w:eastAsia="en-CA"/>
              </w:rPr>
            </w:pPr>
            <w:r w:rsidRPr="00C23BD9">
              <w:rPr>
                <w:rFonts w:ascii="Calibri" w:eastAsia="Times New Roman" w:hAnsi="Calibri" w:cs="Calibri"/>
                <w:color w:val="000000"/>
                <w:sz w:val="18"/>
                <w:szCs w:val="18"/>
                <w:lang w:eastAsia="en-CA"/>
              </w:rPr>
              <w:t xml:space="preserve">no allocation, economic </w:t>
            </w:r>
            <w:r w:rsidR="004831EF" w:rsidRPr="00C23BD9">
              <w:rPr>
                <w:rFonts w:ascii="Calibri" w:eastAsia="Times New Roman" w:hAnsi="Calibri" w:cs="Calibri"/>
                <w:color w:val="000000"/>
                <w:sz w:val="18"/>
                <w:szCs w:val="18"/>
                <w:lang w:eastAsia="en-CA"/>
              </w:rPr>
              <w:t>allocation,</w:t>
            </w:r>
            <w:r w:rsidRPr="00C23BD9">
              <w:rPr>
                <w:rFonts w:ascii="Calibri" w:eastAsia="Times New Roman" w:hAnsi="Calibri" w:cs="Calibri"/>
                <w:color w:val="000000"/>
                <w:sz w:val="18"/>
                <w:szCs w:val="18"/>
                <w:lang w:eastAsia="en-CA"/>
              </w:rPr>
              <w:t xml:space="preserve"> allocation according to farmers perception, system expansion</w:t>
            </w:r>
          </w:p>
        </w:tc>
      </w:tr>
      <w:tr w:rsidR="00340E4E" w:rsidRPr="008427C7" w14:paraId="2D616CE4" w14:textId="77777777" w:rsidTr="00DA1C73">
        <w:trPr>
          <w:trHeight w:val="290"/>
        </w:trPr>
        <w:tc>
          <w:tcPr>
            <w:tcW w:w="1164" w:type="dxa"/>
            <w:noWrap/>
            <w:vAlign w:val="center"/>
          </w:tcPr>
          <w:p w14:paraId="22BC3EB7" w14:textId="1F06C993"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sz w:val="18"/>
                <w:szCs w:val="18"/>
              </w:rPr>
              <w:fldChar w:fldCharType="begin" w:fldLock="1"/>
            </w:r>
            <w:r w:rsidR="00C27421">
              <w:rPr>
                <w:sz w:val="18"/>
                <w:szCs w:val="18"/>
              </w:rPr>
              <w:instrText>ADDIN CSL_CITATION {"citationItems":[{"id":"ITEM-1","itemData":{"DOI":"10.3389/fsufs.2021.588158","ISSN":"2571581X","abstract":"The UK livestock industry urgently needs to reduce greenhouse gas (GHG) emissions to contribute to ambitious climate change policy commitments. Achieving this requires an improved understanding of emission sources across a range of production systems to lower the burden associated with livestock products. Life cycle assessment (LCA) methods are used in this study to model milk production from two genetic merits of Holstein Friesian cows managed in two novel and two conventional UK dairy systems. Select merit cows sired by bulls with high predicted transmission for fat plus protein yield are compared with Control merit animals sired from UK average merit bulls. Cows were managed in conventional housed and grazed dairy systems with novel Byproduct and Homegrown feeding regimes. A LCA was used to quantify the effect of allocation and management of feed components on the carbon footprint of milk production. Natural variation in nutritional quality of dairy system rations was investigated to quantify uncertainty in the carbon footprint results. Novel production system data are used to assess the effect of introducing home grown legumes and co-product feeds. Control merit footprints across each of the management regimes were significantly higher (p&lt;0.001) in comparison with a high production Select merit, on average by 15%. Livestock emissions (enteric, manure management and deposition) and embedded emissions (purchased feeds, fertiliser, and pesticides) were also significantly higher from control merit cows (p&lt;0.01). Mass and economic allocation methods, and land use functional units, resulted in differences in performance ranking of the dairy systems, with larger footprints resulting from mass allocation. Pairwise comparisons showed GHG's from the systems to be significantly different in total and source category emissions, with significant differences in mean embedded emissions found between most management systems (p&lt;0.05). Monte Carlo simulated system footprints considering the effect of variation in feed digestibility and crude protein also differed significantly from system footprints using standard methods (p &lt; 0.001). Dairy system carbon footprint results should be expressed using multiple units and where possible calculations should incorporate variation in diet digestibility and crude protein content.","author":[{"dropping-particle":"","family":"March","given":"Margaret D.","non-dropping-particle":"","parse-names":false,"suffix":""},{"dropping-particle":"","family":"Hargreaves","given":"Paul R.","non-dropping-particle":"","parse-names":false,"suffix":""},{"dropping-particle":"","family":"Sykes","given":"Alasdair J.","non-dropping-particle":"","parse-names":false,"suffix":""},{"dropping-particle":"","family":"Rees","given":"Robert M.","non-dropping-particle":"","parse-names":false,"suffix":""}],"container-title":"Frontiers in Sustainable Food Systems","id":"ITEM-1","issue":"April","issued":{"date-parts":[["2021"]]},"page":"1-16","title":"Effect of Nutritional Variation and LCA Methodology on the Carbon Footprint of Milk Production From Holstein Friesian Dairy Cows","type":"article-journal","volume":"5"},"uris":["http://www.mendeley.com/documents/?uuid=04fb79df-48ae-403b-88f9-5befb86baeaa"]}],"mendeley":{"formattedCitation":"(March et al., 2021)","manualFormatting":"March et al. (2021)","plainTextFormattedCitation":"(March et al., 2021)","previouslyFormattedCitation":"&lt;sup&gt;36&lt;/sup&gt;"},"properties":{"noteIndex":0},"schema":"https://github.com/citation-style-language/schema/raw/master/csl-citation.json"}</w:instrText>
            </w:r>
            <w:r w:rsidRPr="00BF29E4">
              <w:rPr>
                <w:sz w:val="18"/>
                <w:szCs w:val="18"/>
              </w:rPr>
              <w:fldChar w:fldCharType="separate"/>
            </w:r>
            <w:r w:rsidRPr="00BF29E4">
              <w:rPr>
                <w:noProof/>
                <w:sz w:val="18"/>
                <w:szCs w:val="18"/>
              </w:rPr>
              <w:t xml:space="preserve">March et al. </w:t>
            </w:r>
            <w:r w:rsidRPr="008427C7">
              <w:rPr>
                <w:noProof/>
                <w:sz w:val="18"/>
                <w:szCs w:val="18"/>
              </w:rPr>
              <w:t>(2021)</w:t>
            </w:r>
            <w:r w:rsidRPr="00BF29E4">
              <w:rPr>
                <w:sz w:val="18"/>
                <w:szCs w:val="18"/>
              </w:rPr>
              <w:fldChar w:fldCharType="end"/>
            </w:r>
          </w:p>
        </w:tc>
        <w:tc>
          <w:tcPr>
            <w:tcW w:w="1417" w:type="dxa"/>
            <w:noWrap/>
            <w:vAlign w:val="center"/>
          </w:tcPr>
          <w:p w14:paraId="2ABEC1D5"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sz w:val="18"/>
                <w:szCs w:val="18"/>
              </w:rPr>
              <w:t>milk</w:t>
            </w:r>
          </w:p>
        </w:tc>
        <w:tc>
          <w:tcPr>
            <w:tcW w:w="3544" w:type="dxa"/>
            <w:noWrap/>
            <w:vAlign w:val="center"/>
          </w:tcPr>
          <w:p w14:paraId="731EC990" w14:textId="77777777" w:rsidR="00340E4E" w:rsidRPr="008119C5" w:rsidRDefault="00340E4E" w:rsidP="00C821FE">
            <w:pPr>
              <w:spacing w:after="0" w:line="240" w:lineRule="auto"/>
              <w:rPr>
                <w:rFonts w:ascii="Calibri" w:eastAsia="Times New Roman" w:hAnsi="Calibri" w:cs="Calibri"/>
                <w:color w:val="000000"/>
                <w:sz w:val="18"/>
                <w:szCs w:val="18"/>
                <w:lang w:eastAsia="en-CA"/>
              </w:rPr>
            </w:pPr>
            <w:r w:rsidRPr="008119C5">
              <w:rPr>
                <w:sz w:val="18"/>
                <w:szCs w:val="18"/>
              </w:rPr>
              <w:t>milk and meat</w:t>
            </w:r>
          </w:p>
        </w:tc>
        <w:tc>
          <w:tcPr>
            <w:tcW w:w="4961" w:type="dxa"/>
            <w:noWrap/>
            <w:vAlign w:val="center"/>
          </w:tcPr>
          <w:p w14:paraId="7F279A8F" w14:textId="77777777" w:rsidR="00340E4E" w:rsidRPr="00C23BD9" w:rsidRDefault="00340E4E" w:rsidP="00C821FE">
            <w:pPr>
              <w:spacing w:after="0" w:line="240" w:lineRule="auto"/>
              <w:rPr>
                <w:rFonts w:ascii="Calibri" w:eastAsia="Times New Roman" w:hAnsi="Calibri" w:cs="Calibri"/>
                <w:color w:val="000000"/>
                <w:sz w:val="18"/>
                <w:szCs w:val="18"/>
                <w:lang w:eastAsia="en-CA"/>
              </w:rPr>
            </w:pPr>
            <w:r w:rsidRPr="00C23BD9">
              <w:rPr>
                <w:sz w:val="18"/>
                <w:szCs w:val="18"/>
              </w:rPr>
              <w:t>mass and economic</w:t>
            </w:r>
          </w:p>
        </w:tc>
      </w:tr>
      <w:tr w:rsidR="00340E4E" w:rsidRPr="008427C7" w14:paraId="3F29E2B9" w14:textId="77777777" w:rsidTr="00DA1C73">
        <w:trPr>
          <w:trHeight w:val="290"/>
        </w:trPr>
        <w:tc>
          <w:tcPr>
            <w:tcW w:w="1164" w:type="dxa"/>
            <w:noWrap/>
            <w:vAlign w:val="center"/>
          </w:tcPr>
          <w:p w14:paraId="0D9B33EF" w14:textId="30021902" w:rsidR="00340E4E" w:rsidRPr="00BF29E4" w:rsidRDefault="00340E4E" w:rsidP="00C821FE">
            <w:pPr>
              <w:spacing w:after="0" w:line="240" w:lineRule="auto"/>
              <w:rPr>
                <w:sz w:val="18"/>
                <w:szCs w:val="18"/>
              </w:rPr>
            </w:pPr>
            <w:r w:rsidRPr="00BF29E4">
              <w:rPr>
                <w:sz w:val="18"/>
                <w:szCs w:val="18"/>
              </w:rPr>
              <w:fldChar w:fldCharType="begin" w:fldLock="1"/>
            </w:r>
            <w:r w:rsidR="00C27421">
              <w:rPr>
                <w:sz w:val="18"/>
                <w:szCs w:val="18"/>
              </w:rPr>
              <w:instrText>ADDIN CSL_CITATION {"citationItems":[{"id":"ITEM-1","itemData":{"author":[{"dropping-particle":"","family":"EDA","given":"","non-dropping-particle":"","parse-names":false,"suffix":""}],"id":"ITEM-1","issued":{"date-parts":[["2018"]]},"number-of-pages":"1-168","title":"Product Environmental Foodprint Category Rules for Dairy Products","type":"report"},"uris":["http://www.mendeley.com/documents/?uuid=d556eb3b-4a91-4a33-8ae6-d1fe3aee02f1"]}],"mendeley":{"formattedCitation":"(EDA, 2018)","manualFormatting":"EDA (2018)","plainTextFormattedCitation":"(EDA, 2018)","previouslyFormattedCitation":"&lt;sup&gt;37&lt;/sup&gt;"},"properties":{"noteIndex":0},"schema":"https://github.com/citation-style-language/schema/raw/master/csl-citation.json"}</w:instrText>
            </w:r>
            <w:r w:rsidRPr="00BF29E4">
              <w:rPr>
                <w:sz w:val="18"/>
                <w:szCs w:val="18"/>
              </w:rPr>
              <w:fldChar w:fldCharType="separate"/>
            </w:r>
            <w:r w:rsidRPr="00BF29E4">
              <w:rPr>
                <w:noProof/>
                <w:sz w:val="18"/>
                <w:szCs w:val="18"/>
              </w:rPr>
              <w:t xml:space="preserve">EDA </w:t>
            </w:r>
            <w:r w:rsidRPr="008427C7">
              <w:rPr>
                <w:noProof/>
                <w:sz w:val="18"/>
                <w:szCs w:val="18"/>
              </w:rPr>
              <w:t>(2018)</w:t>
            </w:r>
            <w:r w:rsidRPr="00BF29E4">
              <w:rPr>
                <w:sz w:val="18"/>
                <w:szCs w:val="18"/>
              </w:rPr>
              <w:fldChar w:fldCharType="end"/>
            </w:r>
          </w:p>
        </w:tc>
        <w:tc>
          <w:tcPr>
            <w:tcW w:w="1417" w:type="dxa"/>
            <w:noWrap/>
            <w:vAlign w:val="center"/>
          </w:tcPr>
          <w:p w14:paraId="162407C8" w14:textId="77777777" w:rsidR="00340E4E" w:rsidRPr="008427C7" w:rsidRDefault="00340E4E" w:rsidP="00C821FE">
            <w:pPr>
              <w:spacing w:after="0" w:line="240" w:lineRule="auto"/>
              <w:rPr>
                <w:sz w:val="18"/>
                <w:szCs w:val="18"/>
              </w:rPr>
            </w:pPr>
            <w:r w:rsidRPr="008427C7">
              <w:rPr>
                <w:sz w:val="18"/>
                <w:szCs w:val="18"/>
              </w:rPr>
              <w:t>dairy</w:t>
            </w:r>
          </w:p>
        </w:tc>
        <w:tc>
          <w:tcPr>
            <w:tcW w:w="3544" w:type="dxa"/>
            <w:noWrap/>
            <w:vAlign w:val="center"/>
          </w:tcPr>
          <w:p w14:paraId="7F4B40B8" w14:textId="77777777" w:rsidR="00340E4E" w:rsidRPr="008119C5" w:rsidRDefault="00340E4E" w:rsidP="00C821FE">
            <w:pPr>
              <w:spacing w:after="0" w:line="240" w:lineRule="auto"/>
              <w:rPr>
                <w:sz w:val="18"/>
                <w:szCs w:val="18"/>
              </w:rPr>
            </w:pPr>
            <w:r w:rsidRPr="008119C5">
              <w:rPr>
                <w:sz w:val="18"/>
                <w:szCs w:val="18"/>
              </w:rPr>
              <w:t>raw milk, dairy products produced on farm, live animals leaving the farm for slaughter or further fattening or replacement of dairy cattle including dry culled cows and calves, dead animals leaving the farm, manure, sold non-dairy products (feed and arable products), energy produced on the farm; dairy products at dairy unit; transportation from retail to consumer home; materials recycling, or incineration with energy recovery at the end-of-life</w:t>
            </w:r>
          </w:p>
        </w:tc>
        <w:tc>
          <w:tcPr>
            <w:tcW w:w="4961" w:type="dxa"/>
            <w:noWrap/>
            <w:vAlign w:val="center"/>
          </w:tcPr>
          <w:p w14:paraId="04FED479" w14:textId="19DECFF1" w:rsidR="00340E4E" w:rsidRPr="00C23BD9" w:rsidRDefault="00340E4E" w:rsidP="00E31D66">
            <w:pPr>
              <w:spacing w:after="0" w:line="240" w:lineRule="auto"/>
              <w:rPr>
                <w:sz w:val="18"/>
                <w:szCs w:val="18"/>
              </w:rPr>
            </w:pPr>
            <w:r w:rsidRPr="00C23BD9">
              <w:rPr>
                <w:sz w:val="18"/>
                <w:szCs w:val="18"/>
              </w:rPr>
              <w:t>upstream impacts allocated to raw milk and live animals based on IDF 2015 (</w:t>
            </w:r>
            <w:r w:rsidR="00E31D66" w:rsidRPr="00C23BD9">
              <w:rPr>
                <w:sz w:val="18"/>
                <w:szCs w:val="18"/>
              </w:rPr>
              <w:t>metabolic partitioning</w:t>
            </w:r>
            <w:r w:rsidRPr="00C23BD9">
              <w:rPr>
                <w:sz w:val="18"/>
                <w:szCs w:val="18"/>
              </w:rPr>
              <w:t xml:space="preserve">), manure and dead animals considered </w:t>
            </w:r>
            <w:r w:rsidR="00E31D66" w:rsidRPr="00C23BD9">
              <w:rPr>
                <w:sz w:val="18"/>
                <w:szCs w:val="18"/>
              </w:rPr>
              <w:t>“</w:t>
            </w:r>
            <w:r w:rsidRPr="00C23BD9">
              <w:rPr>
                <w:sz w:val="18"/>
                <w:szCs w:val="18"/>
              </w:rPr>
              <w:t>residues</w:t>
            </w:r>
            <w:r w:rsidR="00E31D66" w:rsidRPr="00C23BD9">
              <w:rPr>
                <w:sz w:val="18"/>
                <w:szCs w:val="18"/>
              </w:rPr>
              <w:t>”</w:t>
            </w:r>
            <w:r w:rsidRPr="00C23BD9">
              <w:rPr>
                <w:sz w:val="18"/>
                <w:szCs w:val="18"/>
              </w:rPr>
              <w:t xml:space="preserve"> with no allocation except when manure has economic value then economic allocation for manure but still biophy</w:t>
            </w:r>
            <w:r w:rsidR="00E31D66" w:rsidRPr="00C23BD9">
              <w:rPr>
                <w:sz w:val="18"/>
                <w:szCs w:val="18"/>
              </w:rPr>
              <w:t>sical for milk and live animals;</w:t>
            </w:r>
            <w:r w:rsidRPr="00C23BD9">
              <w:rPr>
                <w:sz w:val="18"/>
                <w:szCs w:val="18"/>
              </w:rPr>
              <w:t xml:space="preserve"> manure in anaerobic digester is residual and emissions of digester fully allocated t</w:t>
            </w:r>
            <w:r w:rsidR="00E31D66" w:rsidRPr="00C23BD9">
              <w:rPr>
                <w:sz w:val="18"/>
                <w:szCs w:val="18"/>
              </w:rPr>
              <w:t>o electricity and heat produced</w:t>
            </w:r>
            <w:r w:rsidRPr="00C23BD9">
              <w:rPr>
                <w:sz w:val="18"/>
                <w:szCs w:val="18"/>
              </w:rPr>
              <w:t xml:space="preserve">. </w:t>
            </w:r>
            <w:r w:rsidR="00E31D66" w:rsidRPr="00C23BD9">
              <w:rPr>
                <w:sz w:val="18"/>
                <w:szCs w:val="18"/>
              </w:rPr>
              <w:t>T</w:t>
            </w:r>
            <w:r w:rsidRPr="00C23BD9">
              <w:rPr>
                <w:sz w:val="18"/>
                <w:szCs w:val="18"/>
              </w:rPr>
              <w:t xml:space="preserve">ransportation of raw milk and distribution of packaged dairy products </w:t>
            </w:r>
            <w:r w:rsidR="00E31D66" w:rsidRPr="00C23BD9">
              <w:rPr>
                <w:sz w:val="18"/>
                <w:szCs w:val="18"/>
              </w:rPr>
              <w:t xml:space="preserve">allocated based on fresh mass. </w:t>
            </w:r>
          </w:p>
        </w:tc>
      </w:tr>
      <w:tr w:rsidR="00340E4E" w:rsidRPr="008427C7" w14:paraId="1CC22D2B" w14:textId="77777777" w:rsidTr="00DA1C73">
        <w:trPr>
          <w:trHeight w:val="290"/>
        </w:trPr>
        <w:tc>
          <w:tcPr>
            <w:tcW w:w="1164" w:type="dxa"/>
            <w:noWrap/>
            <w:vAlign w:val="center"/>
          </w:tcPr>
          <w:p w14:paraId="44EBB8F6" w14:textId="14327CE5" w:rsidR="00340E4E" w:rsidRPr="00BF29E4" w:rsidRDefault="00340E4E" w:rsidP="00C821FE">
            <w:pPr>
              <w:spacing w:after="0" w:line="240" w:lineRule="auto"/>
              <w:rPr>
                <w:sz w:val="18"/>
                <w:szCs w:val="18"/>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{"citationItems":[{"id":"ITEM-1","itemData":{"DOI":"10.1016/j.jenvman.2017.06.071","ISSN":"10958630","PMID":"28750283","abstract":"A major methodological issue for life cycle assessment, commonly used to quantify greenhouse gas emissions from livestock systems, is allocation from multifunctional processes. When a process produces more than one output, the environmental burden has to be assigned between the outputs, such as milk and meat from a dairy cow. In the absence of an objective function for choosing an allocation method, a decision must be made considering a range of factors, one of which is the availability and quality of necessary data. The objective of this study was to evaluate allocation methods to calculate the climate change impact of the economically average (€/ha) dairy farm in Ireland considering both milk and meat outputs, focusing specifically on the pedigree of the available data for each method. The methods were: economic, energy, protein, emergy, mass of liveweight, mass of carcass weight and physical causality. The data quality for each method was expressed using a pedigree score based on reliability of the source, completeness, temporal applicability, geographical alignment and technological appropriateness. Scenario analysis was used to compare the normalised impact per functional unit (FU) from the different allocation methods, between the best and worst third of farms (in economic terms, €/ha) in the national farm survey. For the average farm, the allocation factors for milk ranged from 75% (physical causality) to 89% (mass of carcass weight), which in turn resulted in an impact per FU, from 1.04 to 1.22 kg CO2-eq/kg (fat and protein corrected milk). Pedigree scores ranged from 6.0 to 17.1 with protein and economic allocation having the best pedigree. It was concluded that when making the choice of allocation method, the quality of the data available (pedigree) should be given greater emphasis during the decision making process because the effect of allocation on the results. A range of allocation methods could be deployed to understand the uncertainty associated with the decision.","author":[{"dropping-particle":"","family":"Rice","given":"P.","non-dropping-particle":"","parse-names":false,"suffix":""},{"dropping-particle":"","family":"O'Brien","given":"D.","non-dropping-particle":"","parse-names":false,"suffix":""},{"dropping-particle":"","family":"Shalloo","given":"L.","non-dropping-particle":"","parse-names":false,"suffix":""},{"dropping-particle":"","family":"Holden","given":"N. M.","non-dropping-particle":"","parse-names":false,"suffix":""}],"container-title":"Journal of Environmental Management","id":"ITEM-1","issued":{"date-parts":[["2017"]]},"page":"311-319","publisher":"Elsevier Ltd","title":"Evaluation of allocation methods for calculation of carbon footprint of grass-based dairy production","type":"article-journal","volume":"202"},"uris":["http://www.mendeley.com/documents/?uuid=6f3f47c0-dd31-4150-8aeb-0f4d5a98427a"]}],"mendeley":{"formattedCitation":"(Rice et al., 2017)","manualFormatting":"Rice et al. (2017)","plainTextFormattedCitation":"(Rice et al., 2017)","previouslyFormattedCitation":"&lt;sup&gt;38&lt;/sup&gt;"},"properties":{"noteIndex":0},"schema":"https://github.com/citation-style-language/schema/raw/master/csl-citation.json"}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 xml:space="preserve">Rice et al. </w:t>
            </w:r>
            <w:r w:rsidRPr="008427C7">
              <w:rPr>
                <w:rFonts w:ascii="Calibri" w:eastAsia="Times New Roman" w:hAnsi="Calibri" w:cs="Calibri"/>
                <w:noProof/>
                <w:color w:val="000000"/>
                <w:sz w:val="18"/>
                <w:szCs w:val="18"/>
                <w:lang w:eastAsia="en-CA"/>
              </w:rPr>
              <w:t>(2017)</w:t>
            </w:r>
            <w:r w:rsidRPr="00BF29E4">
              <w:rPr>
                <w:rFonts w:ascii="Calibri" w:eastAsia="Times New Roman" w:hAnsi="Calibri" w:cs="Calibri"/>
                <w:color w:val="000000"/>
                <w:sz w:val="18"/>
                <w:szCs w:val="18"/>
                <w:lang w:eastAsia="en-CA"/>
              </w:rPr>
              <w:fldChar w:fldCharType="end"/>
            </w:r>
          </w:p>
        </w:tc>
        <w:tc>
          <w:tcPr>
            <w:tcW w:w="1417" w:type="dxa"/>
            <w:noWrap/>
            <w:vAlign w:val="center"/>
          </w:tcPr>
          <w:p w14:paraId="22238278" w14:textId="77777777" w:rsidR="00340E4E" w:rsidRPr="008427C7" w:rsidRDefault="00340E4E" w:rsidP="00C821FE">
            <w:pPr>
              <w:spacing w:after="0" w:line="240" w:lineRule="auto"/>
              <w:rPr>
                <w:sz w:val="18"/>
                <w:szCs w:val="18"/>
              </w:rPr>
            </w:pPr>
            <w:r w:rsidRPr="008427C7">
              <w:rPr>
                <w:rFonts w:ascii="Calibri" w:eastAsia="Times New Roman" w:hAnsi="Calibri" w:cs="Calibri"/>
                <w:color w:val="000000"/>
                <w:sz w:val="18"/>
                <w:szCs w:val="18"/>
                <w:lang w:eastAsia="en-CA"/>
              </w:rPr>
              <w:t>dairy</w:t>
            </w:r>
          </w:p>
        </w:tc>
        <w:tc>
          <w:tcPr>
            <w:tcW w:w="3544" w:type="dxa"/>
            <w:noWrap/>
            <w:vAlign w:val="center"/>
          </w:tcPr>
          <w:p w14:paraId="47510BE9" w14:textId="77777777" w:rsidR="00340E4E" w:rsidRPr="008119C5" w:rsidRDefault="00340E4E" w:rsidP="00C821FE">
            <w:pPr>
              <w:spacing w:after="0" w:line="240" w:lineRule="auto"/>
              <w:rPr>
                <w:sz w:val="18"/>
                <w:szCs w:val="18"/>
              </w:rPr>
            </w:pPr>
            <w:r w:rsidRPr="008119C5">
              <w:rPr>
                <w:rFonts w:ascii="Calibri" w:eastAsia="Times New Roman" w:hAnsi="Calibri" w:cs="Calibri"/>
                <w:color w:val="000000"/>
                <w:sz w:val="18"/>
                <w:szCs w:val="18"/>
                <w:lang w:eastAsia="en-CA"/>
              </w:rPr>
              <w:t>meat and milk</w:t>
            </w:r>
          </w:p>
        </w:tc>
        <w:tc>
          <w:tcPr>
            <w:tcW w:w="4961" w:type="dxa"/>
            <w:noWrap/>
            <w:vAlign w:val="center"/>
          </w:tcPr>
          <w:p w14:paraId="0B42CD14" w14:textId="0275DD4F" w:rsidR="00340E4E" w:rsidRPr="00C23BD9" w:rsidRDefault="006E1132" w:rsidP="006E1132">
            <w:pPr>
              <w:spacing w:after="0" w:line="240" w:lineRule="auto"/>
              <w:rPr>
                <w:sz w:val="18"/>
                <w:szCs w:val="18"/>
              </w:rPr>
            </w:pPr>
            <w:r w:rsidRPr="00C23BD9">
              <w:rPr>
                <w:rFonts w:ascii="Calibri" w:eastAsia="Times New Roman" w:hAnsi="Calibri" w:cs="Calibri"/>
                <w:color w:val="000000"/>
                <w:sz w:val="18"/>
                <w:szCs w:val="18"/>
                <w:lang w:eastAsia="en-CA"/>
              </w:rPr>
              <w:t>compar</w:t>
            </w:r>
            <w:r w:rsidR="00340E4E" w:rsidRPr="00C23BD9">
              <w:rPr>
                <w:rFonts w:ascii="Calibri" w:eastAsia="Times New Roman" w:hAnsi="Calibri" w:cs="Calibri"/>
                <w:color w:val="000000"/>
                <w:sz w:val="18"/>
                <w:szCs w:val="18"/>
                <w:lang w:eastAsia="en-CA"/>
              </w:rPr>
              <w:t xml:space="preserve">ing methods: economic, energy, protein, </w:t>
            </w:r>
            <w:proofErr w:type="spellStart"/>
            <w:r w:rsidR="00340E4E" w:rsidRPr="00C23BD9">
              <w:rPr>
                <w:rFonts w:ascii="Calibri" w:eastAsia="Times New Roman" w:hAnsi="Calibri" w:cs="Calibri"/>
                <w:color w:val="000000"/>
                <w:sz w:val="18"/>
                <w:szCs w:val="18"/>
                <w:lang w:eastAsia="en-CA"/>
              </w:rPr>
              <w:t>emergy</w:t>
            </w:r>
            <w:proofErr w:type="spellEnd"/>
            <w:r w:rsidR="00340E4E" w:rsidRPr="00C23BD9">
              <w:rPr>
                <w:rFonts w:ascii="Calibri" w:eastAsia="Times New Roman" w:hAnsi="Calibri" w:cs="Calibri"/>
                <w:color w:val="000000"/>
                <w:sz w:val="18"/>
                <w:szCs w:val="18"/>
                <w:lang w:eastAsia="en-CA"/>
              </w:rPr>
              <w:t>, mass of liveweight, mass of carca</w:t>
            </w:r>
            <w:r w:rsidRPr="00C23BD9">
              <w:rPr>
                <w:rFonts w:ascii="Calibri" w:eastAsia="Times New Roman" w:hAnsi="Calibri" w:cs="Calibri"/>
                <w:color w:val="000000"/>
                <w:sz w:val="18"/>
                <w:szCs w:val="18"/>
                <w:lang w:eastAsia="en-CA"/>
              </w:rPr>
              <w:t xml:space="preserve">ss weight, physical causality </w:t>
            </w:r>
          </w:p>
        </w:tc>
      </w:tr>
      <w:tr w:rsidR="00340E4E" w:rsidRPr="008427C7" w14:paraId="6DF8F31F" w14:textId="77777777" w:rsidTr="00DA1C73">
        <w:trPr>
          <w:trHeight w:val="290"/>
        </w:trPr>
        <w:tc>
          <w:tcPr>
            <w:tcW w:w="1164" w:type="dxa"/>
            <w:noWrap/>
            <w:vAlign w:val="center"/>
          </w:tcPr>
          <w:p w14:paraId="604B873D" w14:textId="5A5003F5" w:rsidR="00340E4E" w:rsidRPr="00BF29E4" w:rsidRDefault="00340E4E" w:rsidP="00C821FE">
            <w:pPr>
              <w:spacing w:after="0" w:line="240" w:lineRule="auto"/>
              <w:rPr>
                <w:sz w:val="18"/>
                <w:szCs w:val="18"/>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{"citationItems":[{"id":"ITEM-1","itemData":{"DOI":"10.1016/j.rser.2021.111314","ISSN":"18790690","abstract":"Bio-circular strategies to improve production and consumption can be the answer to decrease the current environmental pressure of the dairy sector. Environmental impacts are related to the extensive fodder production with intense use of fertilizers, greenhouse gasses emission from cattle and fossil fuels. To understand and measure the burdens of a dairy production chain (particularly buffalo mozzarella cheese, a specialty of the Campania Region, Italy), the Life Cycle Assessment and Emergy accounting Applied Framework (LEAF) was applied. Many studies evaluated dairy systems using single methods, which are unable to capture all sustainable perspectives. The LEAF evaluation encompasses an Ex-ante LCA (Life Cycle Assessment) to identify the hotspots and suggest feasible improved scenarios of the investigated case study. Followed by EMA (EMergy Accounting) and Ex-post LCA applications, LEAF assures the feasibility of the proposed solutions and verifies the reduction of the environmental burdens towards increased sustainability. Two different scenarios were built based on the identified hotspots (cleaning products and electricity): (i) a technological improvement (dealing with cleaning processes methods), (ii) an eco-efficiency perspective (fossil energy replaced with renewable alternatives). Additionally, viewpoint shifting scenarios based on (iii) different allocation procedures were proposed to discuss crucial methodological issues. Results showed that technological improvements provide the best environmental performance, with lower emissions and better Emergy indicators, and better work conditions. However, the use of a more renewable electricity mix can deliver similar environmental gains. The change of perspective in the last scenario highlighted that multi-output issues should be carefully treated to avoid misleading results.","author":[{"dropping-particle":"","family":"Oliveira","given":"Mariana","non-dropping-particle":"","parse-names":false,"suffix":""},{"dropping-particle":"","family":"Cocozza","given":"Annalisa","non-dropping-particle":"","parse-names":false,"suffix":""},{"dropping-particle":"","family":"Zucaro","given":"Amalia","non-dropping-particle":"","parse-names":false,"suffix":""},{"dropping-particle":"","family":"Santagata","given":"Remo","non-dropping-particle":"","parse-names":false,"suffix":""},{"dropping-particle":"","family":"Ulgiati","given":"Sergio","non-dropping-particle":"","parse-names":false,"suffix":""}],"container-title":"Renewable and Sustainable Energy Reviews","id":"ITEM-1","issue":"May","issued":{"date-parts":[["2021"]]},"page":"111314","publisher":"Elsevier Ltd","title":"Circular economy in the agro-industry: Integrated environmental assessment of dairy products","type":"article-journal","volume":"148"},"uris":["http://www.mendeley.com/documents/?uuid=79a74be1-cada-4d79-9782-6503d0de3af5"]}],"mendeley":{"formattedCitation":"(Oliveira et al., 2021)","manualFormatting":"Oliveira et al. (2021)","plainTextFormattedCitation":"(Oliveira et al., 2021)","previouslyFormattedCitation":"&lt;sup&gt;39&lt;/sup&gt;"},"properties":{"noteIndex":0},"schema":"https://github.com/citation-style-language/schema/raw/master/csl-citation.json"}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 xml:space="preserve">Oliveira et al. </w:t>
            </w:r>
            <w:r w:rsidRPr="008427C7">
              <w:rPr>
                <w:rFonts w:ascii="Calibri" w:eastAsia="Times New Roman" w:hAnsi="Calibri" w:cs="Calibri"/>
                <w:noProof/>
                <w:color w:val="000000"/>
                <w:sz w:val="18"/>
                <w:szCs w:val="18"/>
                <w:lang w:eastAsia="en-CA"/>
              </w:rPr>
              <w:t>(2021)</w:t>
            </w:r>
            <w:r w:rsidRPr="00BF29E4">
              <w:rPr>
                <w:rFonts w:ascii="Calibri" w:eastAsia="Times New Roman" w:hAnsi="Calibri" w:cs="Calibri"/>
                <w:color w:val="000000"/>
                <w:sz w:val="18"/>
                <w:szCs w:val="18"/>
                <w:lang w:eastAsia="en-CA"/>
              </w:rPr>
              <w:fldChar w:fldCharType="end"/>
            </w:r>
          </w:p>
        </w:tc>
        <w:tc>
          <w:tcPr>
            <w:tcW w:w="1417" w:type="dxa"/>
            <w:noWrap/>
            <w:vAlign w:val="center"/>
          </w:tcPr>
          <w:p w14:paraId="4C9006FA" w14:textId="77777777" w:rsidR="00340E4E" w:rsidRPr="008427C7" w:rsidRDefault="00340E4E" w:rsidP="00C821FE">
            <w:pPr>
              <w:spacing w:after="0" w:line="240" w:lineRule="auto"/>
              <w:rPr>
                <w:sz w:val="18"/>
                <w:szCs w:val="18"/>
              </w:rPr>
            </w:pPr>
            <w:r w:rsidRPr="008427C7">
              <w:rPr>
                <w:rFonts w:ascii="Calibri" w:eastAsia="Times New Roman" w:hAnsi="Calibri" w:cs="Calibri"/>
                <w:color w:val="000000"/>
                <w:sz w:val="18"/>
                <w:szCs w:val="18"/>
                <w:lang w:eastAsia="en-CA"/>
              </w:rPr>
              <w:t>dairy</w:t>
            </w:r>
          </w:p>
        </w:tc>
        <w:tc>
          <w:tcPr>
            <w:tcW w:w="3544" w:type="dxa"/>
            <w:noWrap/>
            <w:vAlign w:val="center"/>
          </w:tcPr>
          <w:p w14:paraId="4C687A2A" w14:textId="77777777" w:rsidR="00340E4E" w:rsidRPr="008119C5" w:rsidRDefault="00340E4E" w:rsidP="00C821FE">
            <w:pPr>
              <w:spacing w:after="0" w:line="240" w:lineRule="auto"/>
              <w:rPr>
                <w:sz w:val="18"/>
                <w:szCs w:val="18"/>
              </w:rPr>
            </w:pPr>
            <w:r w:rsidRPr="008119C5">
              <w:rPr>
                <w:rFonts w:ascii="Calibri" w:eastAsia="Times New Roman" w:hAnsi="Calibri" w:cs="Calibri"/>
                <w:color w:val="000000"/>
                <w:sz w:val="18"/>
                <w:szCs w:val="18"/>
                <w:lang w:eastAsia="en-CA"/>
              </w:rPr>
              <w:t>livestock phase: raw buffalo milk, dead animals for meat, manure; cheese-making phase: buffalo mozzarella, hard cheese, ricotta, butter, semi-hard cheese, whey</w:t>
            </w:r>
          </w:p>
        </w:tc>
        <w:tc>
          <w:tcPr>
            <w:tcW w:w="4961" w:type="dxa"/>
            <w:noWrap/>
            <w:vAlign w:val="center"/>
          </w:tcPr>
          <w:p w14:paraId="5F2372D3" w14:textId="77777777" w:rsidR="00340E4E" w:rsidRPr="00C23BD9" w:rsidRDefault="00340E4E" w:rsidP="00C821FE">
            <w:pPr>
              <w:spacing w:after="0" w:line="240" w:lineRule="auto"/>
              <w:rPr>
                <w:sz w:val="18"/>
                <w:szCs w:val="18"/>
              </w:rPr>
            </w:pPr>
            <w:r w:rsidRPr="00C23BD9">
              <w:rPr>
                <w:rFonts w:ascii="Calibri" w:eastAsia="Times New Roman" w:hAnsi="Calibri" w:cs="Calibri"/>
                <w:color w:val="000000"/>
                <w:sz w:val="18"/>
                <w:szCs w:val="18"/>
                <w:lang w:eastAsia="en-CA"/>
              </w:rPr>
              <w:t>scenarios: no allocation to co-products, economic allocation, exergy allocation</w:t>
            </w:r>
          </w:p>
        </w:tc>
      </w:tr>
      <w:tr w:rsidR="00340E4E" w:rsidRPr="008427C7" w14:paraId="2EDE6FB6" w14:textId="77777777" w:rsidTr="00DA1C73">
        <w:trPr>
          <w:trHeight w:val="290"/>
        </w:trPr>
        <w:tc>
          <w:tcPr>
            <w:tcW w:w="1164" w:type="dxa"/>
            <w:noWrap/>
            <w:vAlign w:val="center"/>
          </w:tcPr>
          <w:p w14:paraId="0293F0BD" w14:textId="65B6B13E"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sz w:val="18"/>
                <w:szCs w:val="18"/>
              </w:rPr>
              <w:fldChar w:fldCharType="begin" w:fldLock="1"/>
            </w:r>
            <w:r w:rsidR="00C27421">
              <w:rPr>
                <w:sz w:val="18"/>
                <w:szCs w:val="18"/>
              </w:rPr>
              <w:instrText>ADDIN CSL_CITATION {"citationItems":[{"id":"ITEM-1","itemData":{"DOI":"10.1016/j.scitotenv.2018.08.142","ISSN":"18791026","PMID":"30340305","abstract":"The paper describes the general structure of the PMT_01 tool developed to assess the environmental impacts of different dairy products as Protected Designation of Origin (PDO) cheeses of Lombardy Region (Po Valley - Northern Italy) and High Quality fresh pasteurized milk in a cradle-to-distribution center gate approach. Based on the PEF Product Environmental Footprint (PEF) methodology, the authors aim to provide a useful instrument for technicians and researchers in the evaluation of the environmental load of dairy products, allowing the process-hotspots identification through 16 different impact categories. The tool requires a modest amount of data that can be easily collected at the farms and at the dairies. In order to test the tool's performance, the environmental impact of 10 g dry matter of Grana Padano PDO cheese was evaluated starting from the data of three different dairy farms used as “reference farming systems” and one dairy factory. A scenario and a sensitive analysis were also included in the study. The main contribution to most of the environmental impact categories was related to the raw milk production while the dairy factory process affected significantly only a few impact categories. The scenario analysis suggested that the anaerobic digestion could have a strong potential in the mitigation of the GHG emissions while the sensitive analysis confirmed that the choice of the allocation method at the dairy factory level is a key point in the methodological choices. Despite the test of the tool was done only on three farms and one dairy factory, the results were consistent with those of recent studies. Even if some improvements in the tool functionalities are needed, we believe that in the future it could be easily applied on a wider sample of farms and dairies, and used to guide the stakeholders through a responsible environmental strategy.","author":[{"dropping-particle":"","family":"Famiglietti","given":"Jacopo","non-dropping-particle":"","parse-names":false,"suffix":""},{"dropping-particle":"","family":"Guerci","given":"Matteo","non-dropping-particle":"","parse-names":false,"suffix":""},{"dropping-particle":"","family":"Proserpio","given":"Carlo","non-dropping-particle":"","parse-names":false,"suffix":""},{"dropping-particle":"","family":"Ravaglia","given":"Pieter","non-dropping-particle":"","parse-names":false,"suffix":""},{"dropping-particle":"","family":"Motta","given":"Mario","non-dropping-particle":"","parse-names":false,"suffix":""}],"container-title":"Science of the Total Environment","id":"ITEM-1","issued":{"date-parts":[["2019"]]},"page":"1614-1626","publisher":"Elsevier B.V.","title":"Development and testing of the Product Environmental Footprint Milk Tool: A comprehensive LCA tool for dairy products","type":"article-journal","volume":"648"},"uris":["http://www.mendeley.com/documents/?uuid=1e6ba87b-d28c-44ff-a5a3-e1900c11f0d9"]}],"mendeley":{"formattedCitation":"(Famiglietti et al., 2019)","manualFormatting":"Famiglietti et al. (2019)","plainTextFormattedCitation":"(Famiglietti et al., 2019)","previouslyFormattedCitation":"&lt;sup&gt;40&lt;/sup&gt;"},"properties":{"noteIndex":0},"schema":"https://github.com/citation-style-language/schema/raw/master/csl-citation.json"}</w:instrText>
            </w:r>
            <w:r w:rsidRPr="00BF29E4">
              <w:rPr>
                <w:sz w:val="18"/>
                <w:szCs w:val="18"/>
              </w:rPr>
              <w:fldChar w:fldCharType="separate"/>
            </w:r>
            <w:r w:rsidRPr="00BF29E4">
              <w:rPr>
                <w:noProof/>
                <w:sz w:val="18"/>
                <w:szCs w:val="18"/>
              </w:rPr>
              <w:t xml:space="preserve">Famiglietti et al. </w:t>
            </w:r>
            <w:r w:rsidRPr="008427C7">
              <w:rPr>
                <w:noProof/>
                <w:sz w:val="18"/>
                <w:szCs w:val="18"/>
              </w:rPr>
              <w:t>(2019)</w:t>
            </w:r>
            <w:r w:rsidRPr="00BF29E4">
              <w:rPr>
                <w:sz w:val="18"/>
                <w:szCs w:val="18"/>
              </w:rPr>
              <w:fldChar w:fldCharType="end"/>
            </w:r>
          </w:p>
        </w:tc>
        <w:tc>
          <w:tcPr>
            <w:tcW w:w="1417" w:type="dxa"/>
            <w:noWrap/>
            <w:vAlign w:val="center"/>
          </w:tcPr>
          <w:p w14:paraId="00873B89"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sz w:val="18"/>
                <w:szCs w:val="18"/>
              </w:rPr>
              <w:t>milk</w:t>
            </w:r>
          </w:p>
        </w:tc>
        <w:tc>
          <w:tcPr>
            <w:tcW w:w="3544" w:type="dxa"/>
            <w:noWrap/>
            <w:vAlign w:val="center"/>
          </w:tcPr>
          <w:p w14:paraId="5F03A513" w14:textId="77777777" w:rsidR="00340E4E" w:rsidRPr="008119C5" w:rsidRDefault="00340E4E" w:rsidP="00C821FE">
            <w:pPr>
              <w:spacing w:after="0" w:line="240" w:lineRule="auto"/>
              <w:rPr>
                <w:rFonts w:ascii="Calibri" w:eastAsia="Times New Roman" w:hAnsi="Calibri" w:cs="Calibri"/>
                <w:color w:val="000000"/>
                <w:sz w:val="18"/>
                <w:szCs w:val="18"/>
                <w:lang w:eastAsia="en-CA"/>
              </w:rPr>
            </w:pPr>
            <w:r w:rsidRPr="008119C5">
              <w:rPr>
                <w:sz w:val="18"/>
                <w:szCs w:val="18"/>
              </w:rPr>
              <w:t xml:space="preserve"> milk and meat; dairy co-products</w:t>
            </w:r>
          </w:p>
        </w:tc>
        <w:tc>
          <w:tcPr>
            <w:tcW w:w="4961" w:type="dxa"/>
            <w:noWrap/>
            <w:vAlign w:val="center"/>
          </w:tcPr>
          <w:p w14:paraId="29E0C47B" w14:textId="77777777" w:rsidR="00340E4E" w:rsidRPr="00C23BD9" w:rsidRDefault="00340E4E" w:rsidP="00C821FE">
            <w:pPr>
              <w:spacing w:after="0" w:line="240" w:lineRule="auto"/>
              <w:rPr>
                <w:rFonts w:ascii="Calibri" w:eastAsia="Times New Roman" w:hAnsi="Calibri" w:cs="Calibri"/>
                <w:color w:val="000000"/>
                <w:sz w:val="18"/>
                <w:szCs w:val="18"/>
                <w:lang w:eastAsia="en-CA"/>
              </w:rPr>
            </w:pPr>
            <w:r w:rsidRPr="00C23BD9">
              <w:rPr>
                <w:sz w:val="18"/>
                <w:szCs w:val="18"/>
              </w:rPr>
              <w:t>biophysical for milk and meat at farm gate; dry mass for dairy products and by-products; sensitivity analysis of fat and protein content and economic allocation</w:t>
            </w:r>
          </w:p>
        </w:tc>
      </w:tr>
      <w:tr w:rsidR="00340E4E" w:rsidRPr="008427C7" w14:paraId="718CF40E" w14:textId="77777777" w:rsidTr="00DA1C73">
        <w:trPr>
          <w:trHeight w:val="290"/>
        </w:trPr>
        <w:tc>
          <w:tcPr>
            <w:tcW w:w="1164" w:type="dxa"/>
            <w:noWrap/>
            <w:vAlign w:val="center"/>
          </w:tcPr>
          <w:p w14:paraId="26706878" w14:textId="65E12A32" w:rsidR="00340E4E" w:rsidRPr="00BF29E4" w:rsidRDefault="00340E4E" w:rsidP="00C821FE">
            <w:pPr>
              <w:spacing w:after="0" w:line="240" w:lineRule="auto"/>
              <w:rPr>
                <w:sz w:val="18"/>
                <w:szCs w:val="18"/>
              </w:rPr>
            </w:pPr>
            <w:r w:rsidRPr="00BF29E4">
              <w:rPr>
                <w:sz w:val="18"/>
                <w:szCs w:val="18"/>
              </w:rPr>
              <w:fldChar w:fldCharType="begin" w:fldLock="1"/>
            </w:r>
            <w:r w:rsidR="00C27421">
              <w:rPr>
                <w:sz w:val="18"/>
                <w:szCs w:val="18"/>
              </w:rPr>
              <w:instrText>ADDIN CSL_CITATION {"citationItems":[{"id":"ITEM-1","itemData":{"DOI":"10.1007/s11356-021-17317-5","ISBN":"0123456789","ISSN":"16147499","abstract":"The environmental performance of cow milk produced in a conventional semi-intensive system was assessed using a cradle-to-farm gate attributional life cycle assessment. The impacts of 1 kg FPCM—fat and protein corrected milk were obtained considering six midpoint impact categories from the ReCiPe 2016 method: climate change (CC), terrestrial acidification (TA), freshwater eutrophication (FE), land use (LU), water consumption (WC), and fossil resource scarcity (FRS). The modeling of the product system and calculating the environmental impacts considered the use of SimaPro™ software. Enteric methane and nitrogen emissions and inputs for feeding animals (fertilization for pasture production, use of seed in corn crops, and milk replacer in calves feed) were the main contributors to impacts in milk production in most categories. In addition, the indirect energy use and wastewater generation in milking and milk cooling also were relevant. Literature-based strategies are suggested to mitigate the identified environmental impacts to achieve the best environmental performance without decreasing technical and quality milk production. We emphasize the importance of improving productivity per milk cow, knowing the origin of the supply chain inputs, and using it efficiently to produce animal feeds as the main strategies to improve milk's environmental performance. Changes in allocation methods did not substantially differ in impact categories. Sensitivity analysis foregrounds the consistency of results and conclusions of the current study despite the uncertainties associated with methodological choices, simplifications, suppositions, and the use and adaptation of international databases.","author":[{"dropping-particle":"","family":"Carvalho","given":"Laurine Santos","non-dropping-particle":"","parse-names":false,"suffix":""},{"dropping-particle":"","family":"Willers","given":"Camila Daniele","non-dropping-particle":"","parse-names":false,"suffix":""},{"dropping-particle":"","family":"Soares","given":"Bruna Borges","non-dropping-particle":"","parse-names":false,"suffix":""},{"dropping-particle":"","family":"Nogueira","given":"Alex Rodrigues","non-dropping-particle":"","parse-names":false,"suffix":""},{"dropping-particle":"","family":"Almeida Neto","given":"José Adolfo","non-dropping-particle":"de","parse-names":false,"suffix":""},{"dropping-particle":"","family":"Rodrigues","given":"Luciano Brito","non-dropping-particle":"","parse-names":false,"suffix":""}],"container-title":"Environmental Science and Pollution Research","id":"ITEM-1","issue":"0123456789","issued":{"date-parts":[["2021"]]},"publisher":"Springer Berlin Heidelberg","title":"Environmental life cycle assessment of cow milk in a conventional semi-intensive Brazilian production system","type":"article-journal"},"uris":["http://www.mendeley.com/documents/?uuid=733408f2-d9ec-4c52-99ea-95b55828e873"]}],"mendeley":{"formattedCitation":"(Carvalho et al., 2021)","manualFormatting":"Carvalho et al. (2021)","plainTextFormattedCitation":"(Carvalho et al., 2021)","previouslyFormattedCitation":"&lt;sup&gt;41&lt;/sup&gt;"},"properties":{"noteIndex":0},"schema":"https://github.com/citation-style-language/schema/raw/master/csl-citation.json"}</w:instrText>
            </w:r>
            <w:r w:rsidRPr="00BF29E4">
              <w:rPr>
                <w:sz w:val="18"/>
                <w:szCs w:val="18"/>
              </w:rPr>
              <w:fldChar w:fldCharType="separate"/>
            </w:r>
            <w:r w:rsidRPr="00BF29E4">
              <w:rPr>
                <w:noProof/>
                <w:sz w:val="18"/>
                <w:szCs w:val="18"/>
              </w:rPr>
              <w:t xml:space="preserve">Carvalho et al. </w:t>
            </w:r>
            <w:r w:rsidRPr="008427C7">
              <w:rPr>
                <w:noProof/>
                <w:sz w:val="18"/>
                <w:szCs w:val="18"/>
              </w:rPr>
              <w:t>(2021)</w:t>
            </w:r>
            <w:r w:rsidRPr="00BF29E4">
              <w:rPr>
                <w:sz w:val="18"/>
                <w:szCs w:val="18"/>
              </w:rPr>
              <w:fldChar w:fldCharType="end"/>
            </w:r>
          </w:p>
        </w:tc>
        <w:tc>
          <w:tcPr>
            <w:tcW w:w="1417" w:type="dxa"/>
            <w:noWrap/>
            <w:vAlign w:val="center"/>
          </w:tcPr>
          <w:p w14:paraId="416484C8" w14:textId="77777777" w:rsidR="00340E4E" w:rsidRPr="008427C7" w:rsidRDefault="00340E4E" w:rsidP="00C821FE">
            <w:pPr>
              <w:spacing w:after="0" w:line="240" w:lineRule="auto"/>
              <w:rPr>
                <w:sz w:val="18"/>
                <w:szCs w:val="18"/>
              </w:rPr>
            </w:pPr>
            <w:r w:rsidRPr="008427C7">
              <w:rPr>
                <w:sz w:val="18"/>
                <w:szCs w:val="18"/>
              </w:rPr>
              <w:t>milk</w:t>
            </w:r>
          </w:p>
        </w:tc>
        <w:tc>
          <w:tcPr>
            <w:tcW w:w="3544" w:type="dxa"/>
            <w:noWrap/>
            <w:vAlign w:val="center"/>
          </w:tcPr>
          <w:p w14:paraId="4846C78B" w14:textId="77777777" w:rsidR="00340E4E" w:rsidRPr="008119C5" w:rsidRDefault="00340E4E" w:rsidP="00C821FE">
            <w:pPr>
              <w:spacing w:after="0" w:line="240" w:lineRule="auto"/>
              <w:rPr>
                <w:sz w:val="18"/>
                <w:szCs w:val="18"/>
              </w:rPr>
            </w:pPr>
            <w:r w:rsidRPr="008119C5">
              <w:rPr>
                <w:sz w:val="18"/>
                <w:szCs w:val="18"/>
              </w:rPr>
              <w:t>milk, meat</w:t>
            </w:r>
          </w:p>
        </w:tc>
        <w:tc>
          <w:tcPr>
            <w:tcW w:w="4961" w:type="dxa"/>
            <w:noWrap/>
            <w:vAlign w:val="center"/>
          </w:tcPr>
          <w:p w14:paraId="5E6205FF" w14:textId="77777777" w:rsidR="00340E4E" w:rsidRPr="00C23BD9" w:rsidRDefault="00340E4E" w:rsidP="00C821FE">
            <w:pPr>
              <w:spacing w:after="0" w:line="240" w:lineRule="auto"/>
              <w:rPr>
                <w:sz w:val="18"/>
                <w:szCs w:val="18"/>
              </w:rPr>
            </w:pPr>
            <w:r w:rsidRPr="00C23BD9">
              <w:rPr>
                <w:sz w:val="18"/>
                <w:szCs w:val="18"/>
              </w:rPr>
              <w:t>biophysical and economic, no allocation</w:t>
            </w:r>
          </w:p>
        </w:tc>
      </w:tr>
      <w:tr w:rsidR="00340E4E" w:rsidRPr="008427C7" w14:paraId="56F97BE5" w14:textId="77777777" w:rsidTr="00DA1C73">
        <w:trPr>
          <w:trHeight w:val="290"/>
        </w:trPr>
        <w:tc>
          <w:tcPr>
            <w:tcW w:w="1164" w:type="dxa"/>
            <w:noWrap/>
            <w:vAlign w:val="center"/>
          </w:tcPr>
          <w:p w14:paraId="477BB6EB" w14:textId="1642764C" w:rsidR="00340E4E" w:rsidRPr="00BF29E4" w:rsidRDefault="00340E4E" w:rsidP="00C821FE">
            <w:pPr>
              <w:spacing w:after="0" w:line="240" w:lineRule="auto"/>
              <w:rPr>
                <w:sz w:val="18"/>
                <w:szCs w:val="18"/>
              </w:rPr>
            </w:pPr>
            <w:r w:rsidRPr="00BF29E4">
              <w:rPr>
                <w:sz w:val="18"/>
                <w:szCs w:val="18"/>
              </w:rPr>
              <w:fldChar w:fldCharType="begin" w:fldLock="1"/>
            </w:r>
            <w:r w:rsidR="00C27421">
              <w:rPr>
                <w:sz w:val="18"/>
                <w:szCs w:val="18"/>
              </w:rPr>
              <w:instrText>ADDIN CSL_CITATION {"citationItems":[{"id":"ITEM-1","itemData":{"DOI":"10.3168/jds.2016-12325","ISSN":"15253198","PMID":"28601442","abstract":"Dairy products are major components of the human diet but are also important contributors to global environmental impacts. This study evaluated greenhouse gas (GHG) emissions, net energy intensity (NEI), and land use of confined dairy systems with increasing levels of pasture in the diet. A Wisconsin farm was modeled to represent practices adopted by dairy operations in a humid continental climate typical in the Great Lakes region and other climates that have large differences in seasonal temperatures. Five grazing scenarios (all of which contained some portion of confinement) were modeled based on different concentrations of dry matter intake from pasture and feed supplementation from corn grain, corn silage, and soybean meal. Scenarios that incorporate grazing consisted of 5 mo of pasture feeding from May to September and 7 mo of confined feeding from October to April. Environmental impacts were compared within the 5 scenarios that incorporate grazing and across 2 entirely confined scenarios with and without on-farm electricity production through anaerobic digestion (AD). To conduct a fair comparison, all scenarios were evaluated based on the same total amount of milk produced per day where resource inputs were adjusted according to the characteristics of each scenario. A cradle-to-farm gate life cycle assessment evaluated the environmental burdens that were partitioned by allocation between milk and meat and by system expansion when biogas-based electricity was produced. Overall, results for all scenarios were comparable. Enteric methane was the greatest contributor to GHG emissions, and the production of crops was the most energy-intense process. For the confined scenario without AD, GHG emissions were 0.87 kg of CO2 equivalents, NEI was 1.59 MJ, and land use was 1.59 m2/kg of fat- and protein-corrected milk (FPCM). Anaerobic digestion significantly reduced emissions to 0.28 kg of CO2 equivalents/kg of FPCM and reduced NEI to −1.26 MJ/kg of FPCM, indicating a net energy producing system and highlighting the potential of AD to improve the sustainability of confined systems. For scenarios that combined confinement and grazing, GHG emissions ranged from 0.84 to 0.92 kg of CO2 equivalents, NEI ranged from 1.42 to 1.59 MJ, and land use ranged from 1.19 to 1.26 m2/kg of FPCM. All environmental impacts were minimized in scenarios that supplemented enough feed to increase milk yield but maintained dry matter intake from pasture at a level high enough to red…","author":[{"dropping-particle":"","family":"Aguirre-Villegas","given":"H. A.","non-dropping-particle":"","parse-names":false,"suffix":""},{"dropping-particle":"","family":"Passos-Fonseca","given":"T. H.","non-dropping-particle":"","parse-names":false,"suffix":""},{"dropping-particle":"","family":"Reinemann","given":"D. J.","non-dropping-particle":"","parse-names":false,"suffix":""},{"dropping-particle":"","family":"Larson","given":"R.","non-dropping-particle":"","parse-names":false,"suffix":""}],"container-title":"Journal of Dairy Science","id":"ITEM-1","issue":"8","issued":{"date-parts":[["2017"]]},"page":"6804-6821","publisher":"American Dairy Science Association","title":"Grazing intensity affects the environmental impact of dairy systems","type":"article-journal","volume":"100"},"uris":["http://www.mendeley.com/documents/?uuid=81653107-6740-439d-9c0a-4bedcd108704"]}],"mendeley":{"formattedCitation":"(Aguirre-Villegas et al., 2017)","manualFormatting":"Aguirre-Villegas et al. (2017)","plainTextFormattedCitation":"(Aguirre-Villegas et al., 2017)","previouslyFormattedCitation":"&lt;sup&gt;42&lt;/sup&gt;"},"properties":{"noteIndex":0},"schema":"https://github.com/citation-style-language/schema/raw/master/csl-citation.json"}</w:instrText>
            </w:r>
            <w:r w:rsidRPr="00BF29E4">
              <w:rPr>
                <w:sz w:val="18"/>
                <w:szCs w:val="18"/>
              </w:rPr>
              <w:fldChar w:fldCharType="separate"/>
            </w:r>
            <w:r w:rsidRPr="00BF29E4">
              <w:rPr>
                <w:noProof/>
                <w:sz w:val="18"/>
                <w:szCs w:val="18"/>
              </w:rPr>
              <w:t>Aguirre-</w:t>
            </w:r>
            <w:r w:rsidRPr="008427C7">
              <w:rPr>
                <w:noProof/>
                <w:sz w:val="18"/>
                <w:szCs w:val="18"/>
              </w:rPr>
              <w:t>Villegas et al. (2017)</w:t>
            </w:r>
            <w:r w:rsidRPr="00BF29E4">
              <w:rPr>
                <w:sz w:val="18"/>
                <w:szCs w:val="18"/>
              </w:rPr>
              <w:fldChar w:fldCharType="end"/>
            </w:r>
          </w:p>
        </w:tc>
        <w:tc>
          <w:tcPr>
            <w:tcW w:w="1417" w:type="dxa"/>
            <w:noWrap/>
            <w:vAlign w:val="center"/>
          </w:tcPr>
          <w:p w14:paraId="70253CB2" w14:textId="77777777" w:rsidR="00340E4E" w:rsidRPr="008427C7" w:rsidRDefault="00340E4E" w:rsidP="00C821FE">
            <w:pPr>
              <w:spacing w:after="0" w:line="240" w:lineRule="auto"/>
              <w:rPr>
                <w:sz w:val="18"/>
                <w:szCs w:val="18"/>
              </w:rPr>
            </w:pPr>
            <w:r w:rsidRPr="008427C7">
              <w:rPr>
                <w:sz w:val="18"/>
                <w:szCs w:val="18"/>
              </w:rPr>
              <w:t>dairy</w:t>
            </w:r>
          </w:p>
        </w:tc>
        <w:tc>
          <w:tcPr>
            <w:tcW w:w="3544" w:type="dxa"/>
            <w:noWrap/>
            <w:vAlign w:val="center"/>
          </w:tcPr>
          <w:p w14:paraId="5F966502" w14:textId="77777777" w:rsidR="00340E4E" w:rsidRPr="008119C5" w:rsidRDefault="00340E4E" w:rsidP="00C821FE">
            <w:pPr>
              <w:spacing w:after="0" w:line="240" w:lineRule="auto"/>
              <w:rPr>
                <w:sz w:val="18"/>
                <w:szCs w:val="18"/>
              </w:rPr>
            </w:pPr>
            <w:r w:rsidRPr="008119C5">
              <w:rPr>
                <w:sz w:val="18"/>
                <w:szCs w:val="18"/>
              </w:rPr>
              <w:t>crops: soybean meal and oil, outputs: milk, meat, biogas-based electricity</w:t>
            </w:r>
          </w:p>
        </w:tc>
        <w:tc>
          <w:tcPr>
            <w:tcW w:w="4961" w:type="dxa"/>
            <w:noWrap/>
            <w:vAlign w:val="center"/>
          </w:tcPr>
          <w:p w14:paraId="27ADF0BE" w14:textId="01F106D6" w:rsidR="00340E4E" w:rsidRPr="00C23BD9" w:rsidRDefault="00340E4E" w:rsidP="00C821FE">
            <w:pPr>
              <w:spacing w:after="0" w:line="240" w:lineRule="auto"/>
              <w:rPr>
                <w:sz w:val="18"/>
                <w:szCs w:val="18"/>
              </w:rPr>
            </w:pPr>
            <w:r w:rsidRPr="00C23BD9">
              <w:rPr>
                <w:sz w:val="18"/>
                <w:szCs w:val="18"/>
              </w:rPr>
              <w:t xml:space="preserve">system expansion for electricity; mass for soybean meal and oil; nutritional content (protein and fat) for milk </w:t>
            </w:r>
            <w:r w:rsidR="007257C5" w:rsidRPr="00C23BD9">
              <w:rPr>
                <w:sz w:val="18"/>
                <w:szCs w:val="18"/>
              </w:rPr>
              <w:t>and meat</w:t>
            </w:r>
          </w:p>
        </w:tc>
      </w:tr>
      <w:tr w:rsidR="00340E4E" w:rsidRPr="008427C7" w14:paraId="60841974" w14:textId="77777777" w:rsidTr="00DA1C73">
        <w:trPr>
          <w:trHeight w:val="290"/>
        </w:trPr>
        <w:tc>
          <w:tcPr>
            <w:tcW w:w="1164" w:type="dxa"/>
            <w:noWrap/>
            <w:vAlign w:val="center"/>
          </w:tcPr>
          <w:p w14:paraId="3C12D5FC" w14:textId="3C5C2C5F" w:rsidR="00340E4E" w:rsidRPr="00BF29E4" w:rsidRDefault="00340E4E" w:rsidP="00C821FE">
            <w:pPr>
              <w:spacing w:after="0" w:line="240" w:lineRule="auto"/>
              <w:rPr>
                <w:sz w:val="18"/>
                <w:szCs w:val="18"/>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{"citationItems":[{"id":"ITEM-1","itemData":{"DOI":"10.3168/jds.2016-12396","ISSN":"15253198","PMID":"28780094","abstract":"The present study investigated a cradle-to-grave life cycle assessment to estimate the environmental impacts associated with Italian mozzarella cheese consumption. The differences between mozzarella produced from raw milk and mozzarella produced from curd were studied, and differences in manufacturing processes have been emphasized in order to provide guidance for targeted improvements at this phase. Specifically, the third-largest Italian mozzarella producer was surveyed to collect site-specific manufacturing data. The Ecoinvent v3.2 database was used for secondary data, whereas SimaPro 8.1 was the modeling software. The inventory included inputs from farm activities to end of life disposal of wasted mozzarella and packaging. Additionally, plant-specific information was used to assign major inputs, such as electricity, natural gas, packaging, and chemicals to specific products; however, where disaggregated information was not provided, milk solids allocation was applied. Notably, loss of milk solids was accounted during the manufacture, moreover mozzarella waste and transport were considered during distribution, retail, and consumption phases. Feed production and animal emissions were the main drivers of raw milk production. Electricity and natural gas usage, packaging (cardboard and plastic), transport, wastewater treatment, and refrigerant loss affected the emissions from a farm gate-to-dairy plant gate perspective. Post-dairy plant gate effects were mainly determined by electricity usage for storage of mozzarella, transport of mozzarella, and waste treatment. The average emissions were 6.66 kg of CO2 equivalents and 45.1 MJ of cumulative energy demand/kg of consumed mozzarella produced directly from raw milk, whereas mozzarella from purchased curd had larger emissions than mozzarella from raw milk due to added transport of curd from specialty manufacturing plants, as well as electricity usage from additional processes at the mozzarella plant that are required to process the curd into mozzarella. Normalization points to ecotoxicity as the impact category most significantly influenced by mozzarella consumption. From a farm gate-to-grave perspective, ecotoxicity and freshwater and marine eutrophication are the first and second largest contributors of mozzarella consumption to average European effects, respectively. To increase environmental sustainability, an improvement of efficiency for energy and packaging usage and transport activities is recommend…","author":[{"dropping-particle":"","family":"Dalla Riva","given":"A.","non-dropping-particle":"","parse-names":false,"suffix":""},{"dropping-particle":"","family":"Burek","given":"J.","non-dropping-particle":"","parse-names":false,"suffix":""},{"dropping-particle":"","family":"Kim","given":"D.","non-dropping-particle":"","parse-names":false,"suffix":""},{"dropping-particle":"","family":"Thoma","given":"G.","non-dropping-particle":"","parse-names":false,"suffix":""},{"dropping-particle":"","family":"Cassandro","given":"M.","non-dropping-particle":"","parse-names":false,"suffix":""},{"dropping-particle":"","family":"Marchi","given":"M.","non-dropping-particle":"De","parse-names":false,"suffix":""}],"container-title":"Journal of Dairy Science","id":"ITEM-1","issue":"10","issued":{"date-parts":[["2017"]]},"page":"7933-7952","publisher":"American Dairy Science Association","title":"Environmental life cycle assessment of Italian mozzarella cheese: Hotspots and improvement opportunities","type":"article-journal","volume":"100"},"uris":["http://www.mendeley.com/documents/?uuid=0f196d1f-a474-44fa-8bac-e37785b95aae"]}],"mendeley":{"formattedCitation":"(Dalla Riva et al., 2017)","manualFormatting":"Dalla Riva et al. (2017)","plainTextFormattedCitation":"(Dalla Riva et al., 2017)","previouslyFormattedCitation":"&lt;sup&gt;43&lt;/sup&gt;"},"properties":{"noteIndex":0},"schema":"https://github.com/citation-style-language/schema/raw/master/csl-citation.json"}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Dalla Riva et al.</w:t>
            </w:r>
            <w:r w:rsidRPr="008427C7">
              <w:rPr>
                <w:rFonts w:ascii="Calibri" w:eastAsia="Times New Roman" w:hAnsi="Calibri" w:cs="Calibri"/>
                <w:noProof/>
                <w:color w:val="000000"/>
                <w:sz w:val="18"/>
                <w:szCs w:val="18"/>
                <w:lang w:eastAsia="en-CA"/>
              </w:rPr>
              <w:t xml:space="preserve"> (2017)</w:t>
            </w:r>
            <w:r w:rsidRPr="00BF29E4">
              <w:rPr>
                <w:rFonts w:ascii="Calibri" w:eastAsia="Times New Roman" w:hAnsi="Calibri" w:cs="Calibri"/>
                <w:color w:val="000000"/>
                <w:sz w:val="18"/>
                <w:szCs w:val="18"/>
                <w:lang w:eastAsia="en-CA"/>
              </w:rPr>
              <w:fldChar w:fldCharType="end"/>
            </w:r>
          </w:p>
        </w:tc>
        <w:tc>
          <w:tcPr>
            <w:tcW w:w="1417" w:type="dxa"/>
            <w:noWrap/>
            <w:vAlign w:val="center"/>
          </w:tcPr>
          <w:p w14:paraId="39A7FD90" w14:textId="77777777" w:rsidR="00340E4E" w:rsidRPr="008427C7" w:rsidRDefault="00340E4E" w:rsidP="00C821FE">
            <w:pPr>
              <w:spacing w:after="0" w:line="240" w:lineRule="auto"/>
              <w:rPr>
                <w:sz w:val="18"/>
                <w:szCs w:val="18"/>
              </w:rPr>
            </w:pPr>
            <w:r w:rsidRPr="008427C7">
              <w:rPr>
                <w:rFonts w:ascii="Calibri" w:eastAsia="Times New Roman" w:hAnsi="Calibri" w:cs="Calibri"/>
                <w:color w:val="000000"/>
                <w:sz w:val="18"/>
                <w:szCs w:val="18"/>
                <w:lang w:eastAsia="en-CA"/>
              </w:rPr>
              <w:t>cheese</w:t>
            </w:r>
          </w:p>
        </w:tc>
        <w:tc>
          <w:tcPr>
            <w:tcW w:w="3544" w:type="dxa"/>
            <w:noWrap/>
            <w:vAlign w:val="center"/>
          </w:tcPr>
          <w:p w14:paraId="7CB74F0E" w14:textId="77777777" w:rsidR="00340E4E" w:rsidRPr="008119C5" w:rsidRDefault="00340E4E" w:rsidP="00C821FE">
            <w:pPr>
              <w:spacing w:after="0" w:line="240" w:lineRule="auto"/>
              <w:rPr>
                <w:sz w:val="18"/>
                <w:szCs w:val="18"/>
              </w:rPr>
            </w:pPr>
            <w:r w:rsidRPr="008119C5">
              <w:rPr>
                <w:rFonts w:ascii="Calibri" w:eastAsia="Times New Roman" w:hAnsi="Calibri" w:cs="Calibri"/>
                <w:color w:val="000000"/>
                <w:sz w:val="18"/>
                <w:szCs w:val="18"/>
                <w:lang w:eastAsia="en-CA"/>
              </w:rPr>
              <w:t>mozzarella and co-products; milk and animal live weight</w:t>
            </w:r>
          </w:p>
        </w:tc>
        <w:tc>
          <w:tcPr>
            <w:tcW w:w="4961" w:type="dxa"/>
            <w:noWrap/>
            <w:vAlign w:val="center"/>
          </w:tcPr>
          <w:p w14:paraId="1F60D2CF" w14:textId="77777777" w:rsidR="00340E4E" w:rsidRPr="00C23BD9" w:rsidRDefault="00340E4E" w:rsidP="00C821FE">
            <w:pPr>
              <w:spacing w:after="0" w:line="240" w:lineRule="auto"/>
              <w:rPr>
                <w:sz w:val="18"/>
                <w:szCs w:val="18"/>
              </w:rPr>
            </w:pPr>
            <w:proofErr w:type="gramStart"/>
            <w:r w:rsidRPr="00C23BD9">
              <w:rPr>
                <w:rFonts w:ascii="Calibri" w:eastAsia="Times New Roman" w:hAnsi="Calibri" w:cs="Calibri"/>
                <w:color w:val="000000"/>
                <w:sz w:val="18"/>
                <w:szCs w:val="18"/>
                <w:lang w:eastAsia="en-CA"/>
              </w:rPr>
              <w:t>subdivision</w:t>
            </w:r>
            <w:proofErr w:type="gramEnd"/>
            <w:r w:rsidRPr="00C23BD9">
              <w:rPr>
                <w:rFonts w:ascii="Calibri" w:eastAsia="Times New Roman" w:hAnsi="Calibri" w:cs="Calibri"/>
                <w:color w:val="000000"/>
                <w:sz w:val="18"/>
                <w:szCs w:val="18"/>
                <w:lang w:eastAsia="en-CA"/>
              </w:rPr>
              <w:t xml:space="preserve"> when possible, then milk solids allocation; energy content of feed to produce each product for milk and animal live weight</w:t>
            </w:r>
          </w:p>
        </w:tc>
      </w:tr>
      <w:tr w:rsidR="00340E4E" w:rsidRPr="008427C7" w14:paraId="618EEEB9" w14:textId="77777777" w:rsidTr="00DA1C73">
        <w:trPr>
          <w:trHeight w:val="290"/>
        </w:trPr>
        <w:tc>
          <w:tcPr>
            <w:tcW w:w="1164" w:type="dxa"/>
            <w:noWrap/>
            <w:vAlign w:val="center"/>
          </w:tcPr>
          <w:p w14:paraId="46D15134" w14:textId="5802888F" w:rsidR="00340E4E" w:rsidRPr="00BF29E4" w:rsidRDefault="00340E4E" w:rsidP="00C821FE">
            <w:pPr>
              <w:spacing w:after="0" w:line="240" w:lineRule="auto"/>
              <w:rPr>
                <w:sz w:val="18"/>
                <w:szCs w:val="18"/>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{"citationItems":[{"id":"ITEM-1","itemData":{"DOI":"10.1016/j.agsy.2018.01.026","ISSN":"0308521X","abstract":"Many of the climate change mitigation options for dairy systems that aim at optimizing milk production imply a reduced output of meat from these systems. The objective of this study was to evaluate effectiveness of a number of mitigation strategies for dairy systems, taking into account compensation for changes in the amount of beef produced. Four commonly used mitigation strategies for dairy systems were evaluated using an LCA modelling approach: increasing the milk production per cow, extending the productive life span of cows, increasing the calving interval, and changing breed from Holstein Friesian to Jersey. The Dutch dairy system was taken as a case study. For each scenario, analyses were done in two steps. First, effects of the mitigation strategy on production of milk and carcass weight from the dairy system were calculated. Second, GHG emission intensities were calculated for three different functional units (FU): one kg of fat and protein corrected milk (FPCM), one kg of carcass weight (CW), and a fixed amount of milk and beef (i.e. 1 kg FPCM and 40 g CW). In the third FU, in case the amount of CW produced by the dairy system was lower than 40 g per kg FPCM, the remainder was compensated by CW produced in pure beef systems, assuming a GHG emission intensity of 30 kg CO2-eq. per kg CW for pure beef. Results showed a reduction in CW per kg FPCM from the dairy system in all four mitigation strategies. Considering GHG emissions per kg of FPCM only, the strategies reduced emissions by 0.2 to 18.1%. When considering emissions per kg of CW only, emissions were reduced by 12.5 to 48.9%. However, when we used a FU of 1 kg FPCM and 40 g CW, changes in emissions ranged from −0.2 to 3.8%. This was caused by the compensation of the lower CW production from dairy systems by CW from pure beef systems. Differences in emissions per kg FPCM and 40 g CW were smaller when the assumed emission intensity of pure beef was lower. We concluded that the mitigation strategies for dairy systems evaluated in this study were less effective for reduction of GHG emissions from production of milk and beef, when accounting for changes in the amount of beef produced. This study showed that the challenge of reducing GHG emissions of milk and beef production is interrelated. Hence, analyses of GHG emissions related to changes in production of milk and beef requires an integrated approach, beyond the system boundaries of the dairy farm.","author":[{"dropping-particle":"V.","family":"Vellinga","given":"T.","non-dropping-particle":"","parse-names":false,"suffix":""},{"dropping-particle":"","family":"Vries","given":"M.","non-dropping-particle":"de","parse-names":false,"suffix":""}],"container-title":"Agricultural Systems","id":"ITEM-1","issue":"February","issued":{"date-parts":[["2018"]]},"page":"136-144","publisher":"Elsevier","title":"Effectiveness of climate change mitigation options considering the amount of meat produced in dairy systems","type":"article-journal","volume":"162"},"uris":["http://www.mendeley.com/documents/?uuid=56319996-2c69-4fa4-8f96-b86597183de7"]}],"mendeley":{"formattedCitation":"(Vellinga and de Vries, 2018)","manualFormatting":"Vellinga and de Vries (2018)","plainTextFormattedCitation":"(Vellinga and de Vries, 2018)","previouslyFormattedCitation":"&lt;sup&gt;44&lt;/sup&gt;"},"properties":{"noteIndex":0},"schema":"https://github.com/citation-style-language/schema/raw/master/csl-citation.json"}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Vellinga and de Vries (</w:t>
            </w:r>
            <w:r w:rsidRPr="008427C7">
              <w:rPr>
                <w:rFonts w:ascii="Calibri" w:eastAsia="Times New Roman" w:hAnsi="Calibri" w:cs="Calibri"/>
                <w:noProof/>
                <w:color w:val="000000"/>
                <w:sz w:val="18"/>
                <w:szCs w:val="18"/>
                <w:lang w:eastAsia="en-CA"/>
              </w:rPr>
              <w:t>2018)</w:t>
            </w:r>
            <w:r w:rsidRPr="00BF29E4">
              <w:rPr>
                <w:rFonts w:ascii="Calibri" w:eastAsia="Times New Roman" w:hAnsi="Calibri" w:cs="Calibri"/>
                <w:color w:val="000000"/>
                <w:sz w:val="18"/>
                <w:szCs w:val="18"/>
                <w:lang w:eastAsia="en-CA"/>
              </w:rPr>
              <w:fldChar w:fldCharType="end"/>
            </w:r>
          </w:p>
        </w:tc>
        <w:tc>
          <w:tcPr>
            <w:tcW w:w="1417" w:type="dxa"/>
            <w:noWrap/>
            <w:vAlign w:val="center"/>
          </w:tcPr>
          <w:p w14:paraId="67251E77" w14:textId="77777777" w:rsidR="00340E4E" w:rsidRPr="008427C7" w:rsidRDefault="00340E4E" w:rsidP="00C821FE">
            <w:pPr>
              <w:spacing w:after="0" w:line="240" w:lineRule="auto"/>
              <w:rPr>
                <w:sz w:val="18"/>
                <w:szCs w:val="18"/>
              </w:rPr>
            </w:pPr>
            <w:r w:rsidRPr="008427C7">
              <w:rPr>
                <w:rFonts w:ascii="Calibri" w:eastAsia="Times New Roman" w:hAnsi="Calibri" w:cs="Calibri"/>
                <w:color w:val="000000"/>
                <w:sz w:val="18"/>
                <w:szCs w:val="18"/>
                <w:lang w:eastAsia="en-CA"/>
              </w:rPr>
              <w:t>dairy</w:t>
            </w:r>
          </w:p>
        </w:tc>
        <w:tc>
          <w:tcPr>
            <w:tcW w:w="3544" w:type="dxa"/>
            <w:noWrap/>
            <w:vAlign w:val="center"/>
          </w:tcPr>
          <w:p w14:paraId="160EAE9F" w14:textId="77777777" w:rsidR="00340E4E" w:rsidRPr="008119C5" w:rsidRDefault="00340E4E" w:rsidP="00C821FE">
            <w:pPr>
              <w:spacing w:after="0" w:line="240" w:lineRule="auto"/>
              <w:rPr>
                <w:sz w:val="18"/>
                <w:szCs w:val="18"/>
              </w:rPr>
            </w:pPr>
            <w:r w:rsidRPr="008119C5">
              <w:rPr>
                <w:rFonts w:ascii="Calibri" w:eastAsia="Times New Roman" w:hAnsi="Calibri" w:cs="Calibri"/>
                <w:color w:val="000000"/>
                <w:sz w:val="18"/>
                <w:szCs w:val="18"/>
                <w:lang w:eastAsia="en-CA"/>
              </w:rPr>
              <w:t>meat and milk</w:t>
            </w:r>
          </w:p>
        </w:tc>
        <w:tc>
          <w:tcPr>
            <w:tcW w:w="4961" w:type="dxa"/>
            <w:noWrap/>
            <w:vAlign w:val="center"/>
          </w:tcPr>
          <w:p w14:paraId="4C4DD91C" w14:textId="77777777" w:rsidR="00340E4E" w:rsidRPr="00C23BD9" w:rsidRDefault="00340E4E" w:rsidP="00C821FE">
            <w:pPr>
              <w:spacing w:after="0" w:line="240" w:lineRule="auto"/>
              <w:rPr>
                <w:sz w:val="18"/>
                <w:szCs w:val="18"/>
              </w:rPr>
            </w:pPr>
            <w:r w:rsidRPr="00C23BD9">
              <w:rPr>
                <w:rFonts w:ascii="Calibri" w:eastAsia="Times New Roman" w:hAnsi="Calibri" w:cs="Calibri"/>
                <w:color w:val="000000"/>
                <w:sz w:val="18"/>
                <w:szCs w:val="18"/>
                <w:lang w:eastAsia="en-CA"/>
              </w:rPr>
              <w:t xml:space="preserve">biophysical allocation as described in </w:t>
            </w:r>
            <w:proofErr w:type="spellStart"/>
            <w:r w:rsidRPr="00C23BD9">
              <w:rPr>
                <w:rFonts w:ascii="Calibri" w:eastAsia="Times New Roman" w:hAnsi="Calibri" w:cs="Calibri"/>
                <w:color w:val="000000"/>
                <w:sz w:val="18"/>
                <w:szCs w:val="18"/>
                <w:lang w:eastAsia="en-CA"/>
              </w:rPr>
              <w:t>Thoma</w:t>
            </w:r>
            <w:proofErr w:type="spellEnd"/>
            <w:r w:rsidRPr="00C23BD9">
              <w:rPr>
                <w:rFonts w:ascii="Calibri" w:eastAsia="Times New Roman" w:hAnsi="Calibri" w:cs="Calibri"/>
                <w:color w:val="000000"/>
                <w:sz w:val="18"/>
                <w:szCs w:val="18"/>
                <w:lang w:eastAsia="en-CA"/>
              </w:rPr>
              <w:t xml:space="preserve"> et al. (2013) for milk and carcass weight; economic allocation for feed production</w:t>
            </w:r>
          </w:p>
        </w:tc>
      </w:tr>
      <w:tr w:rsidR="00340E4E" w:rsidRPr="008427C7" w14:paraId="10044CAA" w14:textId="77777777" w:rsidTr="00DA1C73">
        <w:trPr>
          <w:trHeight w:val="290"/>
        </w:trPr>
        <w:tc>
          <w:tcPr>
            <w:tcW w:w="1164" w:type="dxa"/>
            <w:noWrap/>
            <w:vAlign w:val="center"/>
          </w:tcPr>
          <w:p w14:paraId="43690A18" w14:textId="3E8310FE" w:rsidR="00340E4E" w:rsidRPr="00BF29E4" w:rsidRDefault="00340E4E" w:rsidP="00C821FE">
            <w:pPr>
              <w:spacing w:after="0" w:line="240" w:lineRule="auto"/>
              <w:rPr>
                <w:sz w:val="18"/>
                <w:szCs w:val="18"/>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{"citationItems":[{"id":"ITEM-1","itemData":{"DOI":"10.1016/j.jclepro.2015.08.025","ISBN":"3539149260","ISSN":"09596526","abstract":"In 2015, the milk quota system that is in place in Europe is to be abolished, instigating an increase in milk production. This increase will aid in addressing the world's ever growing demand for food, but will incur increased stresses on the environmental impact and sustainability of the dairy industry. In this paper, an environmental life cycle assessment, which is performed in order to estimate the global warming potential (GWP) associated with 11 dairy products in the Republic of Ireland, is presented. The primary aim of the study is to examine the GWP associated with the processing of raw milk into the various products. However, the GWP contribution from dairy farms producing the raw milk is also included. Therefore, the system boundary utilised in this study is cradle-to-processing factory gate (dairy, farm, raw milk transportation and dairy processing). Furthermore, when performing the analysis, the 11 dairy products are clustered into 6 product groups: fluid milk (whole milk, skimmed and semi-skimmed milk); butter; cheese; cream; milk powders (buttermilk powders, whole milk powders, skimmed milk powders, and chocolate crumb); and whey powders (whey powders and proteins). The total GWP was calculated for each product group and mass allocation was used to derive the GWP of each product within that group. Data from 12 companies (18 dairy processing plants), which account for approximately 92% of the cow's milk processed in the Republic of Ireland, was used in this study to accurately assess the Irish dairy processing industry. From the analysis, it was found that raw milk production accounted for between 80.8% and 97.3% of the total GWP, depending on the amount of raw milk per kg of product. Additionally, raw milk transportation accounted for approximately 0.4% of the GWP, with the remainder contributed by the processing phase. The main contributor to GWP in the processing phase was direct energy use within the plant (electricity, natural gas and other fuel), which accounts for between 91 and 98% of the GWP, depending on the product. Furthermore, even though raw milk production is the most significant contributor to the total GWP of each dairy product, it was observed that energy use and water consumption in the processing phase were of the same magnitude as that of the production phase.","author":[{"dropping-particle":"","family":"Finnegan","given":"William","non-dropping-particle":"","parse-names":false,"suffix":""},{"dropping-particle":"","family":"Goggins","given":"Jamie","non-dropping-particle":"","parse-names":false,"suffix":""},{"dropping-particle":"","family":"Clifford","given":"Eoghan","non-dropping-particle":"","parse-names":false,"suffix":""},{"dropping-particle":"","family":"Zhan","given":"Xinmin","non-dropping-particle":"","parse-names":false,"suffix":""}],"container-title":"Journal of Cleaner Production","id":"ITEM-1","issued":{"date-parts":[["2017"]]},"page":"262-273","publisher":"Elsevier Ltd","title":"Global warming potential associated with dairy products in the Republic of Ireland","type":"article-journal","volume":"163"},"uris":["http://www.mendeley.com/documents/?uuid=f0604613-d0a4-479b-b2ed-b8b4cc91bbe1"]}],"mendeley":{"formattedCitation":"(Finnegan et al., 2017)","manualFormatting":"Finnegan et al. (2017)","plainTextFormattedCitation":"(Finnegan et al., 2017)","previouslyFormattedCitation":"&lt;sup&gt;45&lt;/sup&gt;"},"properties":{"noteIndex":0},"schema":"https://github.com/citation-style-language/schema/raw/master/csl-citation.json"}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 xml:space="preserve">Finnegan et al. </w:t>
            </w:r>
            <w:r w:rsidRPr="008427C7">
              <w:rPr>
                <w:rFonts w:ascii="Calibri" w:eastAsia="Times New Roman" w:hAnsi="Calibri" w:cs="Calibri"/>
                <w:noProof/>
                <w:color w:val="000000"/>
                <w:sz w:val="18"/>
                <w:szCs w:val="18"/>
                <w:lang w:eastAsia="en-CA"/>
              </w:rPr>
              <w:t>(2017)</w:t>
            </w:r>
            <w:r w:rsidRPr="00BF29E4">
              <w:rPr>
                <w:rFonts w:ascii="Calibri" w:eastAsia="Times New Roman" w:hAnsi="Calibri" w:cs="Calibri"/>
                <w:color w:val="000000"/>
                <w:sz w:val="18"/>
                <w:szCs w:val="18"/>
                <w:lang w:eastAsia="en-CA"/>
              </w:rPr>
              <w:fldChar w:fldCharType="end"/>
            </w:r>
          </w:p>
        </w:tc>
        <w:tc>
          <w:tcPr>
            <w:tcW w:w="1417" w:type="dxa"/>
            <w:noWrap/>
            <w:vAlign w:val="center"/>
          </w:tcPr>
          <w:p w14:paraId="2FB52139" w14:textId="77777777" w:rsidR="00340E4E" w:rsidRPr="008427C7" w:rsidRDefault="00340E4E" w:rsidP="00C821FE">
            <w:pPr>
              <w:spacing w:after="0" w:line="240" w:lineRule="auto"/>
              <w:rPr>
                <w:sz w:val="18"/>
                <w:szCs w:val="18"/>
              </w:rPr>
            </w:pPr>
            <w:r w:rsidRPr="008427C7">
              <w:rPr>
                <w:rFonts w:ascii="Calibri" w:eastAsia="Times New Roman" w:hAnsi="Calibri" w:cs="Calibri"/>
                <w:color w:val="000000"/>
                <w:sz w:val="18"/>
                <w:szCs w:val="18"/>
                <w:lang w:eastAsia="en-CA"/>
              </w:rPr>
              <w:t>dairy</w:t>
            </w:r>
          </w:p>
        </w:tc>
        <w:tc>
          <w:tcPr>
            <w:tcW w:w="3544" w:type="dxa"/>
            <w:noWrap/>
            <w:vAlign w:val="center"/>
          </w:tcPr>
          <w:p w14:paraId="52C84DC4" w14:textId="77777777" w:rsidR="00340E4E" w:rsidRPr="008119C5" w:rsidRDefault="00340E4E" w:rsidP="00C821FE">
            <w:pPr>
              <w:spacing w:after="0" w:line="240" w:lineRule="auto"/>
              <w:rPr>
                <w:sz w:val="18"/>
                <w:szCs w:val="18"/>
              </w:rPr>
            </w:pPr>
            <w:r w:rsidRPr="008119C5">
              <w:rPr>
                <w:rFonts w:ascii="Calibri" w:eastAsia="Times New Roman" w:hAnsi="Calibri" w:cs="Calibri"/>
                <w:color w:val="000000"/>
                <w:sz w:val="18"/>
                <w:szCs w:val="18"/>
                <w:lang w:eastAsia="en-CA"/>
              </w:rPr>
              <w:t>11 dairy products, meat, crops</w:t>
            </w:r>
          </w:p>
        </w:tc>
        <w:tc>
          <w:tcPr>
            <w:tcW w:w="4961" w:type="dxa"/>
            <w:noWrap/>
            <w:vAlign w:val="center"/>
          </w:tcPr>
          <w:p w14:paraId="695C2BAC" w14:textId="77777777" w:rsidR="00340E4E" w:rsidRPr="00C23BD9" w:rsidRDefault="00340E4E" w:rsidP="00C821FE">
            <w:pPr>
              <w:spacing w:after="0" w:line="240" w:lineRule="auto"/>
              <w:rPr>
                <w:sz w:val="18"/>
                <w:szCs w:val="18"/>
              </w:rPr>
            </w:pPr>
            <w:r w:rsidRPr="00C23BD9">
              <w:rPr>
                <w:rFonts w:ascii="Calibri" w:eastAsia="Times New Roman" w:hAnsi="Calibri" w:cs="Calibri"/>
                <w:color w:val="000000"/>
                <w:sz w:val="18"/>
                <w:szCs w:val="18"/>
                <w:lang w:eastAsia="en-CA"/>
              </w:rPr>
              <w:t>physio-chemical (Feitz et al. 2007) for dairy products and economic for milk, meat and crops</w:t>
            </w:r>
          </w:p>
        </w:tc>
      </w:tr>
      <w:tr w:rsidR="00340E4E" w:rsidRPr="008427C7" w14:paraId="44500E31" w14:textId="77777777" w:rsidTr="00DA1C73">
        <w:trPr>
          <w:trHeight w:val="290"/>
        </w:trPr>
        <w:tc>
          <w:tcPr>
            <w:tcW w:w="1164" w:type="dxa"/>
            <w:noWrap/>
            <w:vAlign w:val="center"/>
          </w:tcPr>
          <w:p w14:paraId="0FFDCDCF" w14:textId="42273469"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{"citationItems":[{"id":"ITEM-1","itemData":{"DOI":"10.1016/j.jenvman.2017.03.052","ISSN":"10958630","PMID":"28365549","abstract":"Recent studies on milk production have often focused on environmental impacts analysed using the Life Cycle Assessment (LCA) approach. In grassland-based livestock systems, soil carbon sequestration might be a potential sink to mitigate greenhouse gas (GHG) balance. Nevertheless, there is no commonly shared methodology. In this work, the GHG emissions of small-scale mountain dairy farms were assessed using the LCA approach. Two functional units, kg of Fat and Protein Corrected Milk (FPCM) and Utilizable Agricultural Land (UAL), and two different emissions allocations methods, no allocation and physical allocation, which accounts for the co-product beef, were considered. Two groups of small-scale dairy farms were identified based on the Livestock Units (LU) reared: &lt;30 LU (LLU) and &gt;30 LU (HLU). Before considering soil carbon sequestration in LCA, performing no allocation methods, LLU farms tended to have higher GHG emission than HLU farms per kg of FPCM (1.94 vs. 1.59 kg CO2-eq/kg FPCM, P ≤ 0.10), whereas the situation was reversed upon considering the m2 of UAL as a functional unit (0.29 vs. 0.89 kg CO2-eq/m2, P ≤ 0.05). Conversely, considering physical allocation, the difference between the two groups became less noticeable. When the contribution from soil carbon sequestration was included in the LCA and no allocation method was performed, LLU farms registered higher values of GHG emission per kg of FPCM than HLU farms (1.38 vs. 1.10 kg CO2-eq/kg FPCM, P ≤ 0.05), and the situation was likewise reversed in this case upon considering the m2 of UAL as a functional unit (0.22 vs. 0.73 kg CO2-eq/m2, P ≤ 0.05). To highlight how the presence of grasslands is crucial for the carbon footprint of small-scale farms, this study also applied a simulation for increasing the forage self-sufficiency of farms to 100%. In this case, an average reduction of GHG emission per kg of FPCM of farms was estimated both with no allocation and with physical allocation, reaching 27.0% and 28.8%, respectively.","author":[{"dropping-particle":"","family":"Salvador","given":"Sara","non-dropping-particle":"","parse-names":false,"suffix":""},{"dropping-particle":"","family":"Corazzin","given":"Mirco","non-dropping-particle":"","parse-names":false,"suffix":""},{"dropping-particle":"","family":"Romanzin","given":"Alberto","non-dropping-particle":"","parse-names":false,"suffix":""},{"dropping-particle":"","family":"Bovolenta","given":"Stefano","non-dropping-particle":"","parse-names":false,"suffix":""}],"container-title":"Journal of Environmental Management","id":"ITEM-1","issued":{"date-parts":[["2017"]]},"page":"644-650","publisher":"Elsevier Ltd","title":"Greenhouse gas balance of mountain dairy farms as affected by grassland carbon sequestration","type":"article-journal","volume":"196"},"uris":["http://www.mendeley.com/documents/?uuid=92c5aeb9-5acd-4170-8c71-e4285898cd14"]}],"mendeley":{"formattedCitation":"(Salvador et al., 2017)","manualFormatting":"Salvador et al. (2017)","plainTextFormattedCitation":"(Salvador et al., 2017)","previouslyFormattedCitation":"&lt;sup&gt;46&lt;/sup&gt;"},"properties":{"noteIndex":0},"schema":"https://github.com/citation-style-language/schema/raw/master/csl-citation.json"}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 xml:space="preserve">Salvador et al. </w:t>
            </w:r>
            <w:r w:rsidRPr="008427C7">
              <w:rPr>
                <w:rFonts w:ascii="Calibri" w:eastAsia="Times New Roman" w:hAnsi="Calibri" w:cs="Calibri"/>
                <w:noProof/>
                <w:color w:val="000000"/>
                <w:sz w:val="18"/>
                <w:szCs w:val="18"/>
                <w:lang w:eastAsia="en-CA"/>
              </w:rPr>
              <w:t>(2017)</w:t>
            </w:r>
            <w:r w:rsidRPr="00BF29E4">
              <w:rPr>
                <w:rFonts w:ascii="Calibri" w:eastAsia="Times New Roman" w:hAnsi="Calibri" w:cs="Calibri"/>
                <w:color w:val="000000"/>
                <w:sz w:val="18"/>
                <w:szCs w:val="18"/>
                <w:lang w:eastAsia="en-CA"/>
              </w:rPr>
              <w:fldChar w:fldCharType="end"/>
            </w:r>
          </w:p>
        </w:tc>
        <w:tc>
          <w:tcPr>
            <w:tcW w:w="1417" w:type="dxa"/>
            <w:noWrap/>
            <w:vAlign w:val="center"/>
          </w:tcPr>
          <w:p w14:paraId="16CD2C95"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dairy</w:t>
            </w:r>
          </w:p>
        </w:tc>
        <w:tc>
          <w:tcPr>
            <w:tcW w:w="3544" w:type="dxa"/>
            <w:noWrap/>
            <w:vAlign w:val="center"/>
          </w:tcPr>
          <w:p w14:paraId="58341450" w14:textId="77777777" w:rsidR="00340E4E" w:rsidRPr="008119C5" w:rsidRDefault="00340E4E" w:rsidP="00C821FE">
            <w:pPr>
              <w:spacing w:after="0" w:line="240" w:lineRule="auto"/>
              <w:rPr>
                <w:rFonts w:ascii="Calibri" w:eastAsia="Times New Roman" w:hAnsi="Calibri" w:cs="Calibri"/>
                <w:color w:val="000000"/>
                <w:sz w:val="18"/>
                <w:szCs w:val="18"/>
                <w:lang w:eastAsia="en-CA"/>
              </w:rPr>
            </w:pPr>
            <w:r w:rsidRPr="008119C5">
              <w:rPr>
                <w:rFonts w:ascii="Calibri" w:eastAsia="Times New Roman" w:hAnsi="Calibri" w:cs="Calibri"/>
                <w:color w:val="000000"/>
                <w:sz w:val="18"/>
                <w:szCs w:val="18"/>
                <w:lang w:eastAsia="en-CA"/>
              </w:rPr>
              <w:t>milk and beef</w:t>
            </w:r>
          </w:p>
        </w:tc>
        <w:tc>
          <w:tcPr>
            <w:tcW w:w="4961" w:type="dxa"/>
            <w:noWrap/>
            <w:vAlign w:val="center"/>
          </w:tcPr>
          <w:p w14:paraId="60FC2624" w14:textId="72C012CA" w:rsidR="00340E4E" w:rsidRPr="00C23BD9" w:rsidRDefault="00340E4E" w:rsidP="00694489">
            <w:pPr>
              <w:spacing w:after="0" w:line="240" w:lineRule="auto"/>
              <w:rPr>
                <w:rFonts w:ascii="Calibri" w:eastAsia="Times New Roman" w:hAnsi="Calibri" w:cs="Calibri"/>
                <w:color w:val="000000"/>
                <w:sz w:val="18"/>
                <w:szCs w:val="18"/>
                <w:lang w:eastAsia="en-CA"/>
              </w:rPr>
            </w:pPr>
            <w:r w:rsidRPr="00C23BD9">
              <w:rPr>
                <w:rFonts w:ascii="Calibri" w:eastAsia="Times New Roman" w:hAnsi="Calibri" w:cs="Calibri"/>
                <w:color w:val="000000"/>
                <w:sz w:val="18"/>
                <w:szCs w:val="18"/>
                <w:lang w:eastAsia="en-CA"/>
              </w:rPr>
              <w:t>no allocation and physical</w:t>
            </w:r>
            <w:r w:rsidR="00694489" w:rsidRPr="00C23BD9">
              <w:rPr>
                <w:rFonts w:ascii="Calibri" w:eastAsia="Times New Roman" w:hAnsi="Calibri" w:cs="Calibri"/>
                <w:color w:val="000000"/>
                <w:sz w:val="18"/>
                <w:szCs w:val="18"/>
                <w:lang w:eastAsia="en-CA"/>
              </w:rPr>
              <w:t xml:space="preserve"> (metabolic partitioning)</w:t>
            </w:r>
            <w:r w:rsidRPr="00C23BD9">
              <w:rPr>
                <w:rFonts w:ascii="Calibri" w:eastAsia="Times New Roman" w:hAnsi="Calibri" w:cs="Calibri"/>
                <w:color w:val="000000"/>
                <w:sz w:val="18"/>
                <w:szCs w:val="18"/>
                <w:lang w:eastAsia="en-CA"/>
              </w:rPr>
              <w:t xml:space="preserve"> allocation</w:t>
            </w:r>
          </w:p>
        </w:tc>
      </w:tr>
      <w:tr w:rsidR="00340E4E" w:rsidRPr="008427C7" w14:paraId="2678EFF9" w14:textId="77777777" w:rsidTr="00DA1C73">
        <w:trPr>
          <w:trHeight w:val="290"/>
        </w:trPr>
        <w:tc>
          <w:tcPr>
            <w:tcW w:w="1164" w:type="dxa"/>
            <w:noWrap/>
            <w:vAlign w:val="center"/>
          </w:tcPr>
          <w:p w14:paraId="4E3D42D8" w14:textId="4235E375"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{"citationItems":[{"id":"ITEM-1","itemData":{"DOI":"10.1016/j.jclepro.2019.117922","ISSN":"09596526","abstract":"The present paper contributes to improve knowledge about the environmental impact of the production chain of buffalo mozzarella, a topic little studied in literature. The analysis involved 6 farms located in North-Eastern Italy, specialized in buffalo milk production, and one dairy plant, where the whole milk was processed in mozzarella cheese. A “from cradle to plant gate” Life Cycle Assessment approach was used, considering, at farm level, a MILK Scenario, that reflected the real situation of farms, and a BEEF Scenario, that included buffalo beef production. Two further scenarios were considered at plant level: MOZZARELLA Scenario, that considered the mozzarella production only, and CHEESE Scenario, that considered the production of ricotta and ripened cheese in addition to mozzarella cheese. Three allocation methods were performed: no-allocation, physical allocation and economic allocation. 1 kg of fat and protein corrected milk and 1 kg of packaged mozzarella cheese were used as functional units. Within the MOZZARELLA Scenario, Global Warming Potential (GWP) was 33.9, 28.9 and 32.7 kg CO2eq, Acidification Potential (ACP) was 247.9, 211.4 and 238.7 g SO2eq, and Eutrophication Potential (EUP) was 62.2, 53.0 and 59.9 g PO43−eq per kg of mozzarella cheese, performed with no-allocation, physical allocation and economic allocation, respectively. Within the CHEESE Scenario, GWP was 36.7, 27.9 and 33.2 kg CO2eq, ACP was 267.9, 203.6 and 242.8 g SO2eq, EUP was 67.2, 51.1 and 60.9 g PO43−eq per kg of mozzarella cheese, performed with no-allocation, physical allocation and economic allocation, respectively. GWP, ACP, and EUP of mozzarella cheese derived mainly by the emissions from milk production processes, were 95%, 92%, 81%, respectively. Therefore, the main strategy for reducing the emission is to improve the farm efficiency in terms of milk production. At plant level, the limited or no reduction of the emissions obtained with the economic allocation pointed out the necessity of a proper economic exploitation of alternative products in order to reduce the environmental impact of the principal one.","author":[{"dropping-particle":"","family":"Berlese","given":"Monica","non-dropping-particle":"","parse-names":false,"suffix":""},{"dropping-particle":"","family":"Corazzin","given":"M.","non-dropping-particle":"","parse-names":false,"suffix":""},{"dropping-particle":"","family":"Bovolenta","given":"Stefano","non-dropping-particle":"","parse-names":false,"suffix":""}],"container-title":"Journal of Cleaner Production","id":"ITEM-1","issued":{"date-parts":[["2019"]]},"page":"117922","publisher":"Elsevier Ltd","title":"Environmental sustainability assessment of buffalo mozzarella cheese production chain: A scenario analysis","type":"article-journal","volume":"238"},"uris":["http://www.mendeley.com/documents/?uuid=e0e2ef82-bb68-4484-8ca4-29d0c8cfc5f7"]}],"mendeley":{"formattedCitation":"(Berlese et al., 2019)","manualFormatting":"Berlese et al. (2019)","plainTextFormattedCitation":"(Berlese et al., 2019)","previouslyFormattedCitation":"&lt;sup&gt;47&lt;/sup&gt;"},"properties":{"noteIndex":0},"schema":"https://github.com/citation-style-language/schema/raw/master/csl-citation.json"}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 xml:space="preserve">Berlese et al. </w:t>
            </w:r>
            <w:r w:rsidRPr="008427C7">
              <w:rPr>
                <w:rFonts w:ascii="Calibri" w:eastAsia="Times New Roman" w:hAnsi="Calibri" w:cs="Calibri"/>
                <w:noProof/>
                <w:color w:val="000000"/>
                <w:sz w:val="18"/>
                <w:szCs w:val="18"/>
                <w:lang w:eastAsia="en-CA"/>
              </w:rPr>
              <w:t>(2019)</w:t>
            </w:r>
            <w:r w:rsidRPr="00BF29E4">
              <w:rPr>
                <w:rFonts w:ascii="Calibri" w:eastAsia="Times New Roman" w:hAnsi="Calibri" w:cs="Calibri"/>
                <w:color w:val="000000"/>
                <w:sz w:val="18"/>
                <w:szCs w:val="18"/>
                <w:lang w:eastAsia="en-CA"/>
              </w:rPr>
              <w:fldChar w:fldCharType="end"/>
            </w:r>
          </w:p>
        </w:tc>
        <w:tc>
          <w:tcPr>
            <w:tcW w:w="1417" w:type="dxa"/>
            <w:noWrap/>
            <w:vAlign w:val="center"/>
          </w:tcPr>
          <w:p w14:paraId="1F3A3887"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cheese</w:t>
            </w:r>
          </w:p>
        </w:tc>
        <w:tc>
          <w:tcPr>
            <w:tcW w:w="3544" w:type="dxa"/>
            <w:noWrap/>
            <w:vAlign w:val="center"/>
          </w:tcPr>
          <w:p w14:paraId="179767A4" w14:textId="77777777" w:rsidR="00340E4E" w:rsidRPr="008119C5" w:rsidRDefault="00340E4E" w:rsidP="00C821FE">
            <w:pPr>
              <w:spacing w:after="0" w:line="240" w:lineRule="auto"/>
              <w:rPr>
                <w:rFonts w:ascii="Calibri" w:eastAsia="Times New Roman" w:hAnsi="Calibri" w:cs="Calibri"/>
                <w:color w:val="000000"/>
                <w:sz w:val="18"/>
                <w:szCs w:val="18"/>
                <w:lang w:eastAsia="en-CA"/>
              </w:rPr>
            </w:pPr>
            <w:r w:rsidRPr="008119C5">
              <w:rPr>
                <w:rFonts w:ascii="Calibri" w:eastAsia="Times New Roman" w:hAnsi="Calibri" w:cs="Calibri"/>
                <w:color w:val="000000"/>
                <w:sz w:val="18"/>
                <w:szCs w:val="18"/>
                <w:lang w:eastAsia="en-CA"/>
              </w:rPr>
              <w:t>milk and meat; mozzarella, ricotta and ripened cheese</w:t>
            </w:r>
          </w:p>
        </w:tc>
        <w:tc>
          <w:tcPr>
            <w:tcW w:w="4961" w:type="dxa"/>
            <w:noWrap/>
            <w:vAlign w:val="center"/>
          </w:tcPr>
          <w:p w14:paraId="266FB4D4" w14:textId="734F48B2" w:rsidR="00340E4E" w:rsidRPr="00C23BD9" w:rsidRDefault="00340E4E" w:rsidP="00694489">
            <w:pPr>
              <w:spacing w:after="0" w:line="240" w:lineRule="auto"/>
              <w:rPr>
                <w:rFonts w:ascii="Calibri" w:eastAsia="Times New Roman" w:hAnsi="Calibri" w:cs="Calibri"/>
                <w:color w:val="000000"/>
                <w:sz w:val="18"/>
                <w:szCs w:val="18"/>
                <w:lang w:eastAsia="en-CA"/>
              </w:rPr>
            </w:pPr>
            <w:r w:rsidRPr="00C23BD9">
              <w:rPr>
                <w:rFonts w:ascii="Calibri" w:eastAsia="Times New Roman" w:hAnsi="Calibri" w:cs="Calibri"/>
                <w:color w:val="000000"/>
                <w:sz w:val="18"/>
                <w:szCs w:val="18"/>
                <w:lang w:eastAsia="en-CA"/>
              </w:rPr>
              <w:t>no allocation, physical</w:t>
            </w:r>
            <w:r w:rsidR="00694489" w:rsidRPr="00C23BD9">
              <w:rPr>
                <w:rFonts w:ascii="Calibri" w:eastAsia="Times New Roman" w:hAnsi="Calibri" w:cs="Calibri"/>
                <w:color w:val="000000"/>
                <w:sz w:val="18"/>
                <w:szCs w:val="18"/>
                <w:lang w:eastAsia="en-CA"/>
              </w:rPr>
              <w:t xml:space="preserve"> (metabolic partitioning</w:t>
            </w:r>
            <w:r w:rsidR="00C23BD9">
              <w:rPr>
                <w:rFonts w:ascii="Calibri" w:eastAsia="Times New Roman" w:hAnsi="Calibri" w:cs="Calibri"/>
                <w:color w:val="000000"/>
                <w:sz w:val="18"/>
                <w:szCs w:val="18"/>
                <w:lang w:eastAsia="en-CA"/>
              </w:rPr>
              <w:t>, dairy solids</w:t>
            </w:r>
            <w:r w:rsidR="00694489" w:rsidRPr="00C23BD9">
              <w:rPr>
                <w:rFonts w:ascii="Calibri" w:eastAsia="Times New Roman" w:hAnsi="Calibri" w:cs="Calibri"/>
                <w:color w:val="000000"/>
                <w:sz w:val="18"/>
                <w:szCs w:val="18"/>
                <w:lang w:eastAsia="en-CA"/>
              </w:rPr>
              <w:t>)</w:t>
            </w:r>
            <w:r w:rsidRPr="00C23BD9">
              <w:rPr>
                <w:rFonts w:ascii="Calibri" w:eastAsia="Times New Roman" w:hAnsi="Calibri" w:cs="Calibri"/>
                <w:color w:val="000000"/>
                <w:sz w:val="18"/>
                <w:szCs w:val="18"/>
                <w:lang w:eastAsia="en-CA"/>
              </w:rPr>
              <w:t xml:space="preserve"> and economic allocation</w:t>
            </w:r>
          </w:p>
        </w:tc>
      </w:tr>
      <w:tr w:rsidR="00340E4E" w:rsidRPr="008427C7" w14:paraId="20AC9155" w14:textId="77777777" w:rsidTr="00DA1C73">
        <w:trPr>
          <w:trHeight w:val="290"/>
        </w:trPr>
        <w:tc>
          <w:tcPr>
            <w:tcW w:w="1164" w:type="dxa"/>
            <w:noWrap/>
            <w:vAlign w:val="center"/>
          </w:tcPr>
          <w:p w14:paraId="089AFDD3" w14:textId="1FF905DA"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{"citationItems":[{"id":"ITEM-1","itemData":{"DOI":"10.3390/ani10020296","ISSN":"20762615","abstract":"This study aimed to assess the environmental footprint of dairy farms rearing a dual-purpose breed, and to evaluate, through alternative scenario analyses, the fattening of calves and the cultivation of hemp as strategies for reducing the environmental impact of these farms. Eleven farms were evaluated for global warming (GWP), acidification (AC) and eutrophication (EUP) potential. The Life Cycle Assessment method with three scenarios, REAL, based on real data, BEEF, where calves were fattened in farm, and HEMP, where hemp was cultivated in farms, were considered. If referred to 1 m2 of utilizable agricultural land, the GWP, AC and EUP were 1.6 kgCO2eq, 21.7 gSO2eq and 7.1 gPO43−eq, respectively. If referring to 1 kg of fat and protein corrected milk, the emissions were 1.1–1.4 kgCO2eq, 14.8–19.0 gSO2eq, and 5.0–6.4 gPO43−eq, depending on the allocation method adopted. The emissions were associated positively with culling rate and negatively with production intensity. In BEEF and HEMP scenarios, the emissions were reduced by 8–11% and by 1–5%, respectively. Fattening the calves, evaluating the cultivation of alternative plants and improving the productive and reproductive efficiency of animals could be effective strategies for reducing the environmental footprint of the farm.","author":[{"dropping-particle":"","family":"Baldini","given":"Mario","non-dropping-particle":"","parse-names":false,"suffix":""},{"dropping-particle":"","family":"Borso","given":"Francesco","non-dropping-particle":"Da","parse-names":false,"suffix":""},{"dropping-particle":"","family":"Rossi","given":"Andrea","non-dropping-particle":"","parse-names":false,"suffix":""},{"dropping-particle":"","family":"Taverna","given":"Mario","non-dropping-particle":"","parse-names":false,"suffix":""},{"dropping-particle":"","family":"Bovolenta","given":"Stefano","non-dropping-particle":"","parse-names":false,"suffix":""},{"dropping-particle":"","family":"Piasentier","given":"Edi","non-dropping-particle":"","parse-names":false,"suffix":""},{"dropping-particle":"","family":"Corazzin","given":"Mirco","non-dropping-particle":"","parse-names":false,"suffix":""}],"container-title":"Animals","id":"ITEM-1","issue":"2","issued":{"date-parts":[["2020"]]},"title":"Environmental sustainability assessment of dairy farms rearing the Italian simmental dual‐purpose breed","type":"article-journal","volume":"10"},"uris":["http://www.mendeley.com/documents/?uuid=2d393947-59ca-49f5-a269-7b5250f132bd"]}],"mendeley":{"formattedCitation":"(Baldini et al., 2020)","manualFormatting":"Baldini et al. (2020)","plainTextFormattedCitation":"(Baldini et al., 2020)","previouslyFormattedCitation":"&lt;sup&gt;48&lt;/sup&gt;"},"properties":{"noteIndex":0},"schema":"https://github.com/citation-style-language/schema/raw/master/csl-citation.json"}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 xml:space="preserve">Baldini et al. </w:t>
            </w:r>
            <w:r w:rsidRPr="008427C7">
              <w:rPr>
                <w:rFonts w:ascii="Calibri" w:eastAsia="Times New Roman" w:hAnsi="Calibri" w:cs="Calibri"/>
                <w:noProof/>
                <w:color w:val="000000"/>
                <w:sz w:val="18"/>
                <w:szCs w:val="18"/>
                <w:lang w:eastAsia="en-CA"/>
              </w:rPr>
              <w:t>(2020)</w:t>
            </w:r>
            <w:r w:rsidRPr="00BF29E4">
              <w:rPr>
                <w:rFonts w:ascii="Calibri" w:eastAsia="Times New Roman" w:hAnsi="Calibri" w:cs="Calibri"/>
                <w:color w:val="000000"/>
                <w:sz w:val="18"/>
                <w:szCs w:val="18"/>
                <w:lang w:eastAsia="en-CA"/>
              </w:rPr>
              <w:fldChar w:fldCharType="end"/>
            </w:r>
          </w:p>
        </w:tc>
        <w:tc>
          <w:tcPr>
            <w:tcW w:w="1417" w:type="dxa"/>
            <w:noWrap/>
            <w:vAlign w:val="center"/>
          </w:tcPr>
          <w:p w14:paraId="3D083D60"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dairy</w:t>
            </w:r>
          </w:p>
        </w:tc>
        <w:tc>
          <w:tcPr>
            <w:tcW w:w="3544" w:type="dxa"/>
            <w:noWrap/>
            <w:vAlign w:val="center"/>
          </w:tcPr>
          <w:p w14:paraId="00276EC9" w14:textId="77777777" w:rsidR="00340E4E" w:rsidRPr="008119C5" w:rsidRDefault="00340E4E" w:rsidP="00C821FE">
            <w:pPr>
              <w:spacing w:after="0" w:line="240" w:lineRule="auto"/>
              <w:rPr>
                <w:rFonts w:ascii="Calibri" w:eastAsia="Times New Roman" w:hAnsi="Calibri" w:cs="Calibri"/>
                <w:color w:val="000000"/>
                <w:sz w:val="18"/>
                <w:szCs w:val="18"/>
                <w:lang w:eastAsia="en-CA"/>
              </w:rPr>
            </w:pPr>
            <w:r w:rsidRPr="008119C5">
              <w:rPr>
                <w:rFonts w:ascii="Calibri" w:eastAsia="Times New Roman" w:hAnsi="Calibri" w:cs="Calibri"/>
                <w:color w:val="000000"/>
                <w:sz w:val="18"/>
                <w:szCs w:val="18"/>
                <w:lang w:eastAsia="en-CA"/>
              </w:rPr>
              <w:t>milk, meat</w:t>
            </w:r>
          </w:p>
        </w:tc>
        <w:tc>
          <w:tcPr>
            <w:tcW w:w="4961" w:type="dxa"/>
            <w:noWrap/>
            <w:vAlign w:val="center"/>
          </w:tcPr>
          <w:p w14:paraId="03D1BF82" w14:textId="2F8A983E" w:rsidR="00340E4E" w:rsidRPr="00C23BD9" w:rsidRDefault="00340E4E" w:rsidP="00694489">
            <w:pPr>
              <w:spacing w:after="0" w:line="240" w:lineRule="auto"/>
              <w:rPr>
                <w:rFonts w:ascii="Calibri" w:eastAsia="Times New Roman" w:hAnsi="Calibri" w:cs="Calibri"/>
                <w:color w:val="000000"/>
                <w:sz w:val="18"/>
                <w:szCs w:val="18"/>
                <w:lang w:eastAsia="en-CA"/>
              </w:rPr>
            </w:pPr>
            <w:r w:rsidRPr="00C23BD9">
              <w:rPr>
                <w:rFonts w:ascii="Calibri" w:eastAsia="Times New Roman" w:hAnsi="Calibri" w:cs="Calibri"/>
                <w:color w:val="000000"/>
                <w:sz w:val="18"/>
                <w:szCs w:val="18"/>
                <w:lang w:eastAsia="en-CA"/>
              </w:rPr>
              <w:t>no allocation, physical</w:t>
            </w:r>
            <w:r w:rsidR="00694489" w:rsidRPr="00C23BD9">
              <w:rPr>
                <w:rFonts w:ascii="Calibri" w:eastAsia="Times New Roman" w:hAnsi="Calibri" w:cs="Calibri"/>
                <w:color w:val="000000"/>
                <w:sz w:val="18"/>
                <w:szCs w:val="18"/>
                <w:lang w:eastAsia="en-CA"/>
              </w:rPr>
              <w:t xml:space="preserve"> (metabolic partitioning) and</w:t>
            </w:r>
            <w:r w:rsidRPr="00C23BD9">
              <w:rPr>
                <w:rFonts w:ascii="Calibri" w:eastAsia="Times New Roman" w:hAnsi="Calibri" w:cs="Calibri"/>
                <w:color w:val="000000"/>
                <w:sz w:val="18"/>
                <w:szCs w:val="18"/>
                <w:lang w:eastAsia="en-CA"/>
              </w:rPr>
              <w:t xml:space="preserve"> economic</w:t>
            </w:r>
          </w:p>
        </w:tc>
      </w:tr>
      <w:tr w:rsidR="00340E4E" w:rsidRPr="008427C7" w14:paraId="29A7C381" w14:textId="77777777" w:rsidTr="00DA1C73">
        <w:trPr>
          <w:trHeight w:val="290"/>
        </w:trPr>
        <w:tc>
          <w:tcPr>
            <w:tcW w:w="1164" w:type="dxa"/>
            <w:noWrap/>
            <w:vAlign w:val="center"/>
          </w:tcPr>
          <w:p w14:paraId="17502716" w14:textId="54C05ABE"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{"citationItems":[{"id":"ITEM-1","itemData":{"DOI":"10.3390/su13020784","ISSN":"20711050","abstract":"Increasing pressures surrounding efficiency and sustainability are key global drivers in dairy farm management strategies. However, for numerous resource-based, social, and economic reasons sustainable intensification strategies are herd-size dependent. In this study, we investigated the environmental impacts of Latvia’s dairy farms with different management practices. The herd size-dependent management groups varied from extensively managed small herds with 1–9 cows, extending to stepwise more intensively managed herds with 10–50, 51–100, 100–200, and over 200 milking cows. The aim is to compare the environmental impacts of different size-based production strategies on Latvia’s dairy farms. The results show that the gross greenhouse gas emissions differ by 29%: from 1.09 kg CO2 equivalents (CO2e ) per kg of raw milk for the farms with 51–100 cows, down to 0.84 kg CO2e/kg milk for farms with more than 200 cows. However, the land use differs even more—the largest farms use 2.25 times less land per kg of milk than the smallest farms. Global warming potential, marine eutrophication, terrestrial acidification, and ecotoxicity were highest for the mid-sized farms. If current domestic, farm-based protein feeds were to be substituted with imported soy feed (one of the most popular high-protein feeds) the environmental impacts of Latvian dairy production would significantly increase, e.g., land use would increase by 18% and the global warming potential by 43%. Environmental policy approaches for steering the farms should consider the overall effects of operation size on environmental quality, in order to support the best practices for each farm type and steer systematic change in the country. The limitations of this study are linked to national data availability (e.g., national data on feed production, heifer breeding, differences among farms regards soil type, manure management, the proximity to marine or aquatic habitats) and methodological shortcomings (e.g., excluding emissions of carbon sequestration, the use of proxy allocation, and excluding social and biodiversity impacts in life-cycle assessment). Further research is needed to improve the data quality, the allocation method, and provide farm-size-specific information on outputs, heifer breeding, manure storage, and handling.","author":[{"dropping-particle":"","family":"Brizga","given":"Janis","non-dropping-particle":"","parse-names":false,"suffix":""},{"dropping-particle":"","family":"Kurppa","given":"Sirpa","non-dropping-particle":"","parse-names":false,"suffix":""},{"dropping-particle":"","family":"Heusala","given":"Hannele","non-dropping-particle":"","parse-names":false,"suffix":""}],"container-title":"Sustainability (Switzerland)","id":"ITEM-1","issue":"2","issued":{"date-parts":[["2021"]]},"page":"1-12","title":"Environmental impacts of milking cows in latvia","type":"article-journal","volume":"13"},"uris":["http://www.mendeley.com/documents/?uuid=8b764845-e9dc-44b5-bb06-58b919842d1d"]}],"mendeley":{"formattedCitation":"(Brizga et al., 2021)","manualFormatting":"Brizga et al. (2021)","plainTextFormattedCitation":"(Brizga et al., 2021)","previouslyFormattedCitation":"&lt;sup&gt;49&lt;/sup&gt;"},"properties":{"noteIndex":0},"schema":"https://github.com/citation-style-language/schema/raw/master/csl-citation.json"}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 xml:space="preserve">Brizga et al. </w:t>
            </w:r>
            <w:r w:rsidRPr="008427C7">
              <w:rPr>
                <w:rFonts w:ascii="Calibri" w:eastAsia="Times New Roman" w:hAnsi="Calibri" w:cs="Calibri"/>
                <w:noProof/>
                <w:color w:val="000000"/>
                <w:sz w:val="18"/>
                <w:szCs w:val="18"/>
                <w:lang w:eastAsia="en-CA"/>
              </w:rPr>
              <w:t>(2021)</w:t>
            </w:r>
            <w:r w:rsidRPr="00BF29E4">
              <w:rPr>
                <w:rFonts w:ascii="Calibri" w:eastAsia="Times New Roman" w:hAnsi="Calibri" w:cs="Calibri"/>
                <w:color w:val="000000"/>
                <w:sz w:val="18"/>
                <w:szCs w:val="18"/>
                <w:lang w:eastAsia="en-CA"/>
              </w:rPr>
              <w:fldChar w:fldCharType="end"/>
            </w:r>
          </w:p>
        </w:tc>
        <w:tc>
          <w:tcPr>
            <w:tcW w:w="1417" w:type="dxa"/>
            <w:noWrap/>
            <w:vAlign w:val="center"/>
          </w:tcPr>
          <w:p w14:paraId="78F822EF"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dairy</w:t>
            </w:r>
          </w:p>
        </w:tc>
        <w:tc>
          <w:tcPr>
            <w:tcW w:w="3544" w:type="dxa"/>
            <w:noWrap/>
            <w:vAlign w:val="center"/>
          </w:tcPr>
          <w:p w14:paraId="62612C43" w14:textId="77777777" w:rsidR="00340E4E" w:rsidRPr="008119C5" w:rsidRDefault="00340E4E" w:rsidP="00C821FE">
            <w:pPr>
              <w:spacing w:after="0" w:line="240" w:lineRule="auto"/>
              <w:rPr>
                <w:rFonts w:ascii="Calibri" w:eastAsia="Times New Roman" w:hAnsi="Calibri" w:cs="Calibri"/>
                <w:color w:val="000000"/>
                <w:sz w:val="18"/>
                <w:szCs w:val="18"/>
                <w:lang w:eastAsia="en-CA"/>
              </w:rPr>
            </w:pPr>
            <w:r w:rsidRPr="008119C5">
              <w:rPr>
                <w:rFonts w:ascii="Calibri" w:eastAsia="Times New Roman" w:hAnsi="Calibri" w:cs="Calibri"/>
                <w:color w:val="000000"/>
                <w:sz w:val="18"/>
                <w:szCs w:val="18"/>
                <w:lang w:eastAsia="en-CA"/>
              </w:rPr>
              <w:t>raw milk, cows for slaughter, calves</w:t>
            </w:r>
          </w:p>
        </w:tc>
        <w:tc>
          <w:tcPr>
            <w:tcW w:w="4961" w:type="dxa"/>
            <w:noWrap/>
            <w:vAlign w:val="center"/>
          </w:tcPr>
          <w:p w14:paraId="44EBEB1E" w14:textId="77777777" w:rsidR="00340E4E" w:rsidRPr="00C23BD9" w:rsidRDefault="00340E4E" w:rsidP="00C821FE">
            <w:pPr>
              <w:spacing w:after="0" w:line="240" w:lineRule="auto"/>
              <w:rPr>
                <w:rFonts w:ascii="Calibri" w:eastAsia="Times New Roman" w:hAnsi="Calibri" w:cs="Calibri"/>
                <w:color w:val="000000"/>
                <w:sz w:val="18"/>
                <w:szCs w:val="18"/>
                <w:lang w:eastAsia="en-CA"/>
              </w:rPr>
            </w:pPr>
            <w:r w:rsidRPr="00C23BD9">
              <w:rPr>
                <w:rFonts w:ascii="Calibri" w:eastAsia="Times New Roman" w:hAnsi="Calibri" w:cs="Calibri"/>
                <w:color w:val="000000"/>
                <w:sz w:val="18"/>
                <w:szCs w:val="18"/>
                <w:lang w:eastAsia="en-CA"/>
              </w:rPr>
              <w:t>mass</w:t>
            </w:r>
          </w:p>
        </w:tc>
      </w:tr>
      <w:tr w:rsidR="00340E4E" w:rsidRPr="008427C7" w14:paraId="5EBCE34A" w14:textId="77777777" w:rsidTr="00DA1C73">
        <w:trPr>
          <w:trHeight w:val="290"/>
        </w:trPr>
        <w:tc>
          <w:tcPr>
            <w:tcW w:w="1164" w:type="dxa"/>
            <w:noWrap/>
            <w:vAlign w:val="center"/>
          </w:tcPr>
          <w:p w14:paraId="2403EB08" w14:textId="3A41E5E4"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{"citationItems":[{"id":"ITEM-1","itemData":{"DOI":"10.1007/s11367-018-1512-2","ISSN":"16147502","abstract":"Purpose: Food production without consuming scarce local freshwater resources in an unsustainable way needs to be ensured. A robust method to assess water scarcity impacts is needed, not only for areas suffering from water scarcity but also in circumstances without water scarcity. This study provides basic knowledge about the current water scarcity footprint methodologies applied to rain-fed agriculture, with Finnish milk production as a case study. Methods: A typical Finnish “cradle-to-dairy” milk production system was studied. An improved allocation method is suggested taking into account that a lactating cow consumes more drinking water due to milk production. Impact assessment methodologies, including midpoint impact indicators of water deprivation and water scarcity, and the endpoint impact indicators on human health, ecosystems and resources, were applied and evaluated. Results and discussion: Finnish milk is associated with quite low consumptive water use, amounting to just 6.3 l per litre of packaged skimmed milk according to the suggested allocation method. The stress-weighted water footprint was 4.3 H 2 O eq , and the water scarcity impact came to 12.2 l eq per litre of Finnish milk. The comparisons between this study and case studies in the literature showed that the water scarcity impact results calculated with the AWARE method are well reasoned, and that mass flows from regions with high water scarcity cause higher water scarcity impact. Conclusions: We conclude that the water scarcity footprint of Finnish milk in all the studied impact categories is relatively low. The AWARE method for water scarcity footprint assessment seems to be particularly applicable for Finland and is able to identify the critical hotspots of production chains.","author":[{"dropping-particle":"","family":"Usva","given":"Kirsi","non-dropping-particle":"","parse-names":false,"suffix":""},{"dropping-particle":"","family":"Virtanen","given":"Eetu","non-dropping-particle":"","parse-names":false,"suffix":""},{"dropping-particle":"","family":"Hyvärinen","given":"Helena","non-dropping-particle":"","parse-names":false,"suffix":""},{"dropping-particle":"","family":"Nousiainen","given":"Jouni","non-dropping-particle":"","parse-names":false,"suffix":""},{"dropping-particle":"","family":"Sinkko","given":"Taija","non-dropping-particle":"","parse-names":false,"suffix":""},{"dropping-particle":"","family":"Kurppa","given":"Sirpa","non-dropping-particle":"","parse-names":false,"suffix":""}],"container-title":"International Journal of Life Cycle Assessment","id":"ITEM-1","issue":"2","issued":{"date-parts":[["2019"]]},"page":"351-361","publisher":"The International Journal of Life Cycle Assessment","title":"Applying water scarcity footprint methodologies to milk production in Finland","type":"article-journal","volume":"24"},"uris":["http://www.mendeley.com/documents/?uuid=5eac772f-627e-4a6e-bae3-f4c19d0a63f9"]}],"mendeley":{"formattedCitation":"(Usva et al., 2019)","manualFormatting":"Usva et al. (2019)","plainTextFormattedCitation":"(Usva et al., 2019)","previouslyFormattedCitation":"&lt;sup&gt;50&lt;/sup&gt;"},"properties":{"noteIndex":0},"schema":"https://github.com/citation-style-language/schema/raw/master/csl-citation.json"}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 xml:space="preserve">Usva et al. </w:t>
            </w:r>
            <w:r w:rsidRPr="008427C7">
              <w:rPr>
                <w:rFonts w:ascii="Calibri" w:eastAsia="Times New Roman" w:hAnsi="Calibri" w:cs="Calibri"/>
                <w:noProof/>
                <w:color w:val="000000"/>
                <w:sz w:val="18"/>
                <w:szCs w:val="18"/>
                <w:lang w:eastAsia="en-CA"/>
              </w:rPr>
              <w:t>(2019)</w:t>
            </w:r>
            <w:r w:rsidRPr="00BF29E4">
              <w:rPr>
                <w:rFonts w:ascii="Calibri" w:eastAsia="Times New Roman" w:hAnsi="Calibri" w:cs="Calibri"/>
                <w:color w:val="000000"/>
                <w:sz w:val="18"/>
                <w:szCs w:val="18"/>
                <w:lang w:eastAsia="en-CA"/>
              </w:rPr>
              <w:fldChar w:fldCharType="end"/>
            </w:r>
          </w:p>
        </w:tc>
        <w:tc>
          <w:tcPr>
            <w:tcW w:w="1417" w:type="dxa"/>
            <w:noWrap/>
            <w:vAlign w:val="center"/>
          </w:tcPr>
          <w:p w14:paraId="455C4A1A"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milk</w:t>
            </w:r>
          </w:p>
        </w:tc>
        <w:tc>
          <w:tcPr>
            <w:tcW w:w="3544" w:type="dxa"/>
            <w:noWrap/>
            <w:vAlign w:val="center"/>
          </w:tcPr>
          <w:p w14:paraId="0093AA21" w14:textId="77777777" w:rsidR="00340E4E" w:rsidRPr="008119C5" w:rsidRDefault="00340E4E" w:rsidP="00C821FE">
            <w:pPr>
              <w:spacing w:after="0" w:line="240" w:lineRule="auto"/>
              <w:rPr>
                <w:rFonts w:ascii="Calibri" w:eastAsia="Times New Roman" w:hAnsi="Calibri" w:cs="Calibri"/>
                <w:color w:val="000000"/>
                <w:sz w:val="18"/>
                <w:szCs w:val="18"/>
                <w:lang w:eastAsia="en-CA"/>
              </w:rPr>
            </w:pPr>
            <w:r w:rsidRPr="008119C5">
              <w:rPr>
                <w:rFonts w:ascii="Calibri" w:eastAsia="Times New Roman" w:hAnsi="Calibri" w:cs="Calibri"/>
                <w:color w:val="000000"/>
                <w:sz w:val="18"/>
                <w:szCs w:val="18"/>
                <w:lang w:eastAsia="en-CA"/>
              </w:rPr>
              <w:t>different dairy products; milk and beef</w:t>
            </w:r>
          </w:p>
        </w:tc>
        <w:tc>
          <w:tcPr>
            <w:tcW w:w="4961" w:type="dxa"/>
            <w:noWrap/>
            <w:vAlign w:val="center"/>
          </w:tcPr>
          <w:p w14:paraId="3BF26FEE" w14:textId="77777777" w:rsidR="00340E4E" w:rsidRPr="00C23BD9" w:rsidRDefault="00340E4E" w:rsidP="00C821FE">
            <w:pPr>
              <w:spacing w:after="0" w:line="240" w:lineRule="auto"/>
              <w:rPr>
                <w:rFonts w:ascii="Calibri" w:eastAsia="Times New Roman" w:hAnsi="Calibri" w:cs="Calibri"/>
                <w:color w:val="000000"/>
                <w:sz w:val="18"/>
                <w:szCs w:val="18"/>
                <w:lang w:eastAsia="en-CA"/>
              </w:rPr>
            </w:pPr>
            <w:r w:rsidRPr="00C23BD9">
              <w:rPr>
                <w:rFonts w:ascii="Calibri" w:eastAsia="Times New Roman" w:hAnsi="Calibri" w:cs="Calibri"/>
                <w:color w:val="000000"/>
                <w:sz w:val="18"/>
                <w:szCs w:val="18"/>
                <w:lang w:eastAsia="en-CA"/>
              </w:rPr>
              <w:t>physical/causal (milk solids); feed energy consumption/drinking water consumption</w:t>
            </w:r>
          </w:p>
        </w:tc>
      </w:tr>
      <w:tr w:rsidR="00340E4E" w:rsidRPr="008427C7" w14:paraId="59AC5BC7" w14:textId="77777777" w:rsidTr="00DA1C73">
        <w:trPr>
          <w:trHeight w:val="290"/>
        </w:trPr>
        <w:tc>
          <w:tcPr>
            <w:tcW w:w="1164" w:type="dxa"/>
            <w:noWrap/>
            <w:vAlign w:val="center"/>
          </w:tcPr>
          <w:p w14:paraId="0F686D6B" w14:textId="06CAE2BC"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{"citationItems":[{"id":"ITEM-1","itemData":{"DOI":"10.1016/j.livsci.2018.12.014","ISSN":"18711413","abstract":"The management concept “extended lactation” whereby farmers deliberately delay time of first insemination allow them to utilise the high milk yield potential of modern dairy cows for longer. The main objective of this study was to quantify the effect of different extended lactation strategies on herd productivity, farm economics and sustainability at product level with focus on greenhouse gas emission. The herd model SimHerd simulated cow state, production, replacement and herd dynamics that supported a quantification of the effect of managing either first lactation, older or all cows for calving intervals of either 15 or 17 months compared with 13 months. The initial herd was self-sufficient with replacement heifers, and the extended lactations were achieved by only changing time of first possible insemination while keeping insemination and conception rates as well as all other production and management parameters unchanged. The different extended lactation strategies reduced annual milk production and herd feed use up to 4.1 and 7.1%, respectively, which combined caused herd milk production per kg DM herd feed use to increase with up to 3.5%. Replacement rate per annual cow (per cow per year) was reduced with up to 13.6% points and the number of youngstock per annual cow with 27%. Managing only first lactation cows for extended lactations resulted in close to negligible production effects compared with baseline scenario and positively affected farm contribution margin whereas the other strategies had a negative effect on farm contribution margin per cow of up to 3.2%. The reduction in herd feed use reduced farm area for feed production, and the economic effect of using this area to either feed more cows or grow a cash crop was greater than the negative economic effect of the extended lactation strategy itself. Hence, the overall economic effect depends on the ability of the farmer to realise savings and utilise a potential freed area. Finally, the extended lactation strategies reduced greenhouse gas emissions with up to 8.1% per annual cow where less feed production and less enteric fermentation were determining factors. However, the weight ratio between milk and meat increased up to 34.7% across scenarios, which affected the allocation of emissions. Hence, emissions were reduced per cow but unchanged per kg milk. If the market requires an unchanged supply of milk and beef meat, then these extended lactation strategies caused an indirect emission from…","author":[{"dropping-particle":"","family":"Lehmann","given":"Jesper Overgård","non-dropping-particle":"","parse-names":false,"suffix":""},{"dropping-particle":"","family":"Mogensen","given":"Lisbeth","non-dropping-particle":"","parse-names":false,"suffix":""},{"dropping-particle":"","family":"Kristensen","given":"Troels","non-dropping-particle":"","parse-names":false,"suffix":""}],"container-title":"Livestock Science","id":"ITEM-1","issue":"June 2018","issued":{"date-parts":[["2019"]]},"page":"100-110","publisher":"Elsevier B.V.","title":"Extended lactations in dairy production: Economic, productivity and climatic impact at herd, farm and sector level","type":"article-journal","volume":"220"},"uris":["http://www.mendeley.com/documents/?uuid=035c2897-fb79-4dbc-8aea-f65b87ff1cd1"]}],"mendeley":{"formattedCitation":"(Lehmann et al., 2019)","manualFormatting":"Lehmann et al. (2019)","plainTextFormattedCitation":"(Lehmann et al., 2019)","previouslyFormattedCitation":"&lt;sup&gt;51&lt;/sup&gt;"},"properties":{"noteIndex":0},"schema":"https://github.com/citation-style-language/schema/raw/master/csl-citation.json"}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Lehman</w:t>
            </w:r>
            <w:r w:rsidRPr="008427C7">
              <w:rPr>
                <w:rFonts w:ascii="Calibri" w:eastAsia="Times New Roman" w:hAnsi="Calibri" w:cs="Calibri"/>
                <w:noProof/>
                <w:color w:val="000000"/>
                <w:sz w:val="18"/>
                <w:szCs w:val="18"/>
                <w:lang w:eastAsia="en-CA"/>
              </w:rPr>
              <w:t>n et al. (2019)</w:t>
            </w:r>
            <w:r w:rsidRPr="00BF29E4">
              <w:rPr>
                <w:rFonts w:ascii="Calibri" w:eastAsia="Times New Roman" w:hAnsi="Calibri" w:cs="Calibri"/>
                <w:color w:val="000000"/>
                <w:sz w:val="18"/>
                <w:szCs w:val="18"/>
                <w:lang w:eastAsia="en-CA"/>
              </w:rPr>
              <w:fldChar w:fldCharType="end"/>
            </w:r>
          </w:p>
        </w:tc>
        <w:tc>
          <w:tcPr>
            <w:tcW w:w="1417" w:type="dxa"/>
            <w:noWrap/>
            <w:vAlign w:val="center"/>
          </w:tcPr>
          <w:p w14:paraId="343A6C0D"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dairy</w:t>
            </w:r>
          </w:p>
        </w:tc>
        <w:tc>
          <w:tcPr>
            <w:tcW w:w="3544" w:type="dxa"/>
            <w:noWrap/>
            <w:vAlign w:val="center"/>
          </w:tcPr>
          <w:p w14:paraId="405001D2" w14:textId="77777777" w:rsidR="00340E4E" w:rsidRPr="008119C5" w:rsidRDefault="00340E4E" w:rsidP="00C821FE">
            <w:pPr>
              <w:spacing w:after="0" w:line="240" w:lineRule="auto"/>
              <w:rPr>
                <w:rFonts w:ascii="Calibri" w:eastAsia="Times New Roman" w:hAnsi="Calibri" w:cs="Calibri"/>
                <w:color w:val="000000"/>
                <w:sz w:val="18"/>
                <w:szCs w:val="18"/>
                <w:lang w:eastAsia="en-CA"/>
              </w:rPr>
            </w:pPr>
            <w:r w:rsidRPr="008119C5">
              <w:rPr>
                <w:rFonts w:ascii="Calibri" w:eastAsia="Times New Roman" w:hAnsi="Calibri" w:cs="Calibri"/>
                <w:color w:val="000000"/>
                <w:sz w:val="18"/>
                <w:szCs w:val="18"/>
                <w:lang w:eastAsia="en-CA"/>
              </w:rPr>
              <w:t>milk and meat</w:t>
            </w:r>
          </w:p>
        </w:tc>
        <w:tc>
          <w:tcPr>
            <w:tcW w:w="4961" w:type="dxa"/>
            <w:noWrap/>
            <w:vAlign w:val="center"/>
          </w:tcPr>
          <w:p w14:paraId="5862999F" w14:textId="77777777" w:rsidR="00340E4E" w:rsidRPr="00C23BD9" w:rsidRDefault="00340E4E" w:rsidP="00C821FE">
            <w:pPr>
              <w:spacing w:after="0" w:line="240" w:lineRule="auto"/>
              <w:rPr>
                <w:rFonts w:ascii="Calibri" w:eastAsia="Times New Roman" w:hAnsi="Calibri" w:cs="Calibri"/>
                <w:color w:val="000000"/>
                <w:sz w:val="18"/>
                <w:szCs w:val="18"/>
                <w:lang w:eastAsia="en-CA"/>
              </w:rPr>
            </w:pPr>
            <w:r w:rsidRPr="00C23BD9">
              <w:rPr>
                <w:rFonts w:ascii="Calibri" w:eastAsia="Times New Roman" w:hAnsi="Calibri" w:cs="Calibri"/>
                <w:color w:val="000000"/>
                <w:sz w:val="18"/>
                <w:szCs w:val="18"/>
                <w:lang w:eastAsia="en-CA"/>
              </w:rPr>
              <w:t>mass</w:t>
            </w:r>
          </w:p>
        </w:tc>
      </w:tr>
      <w:tr w:rsidR="00340E4E" w:rsidRPr="008427C7" w14:paraId="47A28624" w14:textId="77777777" w:rsidTr="00DA1C73">
        <w:trPr>
          <w:trHeight w:val="290"/>
        </w:trPr>
        <w:tc>
          <w:tcPr>
            <w:tcW w:w="1164" w:type="dxa"/>
            <w:noWrap/>
            <w:vAlign w:val="center"/>
          </w:tcPr>
          <w:p w14:paraId="4449B42A" w14:textId="0095A3BA"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lastRenderedPageBreak/>
              <w:fldChar w:fldCharType="begin" w:fldLock="1"/>
            </w:r>
            <w:r w:rsidR="00C27421">
              <w:rPr>
                <w:rFonts w:ascii="Calibri" w:eastAsia="Times New Roman" w:hAnsi="Calibri" w:cs="Calibri"/>
                <w:color w:val="000000"/>
                <w:sz w:val="18"/>
                <w:szCs w:val="18"/>
                <w:lang w:eastAsia="en-CA"/>
              </w:rPr>
              <w:instrText>ADDIN CSL_CITATION {"citationItems":[{"id":"ITEM-1","itemData":{"DOI":"10.1007/s11356-019-06857-6","ISSN":"16147499","PMID":"31755063","abstract":"Milk production has been estimated to contribute 3–4% of anthropogenic greenhouse gas (GHG) emissions. However, the carbon footprint associated with raw milk can vary, depending on a variety of factors, such as the geographical area, species of cow and production system. In this study, a global overview of research published on the carbon footprint (CF) of raw cow milk is provided. Additionally, two different dairy systems (semi-confinement and pasture-based) have been analysed by life-cycle assessment (LCA) in order to determine their effect on the CF of the milk produced. Inventory data were obtained directly from these facilities, and the main factors involved in milk production were included (co-products, livestock food, water, electricity, diesel, cleaning elements, transport, manure and slurry management, gas emissions to air etc.). In agreement with reviewed literature, it was found that the carbon footprint of milk was basically determined by the cattle feeding system and gas emissions from the cows. The values of milk CF found in the systems under study were within the range for cow milk production worldwide (0.9–4.7 kgCO2eq kgFPCM−1). Specifically, in the semi-confinement and the pasture-based dairy farms, 1.22 and 0.99 kgCO2eq kgFPCM−1 were obtained, respectively. The environmental benefits obtained with the pasture grazing system are not only mainly due to the lower use of purchased fodder but also to the allocation between milk and meat that was found to be a determining methodological factor in CF calculation. Finally, data from the evaluated dairy systems have been employed to analyse the influence of raw milk production on cheese manufacturing. With this aim, the CF of a small-scale cheese factory has also been obtained. The main subsystems involved (raw materials, water, electricity, energy, cleaning products, packaging materials, transport, wastes and gas emissions) were included in the inventory of the cheese factory. CF values were 16.6 and 14.7 kgCO2eq kg−1 of cheese for milk produced in semi-confinement and pasture-based systems, respectively. The production of raw milk represented more than 60% of CO2eq emissions associated with cheese, so the primary production is the critical factor in reducing the GHG emissions due to cheese making.","author":[{"dropping-particle":"","family":"Laca","given":"Amanda","non-dropping-particle":"","parse-names":false,"suffix":""},{"dropping-particle":"","family":"Gómez","given":"Natalia","non-dropping-particle":"","parse-names":false,"suffix":""},{"dropping-particle":"","family":"Laca","given":"Adriana","non-dropping-particle":"","parse-names":false,"suffix":""},{"dropping-particle":"","family":"Díaz","given":"Mario","non-dropping-particle":"","parse-names":false,"suffix":""}],"container-title":"Environmental Science and Pollution Research","id":"ITEM-1","issue":"2","issued":{"date-parts":[["2020"]]},"page":"1650-1666","publisher":"Environmental Science and Pollution Research","title":"Overview on GHG emissions of raw milk production and a comparison of milk and cheese carbon footprints of two different systems from northern Spain","type":"article-journal","volume":"27"},"uris":["http://www.mendeley.com/documents/?uuid=7ef4a9c6-46be-4f87-b475-a4c75be0fa35"]}],"mendeley":{"formattedCitation":"(Laca et al., 2020)","manualFormatting":"Laca et al. (2020)","plainTextFormattedCitation":"(Laca et al., 2020)","previouslyFormattedCitation":"&lt;sup&gt;52&lt;/sup&gt;"},"properties":{"noteIndex":0},"schema":"https://github.com/citation-style-language/schema/raw/master/csl-citation.json"}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 xml:space="preserve">Laca et al. </w:t>
            </w:r>
            <w:r w:rsidRPr="008427C7">
              <w:rPr>
                <w:rFonts w:ascii="Calibri" w:eastAsia="Times New Roman" w:hAnsi="Calibri" w:cs="Calibri"/>
                <w:noProof/>
                <w:color w:val="000000"/>
                <w:sz w:val="18"/>
                <w:szCs w:val="18"/>
                <w:lang w:eastAsia="en-CA"/>
              </w:rPr>
              <w:t>(2020)</w:t>
            </w:r>
            <w:r w:rsidRPr="00BF29E4">
              <w:rPr>
                <w:rFonts w:ascii="Calibri" w:eastAsia="Times New Roman" w:hAnsi="Calibri" w:cs="Calibri"/>
                <w:color w:val="000000"/>
                <w:sz w:val="18"/>
                <w:szCs w:val="18"/>
                <w:lang w:eastAsia="en-CA"/>
              </w:rPr>
              <w:fldChar w:fldCharType="end"/>
            </w:r>
          </w:p>
        </w:tc>
        <w:tc>
          <w:tcPr>
            <w:tcW w:w="1417" w:type="dxa"/>
            <w:noWrap/>
            <w:vAlign w:val="center"/>
          </w:tcPr>
          <w:p w14:paraId="5A91850D"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dairy</w:t>
            </w:r>
          </w:p>
        </w:tc>
        <w:tc>
          <w:tcPr>
            <w:tcW w:w="3544" w:type="dxa"/>
            <w:noWrap/>
            <w:vAlign w:val="center"/>
          </w:tcPr>
          <w:p w14:paraId="1BAA1CBD" w14:textId="77777777" w:rsidR="00340E4E" w:rsidRPr="008119C5" w:rsidRDefault="00340E4E" w:rsidP="00C821FE">
            <w:pPr>
              <w:spacing w:after="0" w:line="240" w:lineRule="auto"/>
              <w:rPr>
                <w:rFonts w:ascii="Calibri" w:eastAsia="Times New Roman" w:hAnsi="Calibri" w:cs="Calibri"/>
                <w:color w:val="000000"/>
                <w:sz w:val="18"/>
                <w:szCs w:val="18"/>
                <w:lang w:eastAsia="en-CA"/>
              </w:rPr>
            </w:pPr>
            <w:r w:rsidRPr="008119C5">
              <w:rPr>
                <w:rFonts w:ascii="Calibri" w:eastAsia="Times New Roman" w:hAnsi="Calibri" w:cs="Calibri"/>
                <w:color w:val="000000"/>
                <w:sz w:val="18"/>
                <w:szCs w:val="18"/>
                <w:lang w:eastAsia="en-CA"/>
              </w:rPr>
              <w:t>milk and meat</w:t>
            </w:r>
          </w:p>
        </w:tc>
        <w:tc>
          <w:tcPr>
            <w:tcW w:w="4961" w:type="dxa"/>
            <w:noWrap/>
            <w:vAlign w:val="center"/>
          </w:tcPr>
          <w:p w14:paraId="681D5068" w14:textId="77777777" w:rsidR="00340E4E" w:rsidRPr="00C23BD9" w:rsidRDefault="00340E4E" w:rsidP="00C821FE">
            <w:pPr>
              <w:spacing w:after="0" w:line="240" w:lineRule="auto"/>
              <w:rPr>
                <w:rFonts w:ascii="Calibri" w:eastAsia="Times New Roman" w:hAnsi="Calibri" w:cs="Calibri"/>
                <w:color w:val="000000"/>
                <w:sz w:val="18"/>
                <w:szCs w:val="18"/>
                <w:lang w:eastAsia="en-CA"/>
              </w:rPr>
            </w:pPr>
            <w:r w:rsidRPr="00C23BD9">
              <w:rPr>
                <w:rFonts w:ascii="Calibri" w:eastAsia="Times New Roman" w:hAnsi="Calibri" w:cs="Calibri"/>
                <w:color w:val="000000"/>
                <w:sz w:val="18"/>
                <w:szCs w:val="18"/>
                <w:lang w:eastAsia="en-CA"/>
              </w:rPr>
              <w:t>biophysical</w:t>
            </w:r>
          </w:p>
        </w:tc>
      </w:tr>
      <w:tr w:rsidR="00340E4E" w:rsidRPr="008427C7" w14:paraId="3C579C37" w14:textId="77777777" w:rsidTr="00DA1C73">
        <w:trPr>
          <w:trHeight w:val="290"/>
        </w:trPr>
        <w:tc>
          <w:tcPr>
            <w:tcW w:w="1164" w:type="dxa"/>
            <w:noWrap/>
            <w:vAlign w:val="center"/>
          </w:tcPr>
          <w:p w14:paraId="4100DD2F" w14:textId="38EA87F5"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{"citationItems":[{"id":"ITEM-1","itemData":{"DOI":"10.1016/j.jclepro.2016.06.185","ISSN":"09596526","abstract":"The dairy industry is associated with the production of wastewaters and effluents that could have a significant environmental impact because of their pollutant characteristics. Cheese whey is an important source of pollution that needs an appropriate treatment because of several environmental burdens. Thanks to its nutritional value, liquid whey can be successfully recycled in animal nutrition. Following the LCA methodology, this study aims to contribute to the literature on the environmental sustainability of cheese production in a traditional dairy chain, based on an Italian case study and on liquid whey usage. The environmental assessment considers both the milk and the mozzarella cheese production. Three dairy chains and cow diets were assessed and compared: the A diet, with traditional feeding hay and no liquid whey; the B diet, with silages but no liquid whey; the C diet, including both silages and liquid whey. A physical allocation method was used to share the environmental burden between milk and meat at farm level, while the environmental burden of the mozzarella cheese production was totally allocated to curd. A sensitivity analysis based on the cereal unit allocation method was performed. A further sensitivity analysis was performed to compare what the effect would have been considering the variability of milk yield observed in the three diets. Results showed that raw milk production was the most impactful phase along the considered supply chain. Compared with other dairy chains, the C chain with liquid whey recycling did not result the lowest impacting solution at a global environmental perspective, showing best performances on some impacts, but not on others. However, sensitivity analysis testing for the observed yield variability showed that the C diet with whey usage could represent the best option among the different diets.","author":[{"dropping-particle":"","family":"Palmieri","given":"Nadia","non-dropping-particle":"","parse-names":false,"suffix":""},{"dropping-particle":"","family":"Forleo","given":"Maria Bonaventura","non-dropping-particle":"","parse-names":false,"suffix":""},{"dropping-particle":"","family":"Salimei","given":"Elisabetta","non-dropping-particle":"","parse-names":false,"suffix":""}],"container-title":"Journal of Cleaner Production","id":"ITEM-1","issued":{"date-parts":[["2017"]]},"page":"881-889","publisher":"Elsevier Ltd","title":"Environmental impacts of a dairy cheese chain including whey feeding: An Italian case study","type":"article-journal","volume":"140"},"uris":["http://www.mendeley.com/documents/?uuid=c1e4773c-f307-4c87-8344-9a044db4f518"]}],"mendeley":{"formattedCitation":"(Nadia Palmieri et al., 2017)","manualFormatting":"Palmieri et al. (2017b)","plainTextFormattedCitation":"(Nadia Palmieri et al., 2017)","previouslyFormattedCitation":"&lt;sup&gt;53&lt;/sup&gt;"},"properties":{"noteIndex":0},"schema":"https://github.com/citation-style-language/schema/raw/master/csl-citation.json"}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 xml:space="preserve">Palmieri et al. </w:t>
            </w:r>
            <w:r w:rsidRPr="008427C7">
              <w:rPr>
                <w:rFonts w:ascii="Calibri" w:eastAsia="Times New Roman" w:hAnsi="Calibri" w:cs="Calibri"/>
                <w:noProof/>
                <w:color w:val="000000"/>
                <w:sz w:val="18"/>
                <w:szCs w:val="18"/>
                <w:lang w:eastAsia="en-CA"/>
              </w:rPr>
              <w:t>(2017b)</w:t>
            </w:r>
            <w:r w:rsidRPr="00BF29E4">
              <w:rPr>
                <w:rFonts w:ascii="Calibri" w:eastAsia="Times New Roman" w:hAnsi="Calibri" w:cs="Calibri"/>
                <w:color w:val="000000"/>
                <w:sz w:val="18"/>
                <w:szCs w:val="18"/>
                <w:lang w:eastAsia="en-CA"/>
              </w:rPr>
              <w:fldChar w:fldCharType="end"/>
            </w:r>
          </w:p>
        </w:tc>
        <w:tc>
          <w:tcPr>
            <w:tcW w:w="1417" w:type="dxa"/>
            <w:noWrap/>
            <w:vAlign w:val="center"/>
          </w:tcPr>
          <w:p w14:paraId="59322033"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dairy</w:t>
            </w:r>
          </w:p>
        </w:tc>
        <w:tc>
          <w:tcPr>
            <w:tcW w:w="3544" w:type="dxa"/>
            <w:noWrap/>
            <w:vAlign w:val="center"/>
          </w:tcPr>
          <w:p w14:paraId="730A3358" w14:textId="77777777" w:rsidR="00340E4E" w:rsidRPr="008119C5" w:rsidRDefault="00340E4E" w:rsidP="00C821FE">
            <w:pPr>
              <w:spacing w:after="0" w:line="240" w:lineRule="auto"/>
              <w:rPr>
                <w:rFonts w:ascii="Calibri" w:eastAsia="Times New Roman" w:hAnsi="Calibri" w:cs="Calibri"/>
                <w:color w:val="000000"/>
                <w:sz w:val="18"/>
                <w:szCs w:val="18"/>
                <w:lang w:eastAsia="en-CA"/>
              </w:rPr>
            </w:pPr>
            <w:r w:rsidRPr="008119C5">
              <w:rPr>
                <w:rFonts w:ascii="Calibri" w:eastAsia="Times New Roman" w:hAnsi="Calibri" w:cs="Calibri"/>
                <w:color w:val="000000"/>
                <w:sz w:val="18"/>
                <w:szCs w:val="18"/>
                <w:lang w:eastAsia="en-CA"/>
              </w:rPr>
              <w:t>milk and meat; curd and whey</w:t>
            </w:r>
          </w:p>
        </w:tc>
        <w:tc>
          <w:tcPr>
            <w:tcW w:w="4961" w:type="dxa"/>
            <w:noWrap/>
            <w:vAlign w:val="center"/>
          </w:tcPr>
          <w:p w14:paraId="6960A99B" w14:textId="77777777" w:rsidR="00340E4E" w:rsidRPr="00C23BD9" w:rsidRDefault="00340E4E" w:rsidP="00C821FE">
            <w:pPr>
              <w:spacing w:after="0" w:line="240" w:lineRule="auto"/>
              <w:rPr>
                <w:rFonts w:ascii="Calibri" w:eastAsia="Times New Roman" w:hAnsi="Calibri" w:cs="Calibri"/>
                <w:color w:val="000000"/>
                <w:sz w:val="18"/>
                <w:szCs w:val="18"/>
                <w:lang w:eastAsia="en-CA"/>
              </w:rPr>
            </w:pPr>
            <w:r w:rsidRPr="00C23BD9">
              <w:rPr>
                <w:rFonts w:ascii="Calibri" w:eastAsia="Times New Roman" w:hAnsi="Calibri" w:cs="Calibri"/>
                <w:color w:val="000000"/>
                <w:sz w:val="18"/>
                <w:szCs w:val="18"/>
                <w:lang w:eastAsia="en-CA"/>
              </w:rPr>
              <w:t>physical with cereal unit as sensitivity; no allocation</w:t>
            </w:r>
          </w:p>
        </w:tc>
      </w:tr>
      <w:tr w:rsidR="00340E4E" w:rsidRPr="008427C7" w14:paraId="50155566" w14:textId="77777777" w:rsidTr="00DA1C73">
        <w:trPr>
          <w:trHeight w:val="290"/>
        </w:trPr>
        <w:tc>
          <w:tcPr>
            <w:tcW w:w="1164" w:type="dxa"/>
            <w:noWrap/>
            <w:vAlign w:val="center"/>
          </w:tcPr>
          <w:p w14:paraId="0810BBF5" w14:textId="0064C79B"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{"citationItems":[{"id":"ITEM-1","itemData":{"DOI":"10.1016/j.smallrumres.2020.106085","ISSN":"09214488","abstract":"Sheep milk production is an important livestock sector for the European Mediterranean countries including the regions of southern Italy. The main objective of this study was to investigate the carbon footprint and the related damages generated by dairy sheep farming by using a simplified LCA approach based on the ReCiPe End-point method. We used 1 kg of Fat and Protein Corrected Milk (FPCM) as functional unit (FU). The average flock size was about 400 animals and the average farm size was about 66 ha. In addition to milk all farms produced meat and wool. Therefore, we performed an economic allocation by dividing all inputs and outputs among milk and the other two co-products (meat and wool), based on farm financial statements. The CF impact determined by 1 kg of FPCM was 3.78 kg CO2-eq. The highest CF impact was mainly due to the enteric fermentation, producing biogenic CH4 as the prevalent chemical compound, followed by the production of meadow hay. Based on the ReCiPe End-point method the impact of 1 kg of FPCM from dairy sheep farming was 7.35 E-06 Disability Adjusted Life Years, whereas the Damage to Ecosystem Diversity was 3.29 E-07 Species*year and the value of the Damage to Resource Availability 0.025 $. In conclusion, the environmental management and sustainability of sheep farms should be constantly controlled with the aim of minimizing their impacts without compromising the competitiveness of this productive sector.","author":[{"dropping-particle":"","family":"Sabia","given":"Emilio","non-dropping-particle":"","parse-names":false,"suffix":""},{"dropping-particle":"","family":"Gauly","given":"Matthias","non-dropping-particle":"","parse-names":false,"suffix":""},{"dropping-particle":"","family":"Napolitano","given":"Fabio","non-dropping-particle":"","parse-names":false,"suffix":""},{"dropping-particle":"","family":"Serrapica","given":"Francesco","non-dropping-particle":"","parse-names":false,"suffix":""},{"dropping-particle":"","family":"Cifuni","given":"Giulia Francesca","non-dropping-particle":"","parse-names":false,"suffix":""},{"dropping-particle":"","family":"Claps","given":"Salvatore","non-dropping-particle":"","parse-names":false,"suffix":""}],"container-title":"Small Ruminant Research","id":"ITEM-1","issue":"October 2019","issued":{"date-parts":[["2020"]]},"page":"106085","publisher":"Elsevier","title":"Dairy sheep carbon footprint and ReCiPe end-point study","type":"article-journal","volume":"185"},"uris":["http://www.mendeley.com/documents/?uuid=aa64bfdd-e9a5-4be7-8cad-e1c9420b47b2"]}],"mendeley":{"formattedCitation":"(Sabia et al., 2020)","manualFormatting":"Sabia et al. (2020)","plainTextFormattedCitation":"(Sabia et al., 2020)","previouslyFormattedCitation":"&lt;sup&gt;54&lt;/sup&gt;"},"properties":{"noteIndex":0},"schema":"https://github.com/citation-style-language/schema/raw/master/csl-citation.json"}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 xml:space="preserve">Sabia et al. </w:t>
            </w:r>
            <w:r w:rsidRPr="008427C7">
              <w:rPr>
                <w:rFonts w:ascii="Calibri" w:eastAsia="Times New Roman" w:hAnsi="Calibri" w:cs="Calibri"/>
                <w:noProof/>
                <w:color w:val="000000"/>
                <w:sz w:val="18"/>
                <w:szCs w:val="18"/>
                <w:lang w:eastAsia="en-CA"/>
              </w:rPr>
              <w:t>(2020)</w:t>
            </w:r>
            <w:r w:rsidRPr="00BF29E4">
              <w:rPr>
                <w:rFonts w:ascii="Calibri" w:eastAsia="Times New Roman" w:hAnsi="Calibri" w:cs="Calibri"/>
                <w:color w:val="000000"/>
                <w:sz w:val="18"/>
                <w:szCs w:val="18"/>
                <w:lang w:eastAsia="en-CA"/>
              </w:rPr>
              <w:fldChar w:fldCharType="end"/>
            </w:r>
          </w:p>
        </w:tc>
        <w:tc>
          <w:tcPr>
            <w:tcW w:w="1417" w:type="dxa"/>
            <w:noWrap/>
            <w:vAlign w:val="center"/>
          </w:tcPr>
          <w:p w14:paraId="05074E8B"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dairy sheep</w:t>
            </w:r>
          </w:p>
        </w:tc>
        <w:tc>
          <w:tcPr>
            <w:tcW w:w="3544" w:type="dxa"/>
            <w:noWrap/>
            <w:vAlign w:val="center"/>
          </w:tcPr>
          <w:p w14:paraId="045CE83E" w14:textId="77777777" w:rsidR="00340E4E" w:rsidRPr="008119C5" w:rsidRDefault="00340E4E" w:rsidP="00C821FE">
            <w:pPr>
              <w:spacing w:after="0" w:line="240" w:lineRule="auto"/>
              <w:rPr>
                <w:rFonts w:ascii="Calibri" w:eastAsia="Times New Roman" w:hAnsi="Calibri" w:cs="Calibri"/>
                <w:color w:val="000000"/>
                <w:sz w:val="18"/>
                <w:szCs w:val="18"/>
                <w:lang w:eastAsia="en-CA"/>
              </w:rPr>
            </w:pPr>
            <w:r w:rsidRPr="008119C5">
              <w:rPr>
                <w:rFonts w:ascii="Calibri" w:eastAsia="Times New Roman" w:hAnsi="Calibri" w:cs="Calibri"/>
                <w:color w:val="000000"/>
                <w:sz w:val="18"/>
                <w:szCs w:val="18"/>
                <w:lang w:eastAsia="en-CA"/>
              </w:rPr>
              <w:t>milk, meat, wool</w:t>
            </w:r>
          </w:p>
        </w:tc>
        <w:tc>
          <w:tcPr>
            <w:tcW w:w="4961" w:type="dxa"/>
            <w:noWrap/>
            <w:vAlign w:val="center"/>
          </w:tcPr>
          <w:p w14:paraId="7B463968" w14:textId="77777777" w:rsidR="00340E4E" w:rsidRPr="00C23BD9" w:rsidRDefault="00340E4E" w:rsidP="00C821FE">
            <w:pPr>
              <w:spacing w:after="0" w:line="240" w:lineRule="auto"/>
              <w:rPr>
                <w:rFonts w:ascii="Calibri" w:eastAsia="Times New Roman" w:hAnsi="Calibri" w:cs="Calibri"/>
                <w:color w:val="000000"/>
                <w:sz w:val="18"/>
                <w:szCs w:val="18"/>
                <w:lang w:eastAsia="en-CA"/>
              </w:rPr>
            </w:pPr>
            <w:r w:rsidRPr="00C23BD9">
              <w:rPr>
                <w:rFonts w:ascii="Calibri" w:eastAsia="Times New Roman" w:hAnsi="Calibri" w:cs="Calibri"/>
                <w:color w:val="000000"/>
                <w:sz w:val="18"/>
                <w:szCs w:val="18"/>
                <w:lang w:eastAsia="en-CA"/>
              </w:rPr>
              <w:t>economic</w:t>
            </w:r>
          </w:p>
        </w:tc>
      </w:tr>
      <w:tr w:rsidR="00340E4E" w:rsidRPr="008427C7" w14:paraId="74337308" w14:textId="77777777" w:rsidTr="00DA1C73">
        <w:trPr>
          <w:trHeight w:val="290"/>
        </w:trPr>
        <w:tc>
          <w:tcPr>
            <w:tcW w:w="1164" w:type="dxa"/>
            <w:noWrap/>
            <w:vAlign w:val="center"/>
          </w:tcPr>
          <w:p w14:paraId="5D7A0564" w14:textId="1F3416D9"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{"citationItems":[{"id":"ITEM-1","itemData":{"DOI":"10.1016/j.jclepro.2018.11.070","ISSN":"09596526","abstract":"In 2016, eight conventional and six organic dairy farmers from the Lombardy Plain were interviewed about their farm technical and economical outcomes in 2015. Environmental performances were assessed according to the life cycle assessment (LCA) approach. The environmental effects investigated were global warming potential (GWP), acidification potential (ACP), and eutrophication potential (EUP). The functional units were 1 kg of fat protein corrected milk (FPCM) and 1 ha of occupied area. The calculations were performed with a version of LatteGHG model, updated to take into account carbon sequestration, ACP and EUP. Herd sizes did not differ between the conventional and organic farms, but the variability in organic herd size (CV 0.88) was larger than that in conventional herd size (CV 0.35). FPCM production was significantly (P &lt; 0.05) higher in the conventional than in the organic farms (9004 vs. 7736 kg/cow per year, respectively). The GWP, ACP and EUP, with no allocation per kilogram of FPCM, for conventional vs. organic farms were 1.24 vs. 1.37 kg CO2eq, 0.025 vs. 0.026 kg of SO2eq, and 0.011 and 0.013 kg of PO43−eq, respectively, and showed no significant differences between conventional and organic farms. When considering 1 ha of occupied area, GWP, ACP, and EUP were significantly higher in the conventional than in the organic system (25.8 vs. 11.5 t CO2eq; 507 vs. 225 g SO2eq; 210 vs 117 g PO43−eq, respectively). Average milk production was found to be a significant driver of GWP per mass produced and per unit of land occupied in both production systems. Correlations between consumption of inputs per cow or kilograms of milk are controversial. In this study, there was no significant difference in the contribution of sources of GHG, with the exception of inputs for cropping, which was significantly higher in the conventional system. The main contributor of ACP were the emissions of NH3 and NOx from manure management and application, with a significant difference between the conventional and organic systems (82.2% vs. 92.9%, respectively). The main source of EUP was the emissions of NH3, N2O and P from manure management and application, which was significantly higher in the organic system than in the conventional system (62.9% vs. 67.8%, respectively). These results suggest that organic systems should improve milk productivity, and act as an effective contributor in tackling the environmental problems examined in this study. The study further sugges…","author":[{"dropping-particle":"","family":"Pirlo","given":"G.","non-dropping-particle":"","parse-names":false,"suffix":""},{"dropping-particle":"","family":"Lolli","given":"S.","non-dropping-particle":"","parse-names":false,"suffix":""}],"container-title":"Journal of Cleaner Production","id":"ITEM-1","issued":{"date-parts":[["2019"]]},"page":"962-971","publisher":"Elsevier Ltd","title":"Environmental impact of milk production from samples of organic and conventional farms in Lombardy (Italy)","type":"article-journal","volume":"211"},"uris":["http://www.mendeley.com/documents/?uuid=f30816a3-e2cb-4d2d-af59-325562b109d2"]}],"mendeley":{"formattedCitation":"(Pirlo and Lolli, 2019)","manualFormatting":"Pirlo and Lolli (2019)","plainTextFormattedCitation":"(Pirlo and Lolli, 2019)","previouslyFormattedCitation":"&lt;sup&gt;55&lt;/sup&gt;"},"properties":{"noteIndex":0},"schema":"https://github.com/citation-style-language/schema/raw/master/csl-citation.json"}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 xml:space="preserve">Pirlo and Lolli </w:t>
            </w:r>
            <w:r w:rsidRPr="008427C7">
              <w:rPr>
                <w:rFonts w:ascii="Calibri" w:eastAsia="Times New Roman" w:hAnsi="Calibri" w:cs="Calibri"/>
                <w:noProof/>
                <w:color w:val="000000"/>
                <w:sz w:val="18"/>
                <w:szCs w:val="18"/>
                <w:lang w:eastAsia="en-CA"/>
              </w:rPr>
              <w:t>(2019)</w:t>
            </w:r>
            <w:r w:rsidRPr="00BF29E4">
              <w:rPr>
                <w:rFonts w:ascii="Calibri" w:eastAsia="Times New Roman" w:hAnsi="Calibri" w:cs="Calibri"/>
                <w:color w:val="000000"/>
                <w:sz w:val="18"/>
                <w:szCs w:val="18"/>
                <w:lang w:eastAsia="en-CA"/>
              </w:rPr>
              <w:fldChar w:fldCharType="end"/>
            </w:r>
          </w:p>
        </w:tc>
        <w:tc>
          <w:tcPr>
            <w:tcW w:w="1417" w:type="dxa"/>
            <w:noWrap/>
            <w:vAlign w:val="center"/>
          </w:tcPr>
          <w:p w14:paraId="2D2DB747"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milk</w:t>
            </w:r>
          </w:p>
        </w:tc>
        <w:tc>
          <w:tcPr>
            <w:tcW w:w="3544" w:type="dxa"/>
            <w:noWrap/>
            <w:vAlign w:val="center"/>
          </w:tcPr>
          <w:p w14:paraId="4DDCF27D" w14:textId="77777777" w:rsidR="00340E4E" w:rsidRPr="008119C5" w:rsidRDefault="00340E4E" w:rsidP="00C821FE">
            <w:pPr>
              <w:spacing w:after="0" w:line="240" w:lineRule="auto"/>
              <w:rPr>
                <w:rFonts w:ascii="Calibri" w:eastAsia="Times New Roman" w:hAnsi="Calibri" w:cs="Calibri"/>
                <w:color w:val="000000"/>
                <w:sz w:val="18"/>
                <w:szCs w:val="18"/>
                <w:lang w:eastAsia="en-CA"/>
              </w:rPr>
            </w:pPr>
            <w:r w:rsidRPr="008119C5">
              <w:rPr>
                <w:rFonts w:ascii="Calibri" w:eastAsia="Times New Roman" w:hAnsi="Calibri" w:cs="Calibri"/>
                <w:color w:val="000000"/>
                <w:sz w:val="18"/>
                <w:szCs w:val="18"/>
                <w:lang w:eastAsia="en-CA"/>
              </w:rPr>
              <w:t>milk, meat, calves</w:t>
            </w:r>
          </w:p>
        </w:tc>
        <w:tc>
          <w:tcPr>
            <w:tcW w:w="4961" w:type="dxa"/>
            <w:noWrap/>
            <w:vAlign w:val="center"/>
          </w:tcPr>
          <w:p w14:paraId="304F7B21" w14:textId="77777777" w:rsidR="00340E4E" w:rsidRPr="00C23BD9" w:rsidRDefault="00340E4E" w:rsidP="00C821FE">
            <w:pPr>
              <w:spacing w:after="0" w:line="240" w:lineRule="auto"/>
              <w:rPr>
                <w:rFonts w:ascii="Calibri" w:eastAsia="Times New Roman" w:hAnsi="Calibri" w:cs="Calibri"/>
                <w:color w:val="000000"/>
                <w:sz w:val="18"/>
                <w:szCs w:val="18"/>
                <w:lang w:eastAsia="en-CA"/>
              </w:rPr>
            </w:pPr>
            <w:r w:rsidRPr="00C23BD9">
              <w:rPr>
                <w:rFonts w:ascii="Calibri" w:eastAsia="Times New Roman" w:hAnsi="Calibri" w:cs="Calibri"/>
                <w:color w:val="000000"/>
                <w:sz w:val="18"/>
                <w:szCs w:val="18"/>
                <w:lang w:eastAsia="en-CA"/>
              </w:rPr>
              <w:t>no allocation, economic, physical/causal</w:t>
            </w:r>
          </w:p>
        </w:tc>
      </w:tr>
      <w:tr w:rsidR="00340E4E" w:rsidRPr="008427C7" w14:paraId="1AA4374D" w14:textId="77777777" w:rsidTr="00DA1C73">
        <w:trPr>
          <w:trHeight w:val="290"/>
        </w:trPr>
        <w:tc>
          <w:tcPr>
            <w:tcW w:w="1164" w:type="dxa"/>
            <w:noWrap/>
            <w:vAlign w:val="center"/>
          </w:tcPr>
          <w:p w14:paraId="74D0F622" w14:textId="273B0738"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{"citationItems":[{"id":"ITEM-1","itemData":{"DOI":"10.1016/j.jclepro.2020.121780","ISSN":"09596526","abstract":"Milk production by smallholders in Africa has a high carbon footprint (CF) and is predicted to increase significantly in the coming decades. This study, based on data from a sample of 382 farms in central Kenya, is the first assessment of the CF of milk production in Sub-Saharan Africa based on a large dataset of actual farm management practices. The aims of the study were (1) to determine whether there are significant differences in the CF of farms with different feeding systems (i.e., zero-grazing, grazing and mixed systems), and (2) to identify factors associated with variability in CF between farms. This analysis is used to identify options for mitigating GHG emissions from Kenya's growing dairy production. Average CF ranged between 2.19 and 3.13 kg CO2e/kg fat and protein corrected milk (FPCM), depending on the GWPs and allocation method used. Analysis based on variability in farm management showed that CF was similar between farms with zero-grazing and mixed feeding systems, and significantly higher on farms with grazing only feeding systems, but no difference was detected when input parameter uncertainty was considered. At individual cow level, variation in milk yields explained more than 70% of the variation in GHG intensity. At farm level, milk yield explained less than half of variation in CF. CF was correlated with feed characteristics, manure management practices and herd size and composition. In particular, the level of concentrate use was positively correlated with CF, and was the most important factor explaining variation in CF not attributable to variation in milk yield. Our findings suggest that promoting balanced feed rations and feeding concentrate according to cows’ needs across the lactation cycle could provide opportunities to both increase milk production and reduce the CF of milk production on smallholder farms in central Kenya. Supporting smallholder farmers to implement these mitigation options will require interventions at several levels in feed supply chains in the dairy sector.","author":[{"dropping-particle":"","family":"Wilkes","given":"Andreas","non-dropping-particle":"","parse-names":false,"suffix":""},{"dropping-particle":"","family":"Wassie","given":"Shimels","non-dropping-particle":"","parse-names":false,"suffix":""},{"dropping-particle":"","family":"Odhong’","given":"Charles","non-dropping-particle":"","parse-names":false,"suffix":""},{"dropping-particle":"","family":"Fraval","given":"Simon","non-dropping-particle":"","parse-names":false,"suffix":""},{"dropping-particle":"","family":"Dijk","given":"Suzanne","non-dropping-particle":"van","parse-names":false,"suffix":""}],"container-title":"Journal of Cleaner Production","id":"ITEM-1","issued":{"date-parts":[["2020"]]},"page":"121780","publisher":"Elsevier Ltd","title":"Variation in the carbon footprint of milk production on smallholder dairy farms in central Kenya","type":"article-journal","volume":"265"},"uris":["http://www.mendeley.com/documents/?uuid=79f3c132-e5e0-4c1b-94e1-40782addab4f"]}],"mendeley":{"formattedCitation":"(Wilkes et al., 2020)","manualFormatting":"Wilkes et al. (2020)","plainTextFormattedCitation":"(Wilkes et al., 2020)","previouslyFormattedCitation":"&lt;sup&gt;56&lt;/sup&gt;"},"properties":{"noteIndex":0},"schema":"https://github.com/citation-style-language/schema/raw/master/csl-citation.json"}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 xml:space="preserve">Wilkes et al. </w:t>
            </w:r>
            <w:r w:rsidRPr="008427C7">
              <w:rPr>
                <w:rFonts w:ascii="Calibri" w:eastAsia="Times New Roman" w:hAnsi="Calibri" w:cs="Calibri"/>
                <w:noProof/>
                <w:color w:val="000000"/>
                <w:sz w:val="18"/>
                <w:szCs w:val="18"/>
                <w:lang w:eastAsia="en-CA"/>
              </w:rPr>
              <w:t>(2020)</w:t>
            </w:r>
            <w:r w:rsidRPr="00BF29E4">
              <w:rPr>
                <w:rFonts w:ascii="Calibri" w:eastAsia="Times New Roman" w:hAnsi="Calibri" w:cs="Calibri"/>
                <w:color w:val="000000"/>
                <w:sz w:val="18"/>
                <w:szCs w:val="18"/>
                <w:lang w:eastAsia="en-CA"/>
              </w:rPr>
              <w:fldChar w:fldCharType="end"/>
            </w:r>
          </w:p>
        </w:tc>
        <w:tc>
          <w:tcPr>
            <w:tcW w:w="1417" w:type="dxa"/>
            <w:noWrap/>
            <w:vAlign w:val="center"/>
          </w:tcPr>
          <w:p w14:paraId="0F7F7CDA"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milk</w:t>
            </w:r>
          </w:p>
        </w:tc>
        <w:tc>
          <w:tcPr>
            <w:tcW w:w="3544" w:type="dxa"/>
            <w:noWrap/>
            <w:vAlign w:val="center"/>
          </w:tcPr>
          <w:p w14:paraId="28E56C79" w14:textId="77777777" w:rsidR="00340E4E" w:rsidRPr="008119C5" w:rsidRDefault="00340E4E" w:rsidP="00C821FE">
            <w:pPr>
              <w:spacing w:after="0" w:line="240" w:lineRule="auto"/>
              <w:rPr>
                <w:rFonts w:ascii="Calibri" w:eastAsia="Times New Roman" w:hAnsi="Calibri" w:cs="Calibri"/>
                <w:color w:val="000000"/>
                <w:sz w:val="18"/>
                <w:szCs w:val="18"/>
                <w:lang w:eastAsia="en-CA"/>
              </w:rPr>
            </w:pPr>
            <w:r w:rsidRPr="008119C5">
              <w:rPr>
                <w:rFonts w:ascii="Calibri" w:eastAsia="Times New Roman" w:hAnsi="Calibri" w:cs="Calibri"/>
                <w:color w:val="000000"/>
                <w:sz w:val="18"/>
                <w:szCs w:val="18"/>
                <w:lang w:eastAsia="en-CA"/>
              </w:rPr>
              <w:t>milk and live animals for meat</w:t>
            </w:r>
          </w:p>
        </w:tc>
        <w:tc>
          <w:tcPr>
            <w:tcW w:w="4961" w:type="dxa"/>
            <w:noWrap/>
            <w:vAlign w:val="center"/>
          </w:tcPr>
          <w:p w14:paraId="047F170E" w14:textId="7EE6B039" w:rsidR="00340E4E" w:rsidRPr="00C23BD9" w:rsidRDefault="00694489" w:rsidP="00694489">
            <w:pPr>
              <w:spacing w:after="0" w:line="240" w:lineRule="auto"/>
              <w:rPr>
                <w:rFonts w:ascii="Calibri" w:eastAsia="Times New Roman" w:hAnsi="Calibri" w:cs="Calibri"/>
                <w:color w:val="000000"/>
                <w:sz w:val="18"/>
                <w:szCs w:val="18"/>
                <w:lang w:eastAsia="en-CA"/>
              </w:rPr>
            </w:pPr>
            <w:r w:rsidRPr="00C23BD9">
              <w:rPr>
                <w:rFonts w:ascii="Calibri" w:eastAsia="Times New Roman" w:hAnsi="Calibri" w:cs="Calibri"/>
                <w:color w:val="000000"/>
                <w:sz w:val="18"/>
                <w:szCs w:val="18"/>
                <w:lang w:eastAsia="en-CA"/>
              </w:rPr>
              <w:t>economic, protein</w:t>
            </w:r>
            <w:r w:rsidR="00340E4E" w:rsidRPr="00C23BD9">
              <w:rPr>
                <w:rFonts w:ascii="Calibri" w:eastAsia="Times New Roman" w:hAnsi="Calibri" w:cs="Calibri"/>
                <w:color w:val="000000"/>
                <w:sz w:val="18"/>
                <w:szCs w:val="18"/>
                <w:lang w:eastAsia="en-CA"/>
              </w:rPr>
              <w:t>, no allocation</w:t>
            </w:r>
          </w:p>
        </w:tc>
      </w:tr>
      <w:tr w:rsidR="00340E4E" w:rsidRPr="008427C7" w14:paraId="6C2537AB" w14:textId="77777777" w:rsidTr="00DA1C73">
        <w:trPr>
          <w:trHeight w:val="290"/>
        </w:trPr>
        <w:tc>
          <w:tcPr>
            <w:tcW w:w="1164" w:type="dxa"/>
            <w:noWrap/>
            <w:vAlign w:val="center"/>
          </w:tcPr>
          <w:p w14:paraId="28EA35D4" w14:textId="5EC6C008"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{"citationItems":[{"id":"ITEM-1","itemData":{"DOI":"10.1016/j.jclepro.2021.126720","ISSN":"09596526","abstract":"Our objective was to determine the cradle-to-farmgate carbon footprint of fat-and-protein corrected milk (FPCM) for four diets fed to two breeds using measured enteric methane and greenhouse gas emissions during manure storage and after field application. The diets were formulated as 2 × 2 factorial with forage neutral detergent fiber at two levels (19 and 24% of diet dry matter referred to as low forage and high forage diets, respectively) from two sources (70:30 or 30:70 ratio of alfalfa silage and corn silage). Measured emissions were incorporated in a modeled Wisconsin dairy farm with a herd consisting of 118 lactating cows (primiparous), 22 dry cows, and 119 heifers. Emissions were allocated between milk and meat using biophysical allocation, and a sensitivity analysis was performed to determine the impact of alternative allocation methods. Overall, carbon footprint was 1.43 kg CO2-e/kg FPCM for biophysical allocation, and 1.50 and 1.60 kg CO2-e/kg FPCM for economic and no allocation (100% allocated to milk), respectively. Forage source did not influence results. However, low forage-fed cows had 10% greater carbon footprint than high forage-fed cows (1.49 vs. 1.35 kg CO2-e/kg FPCM). Assuming similar herd structure, milk carbon footprint for Holsteins was 4.4% greater than for Jerseys (1.47 vs. 1.41 kg CO2-e/kg FPCM). Accounting for differences in fertility and replacement rate increased the difference in milk carbon footprint between breeds to 10%. Under our study conditions, differences in milk carbon footprint due to enteric fermentation were minimal but the differences became substantial when combining the effects of cow (enteric CH4) and manure (CH4 and N2O) emissions. These differences were exacerbated even further when accounted for the emissions associated with on-farm feed production and purchased feed (CO2 and N2O). This study highlights the need for an integrated approach to assess the effects of dietary manipulations on milk carbon footprint.","author":[{"dropping-particle":"","family":"Uddin","given":"M. E.","non-dropping-particle":"","parse-names":false,"suffix":""},{"dropping-particle":"","family":"Aguirre-Villegas","given":"H. A.","non-dropping-particle":"","parse-names":false,"suffix":""},{"dropping-particle":"","family":"Larson","given":"R. A.","non-dropping-particle":"","parse-names":false,"suffix":""},{"dropping-particle":"","family":"Wattiaux","given":"M. A.","non-dropping-particle":"","parse-names":false,"suffix":""}],"container-title":"Journal of Cleaner Production","id":"ITEM-1","issued":{"date-parts":[["2021"]]},"page":"126720","publisher":"Elsevier Ltd","title":"Carbon footprint of milk from Holstein and Jersey cows fed low or high forage diet with alfalfa silage or corn silage as the main forage source","type":"article-journal","volume":"298"},"uris":["http://www.mendeley.com/documents/?uuid=4cba56ac-40fa-46b6-be08-5f3025fddc45"]}],"mendeley":{"formattedCitation":"(Uddin et al., 2021)","manualFormatting":"Uddin et al. (2021)","plainTextFormattedCitation":"(Uddin et al., 2021)","previouslyFormattedCitation":"&lt;sup&gt;57&lt;/sup&gt;"},"properties":{"noteIndex":0},"schema":"https://github.com/citation-style-language/schema/raw/master/csl-citation.json"}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 xml:space="preserve">Uddin et al. </w:t>
            </w:r>
            <w:r w:rsidRPr="008427C7">
              <w:rPr>
                <w:rFonts w:ascii="Calibri" w:eastAsia="Times New Roman" w:hAnsi="Calibri" w:cs="Calibri"/>
                <w:noProof/>
                <w:color w:val="000000"/>
                <w:sz w:val="18"/>
                <w:szCs w:val="18"/>
                <w:lang w:eastAsia="en-CA"/>
              </w:rPr>
              <w:t>(2021)</w:t>
            </w:r>
            <w:r w:rsidRPr="00BF29E4">
              <w:rPr>
                <w:rFonts w:ascii="Calibri" w:eastAsia="Times New Roman" w:hAnsi="Calibri" w:cs="Calibri"/>
                <w:color w:val="000000"/>
                <w:sz w:val="18"/>
                <w:szCs w:val="18"/>
                <w:lang w:eastAsia="en-CA"/>
              </w:rPr>
              <w:fldChar w:fldCharType="end"/>
            </w:r>
          </w:p>
        </w:tc>
        <w:tc>
          <w:tcPr>
            <w:tcW w:w="1417" w:type="dxa"/>
            <w:noWrap/>
            <w:vAlign w:val="center"/>
          </w:tcPr>
          <w:p w14:paraId="3C1FC9FA"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milk</w:t>
            </w:r>
          </w:p>
        </w:tc>
        <w:tc>
          <w:tcPr>
            <w:tcW w:w="3544" w:type="dxa"/>
            <w:noWrap/>
            <w:vAlign w:val="center"/>
          </w:tcPr>
          <w:p w14:paraId="2A944BFF" w14:textId="77777777" w:rsidR="00340E4E" w:rsidRPr="008119C5" w:rsidRDefault="00340E4E" w:rsidP="00C821FE">
            <w:pPr>
              <w:spacing w:after="0" w:line="240" w:lineRule="auto"/>
              <w:rPr>
                <w:rFonts w:ascii="Calibri" w:eastAsia="Times New Roman" w:hAnsi="Calibri" w:cs="Calibri"/>
                <w:color w:val="000000"/>
                <w:sz w:val="18"/>
                <w:szCs w:val="18"/>
                <w:lang w:eastAsia="en-CA"/>
              </w:rPr>
            </w:pPr>
            <w:r w:rsidRPr="008119C5">
              <w:rPr>
                <w:rFonts w:ascii="Calibri" w:eastAsia="Times New Roman" w:hAnsi="Calibri" w:cs="Calibri"/>
                <w:color w:val="000000"/>
                <w:sz w:val="18"/>
                <w:szCs w:val="18"/>
                <w:lang w:eastAsia="en-CA"/>
              </w:rPr>
              <w:t>milk and meat</w:t>
            </w:r>
          </w:p>
        </w:tc>
        <w:tc>
          <w:tcPr>
            <w:tcW w:w="4961" w:type="dxa"/>
            <w:noWrap/>
            <w:vAlign w:val="center"/>
          </w:tcPr>
          <w:p w14:paraId="163436C1" w14:textId="77777777" w:rsidR="00340E4E" w:rsidRPr="00C23BD9" w:rsidRDefault="00340E4E" w:rsidP="00C821FE">
            <w:pPr>
              <w:spacing w:after="0" w:line="240" w:lineRule="auto"/>
              <w:rPr>
                <w:rFonts w:ascii="Calibri" w:eastAsia="Times New Roman" w:hAnsi="Calibri" w:cs="Calibri"/>
                <w:color w:val="000000"/>
                <w:sz w:val="18"/>
                <w:szCs w:val="18"/>
                <w:lang w:eastAsia="en-CA"/>
              </w:rPr>
            </w:pPr>
            <w:r w:rsidRPr="00C23BD9">
              <w:rPr>
                <w:rFonts w:ascii="Calibri" w:eastAsia="Times New Roman" w:hAnsi="Calibri" w:cs="Calibri"/>
                <w:color w:val="000000"/>
                <w:sz w:val="18"/>
                <w:szCs w:val="18"/>
                <w:lang w:eastAsia="en-CA"/>
              </w:rPr>
              <w:t>biophysical, sensitivity with economic and no allocation</w:t>
            </w:r>
          </w:p>
        </w:tc>
      </w:tr>
      <w:tr w:rsidR="00340E4E" w:rsidRPr="008427C7" w14:paraId="22B6F249" w14:textId="77777777" w:rsidTr="00DA1C73">
        <w:trPr>
          <w:trHeight w:val="290"/>
        </w:trPr>
        <w:tc>
          <w:tcPr>
            <w:tcW w:w="1164" w:type="dxa"/>
            <w:noWrap/>
            <w:vAlign w:val="center"/>
          </w:tcPr>
          <w:p w14:paraId="6AD585BE" w14:textId="0BA70026"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{"citationItems":[{"id":"ITEM-1","itemData":{"DOI":"10.1016/j.scitotenv.2017.07.271","ISSN":"18791026","PMID":"28793397","abstract":"Dairy farms have been widely acknowledged as a source of greenhouse gas (GHG) emissions. The need for a more environmentally friendly milk production system will likely be important going forward. Whereas methane (CH4) enteric emissions can only be reduced to a limited extent, CH4 manure emissions can be reduced by implementing mitigation strategies, such as the use of an anaerobic digestion (AD). Furthermore, implementing a photovoltaic (PV) electricity generation system could mitigate the fossil fuels used to cover the electrical needs of farms. In the present study to detect the main environmental hotspots of milk production, a Life Cycle Assessment was adopted to build the Life Cycle Inventory according to ISO 14040 and 14044 in a conventional dairy farm (1368 animals) provided by AD and PV systems. The Intergovernmental Panel on Climate Change tiered approach was adopted to associate the level of emission with each item in the life cycle inventory. The functional unit refers to 1 kg of fat-and-protein-corrected-milk (FPCM). In addition to milk products, other important co-products need to be considered: meat and renewable energy production from AD and PV systems. A physical allocation was applied to attribute GHG emissions among milk and meat products. Renewable energy production from AD and PV systems was considered, discounting carbon credits due to lower CH4 manure emissions and to the minor exploitation of fossil energy. The CF of this farm scenario was 1.11 kg CO2eq/kg FPCM. The inclusion of AD allowed for the reduction of GHG emissions from milk production by 0.26 kg CO2eq/kg FPCM. The PV system contribution was negligible due to the small dimensions of the technology. The results obtained in this study confirm that integrating milk production with other co-products, originated from more efficient manure management, is a successful strategy to mitigate the environmental impact of dairy production.","author":[{"dropping-particle":"","family":"Vida","given":"Elisabetta","non-dropping-particle":"","parse-names":false,"suffix":""},{"dropping-particle":"","family":"Tedesco","given":"Doriana Eurosia Angela","non-dropping-particle":"","parse-names":false,"suffix":""}],"container-title":"Science of the Total Environment","id":"ITEM-1","issued":{"date-parts":[["2017"]]},"page":"1286-1294","publisher":"Elsevier B.V.","title":"The carbon footprint of integrated milk production and renewable energy systems – A case study","type":"article-journal","volume":"609"},"uris":["http://www.mendeley.com/documents/?uuid=8a346ed4-b629-41d5-a024-3ba922586176"]}],"mendeley":{"formattedCitation":"(Vida and Tedesco, 2017)","manualFormatting":"Vida and Tedesco (2017)","plainTextFormattedCitation":"(Vida and Tedesco, 2017)","previouslyFormattedCitation":"&lt;sup&gt;58&lt;/sup&gt;"},"properties":{"noteIndex":0},"schema":"https://github.com/citation-style-language/schema/raw/master/csl-citation.json"}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 xml:space="preserve">Vida and Tedesco </w:t>
            </w:r>
            <w:r w:rsidRPr="008427C7">
              <w:rPr>
                <w:rFonts w:ascii="Calibri" w:eastAsia="Times New Roman" w:hAnsi="Calibri" w:cs="Calibri"/>
                <w:noProof/>
                <w:color w:val="000000"/>
                <w:sz w:val="18"/>
                <w:szCs w:val="18"/>
                <w:lang w:eastAsia="en-CA"/>
              </w:rPr>
              <w:t>(2017)</w:t>
            </w:r>
            <w:r w:rsidRPr="00BF29E4">
              <w:rPr>
                <w:rFonts w:ascii="Calibri" w:eastAsia="Times New Roman" w:hAnsi="Calibri" w:cs="Calibri"/>
                <w:color w:val="000000"/>
                <w:sz w:val="18"/>
                <w:szCs w:val="18"/>
                <w:lang w:eastAsia="en-CA"/>
              </w:rPr>
              <w:fldChar w:fldCharType="end"/>
            </w:r>
          </w:p>
        </w:tc>
        <w:tc>
          <w:tcPr>
            <w:tcW w:w="1417" w:type="dxa"/>
            <w:noWrap/>
            <w:vAlign w:val="center"/>
          </w:tcPr>
          <w:p w14:paraId="1C78B626"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milk</w:t>
            </w:r>
          </w:p>
        </w:tc>
        <w:tc>
          <w:tcPr>
            <w:tcW w:w="3544" w:type="dxa"/>
            <w:noWrap/>
            <w:vAlign w:val="center"/>
          </w:tcPr>
          <w:p w14:paraId="5DF0877A" w14:textId="77777777" w:rsidR="00340E4E" w:rsidRPr="008119C5" w:rsidRDefault="00340E4E" w:rsidP="00C821FE">
            <w:pPr>
              <w:spacing w:after="0" w:line="240" w:lineRule="auto"/>
              <w:rPr>
                <w:rFonts w:ascii="Calibri" w:eastAsia="Times New Roman" w:hAnsi="Calibri" w:cs="Calibri"/>
                <w:color w:val="000000"/>
                <w:sz w:val="18"/>
                <w:szCs w:val="18"/>
                <w:lang w:eastAsia="en-CA"/>
              </w:rPr>
            </w:pPr>
            <w:r w:rsidRPr="008119C5">
              <w:rPr>
                <w:rFonts w:ascii="Calibri" w:eastAsia="Times New Roman" w:hAnsi="Calibri" w:cs="Calibri"/>
                <w:color w:val="000000"/>
                <w:sz w:val="18"/>
                <w:szCs w:val="18"/>
                <w:lang w:eastAsia="en-CA"/>
              </w:rPr>
              <w:t>milk, meat, electricity made from anaerobic digestion of manure and maize silage</w:t>
            </w:r>
          </w:p>
        </w:tc>
        <w:tc>
          <w:tcPr>
            <w:tcW w:w="4961" w:type="dxa"/>
            <w:noWrap/>
            <w:vAlign w:val="center"/>
          </w:tcPr>
          <w:p w14:paraId="6F8A2B95" w14:textId="77777777" w:rsidR="00340E4E" w:rsidRPr="00C23BD9" w:rsidRDefault="00340E4E" w:rsidP="00C821FE">
            <w:pPr>
              <w:spacing w:after="0" w:line="240" w:lineRule="auto"/>
              <w:rPr>
                <w:rFonts w:ascii="Calibri" w:eastAsia="Times New Roman" w:hAnsi="Calibri" w:cs="Calibri"/>
                <w:color w:val="000000"/>
                <w:sz w:val="18"/>
                <w:szCs w:val="18"/>
                <w:lang w:eastAsia="en-CA"/>
              </w:rPr>
            </w:pPr>
            <w:r w:rsidRPr="00C23BD9">
              <w:rPr>
                <w:rFonts w:ascii="Calibri" w:eastAsia="Times New Roman" w:hAnsi="Calibri" w:cs="Calibri"/>
                <w:color w:val="000000"/>
                <w:sz w:val="18"/>
                <w:szCs w:val="18"/>
                <w:lang w:eastAsia="en-CA"/>
              </w:rPr>
              <w:t>physical/causal for milk and meat; system expansion for renewable energy system</w:t>
            </w:r>
          </w:p>
        </w:tc>
      </w:tr>
      <w:tr w:rsidR="00340E4E" w:rsidRPr="008427C7" w14:paraId="653CD55F" w14:textId="77777777" w:rsidTr="00DA1C73">
        <w:trPr>
          <w:trHeight w:val="290"/>
        </w:trPr>
        <w:tc>
          <w:tcPr>
            <w:tcW w:w="1164" w:type="dxa"/>
            <w:noWrap/>
            <w:vAlign w:val="center"/>
            <w:hideMark/>
          </w:tcPr>
          <w:p w14:paraId="5F79976F" w14:textId="58CD49D6"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{"citationItems":[{"id":"ITEM-1","itemData":{"DOI":"10.1007/s11367-017-1392-x","ISSN":"16147502","abstract":"Purpose: This study analyses the environmental impacts referring to dairy products and to the operation of a dairy. The study aims to better understand different process stages in a dairy operation. This analysis can be used to improve the flows of energy, water, and materials in the dairy operation. The results are also used to suggest an improved allocation model for assigning the impacts of operation to single dairy products. Methods: The analysis is based on a detailed, product-specific model calculation for the use of energy, water, and chemicals for more than 40 subprocesses of a dairy operation. This model has been used to elaborate the life cycle inventory for a detailed life cycle assessment study. The environmental impacts are analyzed from cradle to gate including and excluding the raw milk input. The environmental impacts are assessed with the midpoint indicators suggested by the International Reference Life Cycle Data System. Finally, results of this study are compared with an allocation model recommended for life cycle assessment (LCA) studies on milk products. Results and discussion: The analysis of the model dairy shows that raw milk production has the main impact in all categories. Consumer packaging has the second biggest impact in many categories. The detailed dairy processing model allows the assignment of inputs and outputs for each subprocess to single dairy products and thus avoids allocation largely. The analysis of inputs to different dairy products per kilogram shows that ultra-high-temperature (UHT)-processed milk uses more chemicals for cleaning compared to the other products. Cream uses more electricity and heat compared to UHT milk and to yogurt. Conclusions: A detailed discussion shows the overlaps and differences found for the allocation of inputs to the milk processing to final dairy products. Allocation models for different types of inputs are partly confirmed by the detailed theoretical model used for this LCA. The allocation of chemicals, steam, and electricity to single products can be improved based on the detailed dairy model developed in this study.","author":[{"dropping-particle":"","family":"Jungbluth","given":"Niels","non-dropping-particle":"","parse-names":false,"suffix":""},{"dropping-particle":"","family":"Keller","given":"Regula","non-dropping-particle":"","parse-names":false,"suffix":""},{"dropping-particle":"","family":"Meili","given":"Christoph","non-dropping-particle":"","parse-names":false,"suffix":""}],"container-title":"International Journal of Life Cycle Assessment","id":"ITEM-1","issue":"9","issued":{"date-parts":[["2018"]]},"page":"1806-1813","publisher":"The International Journal of Life Cycle Assessment","title":"Life cycle assessment of a detailed dairy processing model and recommendations for the allocation to single products","type":"article-journal","volume":"23"},"uris":["http://www.mendeley.com/documents/?uuid=fcfe20a7-88da-4741-9032-7c1a4b72da74"]}],"mendeley":{"formattedCitation":"(Jungbluth et al., 2018)","manualFormatting":"Jungbluth et al. (2018)","plainTextFormattedCitation":"(Jungbluth et al., 2018)","previouslyFormattedCitation":"&lt;sup&gt;59&lt;/sup&gt;"},"properties":{"noteIndex":0},"schema":"https://github.com/citation-style-language/schema/raw/master/csl-citation.json"}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 xml:space="preserve">Jungbluth et al. </w:t>
            </w:r>
            <w:r w:rsidRPr="008427C7">
              <w:rPr>
                <w:rFonts w:ascii="Calibri" w:eastAsia="Times New Roman" w:hAnsi="Calibri" w:cs="Calibri"/>
                <w:noProof/>
                <w:color w:val="000000"/>
                <w:sz w:val="18"/>
                <w:szCs w:val="18"/>
                <w:lang w:eastAsia="en-CA"/>
              </w:rPr>
              <w:t>(2018)</w:t>
            </w:r>
            <w:r w:rsidRPr="00BF29E4">
              <w:rPr>
                <w:rFonts w:ascii="Calibri" w:eastAsia="Times New Roman" w:hAnsi="Calibri" w:cs="Calibri"/>
                <w:color w:val="000000"/>
                <w:sz w:val="18"/>
                <w:szCs w:val="18"/>
                <w:lang w:eastAsia="en-CA"/>
              </w:rPr>
              <w:fldChar w:fldCharType="end"/>
            </w:r>
          </w:p>
        </w:tc>
        <w:tc>
          <w:tcPr>
            <w:tcW w:w="1417" w:type="dxa"/>
            <w:noWrap/>
            <w:vAlign w:val="center"/>
            <w:hideMark/>
          </w:tcPr>
          <w:p w14:paraId="56B37103"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processed dairy products</w:t>
            </w:r>
          </w:p>
        </w:tc>
        <w:tc>
          <w:tcPr>
            <w:tcW w:w="3544" w:type="dxa"/>
            <w:noWrap/>
            <w:vAlign w:val="center"/>
            <w:hideMark/>
          </w:tcPr>
          <w:p w14:paraId="3D036B50" w14:textId="77777777" w:rsidR="00340E4E" w:rsidRPr="008119C5" w:rsidRDefault="00340E4E" w:rsidP="00C821FE">
            <w:pPr>
              <w:spacing w:after="0" w:line="240" w:lineRule="auto"/>
              <w:rPr>
                <w:rFonts w:ascii="Calibri" w:eastAsia="Times New Roman" w:hAnsi="Calibri" w:cs="Calibri"/>
                <w:color w:val="000000"/>
                <w:sz w:val="18"/>
                <w:szCs w:val="18"/>
                <w:lang w:eastAsia="en-CA"/>
              </w:rPr>
            </w:pPr>
            <w:r w:rsidRPr="008119C5">
              <w:rPr>
                <w:rFonts w:ascii="Calibri" w:eastAsia="Times New Roman" w:hAnsi="Calibri" w:cs="Calibri"/>
                <w:color w:val="000000"/>
                <w:sz w:val="18"/>
                <w:szCs w:val="18"/>
                <w:lang w:eastAsia="en-CA"/>
              </w:rPr>
              <w:t>yogurt, cream, UHT milk</w:t>
            </w:r>
          </w:p>
        </w:tc>
        <w:tc>
          <w:tcPr>
            <w:tcW w:w="4961" w:type="dxa"/>
            <w:noWrap/>
            <w:vAlign w:val="center"/>
            <w:hideMark/>
          </w:tcPr>
          <w:p w14:paraId="4738B321" w14:textId="6DDE9B01" w:rsidR="00340E4E" w:rsidRPr="00C23BD9" w:rsidRDefault="007257C5" w:rsidP="007257C5">
            <w:pPr>
              <w:spacing w:after="0" w:line="240" w:lineRule="auto"/>
              <w:rPr>
                <w:rFonts w:ascii="Calibri" w:eastAsia="Times New Roman" w:hAnsi="Calibri" w:cs="Calibri"/>
                <w:color w:val="000000"/>
                <w:sz w:val="18"/>
                <w:szCs w:val="18"/>
                <w:lang w:eastAsia="en-CA"/>
              </w:rPr>
            </w:pPr>
            <w:proofErr w:type="gramStart"/>
            <w:r w:rsidRPr="00C23BD9">
              <w:rPr>
                <w:rFonts w:ascii="Calibri" w:eastAsia="Times New Roman" w:hAnsi="Calibri" w:cs="Calibri"/>
                <w:color w:val="000000"/>
                <w:sz w:val="18"/>
                <w:szCs w:val="18"/>
                <w:lang w:eastAsia="en-CA"/>
              </w:rPr>
              <w:t>subdivision</w:t>
            </w:r>
            <w:r w:rsidR="00340E4E" w:rsidRPr="00C23BD9">
              <w:rPr>
                <w:rFonts w:ascii="Calibri" w:eastAsia="Times New Roman" w:hAnsi="Calibri" w:cs="Calibri"/>
                <w:color w:val="000000"/>
                <w:sz w:val="18"/>
                <w:szCs w:val="18"/>
                <w:lang w:eastAsia="en-CA"/>
              </w:rPr>
              <w:t>;</w:t>
            </w:r>
            <w:proofErr w:type="gramEnd"/>
            <w:r w:rsidR="00340E4E" w:rsidRPr="00C23BD9">
              <w:rPr>
                <w:rFonts w:ascii="Calibri" w:eastAsia="Times New Roman" w:hAnsi="Calibri" w:cs="Calibri"/>
                <w:color w:val="000000"/>
                <w:sz w:val="18"/>
                <w:szCs w:val="18"/>
                <w:lang w:eastAsia="en-CA"/>
              </w:rPr>
              <w:t xml:space="preserve"> allocation according to milk solid content, compared to recommendation of International Dairy Federation (IDF 2010 based on Feitz et al. 2007) </w:t>
            </w:r>
          </w:p>
        </w:tc>
      </w:tr>
      <w:tr w:rsidR="00340E4E" w:rsidRPr="008427C7" w14:paraId="7F2BB629" w14:textId="77777777" w:rsidTr="00DA1C73">
        <w:trPr>
          <w:trHeight w:val="290"/>
        </w:trPr>
        <w:tc>
          <w:tcPr>
            <w:tcW w:w="1164" w:type="dxa"/>
            <w:noWrap/>
            <w:vAlign w:val="center"/>
            <w:hideMark/>
          </w:tcPr>
          <w:p w14:paraId="69D29C4A" w14:textId="08BEBEF1"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{"citationItems":[{"id":"ITEM-1","itemData":{"DOI":"10.1016/j.idairyj.2013.07.016","ISSN":"09586946","abstract":"A model to calculate the farm-to-customer carbon footprint (CF) for different dairy product groups is presented. As the largest share of the CF of dairy products occurs at farm level, it is decisive how the emissions from raw milk production are allocated between different products. Impacts associated with raw milk are allocated based on a weighted fat and protein content (1:1.4). Data from the dairy company Arla Foods give 1.1, 8.1, 6.5, 7.4 and 1.2kg carbon dioxide equivalents per kg of fresh dairy product, butter and butter blend, cheese, milk powder and whey based product, and other, respectively. One critical aspect is how the by-product 'whey' is dealt with. No emissions are allocated to the milk solid whey, which is why products containing whey have an apparent low impact. Underlying methodological assumptions are open to debate and further research is needed concerning the CF impact of different milk components. © 2013 Elsevier Ltd.","author":[{"dropping-particle":"","family":"Flysjö","given":"Anna","non-dropping-particle":"","parse-names":false,"suffix":""},{"dropping-particle":"","family":"Thrane","given":"Mikkel","non-dropping-particle":"","parse-names":false,"suffix":""},{"dropping-particle":"","family":"Hermansen","given":"John E.","non-dropping-particle":"","parse-names":false,"suffix":""}],"container-title":"International Dairy Journal","id":"ITEM-1","issue":"1","issued":{"date-parts":[["2014"]]},"page":"86-92","publisher":"Elsevier Ltd","title":"Method to assess the carbon footprint at product level in the dairy industry","type":"article-journal","volume":"34"},"uris":["http://www.mendeley.com/documents/?uuid=f96128a4-f42a-4dad-bee3-ea0ab454420b"]}],"mendeley":{"formattedCitation":"(Flysjö et al., 2014)","manualFormatting":"Flysjö et al. (2014)","plainTextFormattedCitation":"(Flysjö et al., 2014)","previouslyFormattedCitation":"&lt;sup&gt;60&lt;/sup&gt;"},"properties":{"noteIndex":0},"schema":"https://github.com/citation-style-language/schema/raw/master/csl-citation.json"}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Flysjö et a</w:t>
            </w:r>
            <w:r w:rsidRPr="008427C7">
              <w:rPr>
                <w:rFonts w:ascii="Calibri" w:eastAsia="Times New Roman" w:hAnsi="Calibri" w:cs="Calibri"/>
                <w:noProof/>
                <w:color w:val="000000"/>
                <w:sz w:val="18"/>
                <w:szCs w:val="18"/>
                <w:lang w:eastAsia="en-CA"/>
              </w:rPr>
              <w:t>l. (2014)</w:t>
            </w:r>
            <w:r w:rsidRPr="00BF29E4">
              <w:rPr>
                <w:rFonts w:ascii="Calibri" w:eastAsia="Times New Roman" w:hAnsi="Calibri" w:cs="Calibri"/>
                <w:color w:val="000000"/>
                <w:sz w:val="18"/>
                <w:szCs w:val="18"/>
                <w:lang w:eastAsia="en-CA"/>
              </w:rPr>
              <w:fldChar w:fldCharType="end"/>
            </w:r>
          </w:p>
        </w:tc>
        <w:tc>
          <w:tcPr>
            <w:tcW w:w="1417" w:type="dxa"/>
            <w:noWrap/>
            <w:vAlign w:val="center"/>
            <w:hideMark/>
          </w:tcPr>
          <w:p w14:paraId="4FC2A99C"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dairy</w:t>
            </w:r>
          </w:p>
        </w:tc>
        <w:tc>
          <w:tcPr>
            <w:tcW w:w="3544" w:type="dxa"/>
            <w:noWrap/>
            <w:vAlign w:val="center"/>
            <w:hideMark/>
          </w:tcPr>
          <w:p w14:paraId="79F1A0A2" w14:textId="77777777" w:rsidR="00340E4E" w:rsidRPr="00C23BD9" w:rsidRDefault="00340E4E" w:rsidP="00C821FE">
            <w:pPr>
              <w:spacing w:after="0" w:line="240" w:lineRule="auto"/>
              <w:rPr>
                <w:rFonts w:ascii="Calibri" w:eastAsia="Times New Roman" w:hAnsi="Calibri" w:cs="Calibri"/>
                <w:color w:val="000000"/>
                <w:sz w:val="18"/>
                <w:szCs w:val="18"/>
                <w:lang w:eastAsia="en-CA"/>
              </w:rPr>
            </w:pPr>
            <w:r w:rsidRPr="00C23BD9">
              <w:rPr>
                <w:rFonts w:ascii="Calibri" w:eastAsia="Times New Roman" w:hAnsi="Calibri" w:cs="Calibri"/>
                <w:color w:val="000000"/>
                <w:sz w:val="18"/>
                <w:szCs w:val="18"/>
                <w:lang w:eastAsia="en-CA"/>
              </w:rPr>
              <w:t>consumer milk, yoghurt, cooking, other fresh dairy products, butter, butter blends, yellow cheese, white cheese, mould cheese, cream cheese, whole milk powder, skim milk powder, whey protein concentrates, whey-based products</w:t>
            </w:r>
          </w:p>
        </w:tc>
        <w:tc>
          <w:tcPr>
            <w:tcW w:w="4961" w:type="dxa"/>
            <w:noWrap/>
            <w:vAlign w:val="center"/>
            <w:hideMark/>
          </w:tcPr>
          <w:p w14:paraId="45AC5452" w14:textId="5ED0BC28" w:rsidR="00340E4E" w:rsidRPr="00C23BD9" w:rsidRDefault="00340E4E" w:rsidP="007257C5">
            <w:pPr>
              <w:spacing w:after="0" w:line="240" w:lineRule="auto"/>
              <w:rPr>
                <w:rFonts w:ascii="Calibri" w:eastAsia="Times New Roman" w:hAnsi="Calibri" w:cs="Calibri"/>
                <w:color w:val="000000"/>
                <w:sz w:val="18"/>
                <w:szCs w:val="18"/>
                <w:lang w:eastAsia="en-CA"/>
              </w:rPr>
            </w:pPr>
            <w:r w:rsidRPr="00C23BD9">
              <w:rPr>
                <w:rFonts w:ascii="Calibri" w:eastAsia="Times New Roman" w:hAnsi="Calibri" w:cs="Calibri"/>
                <w:color w:val="000000"/>
                <w:sz w:val="18"/>
                <w:szCs w:val="18"/>
                <w:lang w:eastAsia="en-CA"/>
              </w:rPr>
              <w:t xml:space="preserve">raw milk: weighted fat and protein (1:1.4) based on price paid to farmers; purchased dairy products: no allocation needed; other raw materials and ingredients: </w:t>
            </w:r>
            <w:r w:rsidR="007257C5" w:rsidRPr="00C23BD9">
              <w:rPr>
                <w:rFonts w:ascii="Calibri" w:eastAsia="Times New Roman" w:hAnsi="Calibri" w:cs="Calibri"/>
                <w:color w:val="000000"/>
                <w:sz w:val="18"/>
                <w:szCs w:val="18"/>
                <w:lang w:eastAsia="en-CA"/>
              </w:rPr>
              <w:t>subdivision</w:t>
            </w:r>
            <w:r w:rsidRPr="00C23BD9">
              <w:rPr>
                <w:rFonts w:ascii="Calibri" w:eastAsia="Times New Roman" w:hAnsi="Calibri" w:cs="Calibri"/>
                <w:color w:val="000000"/>
                <w:sz w:val="18"/>
                <w:szCs w:val="18"/>
                <w:lang w:eastAsia="en-CA"/>
              </w:rPr>
              <w:t>; packaging: based on mass (wanted to be volume but not available); energy used in processing: based on product dry matter; inbound transport: based on product dry matter; outbound transport: based on mass</w:t>
            </w:r>
          </w:p>
        </w:tc>
      </w:tr>
      <w:tr w:rsidR="00340E4E" w:rsidRPr="008427C7" w14:paraId="55CD14E7" w14:textId="77777777" w:rsidTr="00DA1C73">
        <w:trPr>
          <w:trHeight w:val="290"/>
        </w:trPr>
        <w:tc>
          <w:tcPr>
            <w:tcW w:w="1164" w:type="dxa"/>
            <w:noWrap/>
            <w:vAlign w:val="center"/>
            <w:hideMark/>
          </w:tcPr>
          <w:p w14:paraId="4AF84412" w14:textId="61704381"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{"citationItems":[{"id":"ITEM-1","itemData":{"DOI":"10.1065/lca2005.10.228","ISSN":"09483349","abstract":"Background, Aims and Scope. Allocation is required when quantifying environmental impacts of individual products from multi-product manufacturing plants. The International Organization for Standardization (ISO) recommends in ISO 14041 that allocation should reflect underlying physical relationships between inputs and outputs, or in the absence of such knowledge, allocation should reflect other relationships (e.g. economic value). Economic allocation is generally recommended if process specific information on the manufacturing process is lacking. In this paper, a physico-chemical allocation matrix, based on industry-specific data from the dairy industry, is developed and discussed as an alternative allocation method. Methods. Operational data from 17 dairy manufacturing plants was used to develop an industry specific physico-chemical allocation matrix. Through an extensive process of substraction/substitution, it is possible to determine average resource use (e.g. electricity, thermal energy, water, etc) and wastewater emissions for individual dairy products within multi-product manufacturing plants. The average operational data for individual products were normalised to maintain industry confidentiality and then used as an industry specific allocation matrix. The quantity of raw milk required per product is based on the milk solids basis to account for dairy 'by-products' that would otherwise be neglected. Results and Discussion. Applying fixed type allocation methods (e.g. economic) for all input and outputs based on the quantity of product introduces order of magnitude sized deviations from physico-chemical allocation in some cases. The error associated with the quality of the whole of factory plant data or truncation error associated with setting system boundaries is insignificant in comparison. The profound effects of the results on systems analysis are discussed. The results raise concerns about using economic allocation as a default when allocating intra-industry sectoral flows (i.e. mass and process energy) in the absence of detailed technical information. It is recommended that economic allocation is better suited as a default for reflecting inter-industry sectoral flows. Conclusion. The study highlights the importance of accurate causal allocation procedures that reflect industry-specific production methods. Generation of industry-specific allocation matrices is possible through a process of substitution/subtraction and optimisation. Allocation…","author":[{"dropping-particle":"","family":"Feitz","given":"Andrew J.","non-dropping-particle":"","parse-names":false,"suffix":""},{"dropping-particle":"","family":"Lundie","given":"Sven","non-dropping-particle":"","parse-names":false,"suffix":""},{"dropping-particle":"","family":"Dennien","given":"Gary","non-dropping-particle":"","parse-names":false,"suffix":""},{"dropping-particle":"","family":"Morain","given":"Marc","non-dropping-particle":"","parse-names":false,"suffix":""},{"dropping-particle":"","family":"Jones","given":"Michael","non-dropping-particle":"","parse-names":false,"suffix":""}],"container-title":"International Journal of Life Cycle Assessment","id":"ITEM-1","issue":"2","issued":{"date-parts":[["2007"]]},"page":"109-117","title":"Generation of an industry-specific physico-chemical allocation matrix: Application in the dairy industry and implications for systems analysis","type":"article-journal","volume":"12"},"uris":["http://www.mendeley.com/documents/?uuid=b991d510-b792-42cb-8504-2d97b896a1b2"]}],"mendeley":{"formattedCitation":"(Feitz et al., 2007)","manualFormatting":"Feitz et al. (2007)","plainTextFormattedCitation":"(Feitz et al., 2007)","previouslyFormattedCitation":"&lt;sup&gt;61&lt;/sup&gt;"},"properties":{"noteIndex":0},"schema":"https://github.com/citation-style-language/schema/raw/master/csl-citation.json"}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 xml:space="preserve">Feitz et al. </w:t>
            </w:r>
            <w:r w:rsidRPr="008427C7">
              <w:rPr>
                <w:rFonts w:ascii="Calibri" w:eastAsia="Times New Roman" w:hAnsi="Calibri" w:cs="Calibri"/>
                <w:noProof/>
                <w:color w:val="000000"/>
                <w:sz w:val="18"/>
                <w:szCs w:val="18"/>
                <w:lang w:eastAsia="en-CA"/>
              </w:rPr>
              <w:t>(2007)</w:t>
            </w:r>
            <w:r w:rsidRPr="00BF29E4">
              <w:rPr>
                <w:rFonts w:ascii="Calibri" w:eastAsia="Times New Roman" w:hAnsi="Calibri" w:cs="Calibri"/>
                <w:color w:val="000000"/>
                <w:sz w:val="18"/>
                <w:szCs w:val="18"/>
                <w:lang w:eastAsia="en-CA"/>
              </w:rPr>
              <w:fldChar w:fldCharType="end"/>
            </w:r>
          </w:p>
        </w:tc>
        <w:tc>
          <w:tcPr>
            <w:tcW w:w="1417" w:type="dxa"/>
            <w:noWrap/>
            <w:vAlign w:val="center"/>
            <w:hideMark/>
          </w:tcPr>
          <w:p w14:paraId="31584613"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dairy</w:t>
            </w:r>
          </w:p>
        </w:tc>
        <w:tc>
          <w:tcPr>
            <w:tcW w:w="3544" w:type="dxa"/>
            <w:noWrap/>
            <w:vAlign w:val="center"/>
            <w:hideMark/>
          </w:tcPr>
          <w:p w14:paraId="22851115"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multiple dairy products produced by plant</w:t>
            </w:r>
          </w:p>
        </w:tc>
        <w:tc>
          <w:tcPr>
            <w:tcW w:w="4961" w:type="dxa"/>
            <w:noWrap/>
            <w:vAlign w:val="center"/>
            <w:hideMark/>
          </w:tcPr>
          <w:p w14:paraId="65ED25B9"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physio-chemical allocation matrix based on industry data from 17 plants developed through process of subtraction/substitution to determine average resource use and wastewater emissions for individual products within multi-product plants</w:t>
            </w:r>
          </w:p>
        </w:tc>
      </w:tr>
      <w:tr w:rsidR="00340E4E" w:rsidRPr="008427C7" w14:paraId="492A5210" w14:textId="77777777" w:rsidTr="00DA1C73">
        <w:trPr>
          <w:trHeight w:val="290"/>
        </w:trPr>
        <w:tc>
          <w:tcPr>
            <w:tcW w:w="1164" w:type="dxa"/>
            <w:noWrap/>
            <w:vAlign w:val="center"/>
            <w:hideMark/>
          </w:tcPr>
          <w:p w14:paraId="37A7D4EF" w14:textId="77AE4234"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{"citationItems":[{"id":"ITEM-1","itemData":{"DOI":"10.1016/j.jclepro.2018.07.006","ISSN":"09596526","abstract":"The Irish dairy industry faces a challenging market and a focus on the environmental impacts of products, both of which affect sustainable growth. The objectives of the study were to use life cycle assessment to analyse three products from four companies, to find the major contributors to energy use and greenhouse gas emissions, to understand the variation of environmental impacts and to identify the scope for improvement. Cumulative energy demand (CED) and carbon footprint (CF) of butter, skimmed milk powder (SMP), and fat filled powder (FFP) were calculated. The system boundary was from farm gate to processor gate to facilitate benchmarking. Data quality was generally sufficient, but data gaps were identified for steam sub-metering. Butter CED varied from 6.93 to 9.73 MJ/kg solids, butter CF from 0.41 to 0.62 kg CO2 eq/kg solids, SMP CED from 24.57 to 27.53 MJ/kg, SMP CF from 1.40 to 1.70 kg CO2 eq/kg solids, FFP CED was 26.14 MJ/kg solids and FFP CF was 1.65 CO2 eq/kg solids. Site specific data allowed explanation of variations by differentiating between practices and operational efficiency. Trade-off between renewable energy and ingredients revealed insights to the CF. Reactive power and wastewater treatment capacity demand further research. Valuable recommendations on how to better conduct LCA with industry were provided. This is the first such detailed analysis for the Irish dairy industry. It is important for the industry to move away from average data for impact management and to use site-specific data where possible. The allocation methodology, cascade structure of modelling, survey template, knowledge gaps identified, and the recommendations on conducting LCA with industry contributed to a general framework of LCA of dairy processing.","author":[{"dropping-particle":"","family":"Yan","given":"Mingjia","non-dropping-particle":"","parse-names":false,"suffix":""},{"dropping-particle":"","family":"Holden","given":"Nicholas M.","non-dropping-particle":"","parse-names":false,"suffix":""}],"container-title":"Journal of Cleaner Production","id":"ITEM-1","issued":{"date-parts":[["2018"]]},"page":"215-230","publisher":"Elsevier Ltd","title":"Life cycle assessment of multi-product dairy processing using Irish butter and milk powders as an example","type":"article-journal","volume":"198"},"uris":["http://www.mendeley.com/documents/?uuid=ceca1d54-2e60-4116-b8b9-950129887c65"]}],"mendeley":{"formattedCitation":"(Yan and Holden, 2018)","manualFormatting":"Yan and Holden (2018)","plainTextFormattedCitation":"(Yan and Holden, 2018)","previouslyFormattedCitation":"&lt;sup&gt;62&lt;/sup&gt;"},"properties":{"noteIndex":0},"schema":"https://github.com/citation-style-language/schema/raw/master/csl-citation.json"}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 xml:space="preserve">Yan and Holden </w:t>
            </w:r>
            <w:r w:rsidRPr="008427C7">
              <w:rPr>
                <w:rFonts w:ascii="Calibri" w:eastAsia="Times New Roman" w:hAnsi="Calibri" w:cs="Calibri"/>
                <w:noProof/>
                <w:color w:val="000000"/>
                <w:sz w:val="18"/>
                <w:szCs w:val="18"/>
                <w:lang w:eastAsia="en-CA"/>
              </w:rPr>
              <w:t>(2018)</w:t>
            </w:r>
            <w:r w:rsidRPr="00BF29E4">
              <w:rPr>
                <w:rFonts w:ascii="Calibri" w:eastAsia="Times New Roman" w:hAnsi="Calibri" w:cs="Calibri"/>
                <w:color w:val="000000"/>
                <w:sz w:val="18"/>
                <w:szCs w:val="18"/>
                <w:lang w:eastAsia="en-CA"/>
              </w:rPr>
              <w:fldChar w:fldCharType="end"/>
            </w:r>
          </w:p>
        </w:tc>
        <w:tc>
          <w:tcPr>
            <w:tcW w:w="1417" w:type="dxa"/>
            <w:noWrap/>
            <w:vAlign w:val="center"/>
            <w:hideMark/>
          </w:tcPr>
          <w:p w14:paraId="3CA0A7B2"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dairy</w:t>
            </w:r>
          </w:p>
        </w:tc>
        <w:tc>
          <w:tcPr>
            <w:tcW w:w="3544" w:type="dxa"/>
            <w:noWrap/>
            <w:vAlign w:val="center"/>
            <w:hideMark/>
          </w:tcPr>
          <w:p w14:paraId="7A4E2D74"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butter, skimmed milk powder, fat filled powder</w:t>
            </w:r>
          </w:p>
        </w:tc>
        <w:tc>
          <w:tcPr>
            <w:tcW w:w="4961" w:type="dxa"/>
            <w:noWrap/>
            <w:vAlign w:val="center"/>
            <w:hideMark/>
          </w:tcPr>
          <w:p w14:paraId="2432BA85" w14:textId="4C0DA9EA" w:rsidR="00340E4E" w:rsidRPr="008427C7" w:rsidRDefault="00340E4E" w:rsidP="007257C5">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subdivision, allocation for evaporators and dryers based on water removed; for chemicals, solid waste management, electrical and thermal energy allocation based on proportion of solids in final products</w:t>
            </w:r>
          </w:p>
        </w:tc>
      </w:tr>
      <w:tr w:rsidR="00340E4E" w:rsidRPr="008427C7" w14:paraId="0618FC09" w14:textId="77777777" w:rsidTr="00DA1C73">
        <w:trPr>
          <w:trHeight w:val="290"/>
        </w:trPr>
        <w:tc>
          <w:tcPr>
            <w:tcW w:w="1164" w:type="dxa"/>
            <w:noWrap/>
            <w:vAlign w:val="center"/>
            <w:hideMark/>
          </w:tcPr>
          <w:p w14:paraId="779B102B" w14:textId="61F7B264"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{"citationItems":[{"id":"ITEM-1","itemData":{"DOI":"10.1007/s11356-016-8084-0","ISSN":"16147499","PMID":"27873115","abstract":"Current research identifies, analyzes, and suggests improvements for minimizing environmental impacts in the manufacture of cheese using the life cycle assessment. Data collection and development of the inventory were performed in a small-sized dairy industry in Brazil. A cradle-to-gate approach was conducted based on the primary data from cheese production and secondary data from databases. The ReCiPe method was used for the impact assessment, considering the categories climate change, ozone depletion, terrestrial acidification, freshwater eutrophication, photochemical oxidant formation, particulate matter formation, water depletion, and fossil depletion. A sensitivity analysis was performed including evaluations of different fuels for generating thermal energy, strategies for cleaning of dairy plant and utensils, variations in the way of cheese production based on the fat content, and production percentage changes. The results showed that the skimmed milk and thermal energy productions, electricity usage, and water consumptions were the main elementary flows. The pallet residues showed the best to be used as fuel for thermal energy. Detergent combinations did not influence the impact categories. There was a direct relationship between fat content range (20 to 30%) and the contribution in six impact categories. Changes from 20% in cheese allocation factor influenced the impact assessment results. LCA allowed identifying the main elementary flow of cheese production, providing valuable information with the potential to verify opportunities for on-site improvements.","author":[{"dropping-particle":"","family":"Santos","given":"Hudson Carlos Maia","non-dropping-particle":"","parse-names":false,"suffix":""},{"dropping-particle":"","family":"Maranduba","given":"Henrique Leonardo","non-dropping-particle":"","parse-names":false,"suffix":""},{"dropping-particle":"","family":"Almeida Neto","given":"José Adolfo","non-dropping-particle":"de","parse-names":false,"suffix":""},{"dropping-particle":"","family":"Rodrigues","given":"Luciano Brito","non-dropping-particle":"","parse-names":false,"suffix":""}],"container-title":"Environmental Science and Pollution Research","id":"ITEM-1","issue":"4","issued":{"date-parts":[["2017"]]},"page":"3470-3482","publisher":"Environmental Science and Pollution Research","title":"Life cycle assessment of cheese production process in a small-sized dairy industry in Brazil","type":"article-journal","volume":"24"},"uris":["http://www.mendeley.com/documents/?uuid=1b1457b4-cf9b-4628-8b57-2168016975c6"]}],"mendeley":{"formattedCitation":"(Santos et al., 2017)","manualFormatting":"Santos et al. (2017)","plainTextFormattedCitation":"(Santos et al., 2017)","previouslyFormattedCitation":"&lt;sup&gt;63&lt;/sup&gt;"},"properties":{"noteIndex":0},"schema":"https://github.com/citation-style-language/schema/raw/master/csl-citation.json"}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 xml:space="preserve">Santos et al. </w:t>
            </w:r>
            <w:r w:rsidRPr="008427C7">
              <w:rPr>
                <w:rFonts w:ascii="Calibri" w:eastAsia="Times New Roman" w:hAnsi="Calibri" w:cs="Calibri"/>
                <w:noProof/>
                <w:color w:val="000000"/>
                <w:sz w:val="18"/>
                <w:szCs w:val="18"/>
                <w:lang w:eastAsia="en-CA"/>
              </w:rPr>
              <w:t>(2017)</w:t>
            </w:r>
            <w:r w:rsidRPr="00BF29E4">
              <w:rPr>
                <w:rFonts w:ascii="Calibri" w:eastAsia="Times New Roman" w:hAnsi="Calibri" w:cs="Calibri"/>
                <w:color w:val="000000"/>
                <w:sz w:val="18"/>
                <w:szCs w:val="18"/>
                <w:lang w:eastAsia="en-CA"/>
              </w:rPr>
              <w:fldChar w:fldCharType="end"/>
            </w:r>
          </w:p>
        </w:tc>
        <w:tc>
          <w:tcPr>
            <w:tcW w:w="1417" w:type="dxa"/>
            <w:noWrap/>
            <w:vAlign w:val="center"/>
            <w:hideMark/>
          </w:tcPr>
          <w:p w14:paraId="12C83217"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cheese</w:t>
            </w:r>
          </w:p>
        </w:tc>
        <w:tc>
          <w:tcPr>
            <w:tcW w:w="3544" w:type="dxa"/>
            <w:noWrap/>
            <w:vAlign w:val="center"/>
            <w:hideMark/>
          </w:tcPr>
          <w:p w14:paraId="2536688F"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cheese, yogurt, butter, cottage cheese, ricotta</w:t>
            </w:r>
          </w:p>
        </w:tc>
        <w:tc>
          <w:tcPr>
            <w:tcW w:w="4961" w:type="dxa"/>
            <w:noWrap/>
            <w:vAlign w:val="center"/>
            <w:hideMark/>
          </w:tcPr>
          <w:p w14:paraId="33560560"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economic</w:t>
            </w:r>
          </w:p>
        </w:tc>
      </w:tr>
      <w:tr w:rsidR="00340E4E" w:rsidRPr="008427C7" w14:paraId="73BC5D80" w14:textId="77777777" w:rsidTr="00DA1C73">
        <w:trPr>
          <w:trHeight w:val="290"/>
        </w:trPr>
        <w:tc>
          <w:tcPr>
            <w:tcW w:w="1164" w:type="dxa"/>
            <w:noWrap/>
            <w:vAlign w:val="center"/>
            <w:hideMark/>
          </w:tcPr>
          <w:p w14:paraId="078995AD" w14:textId="7A521755"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{"citationItems":[{"id":"ITEM-1","itemData":{"DOI":"10.1007/s11367-017-1407-7","ISSN":"16147502","abstract":"Purpose: Cheese is one of the world’s most widely consumed dairy products and its popularity is ever growing. However, as concerns for the environmental impact of industries increase, products like cheese, which have a significant environmental impact, may lose their popularity. A commonly used technique to assess the environmental impact of a product is life cycle assessment (LCA). In this paper, a state-of-the-art review of LCA studies on the environmental impact of cheese production is presented. Methods: Sixteen LCA studies, which explored the impact from the production of a variety of cheese types (fresh, mature and semi-hard) were examined and discussed. The four stages of the LCA were examined and the range of results of selected environmental impact categories (global warming potential, acidification potential and eutrophication potential) were detailed and discussed. Results and discussion: For each of these environmental impact categories, raw milk production was consistently found to be the most significant contributor to the total impact, which was followed by processing. It was found that allocation between cheese and its by-products was crucial in determining the impact of cheese production and standardisation or guidelines may be needed. Very little information relating to wastewater treatment system and processes were reported and this leads to inaccurate environmental impact modelling relating to these aspects of the manufacture of cheese. Very few studies included the design of packaging in terms of reducing food waste, which may significantly contribute to the overall environmental impact. Conclusions: As raw milk production was found to have the greatest contribution to environmental impact, mitigation strategies at farm-level, particularly in relation to enteric fermentation and manure management, need to be implemented. Additionally, based on the literature, there is a suggestion that fresh cheese has less of an environmental impact than semi-hard cheeses, particularly when examining direct energy consumption. However, there needs to be more case studies investigated to justify this statement.","author":[{"dropping-particle":"","family":"Finnegan","given":"William","non-dropping-particle":"","parse-names":false,"suffix":""},{"dropping-particle":"","family":"Yan","given":"Mingjia","non-dropping-particle":"","parse-names":false,"suffix":""},{"dropping-particle":"","family":"Holden","given":"Nicholas M.","non-dropping-particle":"","parse-names":false,"suffix":""},{"dropping-particle":"","family":"Goggins","given":"Jamie","non-dropping-particle":"","parse-names":false,"suffix":""}],"container-title":"International Journal of Life Cycle Assessment","id":"ITEM-1","issue":"9","issued":{"date-parts":[["2018"]]},"page":"1773-1787","publisher":"The International Journal of Life Cycle Assessment","title":"A review of environmental life cycle assessment studies examining cheese production","type":"article-journal","volume":"23"},"uris":["http://www.mendeley.com/documents/?uuid=68b8a2ae-22dc-4449-9157-18134aa1d104"]}],"mendeley":{"formattedCitation":"(Finnegan et al., 2018)","manualFormatting":"Finnegan et al. (2018)","plainTextFormattedCitation":"(Finnegan et al., 2018)","previouslyFormattedCitation":"&lt;sup&gt;64&lt;/sup&gt;"},"properties":{"noteIndex":0},"schema":"https://github.com/citation-style-language/schema/raw/master/csl-citation.json"}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 xml:space="preserve">Finnegan et al. </w:t>
            </w:r>
            <w:r w:rsidRPr="008427C7">
              <w:rPr>
                <w:rFonts w:ascii="Calibri" w:eastAsia="Times New Roman" w:hAnsi="Calibri" w:cs="Calibri"/>
                <w:noProof/>
                <w:color w:val="000000"/>
                <w:sz w:val="18"/>
                <w:szCs w:val="18"/>
                <w:lang w:eastAsia="en-CA"/>
              </w:rPr>
              <w:t>(2018)</w:t>
            </w:r>
            <w:r w:rsidRPr="00BF29E4">
              <w:rPr>
                <w:rFonts w:ascii="Calibri" w:eastAsia="Times New Roman" w:hAnsi="Calibri" w:cs="Calibri"/>
                <w:color w:val="000000"/>
                <w:sz w:val="18"/>
                <w:szCs w:val="18"/>
                <w:lang w:eastAsia="en-CA"/>
              </w:rPr>
              <w:fldChar w:fldCharType="end"/>
            </w:r>
          </w:p>
        </w:tc>
        <w:tc>
          <w:tcPr>
            <w:tcW w:w="1417" w:type="dxa"/>
            <w:noWrap/>
            <w:vAlign w:val="center"/>
            <w:hideMark/>
          </w:tcPr>
          <w:p w14:paraId="443FCE5C"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review of cheese studies</w:t>
            </w:r>
          </w:p>
        </w:tc>
        <w:tc>
          <w:tcPr>
            <w:tcW w:w="3544" w:type="dxa"/>
            <w:noWrap/>
            <w:vAlign w:val="center"/>
            <w:hideMark/>
          </w:tcPr>
          <w:p w14:paraId="5EDC8852"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cheese and by-products (liquid whey and whey cream)</w:t>
            </w:r>
          </w:p>
        </w:tc>
        <w:tc>
          <w:tcPr>
            <w:tcW w:w="4961" w:type="dxa"/>
            <w:noWrap/>
            <w:vAlign w:val="center"/>
            <w:hideMark/>
          </w:tcPr>
          <w:p w14:paraId="4D669704" w14:textId="7184D8DC" w:rsidR="00340E4E" w:rsidRPr="008427C7" w:rsidRDefault="007257C5" w:rsidP="007257C5">
            <w:pPr>
              <w:spacing w:after="0" w:line="240" w:lineRule="auto"/>
              <w:rPr>
                <w:rFonts w:ascii="Calibri" w:eastAsia="Times New Roman" w:hAnsi="Calibri" w:cs="Calibri"/>
                <w:color w:val="000000"/>
                <w:sz w:val="18"/>
                <w:szCs w:val="18"/>
                <w:lang w:eastAsia="en-CA"/>
              </w:rPr>
            </w:pPr>
            <w:r>
              <w:rPr>
                <w:rFonts w:ascii="Calibri" w:eastAsia="Times New Roman" w:hAnsi="Calibri" w:cs="Calibri"/>
                <w:color w:val="000000"/>
                <w:sz w:val="18"/>
                <w:szCs w:val="18"/>
                <w:lang w:eastAsia="en-CA"/>
              </w:rPr>
              <w:t xml:space="preserve">Common approaches from literature: </w:t>
            </w:r>
            <w:r w:rsidR="00340E4E" w:rsidRPr="008427C7">
              <w:rPr>
                <w:rFonts w:ascii="Calibri" w:eastAsia="Times New Roman" w:hAnsi="Calibri" w:cs="Calibri"/>
                <w:color w:val="000000"/>
                <w:sz w:val="18"/>
                <w:szCs w:val="18"/>
                <w:lang w:eastAsia="en-CA"/>
              </w:rPr>
              <w:t xml:space="preserve">no allocation, economic allocation, subdivision </w:t>
            </w:r>
          </w:p>
        </w:tc>
      </w:tr>
      <w:tr w:rsidR="00340E4E" w:rsidRPr="008427C7" w14:paraId="7A8CE2A5" w14:textId="77777777" w:rsidTr="00DA1C73">
        <w:trPr>
          <w:trHeight w:val="290"/>
        </w:trPr>
        <w:tc>
          <w:tcPr>
            <w:tcW w:w="1164" w:type="dxa"/>
            <w:noWrap/>
            <w:vAlign w:val="center"/>
            <w:hideMark/>
          </w:tcPr>
          <w:p w14:paraId="1C5BEAAB" w14:textId="1E8A8624"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{"citationItems":[{"id":"ITEM-1","itemData":{"DOI":"10.3390/su12219141","ISSN":"20711050","abstract":"Greek yogurt (GY), a high-protein-low-fat dairy product, particularly prized for its sensory and nutritional benefits, revolutionized the North American yogurt market in less than a decade, bringing with it new sustainability challenges. Standard GY production generates large volumes of acid whey, a co-product that is a potential source of environmental pollution if not recovered. This study aims to assess the environmental performance of different technologies and identify the main factors to improve GY production. A complete life cycle assessment (LCA) was performed to compare the standard technology (centrifugation) with two new technologies (fortification and ultrafiltration) to reduce acid whey volumes. Three milk protein concentrate alternatives were also assessed. Results show that technology choice is not a clear discriminant factor. However, minimizing losses and wastage (accounting for 23 to 25% of the environmental impacts for all indicators) beyond the processing plant and selecting milk ingredients (accounting for 63 to 67% of the impacts) with low environmental impacts are key factors to improve the environmental performance of GY systems. From a methodological perspective, the results also highlight a shortcoming in the current LCA guidelines (2015) issued by the International Dairy Federation to treat the multifunctionality of GY systems.","author":[{"dropping-particle":"","family":"Houssard","given":"Catherine","non-dropping-particle":"","parse-names":false,"suffix":""},{"dropping-particle":"","family":"Maxime","given":"Dominique","non-dropping-particle":"","parse-names":false,"suffix":""},{"dropping-particle":"","family":"Benoit","given":"Scott","non-dropping-particle":"","parse-names":false,"suffix":""},{"dropping-particle":"","family":"Pouliot","given":"Yves","non-dropping-particle":"","parse-names":false,"suffix":""},{"dropping-particle":"","family":"Margni","given":"Manuele","non-dropping-particle":"","parse-names":false,"suffix":""}],"container-title":"Sustainability (Switzerland)","id":"ITEM-1","issue":"21","issued":{"date-parts":[["2020"]]},"page":"1-21","title":"Comparative life cycle assessment of five greek yogurt production systems: A perspective beyond the plant boundaries","type":"article-journal","volume":"12"},"uris":["http://www.mendeley.com/documents/?uuid=dd564725-f72b-4dc6-aeaa-ea19a39c42ec"]}],"mendeley":{"formattedCitation":"(Houssard et al., 2020)","manualFormatting":"Houssard et al. (2020)","plainTextFormattedCitation":"(Houssard et al., 2020)","previouslyFormattedCitation":"&lt;sup&gt;65&lt;/sup&gt;"},"properties":{"noteIndex":0},"schema":"https://github.com/citation-style-language/schema/raw/master/csl-citation.json"}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 xml:space="preserve">Houssard et al. </w:t>
            </w:r>
            <w:r w:rsidRPr="008427C7">
              <w:rPr>
                <w:rFonts w:ascii="Calibri" w:eastAsia="Times New Roman" w:hAnsi="Calibri" w:cs="Calibri"/>
                <w:noProof/>
                <w:color w:val="000000"/>
                <w:sz w:val="18"/>
                <w:szCs w:val="18"/>
                <w:lang w:eastAsia="en-CA"/>
              </w:rPr>
              <w:t>(2020)</w:t>
            </w:r>
            <w:r w:rsidRPr="00BF29E4">
              <w:rPr>
                <w:rFonts w:ascii="Calibri" w:eastAsia="Times New Roman" w:hAnsi="Calibri" w:cs="Calibri"/>
                <w:color w:val="000000"/>
                <w:sz w:val="18"/>
                <w:szCs w:val="18"/>
                <w:lang w:eastAsia="en-CA"/>
              </w:rPr>
              <w:fldChar w:fldCharType="end"/>
            </w:r>
          </w:p>
        </w:tc>
        <w:tc>
          <w:tcPr>
            <w:tcW w:w="1417" w:type="dxa"/>
            <w:noWrap/>
            <w:vAlign w:val="center"/>
            <w:hideMark/>
          </w:tcPr>
          <w:p w14:paraId="0D465CA5"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yogurt</w:t>
            </w:r>
          </w:p>
        </w:tc>
        <w:tc>
          <w:tcPr>
            <w:tcW w:w="3544" w:type="dxa"/>
            <w:noWrap/>
            <w:vAlign w:val="center"/>
            <w:hideMark/>
          </w:tcPr>
          <w:p w14:paraId="5F5CD418"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Greek yogurt and acid whey</w:t>
            </w:r>
          </w:p>
        </w:tc>
        <w:tc>
          <w:tcPr>
            <w:tcW w:w="4961" w:type="dxa"/>
            <w:noWrap/>
            <w:vAlign w:val="center"/>
            <w:hideMark/>
          </w:tcPr>
          <w:p w14:paraId="074198BB"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dry weight milk solid mass allocation; economic allocation</w:t>
            </w:r>
          </w:p>
        </w:tc>
      </w:tr>
      <w:tr w:rsidR="00340E4E" w:rsidRPr="008427C7" w14:paraId="5E1962D8" w14:textId="77777777" w:rsidTr="00DA1C73">
        <w:trPr>
          <w:trHeight w:val="290"/>
        </w:trPr>
        <w:tc>
          <w:tcPr>
            <w:tcW w:w="1164" w:type="dxa"/>
            <w:noWrap/>
            <w:vAlign w:val="center"/>
            <w:hideMark/>
          </w:tcPr>
          <w:p w14:paraId="09DFD44C" w14:textId="00E96762"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{"citationItems":[{"id":"ITEM-1","itemData":{"DOI":"10.1016/j.jclepro.2020.124607","ISSN":"09596526","abstract":"The optimal use of food components in human nutrition is key to reduce the environmental burdens of the global food system. In this life cycle assessment (LCA) case study based on Greek yogurt (GY) production systems, we explore how a system boundary expansion approach (SBES), instead of an allocation approach, can help to optimize the use of the milk components in the dairy industry for the province of Québec, Canada. GY is a high-protein-low-fat dairy product considered as a healthy high-value product for human nutrition. Its production requires large volumes of milk and generates a high-value co-product (cream) and a by-product (whey). This comprehensive LCA study compares three production technologies (centrifugation (CE), ultrafiltration (UF) and fortification (FO)) and different whey management alternatives (animal feed, biogas and fertilizer production, waste treatment). Results show that, under current Canadian market conditions in which milk production is driven by the demand for cream and surplus non-fat-solids are downcycled on the animal feed market, the CE and UF technologies, which require more raw milk than FO and produce more cream, enable better synergies in the use of milk components and improve the environmental performance of GY as compared to FO. Both CE and UF make it possible to use the excess of Canadian milk proteins in human nutrition, in compliance with circular economy principles. In this respect, neither the quantity of whey generated, nor the whey management pathway significantly influence the GY environmental footprint.","author":[{"dropping-particle":"","family":"Houssard","given":"Catherine","non-dropping-particle":"","parse-names":false,"suffix":""},{"dropping-particle":"","family":"Maxime","given":"Dominique","non-dropping-particle":"","parse-names":false,"suffix":""},{"dropping-particle":"","family":"Pouliot","given":"Yves","non-dropping-particle":"","parse-names":false,"suffix":""},{"dropping-particle":"","family":"Margni","given":"Manuele","non-dropping-particle":"","parse-names":false,"suffix":""}],"container-title":"Journal of Cleaner Production","id":"ITEM-1","issued":{"date-parts":[["2021"]]},"page":"124607","publisher":"Elsevier Ltd","title":"Allocation is not enough! A system boundaries expansion approach to account for production and consumption synergies: The environmental footprint of Greek yogurt","type":"article-journal","volume":"283"},"uris":["http://www.mendeley.com/documents/?uuid=1d13ef72-2b09-45d4-9696-8fbf934efdf8"]}],"mendeley":{"formattedCitation":"(Houssard et al., 2021)","manualFormatting":"Houssard et al. (2021)","plainTextFormattedCitation":"(Houssard et al., 2021)","previouslyFormattedCitation":"&lt;sup&gt;66&lt;/sup&gt;"},"properties":{"noteIndex":0},"schema":"https://github.com/citation-style-language/schema/raw/master/csl-citation.json"}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 xml:space="preserve">Houssard et al. </w:t>
            </w:r>
            <w:r w:rsidRPr="008427C7">
              <w:rPr>
                <w:rFonts w:ascii="Calibri" w:eastAsia="Times New Roman" w:hAnsi="Calibri" w:cs="Calibri"/>
                <w:noProof/>
                <w:color w:val="000000"/>
                <w:sz w:val="18"/>
                <w:szCs w:val="18"/>
                <w:lang w:eastAsia="en-CA"/>
              </w:rPr>
              <w:t>(2021)</w:t>
            </w:r>
            <w:r w:rsidRPr="00BF29E4">
              <w:rPr>
                <w:rFonts w:ascii="Calibri" w:eastAsia="Times New Roman" w:hAnsi="Calibri" w:cs="Calibri"/>
                <w:color w:val="000000"/>
                <w:sz w:val="18"/>
                <w:szCs w:val="18"/>
                <w:lang w:eastAsia="en-CA"/>
              </w:rPr>
              <w:fldChar w:fldCharType="end"/>
            </w:r>
          </w:p>
        </w:tc>
        <w:tc>
          <w:tcPr>
            <w:tcW w:w="1417" w:type="dxa"/>
            <w:noWrap/>
            <w:vAlign w:val="center"/>
            <w:hideMark/>
          </w:tcPr>
          <w:p w14:paraId="6AE020ED"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Greek yogurt</w:t>
            </w:r>
          </w:p>
        </w:tc>
        <w:tc>
          <w:tcPr>
            <w:tcW w:w="3544" w:type="dxa"/>
            <w:noWrap/>
            <w:vAlign w:val="center"/>
            <w:hideMark/>
          </w:tcPr>
          <w:p w14:paraId="335C2294"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dairy processing by-products</w:t>
            </w:r>
          </w:p>
        </w:tc>
        <w:tc>
          <w:tcPr>
            <w:tcW w:w="4961" w:type="dxa"/>
            <w:noWrap/>
            <w:vAlign w:val="center"/>
            <w:hideMark/>
          </w:tcPr>
          <w:p w14:paraId="70A7529E" w14:textId="7CC609CB" w:rsidR="00340E4E" w:rsidRPr="008427C7" w:rsidRDefault="007257C5" w:rsidP="00C821FE">
            <w:pPr>
              <w:spacing w:after="0" w:line="240" w:lineRule="auto"/>
              <w:rPr>
                <w:rFonts w:ascii="Calibri" w:eastAsia="Times New Roman" w:hAnsi="Calibri" w:cs="Calibri"/>
                <w:color w:val="000000"/>
                <w:sz w:val="18"/>
                <w:szCs w:val="18"/>
                <w:lang w:eastAsia="en-CA"/>
              </w:rPr>
            </w:pPr>
            <w:r>
              <w:rPr>
                <w:rFonts w:ascii="Calibri" w:eastAsia="Times New Roman" w:hAnsi="Calibri" w:cs="Calibri"/>
                <w:color w:val="000000"/>
                <w:sz w:val="18"/>
                <w:szCs w:val="18"/>
                <w:lang w:eastAsia="en-CA"/>
              </w:rPr>
              <w:t xml:space="preserve">system expansion to avoid </w:t>
            </w:r>
            <w:r w:rsidR="00340E4E" w:rsidRPr="008427C7">
              <w:rPr>
                <w:rFonts w:ascii="Calibri" w:eastAsia="Times New Roman" w:hAnsi="Calibri" w:cs="Calibri"/>
                <w:color w:val="000000"/>
                <w:sz w:val="18"/>
                <w:szCs w:val="18"/>
                <w:lang w:eastAsia="en-CA"/>
              </w:rPr>
              <w:t>allocation</w:t>
            </w:r>
          </w:p>
        </w:tc>
      </w:tr>
      <w:tr w:rsidR="00340E4E" w:rsidRPr="008427C7" w14:paraId="4A0EF019" w14:textId="77777777" w:rsidTr="00DA1C73">
        <w:trPr>
          <w:trHeight w:val="290"/>
        </w:trPr>
        <w:tc>
          <w:tcPr>
            <w:tcW w:w="1164" w:type="dxa"/>
            <w:noWrap/>
            <w:vAlign w:val="center"/>
            <w:hideMark/>
          </w:tcPr>
          <w:p w14:paraId="0EF1E498" w14:textId="7B834FB0"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{"citationItems":[{"id":"ITEM-1","itemData":{"DOI":"10.1016/j.scitotenv.2018.01.143","ISBN":"0907845304; 0907845258","ISSN":"18791026","abstract":"The dairy sector is recognised as one of the most impacting agricultural activities. In Italy approximately 24% of cow's milk is destined to Grana Padano, a Protected Designation of Origin long ripening cheese. The Grana Padano production has increased by 10% in the last decade and approximately reached 183,000 t in 2015. Around 38% of this production is exported to Germany, US, France and to the rest of the world. This study evaluated the environmental impact of production of Grana Padano, through a “cradle to cheese factory gate” Life Cycle Assessment. The study involved an Italian cheese factory that produces about 3.6% of the total production of Grana Padano cheese and a group of 5 dairy farms, chosen among the farms that sold all milk produced to the cheese factory. The functional unit was 1 kg of Grana Padano cheese 12-month ripened. Environmental impacts of co-products: whey, cream, butter and buttermilk were also evaluated. Two sensitivity analyses were conducted: the first one had the aim to explore the effect of different allocation methods based on dry matter content, economic or nutritive value of cheese, respectively; the second one considered the variation of the impacts of milk production and its effect on cheese environmental impact. Milk production phase gave the most important contribution to the environmental impact of cheese, with a percentage of 93.5–99.6% depending on the impact category. Excluding milk production from the system boundary, milk transport and use of electricity were the main responsible of the environmental impact of cheese-making process. The climate change impact for the production of 1 kg Grana Padano was 10.3 kg of CO2eq, using a dry matter allocation method, while 16.9 and 15.2 kg of CO2eq adopting economic and nutritive value allocation methods, respectively.","author":[{"dropping-particle":"","family":"Bava","given":"L.","non-dropping-particle":"","parse-names":false,"suffix":""},{"dropping-particle":"","family":"Bacenetti","given":"J.","non-dropping-particle":"","parse-names":false,"suffix":""},{"dropping-particle":"","family":"Gislon","given":"G.","non-dropping-particle":"","parse-names":false,"suffix":""},{"dropping-particle":"","family":"Pellegrino","given":"L.","non-dropping-particle":"","parse-names":false,"suffix":""},{"dropping-particle":"","family":"D'Incecco","given":"P.","non-dropping-particle":"","parse-names":false,"suffix":""},{"dropping-particle":"","family":"Sandrucci","given":"A.","non-dropping-particle":"","parse-names":false,"suffix":""},{"dropping-particle":"","family":"Tamburini","given":"A.","non-dropping-particle":"","parse-names":false,"suffix":""},{"dropping-particle":"","family":"Fiala","given":"M.","non-dropping-particle":"","parse-names":false,"suffix":""},{"dropping-particle":"","family":"Zucali","given":"M.","non-dropping-particle":"","parse-names":false,"suffix":""}],"container-title":"Science of the Total Environment","id":"ITEM-1","issued":{"date-parts":[["2018"]]},"page":"1200-1209","publisher":"Elsevier B.V.","title":"Impact assessment of traditional food manufacturing: The case of Grana Padano cheese","type":"article-journal","volume":"626"},"uris":["http://www.mendeley.com/documents/?uuid=32a41e46-cc20-47e3-8861-510de8a1033d"]}],"mendeley":{"formattedCitation":"(Bava et al., 2018)","manualFormatting":"Bava et al. (2018)","plainTextFormattedCitation":"(Bava et al., 2018)","previouslyFormattedCitation":"&lt;sup&gt;67&lt;/sup&gt;"},"properties":{"noteIndex":0},"schema":"https://github.com/citation-style-language/schema/raw/master/csl-citation.json"}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 xml:space="preserve">Bava et al. </w:t>
            </w:r>
            <w:r w:rsidRPr="008427C7">
              <w:rPr>
                <w:rFonts w:ascii="Calibri" w:eastAsia="Times New Roman" w:hAnsi="Calibri" w:cs="Calibri"/>
                <w:noProof/>
                <w:color w:val="000000"/>
                <w:sz w:val="18"/>
                <w:szCs w:val="18"/>
                <w:lang w:eastAsia="en-CA"/>
              </w:rPr>
              <w:t>(2018)</w:t>
            </w:r>
            <w:r w:rsidRPr="00BF29E4">
              <w:rPr>
                <w:rFonts w:ascii="Calibri" w:eastAsia="Times New Roman" w:hAnsi="Calibri" w:cs="Calibri"/>
                <w:color w:val="000000"/>
                <w:sz w:val="18"/>
                <w:szCs w:val="18"/>
                <w:lang w:eastAsia="en-CA"/>
              </w:rPr>
              <w:fldChar w:fldCharType="end"/>
            </w:r>
          </w:p>
        </w:tc>
        <w:tc>
          <w:tcPr>
            <w:tcW w:w="1417" w:type="dxa"/>
            <w:noWrap/>
            <w:vAlign w:val="center"/>
            <w:hideMark/>
          </w:tcPr>
          <w:p w14:paraId="70DB52D0"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cheese</w:t>
            </w:r>
          </w:p>
        </w:tc>
        <w:tc>
          <w:tcPr>
            <w:tcW w:w="3544" w:type="dxa"/>
            <w:noWrap/>
            <w:vAlign w:val="center"/>
            <w:hideMark/>
          </w:tcPr>
          <w:p w14:paraId="2904ED3A"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product of dairy processing</w:t>
            </w:r>
          </w:p>
        </w:tc>
        <w:tc>
          <w:tcPr>
            <w:tcW w:w="4961" w:type="dxa"/>
            <w:noWrap/>
            <w:vAlign w:val="center"/>
            <w:hideMark/>
          </w:tcPr>
          <w:p w14:paraId="3D0D80B2"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dry matter content, economic, nutritive value</w:t>
            </w:r>
          </w:p>
        </w:tc>
      </w:tr>
      <w:tr w:rsidR="00340E4E" w:rsidRPr="008427C7" w14:paraId="13499168" w14:textId="77777777" w:rsidTr="00DA1C73">
        <w:trPr>
          <w:trHeight w:val="290"/>
        </w:trPr>
        <w:tc>
          <w:tcPr>
            <w:tcW w:w="1164" w:type="dxa"/>
            <w:noWrap/>
            <w:vAlign w:val="center"/>
            <w:hideMark/>
          </w:tcPr>
          <w:p w14:paraId="3A1DDB34" w14:textId="66254BBF"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{"citationItems":[{"id":"ITEM-1","itemData":{"DOI":"10.1080/1828051X.2017.1344936","ISSN":"1828051X","abstract":"A farm gate-to-plant gate life cycle assessment was performed to estimate the environmental impact of Asiago Protected Designation of Origin (PDO) cheese, the fourth most produced Italian PDO cheese. One manufacturing plant were surveyed for primary data. Emphasis was given to manufacturing processes, wherein environmental hotspots were identified. However the farm phase was discussed in order to obtain a clear prospect of Asiago cheese production. Inputs and outputs at the plant, such as cheese ingredients, fuels, electricity, water, cleaning agents, packaging, waste, and associated transport were included. Asiago cheese was the main product and co-products were other cheeses and liquid whey. Raw milk, other materials and energy flows were allocated using economic allocation strategy, while salt was attributed using plant specific information. Scenario analysis was about allocation strategies and time of cheese aging. SimaPro© 8.1.1 was the modelling software. Ecoinvent® v3.1 database was used for upstream processes. Climate change and energy consumption per kg of Asiago cheese was 10.1 kg CO2-eq and 70.2 MJ, respectively. Uncertainty analysis gave 95% confidence interval of 6.2–17.5 kg CO2-eq and 41.8–115 MJ per kg of Asiago cheese. The main impact driver was raw milk production. At the plant, electricity and fuels usage, refrigerants, packaging and wastewater treatment had the highest contribution to the overall impacts, except for fresh water eutrophication where wastewater treatment had the largest impact. Energy and fuel consumption were the crucial “hot spots” to focus on for efficiency and mitigation procedures at plant.","author":[{"dropping-particle":"","family":"Dalla Riva","given":"Alessandro","non-dropping-particle":"","parse-names":false,"suffix":""},{"dropping-particle":"","family":"Burek","given":"Jasmina","non-dropping-particle":"","parse-names":false,"suffix":""},{"dropping-particle":"","family":"Kim","given":"Daesoo","non-dropping-particle":"","parse-names":false,"suffix":""},{"dropping-particle":"","family":"Thoma","given":"Greg","non-dropping-particle":"","parse-names":false,"suffix":""},{"dropping-particle":"","family":"Cassandro","given":"Martino","non-dropping-particle":"","parse-names":false,"suffix":""},{"dropping-particle":"","family":"Marchi","given":"Massimo","non-dropping-particle":"De","parse-names":false,"suffix":""}],"container-title":"Italian Journal of Animal Science","id":"ITEM-1","issue":"1","issued":{"date-parts":[["2018"]]},"page":"250-262","publisher":"Informa Healthcare USA, Inc","title":"The environmental analysis of asiago PDO cheese: a case study from farm gate-to-plant gate","type":"article-journal","volume":"17"},"uris":["http://www.mendeley.com/documents/?uuid=f840c405-42d5-47b3-a36a-434fe179a79a"]}],"mendeley":{"formattedCitation":"(Dalla Riva et al., 2018)","manualFormatting":"Dalla Riva et al. (2018)","plainTextFormattedCitation":"(Dalla Riva et al., 2018)","previouslyFormattedCitation":"&lt;sup&gt;68&lt;/sup&gt;"},"properties":{"noteIndex":0},"schema":"https://github.com/citation-style-language/schema/raw/master/csl-citation.json"}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 xml:space="preserve">Dalla Riva et al. </w:t>
            </w:r>
            <w:r w:rsidRPr="008427C7">
              <w:rPr>
                <w:rFonts w:ascii="Calibri" w:eastAsia="Times New Roman" w:hAnsi="Calibri" w:cs="Calibri"/>
                <w:noProof/>
                <w:color w:val="000000"/>
                <w:sz w:val="18"/>
                <w:szCs w:val="18"/>
                <w:lang w:eastAsia="en-CA"/>
              </w:rPr>
              <w:t>(2018)</w:t>
            </w:r>
            <w:r w:rsidRPr="00BF29E4">
              <w:rPr>
                <w:rFonts w:ascii="Calibri" w:eastAsia="Times New Roman" w:hAnsi="Calibri" w:cs="Calibri"/>
                <w:color w:val="000000"/>
                <w:sz w:val="18"/>
                <w:szCs w:val="18"/>
                <w:lang w:eastAsia="en-CA"/>
              </w:rPr>
              <w:fldChar w:fldCharType="end"/>
            </w:r>
          </w:p>
        </w:tc>
        <w:tc>
          <w:tcPr>
            <w:tcW w:w="1417" w:type="dxa"/>
            <w:noWrap/>
            <w:vAlign w:val="center"/>
            <w:hideMark/>
          </w:tcPr>
          <w:p w14:paraId="266F37DA"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cheese</w:t>
            </w:r>
          </w:p>
        </w:tc>
        <w:tc>
          <w:tcPr>
            <w:tcW w:w="3544" w:type="dxa"/>
            <w:noWrap/>
            <w:vAlign w:val="center"/>
            <w:hideMark/>
          </w:tcPr>
          <w:p w14:paraId="13BE777F"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cheeses and whey</w:t>
            </w:r>
          </w:p>
        </w:tc>
        <w:tc>
          <w:tcPr>
            <w:tcW w:w="4961" w:type="dxa"/>
            <w:noWrap/>
            <w:vAlign w:val="center"/>
            <w:hideMark/>
          </w:tcPr>
          <w:p w14:paraId="0CFAF9B0" w14:textId="5818E703" w:rsidR="00340E4E" w:rsidRPr="008427C7" w:rsidRDefault="00340E4E" w:rsidP="007257C5">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 xml:space="preserve">economic </w:t>
            </w:r>
          </w:p>
        </w:tc>
      </w:tr>
      <w:tr w:rsidR="00340E4E" w:rsidRPr="008427C7" w14:paraId="4A9873E9" w14:textId="77777777" w:rsidTr="00DA1C73">
        <w:trPr>
          <w:trHeight w:val="290"/>
        </w:trPr>
        <w:tc>
          <w:tcPr>
            <w:tcW w:w="1164" w:type="dxa"/>
            <w:noWrap/>
            <w:vAlign w:val="center"/>
            <w:hideMark/>
          </w:tcPr>
          <w:p w14:paraId="085C0CAA" w14:textId="7660DB21"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{"citationItems":[{"id":"ITEM-1","itemData":{"DOI":"10.1016/j.jclepro.2020.120478","ISSN":"09596526","abstract":"Fractionation is increasingly applied in the process industries and aids in diversifying the use of biomaterials. However, comparing the environmental impacts of fractionated and non-fractionated products is challenging, since multi-product processes complicate the definition of functional units, and require by-product handling by means of allocation or system expansion. This paper proposes a generic scope-definition framework for multi-product processes in attributional life cycle assessment (ALCA) and in consequential life cycle assessment (CLCA). Considering the potentials and limitations of ALCA and CLCA, this framework addresses the choice of an appropriate functional unit and by-product handling method. Three distinct categories are defined: product systems with identical products, with identical functionalities, and with exclusively identical input materials. The framework is applied to new, fractionated dairy products – micellar-casein concentrate, whey-protein concentrate, and lactose – and their non-fractionated counterpart skim-milk concentrate. The case demonstrates how appropriate functional units can be identified that capture identical specific functionalities. The results for both ALCA and CLCA show that fractionation is environmentally viable. For fractionated products with non-identical functionalities, the methodological choice is reduced to an ALCA yielding a favorable eco-efficiency perspective for fractionation. The framework presented offers a systematic procedure for how to deal with multi-product processes in life cycle assessment that is useful for a wide range of applications.","author":[{"dropping-particle":"","family":"Depping","given":"Verena","non-dropping-particle":"","parse-names":false,"suffix":""},{"dropping-particle":"","family":"Grunow","given":"Martin","non-dropping-particle":"","parse-names":false,"suffix":""},{"dropping-particle":"","family":"Kulozik","given":"Ulrich","non-dropping-particle":"","parse-names":false,"suffix":""}],"container-title":"Journal of Cleaner Production","id":"ITEM-1","issued":{"date-parts":[["2020"]]},"page":"120478","publisher":"Elsevier Ltd","title":"A methodological framework for comparing fractionated and non-fractionated products in life cycle assessments: The case of milk concentrates","type":"article-journal","volume":"257"},"uris":["http://www.mendeley.com/documents/?uuid=8cf33b48-4c0b-4bc3-93c6-2fad2134f2d3"]}],"mendeley":{"formattedCitation":"(Depping et al., 2020)","manualFormatting":"Depping et al. (2020)","plainTextFormattedCitation":"(Depping et al., 2020)","previouslyFormattedCitation":"&lt;sup&gt;69&lt;/sup&gt;"},"properties":{"noteIndex":0},"schema":"https://github.com/citation-style-language/schema/raw/master/csl-citation.json"}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 xml:space="preserve">Depping et al. </w:t>
            </w:r>
            <w:r w:rsidRPr="008427C7">
              <w:rPr>
                <w:rFonts w:ascii="Calibri" w:eastAsia="Times New Roman" w:hAnsi="Calibri" w:cs="Calibri"/>
                <w:noProof/>
                <w:color w:val="000000"/>
                <w:sz w:val="18"/>
                <w:szCs w:val="18"/>
                <w:lang w:eastAsia="en-CA"/>
              </w:rPr>
              <w:t>(2020)</w:t>
            </w:r>
            <w:r w:rsidRPr="00BF29E4">
              <w:rPr>
                <w:rFonts w:ascii="Calibri" w:eastAsia="Times New Roman" w:hAnsi="Calibri" w:cs="Calibri"/>
                <w:color w:val="000000"/>
                <w:sz w:val="18"/>
                <w:szCs w:val="18"/>
                <w:lang w:eastAsia="en-CA"/>
              </w:rPr>
              <w:fldChar w:fldCharType="end"/>
            </w:r>
          </w:p>
        </w:tc>
        <w:tc>
          <w:tcPr>
            <w:tcW w:w="1417" w:type="dxa"/>
            <w:noWrap/>
            <w:vAlign w:val="center"/>
            <w:hideMark/>
          </w:tcPr>
          <w:p w14:paraId="4E5E8CFB"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dairy</w:t>
            </w:r>
          </w:p>
        </w:tc>
        <w:tc>
          <w:tcPr>
            <w:tcW w:w="3544" w:type="dxa"/>
            <w:noWrap/>
            <w:vAlign w:val="center"/>
            <w:hideMark/>
          </w:tcPr>
          <w:p w14:paraId="1C534E01"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fractionation co-products</w:t>
            </w:r>
          </w:p>
        </w:tc>
        <w:tc>
          <w:tcPr>
            <w:tcW w:w="4961" w:type="dxa"/>
            <w:noWrap/>
            <w:vAlign w:val="center"/>
            <w:hideMark/>
          </w:tcPr>
          <w:p w14:paraId="42E44784"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functionality and economic allocation in ALCA; product substitution in CLCA</w:t>
            </w:r>
          </w:p>
        </w:tc>
      </w:tr>
      <w:tr w:rsidR="00340E4E" w:rsidRPr="008427C7" w14:paraId="374D74EC" w14:textId="77777777" w:rsidTr="00DA1C73">
        <w:trPr>
          <w:trHeight w:val="290"/>
        </w:trPr>
        <w:tc>
          <w:tcPr>
            <w:tcW w:w="1164" w:type="dxa"/>
            <w:noWrap/>
            <w:vAlign w:val="center"/>
            <w:hideMark/>
          </w:tcPr>
          <w:p w14:paraId="55A38D22" w14:textId="27F9E03E"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{"citationItems":[{"id":"ITEM-1","itemData":{"DOI":"10.1016/j.jfoodeng.2017.12.018","ISSN":"02608774","abstract":"Cheese-making is a process that produces multiple coproducts, of which whey is the most abundant in terms of volume. It is often considered a waste product, but whey is rich in lactose, proteins and fats. The aim of the study was to evaluate the environmental impact of the production of whey protein concentrate (WPC) with an ultrafiltration process throughout a life cycle approach. The environmental impacts of three WPCs, characterized by different protein concentrations (WPC35, WPC60, WPC80), were estimated. A scenario analysis was performed to understand the mitigation effect of the pre-concentration process carried out in a pretreatment plant to obtain whey with a dry matter content of 20%. Two sensitivity analyses were performed: the first changing the transport distance of whey, the second using a different allocation method. Transportation of the whey was one of the main hotspots in the life cycle assessment performed (28–70%); electricity use accounted for 18–20% of the impact. The alternative scenario, that involves the pre-concentration of whey, obtained a reduction of the impacts from 0.9% to 14.3%. The pre-concentration of whey in a pretreatment plant closer to the cheese factory reduces the environmental burden of the whole process. This occurs even if the energy consumption for pre-concentration increases due to the use of smaller and less efficient devices.","author":[{"dropping-particle":"","family":"Bacenetti","given":"Jacopo","non-dropping-particle":"","parse-names":false,"suffix":""},{"dropping-particle":"","family":"Bava","given":"Luciana","non-dropping-particle":"","parse-names":false,"suffix":""},{"dropping-particle":"","family":"Schievano","given":"Andrea","non-dropping-particle":"","parse-names":false,"suffix":""},{"dropping-particle":"","family":"Zucali","given":"Maddalena","non-dropping-particle":"","parse-names":false,"suffix":""}],"container-title":"Journal of Food Engineering","id":"ITEM-1","issued":{"date-parts":[["2018"]]},"page":"139-147","publisher":"Elsevier Ltd","title":"Whey protein concentrate (WPC) production: Environmental impact assessment","type":"article-journal","volume":"224"},"uris":["http://www.mendeley.com/documents/?uuid=c4f5938a-313d-4386-8684-8feb8a03118a"]}],"mendeley":{"formattedCitation":"(Bacenetti et al., 2018)","manualFormatting":"Bacenetti et al. (2018)","plainTextFormattedCitation":"(Bacenetti et al., 2018)","previouslyFormattedCitation":"&lt;sup&gt;70&lt;/sup&gt;"},"properties":{"noteIndex":0},"schema":"https://github.com/citation-style-language/schema/raw/master/csl-citation.json"}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 xml:space="preserve">Bacenetti et al. </w:t>
            </w:r>
            <w:r w:rsidRPr="008427C7">
              <w:rPr>
                <w:rFonts w:ascii="Calibri" w:eastAsia="Times New Roman" w:hAnsi="Calibri" w:cs="Calibri"/>
                <w:noProof/>
                <w:color w:val="000000"/>
                <w:sz w:val="18"/>
                <w:szCs w:val="18"/>
                <w:lang w:eastAsia="en-CA"/>
              </w:rPr>
              <w:t>(2018)</w:t>
            </w:r>
            <w:r w:rsidRPr="00BF29E4">
              <w:rPr>
                <w:rFonts w:ascii="Calibri" w:eastAsia="Times New Roman" w:hAnsi="Calibri" w:cs="Calibri"/>
                <w:color w:val="000000"/>
                <w:sz w:val="18"/>
                <w:szCs w:val="18"/>
                <w:lang w:eastAsia="en-CA"/>
              </w:rPr>
              <w:fldChar w:fldCharType="end"/>
            </w:r>
          </w:p>
        </w:tc>
        <w:tc>
          <w:tcPr>
            <w:tcW w:w="1417" w:type="dxa"/>
            <w:noWrap/>
            <w:vAlign w:val="center"/>
            <w:hideMark/>
          </w:tcPr>
          <w:p w14:paraId="7E6A22DF"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whey protein concentrate</w:t>
            </w:r>
          </w:p>
        </w:tc>
        <w:tc>
          <w:tcPr>
            <w:tcW w:w="3544" w:type="dxa"/>
            <w:noWrap/>
            <w:vAlign w:val="center"/>
            <w:hideMark/>
          </w:tcPr>
          <w:p w14:paraId="48C8B6D4"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cheese, whey, buttermilk, butter; different whey protein concentrates</w:t>
            </w:r>
          </w:p>
        </w:tc>
        <w:tc>
          <w:tcPr>
            <w:tcW w:w="4961" w:type="dxa"/>
            <w:noWrap/>
            <w:vAlign w:val="center"/>
            <w:hideMark/>
          </w:tcPr>
          <w:p w14:paraId="571AB98F"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physical allocation based on DM content</w:t>
            </w:r>
          </w:p>
        </w:tc>
      </w:tr>
      <w:tr w:rsidR="00340E4E" w:rsidRPr="008427C7" w14:paraId="611762FC" w14:textId="77777777" w:rsidTr="00DA1C73">
        <w:trPr>
          <w:trHeight w:val="290"/>
        </w:trPr>
        <w:tc>
          <w:tcPr>
            <w:tcW w:w="1164" w:type="dxa"/>
            <w:noWrap/>
            <w:vAlign w:val="center"/>
            <w:hideMark/>
          </w:tcPr>
          <w:p w14:paraId="318B50A3" w14:textId="5B7FD80C"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{"citationItems":[{"id":"ITEM-1","itemData":{"DOI":"10.1016/j.jclepro.2021.127586","ISSN":"09596526","abstract":"The environmental impacts in the artisan cheese sector in the central region of Mexico provide a particular panorama of the environmental situation of this industry. The objective of this study was to evaluate environmental impacts through a life cycle analysis in 10 impact categories: global warming, stratospheric ozone depletion, fine particle formation, ozone formation, terrestrial ecosystems, terrestrial acidification, eutrophication of fresh water, terrestrial ecotoxicity, human ecotoxicity. non-carcinogenic toxicity, scarcity of fossil resources and water consumption. And the calculation of the carbon footprint with the IPCC, 2013 of 1 kg of Oaxaca cheese in four dairies artisanal in the State of Mexico. The main hotspots were whey, transportation, and electricity. The reduction of the impact generated by wastewater can be associated with the implementation and improvement of eco-innovations such as the use of biodigesters, however their use generates impacts on SOD, TA, FA, TEc and FRs due to the composition of the whey residue. The renewal of refrigeration equipment is another alternative to reduce electricity consumption, which on average consumes 0.04 kWh per one kg of Oaxaca cheese in cheese factories that have new refrigerators, and 0.14 kWh when refrigerators are reused, mainly impacting the FRs. The average carbon footprint of Oaxaca cheese was 15.6 CO 2 kg eq, which allows us to have a measure of the behavior of this food. A sensitivity analysis was carried out with different scenarios with wastewater where it was found that the handling of whey is essential for reducing impacts.","author":[{"dropping-particle":"","family":"Salas-Vargas","given":"Cristina","non-dropping-particle":"","parse-names":false,"suffix":""},{"dropping-particle":"","family":"Brunett-Pérez","given":"Luis","non-dropping-particle":"","parse-names":false,"suffix":""},{"dropping-particle":"","family":"Espinosa-Ortiz","given":"Valentín Efrén","non-dropping-particle":"","parse-names":false,"suffix":""},{"dropping-particle":"","family":"Martínez-García","given":"Carlos Galdino","non-dropping-particle":"","parse-names":false,"suffix":""}],"container-title":"Journal of Cleaner Production","id":"ITEM-1","issue":"May","issued":{"date-parts":[["2021"]]},"title":"Environmental impact of Oaxaca cheese production and wastewater from artisanal dairies under two scenarios in Aculco, State of Mexico","type":"article-journal","volume":"311"},"uris":["http://www.mendeley.com/documents/?uuid=79550774-0590-4d31-85cd-56e13af3b8c9"]}],"mendeley":{"formattedCitation":"(Salas-Vargas et al., 2021)","manualFormatting":"Salas-Vargas et al. (2021)","plainTextFormattedCitation":"(Salas-Vargas et al., 2021)","previouslyFormattedCitation":"&lt;sup&gt;71&lt;/sup&gt;"},"properties":{"noteIndex":0},"schema":"https://github.com/citation-style-language/schema/raw/master/csl-citation.json"}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 xml:space="preserve">Salas-Vargas et al. </w:t>
            </w:r>
            <w:r w:rsidRPr="008427C7">
              <w:rPr>
                <w:rFonts w:ascii="Calibri" w:eastAsia="Times New Roman" w:hAnsi="Calibri" w:cs="Calibri"/>
                <w:noProof/>
                <w:color w:val="000000"/>
                <w:sz w:val="18"/>
                <w:szCs w:val="18"/>
                <w:lang w:eastAsia="en-CA"/>
              </w:rPr>
              <w:t>(2021)</w:t>
            </w:r>
            <w:r w:rsidRPr="00BF29E4">
              <w:rPr>
                <w:rFonts w:ascii="Calibri" w:eastAsia="Times New Roman" w:hAnsi="Calibri" w:cs="Calibri"/>
                <w:color w:val="000000"/>
                <w:sz w:val="18"/>
                <w:szCs w:val="18"/>
                <w:lang w:eastAsia="en-CA"/>
              </w:rPr>
              <w:fldChar w:fldCharType="end"/>
            </w:r>
          </w:p>
        </w:tc>
        <w:tc>
          <w:tcPr>
            <w:tcW w:w="1417" w:type="dxa"/>
            <w:noWrap/>
            <w:vAlign w:val="center"/>
            <w:hideMark/>
          </w:tcPr>
          <w:p w14:paraId="48A13AF5"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cheese</w:t>
            </w:r>
          </w:p>
        </w:tc>
        <w:tc>
          <w:tcPr>
            <w:tcW w:w="3544" w:type="dxa"/>
            <w:noWrap/>
            <w:vAlign w:val="center"/>
            <w:hideMark/>
          </w:tcPr>
          <w:p w14:paraId="6C5F9641"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cheeses, whey, cottage cheese, butter, yogurt, etc.</w:t>
            </w:r>
          </w:p>
        </w:tc>
        <w:tc>
          <w:tcPr>
            <w:tcW w:w="4961" w:type="dxa"/>
            <w:noWrap/>
            <w:vAlign w:val="center"/>
            <w:hideMark/>
          </w:tcPr>
          <w:p w14:paraId="2A141FDE"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economic, physiochemical</w:t>
            </w:r>
          </w:p>
        </w:tc>
      </w:tr>
    </w:tbl>
    <w:p w14:paraId="593D477F" w14:textId="77777777" w:rsidR="00340E4E" w:rsidRDefault="00340E4E"/>
    <w:p w14:paraId="2883F560" w14:textId="77777777" w:rsidR="00B66375" w:rsidRDefault="00B66375" w:rsidP="00340E4E">
      <w:pPr>
        <w:pStyle w:val="Caption"/>
      </w:pPr>
    </w:p>
    <w:p w14:paraId="01CB3130" w14:textId="77777777" w:rsidR="00B66375" w:rsidRDefault="00B66375" w:rsidP="00340E4E">
      <w:pPr>
        <w:pStyle w:val="Caption"/>
      </w:pPr>
    </w:p>
    <w:p w14:paraId="1EECA6D5" w14:textId="6969255C" w:rsidR="00340E4E" w:rsidRDefault="00340E4E" w:rsidP="00340E4E">
      <w:pPr>
        <w:pStyle w:val="Caption"/>
      </w:pPr>
      <w:r>
        <w:lastRenderedPageBreak/>
        <w:t>Table</w:t>
      </w:r>
      <w:r w:rsidR="00C27421">
        <w:t xml:space="preserve"> S3</w:t>
      </w:r>
      <w:r w:rsidRPr="00540E74">
        <w:t>. Allocation methods used in LCA studies of other livestock systems.</w:t>
      </w:r>
    </w:p>
    <w:tbl>
      <w:tblPr>
        <w:tblW w:w="1108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1417"/>
        <w:gridCol w:w="3544"/>
        <w:gridCol w:w="4961"/>
      </w:tblGrid>
      <w:tr w:rsidR="00340E4E" w:rsidRPr="008427C7" w14:paraId="16F38BE3" w14:textId="77777777" w:rsidTr="00DA1C73">
        <w:trPr>
          <w:trHeight w:val="290"/>
          <w:tblHeader/>
        </w:trPr>
        <w:tc>
          <w:tcPr>
            <w:tcW w:w="1164" w:type="dxa"/>
            <w:noWrap/>
            <w:hideMark/>
          </w:tcPr>
          <w:p w14:paraId="77C90F18" w14:textId="77777777" w:rsidR="00340E4E" w:rsidRPr="00BF29E4"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b/>
                <w:bCs/>
                <w:color w:val="000000"/>
                <w:sz w:val="18"/>
                <w:szCs w:val="18"/>
                <w:lang w:eastAsia="en-CA"/>
              </w:rPr>
              <w:t>Citation</w:t>
            </w:r>
          </w:p>
        </w:tc>
        <w:tc>
          <w:tcPr>
            <w:tcW w:w="1417" w:type="dxa"/>
            <w:noWrap/>
            <w:hideMark/>
          </w:tcPr>
          <w:p w14:paraId="77550420"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b/>
                <w:bCs/>
                <w:color w:val="000000"/>
                <w:sz w:val="18"/>
                <w:szCs w:val="18"/>
                <w:lang w:eastAsia="en-CA"/>
              </w:rPr>
              <w:t>Product system</w:t>
            </w:r>
          </w:p>
        </w:tc>
        <w:tc>
          <w:tcPr>
            <w:tcW w:w="3544" w:type="dxa"/>
            <w:noWrap/>
            <w:hideMark/>
          </w:tcPr>
          <w:p w14:paraId="138C3BEF"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b/>
                <w:bCs/>
                <w:color w:val="000000"/>
                <w:sz w:val="18"/>
                <w:szCs w:val="18"/>
                <w:lang w:eastAsia="en-CA"/>
              </w:rPr>
              <w:t>Co-products allocated between</w:t>
            </w:r>
          </w:p>
        </w:tc>
        <w:tc>
          <w:tcPr>
            <w:tcW w:w="4961" w:type="dxa"/>
            <w:noWrap/>
            <w:hideMark/>
          </w:tcPr>
          <w:p w14:paraId="05E4007E"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b/>
                <w:bCs/>
                <w:color w:val="000000"/>
                <w:sz w:val="18"/>
                <w:szCs w:val="18"/>
                <w:lang w:eastAsia="en-CA"/>
              </w:rPr>
              <w:t>Method of allocation</w:t>
            </w:r>
          </w:p>
        </w:tc>
      </w:tr>
      <w:tr w:rsidR="00340E4E" w:rsidRPr="008427C7" w14:paraId="560C55E5" w14:textId="77777777" w:rsidTr="00DA1C73">
        <w:trPr>
          <w:trHeight w:val="290"/>
        </w:trPr>
        <w:tc>
          <w:tcPr>
            <w:tcW w:w="1164" w:type="dxa"/>
            <w:noWrap/>
            <w:vAlign w:val="center"/>
          </w:tcPr>
          <w:p w14:paraId="184A3A17" w14:textId="073B8FFD"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sz w:val="18"/>
                <w:szCs w:val="18"/>
              </w:rPr>
              <w:fldChar w:fldCharType="begin" w:fldLock="1"/>
            </w:r>
            <w:r w:rsidR="00C27421">
              <w:rPr>
                <w:sz w:val="18"/>
                <w:szCs w:val="18"/>
              </w:rPr>
              <w:instrText>ADDIN CSL_CITATION {"citationItems":[{"id":"ITEM-1","itemData":{"DOI":"10.1071/AN15632","ISSN":"18365787","abstract":"Recognition is increasingly given to the need of improving agricultural production and efficiency to meet growing global food demand, while minimising environmental impacts. Livestock forms an important component of global food production and is a significant contributor to anthropogenic greenhouse-gas (GHG) emissions. As such, livestock production systems (LPS) are coming under increasing pressure to lower their emissions. In developed countries, LPS have been gradually reducing their emissions per unit of product (emissions intensity; EI) over time through improvements in production efficiency. However, the global challenge of reducing net emissions (NE) from livestock requires that the rate of decline in EI surpasses the productivity increases required to satisfy global food demand. Mechanistic and dynamic whole farm-system models can be used to estimate farm-gate GHG emissions and to quantify the likely changes in farm NE, EI, farm productivity and farm profitability as a result of applying various mitigation strategies. Such models are also used to understand the complex interactions at the farm-system level and to account for how component mitigation strategies perform within the complexity of these interactions, which is often overlooked when GHG mitigation research is performed only at the component level. The results of such analyses can be used in extension activities and to encourage adoption, increase awareness and in assisting policy makers. The present paper reviews how whole farm-system modelling has been used to assess GHG mitigation strategies, and the importance of understanding metrics and allocation approaches when assessing GHG emissions from LPS.","author":[{"dropping-particle":"","family":"Rawnsley","given":"Richard","non-dropping-particle":"","parse-names":false,"suffix":""},{"dropping-particle":"","family":"Dynes","given":"Robyn A.","non-dropping-particle":"","parse-names":false,"suffix":""},{"dropping-particle":"","family":"Christie","given":"Karen M.","non-dropping-particle":"","parse-names":false,"suffix":""},{"dropping-particle":"","family":"Harrison","given":"Matthew Tom","non-dropping-particle":"","parse-names":false,"suffix":""},{"dropping-particle":"","family":"Doran-Browne","given":"Natalie A.","non-dropping-particle":"","parse-names":false,"suffix":""},{"dropping-particle":"","family":"Vibart","given":"Ronaldo","non-dropping-particle":"","parse-names":false,"suffix":""},{"dropping-particle":"","family":"Eckard","given":"Richard","non-dropping-particle":"","parse-names":false,"suffix":""}],"container-title":"Animal Production Science","id":"ITEM-1","issue":"6","issued":{"date-parts":[["2018"]]},"page":"980-989","title":"A review of whole farm-system analysis in evaluating greenhouse-gas mitigation strategies from livestock production systems","type":"article-journal","volume":"58"},"uris":["http://www.mendeley.com/documents/?uuid=385f96e9-78f5-45e2-8f0b-2c95e8b24d0c"]}],"mendeley":{"formattedCitation":"(Rawnsley et al., 2018)","manualFormatting":"Rawnsley et al. (2018)","plainTextFormattedCitation":"(Rawnsley et al., 2018)","previouslyFormattedCitation":"&lt;sup&gt;72&lt;/sup&gt;"},"properties":{"noteIndex":0},"schema":"https://github.com/citation-style-language/schema/raw/master/csl-citation.json"}</w:instrText>
            </w:r>
            <w:r w:rsidRPr="00BF29E4">
              <w:rPr>
                <w:sz w:val="18"/>
                <w:szCs w:val="18"/>
              </w:rPr>
              <w:fldChar w:fldCharType="separate"/>
            </w:r>
            <w:r w:rsidRPr="00BF29E4">
              <w:rPr>
                <w:noProof/>
                <w:sz w:val="18"/>
                <w:szCs w:val="18"/>
              </w:rPr>
              <w:t xml:space="preserve">Rawnsley et al. </w:t>
            </w:r>
            <w:r w:rsidRPr="008427C7">
              <w:rPr>
                <w:noProof/>
                <w:sz w:val="18"/>
                <w:szCs w:val="18"/>
              </w:rPr>
              <w:t>(2018)</w:t>
            </w:r>
            <w:r w:rsidRPr="00BF29E4">
              <w:rPr>
                <w:sz w:val="18"/>
                <w:szCs w:val="18"/>
              </w:rPr>
              <w:fldChar w:fldCharType="end"/>
            </w:r>
          </w:p>
        </w:tc>
        <w:tc>
          <w:tcPr>
            <w:tcW w:w="1417" w:type="dxa"/>
            <w:noWrap/>
            <w:vAlign w:val="center"/>
          </w:tcPr>
          <w:p w14:paraId="72A347CA"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sz w:val="18"/>
                <w:szCs w:val="18"/>
              </w:rPr>
              <w:t>review of livestock systems</w:t>
            </w:r>
          </w:p>
        </w:tc>
        <w:tc>
          <w:tcPr>
            <w:tcW w:w="3544" w:type="dxa"/>
            <w:noWrap/>
            <w:vAlign w:val="center"/>
          </w:tcPr>
          <w:p w14:paraId="7D05FC80"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sz w:val="18"/>
                <w:szCs w:val="18"/>
              </w:rPr>
              <w:t>various co-products (milk, meat, wool, etc.)</w:t>
            </w:r>
          </w:p>
        </w:tc>
        <w:tc>
          <w:tcPr>
            <w:tcW w:w="4961" w:type="dxa"/>
            <w:noWrap/>
            <w:vAlign w:val="center"/>
          </w:tcPr>
          <w:p w14:paraId="69B4BEE5" w14:textId="2E922F61" w:rsidR="00340E4E" w:rsidRPr="008427C7" w:rsidRDefault="002A1AA7" w:rsidP="00C821FE">
            <w:pPr>
              <w:spacing w:after="0" w:line="240" w:lineRule="auto"/>
              <w:rPr>
                <w:rFonts w:ascii="Calibri" w:eastAsia="Times New Roman" w:hAnsi="Calibri" w:cs="Calibri"/>
                <w:color w:val="000000"/>
                <w:sz w:val="18"/>
                <w:szCs w:val="18"/>
                <w:lang w:eastAsia="en-CA"/>
              </w:rPr>
            </w:pPr>
            <w:r>
              <w:rPr>
                <w:sz w:val="18"/>
                <w:szCs w:val="18"/>
              </w:rPr>
              <w:t xml:space="preserve">common in literature: </w:t>
            </w:r>
            <w:r w:rsidR="00340E4E" w:rsidRPr="008427C7">
              <w:rPr>
                <w:sz w:val="18"/>
                <w:szCs w:val="18"/>
              </w:rPr>
              <w:t>no allocation, economic, mass, biophysical, system expansion</w:t>
            </w:r>
          </w:p>
        </w:tc>
      </w:tr>
      <w:tr w:rsidR="00340E4E" w:rsidRPr="008427C7" w14:paraId="7A9FCF60" w14:textId="77777777" w:rsidTr="00DA1C73">
        <w:trPr>
          <w:trHeight w:val="290"/>
        </w:trPr>
        <w:tc>
          <w:tcPr>
            <w:tcW w:w="1164" w:type="dxa"/>
            <w:noWrap/>
            <w:vAlign w:val="center"/>
          </w:tcPr>
          <w:p w14:paraId="324811F3" w14:textId="09FD37CB" w:rsidR="00340E4E" w:rsidRPr="00BF29E4" w:rsidRDefault="00340E4E" w:rsidP="00C821FE">
            <w:pPr>
              <w:spacing w:after="0" w:line="240" w:lineRule="auto"/>
              <w:rPr>
                <w:sz w:val="18"/>
                <w:szCs w:val="18"/>
              </w:rPr>
            </w:pPr>
            <w:r w:rsidRPr="00BF29E4">
              <w:rPr>
                <w:sz w:val="18"/>
                <w:szCs w:val="18"/>
              </w:rPr>
              <w:fldChar w:fldCharType="begin" w:fldLock="1"/>
            </w:r>
            <w:r w:rsidR="00C27421">
              <w:rPr>
                <w:sz w:val="18"/>
                <w:szCs w:val="18"/>
              </w:rPr>
              <w:instrText>ADDIN CSL_CITATION {"citationItems":[{"id":"ITEM-1","itemData":{"DOI":"10.1016/j.tifs.2021.01.086","ISSN":"09242244","abstract":"Background: Poultry production is an important human food pillar and is experiencing continuous growth worldwide. The Life Cycle Assessment (LCA) approach has been increasingly used for providing information on poultry production chains, in particular from the environmental point of view, which has also been coupled with economic or social considerations in some cases. Scope and approach: This study aimed to undertake a critical review to the state of the art of LCA application to the poultry sector. Attention has been drawn to the different methodological approaches adopted in the literature regarding functional units, system boundaries, inventory data collection and multifunctionality management. In addition to reviewing how this sector was methodologically approached by means of the LCA, this study aimed to summarize the main findings and highlight current shortcomings of the literature. Key findings and conclusions: Chicken chains were by far the most analyzed. A multiplicity of approaches was implemented to date for the evaluation of these products in a life cycle perspective but the most adopted ones were the mass based functional unit, the cradle-to-farm gate perspective and the economic allocation. As for other animal products, the agricultural phase weighs heavily on the impact of the finished food product, in particular due to feed consumption and manure management. The discussion focuses on the parameters most influencing environmental performance, as well as on possible mitigations, some already widely known while others still partially unexpressed. Finally, some research topics are identified that could increase the understanding and consequently the sustainability of this important supply chain in the future.","author":[{"dropping-particle":"","family":"Costantini","given":"Michele","non-dropping-particle":"","parse-names":false,"suffix":""},{"dropping-particle":"","family":"Ferrante","given":"Valentina","non-dropping-particle":"","parse-names":false,"suffix":""},{"dropping-particle":"","family":"Guarino","given":"Marcella","non-dropping-particle":"","parse-names":false,"suffix":""},{"dropping-particle":"","family":"Bacenetti","given":"Jacopo","non-dropping-particle":"","parse-names":false,"suffix":""}],"container-title":"Trends in Food Science and Technology","id":"ITEM-1","issue":"January","issued":{"date-parts":[["2021"]]},"page":"201-212","publisher":"Elsevier Ltd","title":"Environmental sustainability assessment of poultry productions through life cycle approaches: A critical review","type":"article-journal","volume":"110"},"uris":["http://www.mendeley.com/documents/?uuid=6cefbf4c-9d4e-4462-9b0d-0d12b3f94e00"]}],"mendeley":{"formattedCitation":"(Costantini et al., 2021)","manualFormatting":"Costantini et al. (2021)","plainTextFormattedCitation":"(Costantini et al., 2021)","previouslyFormattedCitation":"&lt;sup&gt;73&lt;/sup&gt;"},"properties":{"noteIndex":0},"schema":"https://github.com/citation-style-language/schema/raw/master/csl-citation.json"}</w:instrText>
            </w:r>
            <w:r w:rsidRPr="00BF29E4">
              <w:rPr>
                <w:sz w:val="18"/>
                <w:szCs w:val="18"/>
              </w:rPr>
              <w:fldChar w:fldCharType="separate"/>
            </w:r>
            <w:r w:rsidRPr="00BF29E4">
              <w:rPr>
                <w:noProof/>
                <w:sz w:val="18"/>
                <w:szCs w:val="18"/>
              </w:rPr>
              <w:t xml:space="preserve">Costantini et al. </w:t>
            </w:r>
            <w:r w:rsidRPr="008427C7">
              <w:rPr>
                <w:noProof/>
                <w:sz w:val="18"/>
                <w:szCs w:val="18"/>
              </w:rPr>
              <w:t>(2021)</w:t>
            </w:r>
            <w:r w:rsidRPr="00BF29E4">
              <w:rPr>
                <w:sz w:val="18"/>
                <w:szCs w:val="18"/>
              </w:rPr>
              <w:fldChar w:fldCharType="end"/>
            </w:r>
          </w:p>
        </w:tc>
        <w:tc>
          <w:tcPr>
            <w:tcW w:w="1417" w:type="dxa"/>
            <w:noWrap/>
            <w:vAlign w:val="center"/>
          </w:tcPr>
          <w:p w14:paraId="11E5765D" w14:textId="77777777" w:rsidR="00340E4E" w:rsidRPr="008427C7" w:rsidRDefault="00340E4E" w:rsidP="00C821FE">
            <w:pPr>
              <w:spacing w:after="0" w:line="240" w:lineRule="auto"/>
              <w:rPr>
                <w:sz w:val="18"/>
                <w:szCs w:val="18"/>
              </w:rPr>
            </w:pPr>
            <w:r w:rsidRPr="008427C7">
              <w:rPr>
                <w:sz w:val="18"/>
                <w:szCs w:val="18"/>
              </w:rPr>
              <w:t>review of poultry studies</w:t>
            </w:r>
          </w:p>
        </w:tc>
        <w:tc>
          <w:tcPr>
            <w:tcW w:w="3544" w:type="dxa"/>
            <w:noWrap/>
            <w:vAlign w:val="center"/>
          </w:tcPr>
          <w:p w14:paraId="2AFA9485" w14:textId="39306D63" w:rsidR="00340E4E" w:rsidRPr="008427C7" w:rsidRDefault="00340E4E" w:rsidP="00C821FE">
            <w:pPr>
              <w:spacing w:after="0" w:line="240" w:lineRule="auto"/>
              <w:rPr>
                <w:sz w:val="18"/>
                <w:szCs w:val="18"/>
              </w:rPr>
            </w:pPr>
            <w:r w:rsidRPr="008427C7">
              <w:rPr>
                <w:sz w:val="18"/>
                <w:szCs w:val="18"/>
              </w:rPr>
              <w:t>carcass and secondary slaughtering products (inedible organs, head, feet, blood, feathers, etc.), as well as eggs and spent hen meat</w:t>
            </w:r>
          </w:p>
        </w:tc>
        <w:tc>
          <w:tcPr>
            <w:tcW w:w="4961" w:type="dxa"/>
            <w:noWrap/>
            <w:vAlign w:val="center"/>
          </w:tcPr>
          <w:p w14:paraId="6A2077C6" w14:textId="3A456DC9" w:rsidR="00340E4E" w:rsidRPr="008427C7" w:rsidRDefault="00340E4E" w:rsidP="002A1AA7">
            <w:pPr>
              <w:spacing w:after="0" w:line="240" w:lineRule="auto"/>
              <w:rPr>
                <w:sz w:val="18"/>
                <w:szCs w:val="18"/>
              </w:rPr>
            </w:pPr>
            <w:r w:rsidRPr="008427C7">
              <w:rPr>
                <w:sz w:val="18"/>
                <w:szCs w:val="18"/>
              </w:rPr>
              <w:t xml:space="preserve">economic allocation most common, some system expansion </w:t>
            </w:r>
          </w:p>
        </w:tc>
      </w:tr>
      <w:tr w:rsidR="00340E4E" w:rsidRPr="008427C7" w14:paraId="68E95E57" w14:textId="77777777" w:rsidTr="00DA1C73">
        <w:trPr>
          <w:trHeight w:val="290"/>
        </w:trPr>
        <w:tc>
          <w:tcPr>
            <w:tcW w:w="1164" w:type="dxa"/>
            <w:noWrap/>
            <w:vAlign w:val="center"/>
          </w:tcPr>
          <w:p w14:paraId="5FE39E05" w14:textId="6EF5F465" w:rsidR="00340E4E" w:rsidRPr="00BF29E4" w:rsidRDefault="00340E4E" w:rsidP="00C821FE">
            <w:pPr>
              <w:spacing w:after="0" w:line="240" w:lineRule="auto"/>
              <w:rPr>
                <w:sz w:val="18"/>
                <w:szCs w:val="18"/>
              </w:rPr>
            </w:pPr>
            <w:r w:rsidRPr="00BF29E4">
              <w:rPr>
                <w:sz w:val="18"/>
                <w:szCs w:val="18"/>
              </w:rPr>
              <w:fldChar w:fldCharType="begin" w:fldLock="1"/>
            </w:r>
            <w:r w:rsidR="00C27421">
              <w:rPr>
                <w:sz w:val="18"/>
                <w:szCs w:val="18"/>
              </w:rPr>
              <w:instrText>ADDIN CSL_CITATION {"citationItems":[{"id":"ITEM-1","itemData":{"author":[{"dropping-particle":"","family":"FAO","given":"","non-dropping-particle":"","parse-names":false,"suffix":""}],"container-title":"Livestock Environmental Assessment and Performance Partnership","id":"ITEM-1","issued":{"date-parts":[["2014"]]},"title":"Greenhouse gas emissions and fossil energy demand from poultry supply chains: Guidelines for quantification","type":"report"},"uris":["http://www.mendeley.com/documents/?uuid=e8331e4b-698e-4d1c-baa1-060799e99358"]}],"mendeley":{"formattedCitation":"(FAO, 2014)","manualFormatting":"FAO (2014)","plainTextFormattedCitation":"(FAO, 2014)","previouslyFormattedCitation":"&lt;sup&gt;74&lt;/sup&gt;"},"properties":{"noteIndex":0},"schema":"https://github.com/citation-style-language/schema/raw/master/csl-citation.json"}</w:instrText>
            </w:r>
            <w:r w:rsidRPr="00BF29E4">
              <w:rPr>
                <w:sz w:val="18"/>
                <w:szCs w:val="18"/>
              </w:rPr>
              <w:fldChar w:fldCharType="separate"/>
            </w:r>
            <w:r w:rsidRPr="00BF29E4">
              <w:rPr>
                <w:noProof/>
                <w:sz w:val="18"/>
                <w:szCs w:val="18"/>
              </w:rPr>
              <w:t xml:space="preserve">FAO </w:t>
            </w:r>
            <w:r w:rsidRPr="008427C7">
              <w:rPr>
                <w:noProof/>
                <w:sz w:val="18"/>
                <w:szCs w:val="18"/>
              </w:rPr>
              <w:t>(2014)</w:t>
            </w:r>
            <w:r w:rsidRPr="00BF29E4">
              <w:rPr>
                <w:sz w:val="18"/>
                <w:szCs w:val="18"/>
              </w:rPr>
              <w:fldChar w:fldCharType="end"/>
            </w:r>
          </w:p>
        </w:tc>
        <w:tc>
          <w:tcPr>
            <w:tcW w:w="1417" w:type="dxa"/>
            <w:noWrap/>
            <w:vAlign w:val="center"/>
          </w:tcPr>
          <w:p w14:paraId="3A32014E" w14:textId="77777777" w:rsidR="00340E4E" w:rsidRPr="008427C7" w:rsidRDefault="00340E4E" w:rsidP="00C821FE">
            <w:pPr>
              <w:spacing w:after="0" w:line="240" w:lineRule="auto"/>
              <w:rPr>
                <w:sz w:val="18"/>
                <w:szCs w:val="18"/>
              </w:rPr>
            </w:pPr>
            <w:r w:rsidRPr="008427C7">
              <w:rPr>
                <w:sz w:val="18"/>
                <w:szCs w:val="18"/>
              </w:rPr>
              <w:t>poultry LEAP guidelines</w:t>
            </w:r>
          </w:p>
        </w:tc>
        <w:tc>
          <w:tcPr>
            <w:tcW w:w="3544" w:type="dxa"/>
            <w:noWrap/>
            <w:vAlign w:val="center"/>
          </w:tcPr>
          <w:p w14:paraId="2B68DEDC" w14:textId="77777777" w:rsidR="00340E4E" w:rsidRPr="008427C7" w:rsidRDefault="00340E4E" w:rsidP="00C821FE">
            <w:pPr>
              <w:spacing w:after="0" w:line="240" w:lineRule="auto"/>
              <w:rPr>
                <w:sz w:val="18"/>
                <w:szCs w:val="18"/>
              </w:rPr>
            </w:pPr>
            <w:r w:rsidRPr="008427C7">
              <w:rPr>
                <w:sz w:val="18"/>
                <w:szCs w:val="18"/>
              </w:rPr>
              <w:t>animal species within farm backyard system; spent hens within farm; cull birds within farm; meat processing (meat and non-meat products); egg processing (shells/wasted and broken eggs)</w:t>
            </w:r>
          </w:p>
        </w:tc>
        <w:tc>
          <w:tcPr>
            <w:tcW w:w="4961" w:type="dxa"/>
            <w:noWrap/>
            <w:vAlign w:val="center"/>
          </w:tcPr>
          <w:p w14:paraId="713A695F" w14:textId="1A1D2B60" w:rsidR="00340E4E" w:rsidRPr="008427C7" w:rsidRDefault="002A1AA7" w:rsidP="002A1AA7">
            <w:pPr>
              <w:spacing w:after="0" w:line="240" w:lineRule="auto"/>
              <w:rPr>
                <w:sz w:val="18"/>
                <w:szCs w:val="18"/>
              </w:rPr>
            </w:pPr>
            <w:r>
              <w:rPr>
                <w:sz w:val="18"/>
                <w:szCs w:val="18"/>
              </w:rPr>
              <w:t>multiple species: subdivision when possible</w:t>
            </w:r>
            <w:r w:rsidR="00340E4E" w:rsidRPr="008427C7">
              <w:rPr>
                <w:sz w:val="18"/>
                <w:szCs w:val="18"/>
              </w:rPr>
              <w:t xml:space="preserve">, biophysical causality based on proportion of total feed energy; </w:t>
            </w:r>
            <w:r>
              <w:rPr>
                <w:sz w:val="18"/>
                <w:szCs w:val="18"/>
              </w:rPr>
              <w:t xml:space="preserve">cull birds: </w:t>
            </w:r>
            <w:r w:rsidR="00340E4E" w:rsidRPr="008427C7">
              <w:rPr>
                <w:sz w:val="18"/>
                <w:szCs w:val="18"/>
              </w:rPr>
              <w:t>system expansion with substitutio</w:t>
            </w:r>
            <w:r>
              <w:rPr>
                <w:sz w:val="18"/>
                <w:szCs w:val="18"/>
              </w:rPr>
              <w:t>n when possible</w:t>
            </w:r>
            <w:r w:rsidR="00340E4E" w:rsidRPr="008427C7">
              <w:rPr>
                <w:sz w:val="18"/>
                <w:szCs w:val="18"/>
              </w:rPr>
              <w:t xml:space="preserve">, biophysical causality based on </w:t>
            </w:r>
            <w:r>
              <w:rPr>
                <w:sz w:val="18"/>
                <w:szCs w:val="18"/>
              </w:rPr>
              <w:t>metabolic partitioning (</w:t>
            </w:r>
            <w:r w:rsidR="00340E4E" w:rsidRPr="008427C7">
              <w:rPr>
                <w:sz w:val="18"/>
                <w:szCs w:val="18"/>
              </w:rPr>
              <w:t>if disposed it is a waste not a co-product</w:t>
            </w:r>
            <w:r>
              <w:rPr>
                <w:sz w:val="18"/>
                <w:szCs w:val="18"/>
              </w:rPr>
              <w:t>)</w:t>
            </w:r>
            <w:r w:rsidR="00340E4E" w:rsidRPr="008427C7">
              <w:rPr>
                <w:sz w:val="18"/>
                <w:szCs w:val="18"/>
              </w:rPr>
              <w:t xml:space="preserve">; </w:t>
            </w:r>
            <w:r>
              <w:rPr>
                <w:sz w:val="18"/>
                <w:szCs w:val="18"/>
              </w:rPr>
              <w:t>meat processing: subdivision</w:t>
            </w:r>
            <w:r w:rsidR="00340E4E" w:rsidRPr="008427C7">
              <w:rPr>
                <w:sz w:val="18"/>
                <w:szCs w:val="18"/>
              </w:rPr>
              <w:t xml:space="preserve"> when possible, economic allocation; </w:t>
            </w:r>
            <w:r>
              <w:rPr>
                <w:sz w:val="18"/>
                <w:szCs w:val="18"/>
              </w:rPr>
              <w:t xml:space="preserve">egg processing: </w:t>
            </w:r>
            <w:r w:rsidR="00340E4E" w:rsidRPr="008427C7">
              <w:rPr>
                <w:sz w:val="18"/>
                <w:szCs w:val="18"/>
              </w:rPr>
              <w:t>economic</w:t>
            </w:r>
            <w:r>
              <w:rPr>
                <w:sz w:val="18"/>
                <w:szCs w:val="18"/>
              </w:rPr>
              <w:t xml:space="preserve"> allocation;</w:t>
            </w:r>
            <w:r w:rsidR="00340E4E" w:rsidRPr="008427C7">
              <w:rPr>
                <w:sz w:val="18"/>
                <w:szCs w:val="18"/>
              </w:rPr>
              <w:t xml:space="preserve"> if</w:t>
            </w:r>
            <w:r>
              <w:rPr>
                <w:sz w:val="18"/>
                <w:szCs w:val="18"/>
              </w:rPr>
              <w:t xml:space="preserve"> product have</w:t>
            </w:r>
            <w:r w:rsidR="00340E4E" w:rsidRPr="008427C7">
              <w:rPr>
                <w:sz w:val="18"/>
                <w:szCs w:val="18"/>
              </w:rPr>
              <w:t xml:space="preserve"> no economic value and material has subsequent use it is residual and receives no allocation, if no economic value and no subsequent use it is waste and emissions from waste treatment added to inventory of remaining co-products</w:t>
            </w:r>
          </w:p>
        </w:tc>
      </w:tr>
      <w:tr w:rsidR="00340E4E" w:rsidRPr="008427C7" w14:paraId="15D7BB60" w14:textId="77777777" w:rsidTr="00DA1C73">
        <w:trPr>
          <w:trHeight w:val="290"/>
        </w:trPr>
        <w:tc>
          <w:tcPr>
            <w:tcW w:w="1164" w:type="dxa"/>
            <w:noWrap/>
            <w:vAlign w:val="center"/>
          </w:tcPr>
          <w:p w14:paraId="5BD5211F" w14:textId="7F40AF53"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{"citationItems":[{"id":"ITEM-1","itemData":{"DOI":"10.1016/j.agsy.2021.103250","ISSN":"0308521X","abstract":"CONTEXT and OBJECTIVE: Objective of this study was to define current typical Finnish beef production systems and to estimate the environmental impacts of Finnish beef. METHODS: Environmental impacts were estimated using life cycle assessment (LCA) approach with key impact categories; global warming (GWP), eutrophication and acidification potential. Both beef and dairy breed -based systems were investigated separately and, in more detail, separately for heifers, bulls and cows. In addition, regarding GWP, assessment with more specified greenhouse gas emission models were compared to assessment with models used in Finnish National Inventory Report (NIR).To gain detailed knowledge of the environmental impacts and mitigation potential in Finnish beef production system, environmental LCA model was integrated to biological plant and animal production models. Dynamic assessment model was constructed to provide a direct presentation of the effects of shifting diet, slaughter age or weight to GWP, eutrophication, acidification from all sources simultaneously. RESULTS AND CONCLUSIONS: The GWP of Finnish beef fattening phase varied from 16.2 to 20.0 kgCO2-eq./kg carcass weight (CW) with specified methods and from 16.8 to 19.2 kgCO2-eq./kgCW with NIR methods. The average dairy breed beef GWP resulted 24.9 kgCO2-eq./kgCW, while the beef breed beef GWP was 32.1 kgCO2-eq./kgCW with specified emission models. With IDF allocation and NIR methods, GWP of average dairy breed beef was 19.5 kgCO2-eq./kgCW and for average beef breed beef it was 33.6 kgCO2-eq./kgCW. The aquatic eutrophication the average dairy breed beef resulted 21.7 gPO4-eq./kg CW, while for the average beef breed beef it was 33.1 gPO4-eq./kgCW. Acidification potential of average dairy beef was 58.3 gAE-eq/kgCW and of average beef breed beef was 64.3 gAE-eq./kg CW. When the IDF allocation was used with specified assessment methods, the GWP of beef from dairy breed cattle was estimated nearly 20% lower compared to allocation based on Finnish feeding requirements. SIGNIFICANCE: Present study showed that in the current Finnish beef production the dairy breed beef had significantly lower environmental load in all three impact categories. It was observed that the specified methods, which were able to distinguish differences between annual and perennial crops and take the feed quality better into account, gave significantly different results when compared to NIR methods. As the LCA model was constructed to provid…","author":[{"dropping-particle":"","family":"Hietala","given":"Sanna","non-dropping-particle":"","parse-names":false,"suffix":""},{"dropping-particle":"","family":"Heusala","given":"Hannele","non-dropping-particle":"","parse-names":false,"suffix":""},{"dropping-particle":"","family":"Katajajuuri","given":"Juha Matti","non-dropping-particle":"","parse-names":false,"suffix":""},{"dropping-particle":"","family":"Järvenranta","given":"Kirsi","non-dropping-particle":"","parse-names":false,"suffix":""},{"dropping-particle":"","family":"Virkajärvi","given":"Perttu","non-dropping-particle":"","parse-names":false,"suffix":""},{"dropping-particle":"","family":"Huuskonen","given":"Arto","non-dropping-particle":"","parse-names":false,"suffix":""},{"dropping-particle":"","family":"Nousiainen","given":"Jouni","non-dropping-particle":"","parse-names":false,"suffix":""}],"container-title":"Agricultural Systems","id":"ITEM-1","issue":"April","issued":{"date-parts":[["2021"]]},"title":"Environmental life cycle assessment of Finnish beef – cradle-to-farm gate analysis of dairy and beef breed beef production","type":"article-journal","volume":"194"},"uris":["http://www.mendeley.com/documents/?uuid=367d2675-912c-456d-bc75-db806d43a3d0"]}],"mendeley":{"formattedCitation":"(Hietala et al., 2021)","manualFormatting":"Hietala et al. (2021)","plainTextFormattedCitation":"(Hietala et al., 2021)","previouslyFormattedCitation":"&lt;sup&gt;75&lt;/sup&gt;"},"properties":{"noteIndex":0},"schema":"https://github.com/citation-style-language/schema/raw/master/csl-citation.json"}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 xml:space="preserve">Hietala et al. </w:t>
            </w:r>
            <w:r w:rsidRPr="008427C7">
              <w:rPr>
                <w:rFonts w:ascii="Calibri" w:eastAsia="Times New Roman" w:hAnsi="Calibri" w:cs="Calibri"/>
                <w:noProof/>
                <w:color w:val="000000"/>
                <w:sz w:val="18"/>
                <w:szCs w:val="18"/>
                <w:lang w:eastAsia="en-CA"/>
              </w:rPr>
              <w:t>(2021)</w:t>
            </w:r>
            <w:r w:rsidRPr="00BF29E4">
              <w:rPr>
                <w:rFonts w:ascii="Calibri" w:eastAsia="Times New Roman" w:hAnsi="Calibri" w:cs="Calibri"/>
                <w:color w:val="000000"/>
                <w:sz w:val="18"/>
                <w:szCs w:val="18"/>
                <w:lang w:eastAsia="en-CA"/>
              </w:rPr>
              <w:fldChar w:fldCharType="end"/>
            </w:r>
          </w:p>
        </w:tc>
        <w:tc>
          <w:tcPr>
            <w:tcW w:w="1417" w:type="dxa"/>
            <w:noWrap/>
            <w:vAlign w:val="center"/>
          </w:tcPr>
          <w:p w14:paraId="1A648339"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beef</w:t>
            </w:r>
          </w:p>
        </w:tc>
        <w:tc>
          <w:tcPr>
            <w:tcW w:w="3544" w:type="dxa"/>
            <w:noWrap/>
            <w:vAlign w:val="center"/>
          </w:tcPr>
          <w:p w14:paraId="1D0AD6D5" w14:textId="220A0A87" w:rsidR="00340E4E" w:rsidRPr="008427C7" w:rsidRDefault="00340E4E" w:rsidP="002A1AA7">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milk and beef; rapeseed</w:t>
            </w:r>
            <w:r w:rsidR="002A1AA7">
              <w:rPr>
                <w:rFonts w:ascii="Calibri" w:eastAsia="Times New Roman" w:hAnsi="Calibri" w:cs="Calibri"/>
                <w:color w:val="000000"/>
                <w:sz w:val="18"/>
                <w:szCs w:val="18"/>
                <w:lang w:eastAsia="en-CA"/>
              </w:rPr>
              <w:t xml:space="preserve"> oil and rapeseed meal; manure</w:t>
            </w:r>
          </w:p>
        </w:tc>
        <w:tc>
          <w:tcPr>
            <w:tcW w:w="4961" w:type="dxa"/>
            <w:noWrap/>
            <w:vAlign w:val="center"/>
          </w:tcPr>
          <w:p w14:paraId="43E07AE7" w14:textId="42425423" w:rsidR="00340E4E" w:rsidRPr="008427C7" w:rsidRDefault="002A1AA7" w:rsidP="002A1AA7">
            <w:pPr>
              <w:spacing w:after="0" w:line="240" w:lineRule="auto"/>
              <w:rPr>
                <w:rFonts w:ascii="Calibri" w:eastAsia="Times New Roman" w:hAnsi="Calibri" w:cs="Calibri"/>
                <w:color w:val="000000"/>
                <w:sz w:val="18"/>
                <w:szCs w:val="18"/>
                <w:lang w:eastAsia="en-CA"/>
              </w:rPr>
            </w:pPr>
            <w:r>
              <w:rPr>
                <w:rFonts w:ascii="Calibri" w:eastAsia="Times New Roman" w:hAnsi="Calibri" w:cs="Calibri"/>
                <w:color w:val="000000"/>
                <w:sz w:val="18"/>
                <w:szCs w:val="18"/>
                <w:lang w:eastAsia="en-CA"/>
              </w:rPr>
              <w:t>milk and beef: metabolic partitioning</w:t>
            </w:r>
            <w:r w:rsidR="00340E4E" w:rsidRPr="008427C7">
              <w:rPr>
                <w:rFonts w:ascii="Calibri" w:eastAsia="Times New Roman" w:hAnsi="Calibri" w:cs="Calibri"/>
                <w:color w:val="000000"/>
                <w:sz w:val="18"/>
                <w:szCs w:val="18"/>
                <w:lang w:eastAsia="en-CA"/>
              </w:rPr>
              <w:t xml:space="preserve">, tested IDF allocation as recommended by dairy PEFCR (EDA 2018); </w:t>
            </w:r>
            <w:r>
              <w:rPr>
                <w:rFonts w:ascii="Calibri" w:eastAsia="Times New Roman" w:hAnsi="Calibri" w:cs="Calibri"/>
                <w:color w:val="000000"/>
                <w:sz w:val="18"/>
                <w:szCs w:val="18"/>
                <w:lang w:eastAsia="en-CA"/>
              </w:rPr>
              <w:t xml:space="preserve">rapeseed: </w:t>
            </w:r>
            <w:r w:rsidR="00340E4E" w:rsidRPr="008427C7">
              <w:rPr>
                <w:rFonts w:ascii="Calibri" w:eastAsia="Times New Roman" w:hAnsi="Calibri" w:cs="Calibri"/>
                <w:color w:val="000000"/>
                <w:sz w:val="18"/>
                <w:szCs w:val="18"/>
                <w:lang w:eastAsia="en-CA"/>
              </w:rPr>
              <w:t>economic;</w:t>
            </w:r>
            <w:r>
              <w:rPr>
                <w:rFonts w:ascii="Calibri" w:eastAsia="Times New Roman" w:hAnsi="Calibri" w:cs="Calibri"/>
                <w:color w:val="000000"/>
                <w:sz w:val="18"/>
                <w:szCs w:val="18"/>
                <w:lang w:eastAsia="en-CA"/>
              </w:rPr>
              <w:t xml:space="preserve"> manure:</w:t>
            </w:r>
            <w:r w:rsidR="00340E4E" w:rsidRPr="008427C7">
              <w:rPr>
                <w:rFonts w:ascii="Calibri" w:eastAsia="Times New Roman" w:hAnsi="Calibri" w:cs="Calibri"/>
                <w:color w:val="000000"/>
                <w:sz w:val="18"/>
                <w:szCs w:val="18"/>
                <w:lang w:eastAsia="en-CA"/>
              </w:rPr>
              <w:t xml:space="preserve"> no allocation - assumed all spread</w:t>
            </w:r>
            <w:r>
              <w:rPr>
                <w:rFonts w:ascii="Calibri" w:eastAsia="Times New Roman" w:hAnsi="Calibri" w:cs="Calibri"/>
                <w:color w:val="000000"/>
                <w:sz w:val="18"/>
                <w:szCs w:val="18"/>
                <w:lang w:eastAsia="en-CA"/>
              </w:rPr>
              <w:t xml:space="preserve"> for crops to feed same animal</w:t>
            </w:r>
          </w:p>
        </w:tc>
      </w:tr>
      <w:tr w:rsidR="00340E4E" w:rsidRPr="008427C7" w14:paraId="25760792" w14:textId="77777777" w:rsidTr="00DA1C73">
        <w:trPr>
          <w:trHeight w:val="290"/>
        </w:trPr>
        <w:tc>
          <w:tcPr>
            <w:tcW w:w="1164" w:type="dxa"/>
            <w:noWrap/>
            <w:vAlign w:val="center"/>
          </w:tcPr>
          <w:p w14:paraId="103C01FB" w14:textId="74BE5973"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{"citationItems":[{"id":"ITEM-1","itemData":{"author":[{"dropping-particle":"","family":"Gonzalez-Quintero","given":"Ricardo","non-dropping-particle":"","parse-names":false,"suffix":""},{"dropping-particle":"","family":"Bolivar-Vergara","given":"Diana Maria","non-dropping-particle":"","parse-names":false,"suffix":""},{"dropping-particle":"","family":"Chirinda","given":"Ngonidzashe","non-dropping-particle":"","parse-names":false,"suffix":""},{"dropping-particle":"","family":"Arango","given":"Jacobo","non-dropping-particle":"","parse-names":false,"suffix":""},{"dropping-particle":"","family":"Pantevez","given":"Heiber","non-dropping-particle":"","parse-names":false,"suffix":""},{"dropping-particle":"","family":"Barahona-Rosales","given":"Rolando","non-dropping-particle":"","parse-names":false,"suffix":""},{"dropping-particle":"","family":"Sanchez-Pinzon","given":"Maria Solange","non-dropping-particle":"","parse-names":false,"suffix":""}],"container-title":"Alliance Bioversity-CIAT Research Online","id":"ITEM-1","issued":{"date-parts":[["2021"]]},"page":"0-32","title":"Environmental impact of primary beef production chain in Colombia: Carbon footprint, non-renewable energy and land use using Life Cycle Assessment","type":"article-journal"},"uris":["http://www.mendeley.com/documents/?uuid=7e089b56-81c4-4d33-9a20-8b0a61be2f12"]}],"mendeley":{"formattedCitation":"(Gonzalez-Quintero et al., 2021)","manualFormatting":"Gonzalez-Quintero et al. (2021)","plainTextFormattedCitation":"(Gonzalez-Quintero et al., 2021)","previouslyFormattedCitation":"&lt;sup&gt;76&lt;/sup&gt;"},"properties":{"noteIndex":0},"schema":"https://github.com/citation-style-language/schema/raw/master/csl-citation.json"}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 xml:space="preserve">Gonzalez-Quintero et al. </w:t>
            </w:r>
            <w:r w:rsidRPr="008427C7">
              <w:rPr>
                <w:rFonts w:ascii="Calibri" w:eastAsia="Times New Roman" w:hAnsi="Calibri" w:cs="Calibri"/>
                <w:noProof/>
                <w:color w:val="000000"/>
                <w:sz w:val="18"/>
                <w:szCs w:val="18"/>
                <w:lang w:eastAsia="en-CA"/>
              </w:rPr>
              <w:t>(2021)</w:t>
            </w:r>
            <w:r w:rsidRPr="00BF29E4">
              <w:rPr>
                <w:rFonts w:ascii="Calibri" w:eastAsia="Times New Roman" w:hAnsi="Calibri" w:cs="Calibri"/>
                <w:color w:val="000000"/>
                <w:sz w:val="18"/>
                <w:szCs w:val="18"/>
                <w:lang w:eastAsia="en-CA"/>
              </w:rPr>
              <w:fldChar w:fldCharType="end"/>
            </w:r>
          </w:p>
        </w:tc>
        <w:tc>
          <w:tcPr>
            <w:tcW w:w="1417" w:type="dxa"/>
            <w:noWrap/>
            <w:vAlign w:val="center"/>
          </w:tcPr>
          <w:p w14:paraId="6924C52F"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beef</w:t>
            </w:r>
          </w:p>
        </w:tc>
        <w:tc>
          <w:tcPr>
            <w:tcW w:w="3544" w:type="dxa"/>
            <w:noWrap/>
            <w:vAlign w:val="center"/>
          </w:tcPr>
          <w:p w14:paraId="42AD9575"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meat and milk</w:t>
            </w:r>
          </w:p>
        </w:tc>
        <w:tc>
          <w:tcPr>
            <w:tcW w:w="4961" w:type="dxa"/>
            <w:noWrap/>
            <w:vAlign w:val="center"/>
          </w:tcPr>
          <w:p w14:paraId="184B8D3C"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economic, energy, mass</w:t>
            </w:r>
          </w:p>
        </w:tc>
      </w:tr>
      <w:tr w:rsidR="00340E4E" w:rsidRPr="008427C7" w14:paraId="3955703A" w14:textId="77777777" w:rsidTr="00DA1C73">
        <w:trPr>
          <w:trHeight w:val="290"/>
        </w:trPr>
        <w:tc>
          <w:tcPr>
            <w:tcW w:w="1164" w:type="dxa"/>
            <w:noWrap/>
            <w:vAlign w:val="center"/>
          </w:tcPr>
          <w:p w14:paraId="3C0D3E89" w14:textId="3F22FB93"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{"citationItems":[{"id":"ITEM-1","itemData":{"DOI":"10.1016/j.jclepro.2017.03.078","ISBN":"0959-6526","ISSN":"09596526","abstract":"Livestock production, particularly beef supply chain, is charged as the major contributor to green-house gas (GHG) emissions, as well as, in land degradation and deforestation. Environmental impacts per kg of edible beef, however, vary largely due to differences in beef production systems. Thus, this study aimed to compare the cradle-to-farm gate sustainability of four different Italian beef production systems, in terms of land occupation (LO, m2/year), global warming (GWP, kg CO2-eq), water depletion (WD, m3), acidification (AP, g SO2-eq) and eutrophication (EP, g NO3-eq) potentials by using the LCA methodology (SimaPro 8.01 PhD, PRé Consultants). The primary data were obtained from 25 farms: 7 farms conducting cow–calf operations, with specialized beef cattle maintained on pasture and finished in confinement, (Specialized extensive, SE); 6 farms conducting high grain fattening of specialized beef breed imported calves (Fattening systems, FS); 5 farms conducting cow-calf operations, with specialized beef animals constantly kept in confinement (Cow-calf intensive; CCI); 7 farms conducting cow–calf operations, with Podolian cattle (a native breed of Southern Italy) maintained on pasture and finished in confinement, (Podolian system; PoS). The functional unit was 1 kg of live weight of marketed beef cattle. Intensive systems (i.e. CCI and FS) showed lower GWP values than systems partially based on pasture such as PoS, and even SE (17.62 ± 1.78 and 21.94 ± 1.95 kg CO2–eq vs 26.30 ± 1.65 and 25.41 ± 1.65 kg CO2–eq, P &lt; 0.01, for FS, CCI, SE, and PoS, respectively). No significant effect of production system on WD was observed. Acidification potential was significantly (P &lt; 0.001) affected by production system with the highest values observed in CCI (0.30 ± 0.02 kg SO2–eq) compared with the other three beef production systems. As for eutrophication potential, FS and PoS tended to show lower values compared with CCI and SE systems (961.71 ± 65.30 and 779.17 ± 70.53 g NO3-eq vs 1009.20 ± 77.27 and 1009.71 ± 65.30 g NO3–eq, respectively; P &lt; 0.10). Significant differences (P &lt; 0.001) were observed for LO between the four systems (177.71 ± 20.87 and 194.43 ± 20.87 m2/year vs 40.67 ± 22.54 and 32.60 ± 23.69 m2/year, for PoS and SE vs FS and CCI, respectively). However, as diets in intensive meat systems are mainly based on cereals products that humans could consume directly, the degree of competition with human nutrition should be another feature to be considered…","author":[{"dropping-particle":"","family":"Bragaglio","given":"Andrea","non-dropping-particle":"","parse-names":false,"suffix":""},{"dropping-particle":"","family":"Napolitano","given":"Fabio","non-dropping-particle":"","parse-names":false,"suffix":""},{"dropping-particle":"","family":"Pacelli","given":"Corrado","non-dropping-particle":"","parse-names":false,"suffix":""},{"dropping-particle":"","family":"Pirlo","given":"Giacomo","non-dropping-particle":"","parse-names":false,"suffix":""},{"dropping-particle":"","family":"Sabia","given":"Emilio","non-dropping-particle":"","parse-names":false,"suffix":""},{"dropping-particle":"","family":"Serrapica","given":"Francesco","non-dropping-particle":"","parse-names":false,"suffix":""},{"dropping-particle":"","family":"Serrapica","given":"Maria","non-dropping-particle":"","parse-names":false,"suffix":""},{"dropping-particle":"","family":"Braghieri","given":"Ada","non-dropping-particle":"","parse-names":false,"suffix":""}],"container-title":"Journal of Cleaner Production","id":"ITEM-1","issued":{"date-parts":[["2018"]]},"page":"4033-4043","publisher":"Elsevier Ltd","title":"Environmental impacts of Italian beef production: A comparison between different systems","type":"article-journal","volume":"172"},"uris":["http://www.mendeley.com/documents/?uuid=1e99db66-2cf7-4505-a53f-36105257db38"]}],"mendeley":{"formattedCitation":"(Bragaglio et al., 2018)","manualFormatting":"Bragaglio et al. (2018)","plainTextFormattedCitation":"(Bragaglio et al., 2018)","previouslyFormattedCitation":"&lt;sup&gt;77&lt;/sup&gt;"},"properties":{"noteIndex":0},"schema":"https://github.com/citation-style-language/schema/raw/master/csl-citation.json"}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 xml:space="preserve">Bragaglio et al. </w:t>
            </w:r>
            <w:r w:rsidRPr="008427C7">
              <w:rPr>
                <w:rFonts w:ascii="Calibri" w:eastAsia="Times New Roman" w:hAnsi="Calibri" w:cs="Calibri"/>
                <w:noProof/>
                <w:color w:val="000000"/>
                <w:sz w:val="18"/>
                <w:szCs w:val="18"/>
                <w:lang w:eastAsia="en-CA"/>
              </w:rPr>
              <w:t>(2018)</w:t>
            </w:r>
            <w:r w:rsidRPr="00BF29E4">
              <w:rPr>
                <w:rFonts w:ascii="Calibri" w:eastAsia="Times New Roman" w:hAnsi="Calibri" w:cs="Calibri"/>
                <w:color w:val="000000"/>
                <w:sz w:val="18"/>
                <w:szCs w:val="18"/>
                <w:lang w:eastAsia="en-CA"/>
              </w:rPr>
              <w:fldChar w:fldCharType="end"/>
            </w:r>
          </w:p>
        </w:tc>
        <w:tc>
          <w:tcPr>
            <w:tcW w:w="1417" w:type="dxa"/>
            <w:noWrap/>
            <w:vAlign w:val="center"/>
          </w:tcPr>
          <w:p w14:paraId="6324E715"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beef</w:t>
            </w:r>
          </w:p>
        </w:tc>
        <w:tc>
          <w:tcPr>
            <w:tcW w:w="3544" w:type="dxa"/>
            <w:noWrap/>
            <w:vAlign w:val="center"/>
          </w:tcPr>
          <w:p w14:paraId="19C1FE40"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 not indicated</w:t>
            </w:r>
          </w:p>
        </w:tc>
        <w:tc>
          <w:tcPr>
            <w:tcW w:w="4961" w:type="dxa"/>
            <w:noWrap/>
            <w:vAlign w:val="center"/>
          </w:tcPr>
          <w:p w14:paraId="4243AD20"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background data came from ecoinvent3 (allocation default) and Agri-footprint (mass allocation)</w:t>
            </w:r>
          </w:p>
        </w:tc>
      </w:tr>
      <w:tr w:rsidR="00340E4E" w:rsidRPr="008427C7" w14:paraId="2A5DC4F3" w14:textId="77777777" w:rsidTr="00DA1C73">
        <w:trPr>
          <w:trHeight w:val="290"/>
        </w:trPr>
        <w:tc>
          <w:tcPr>
            <w:tcW w:w="1164" w:type="dxa"/>
            <w:noWrap/>
            <w:vAlign w:val="center"/>
          </w:tcPr>
          <w:p w14:paraId="1DBF457A" w14:textId="42D958B1"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sz w:val="18"/>
                <w:szCs w:val="18"/>
              </w:rPr>
              <w:fldChar w:fldCharType="begin" w:fldLock="1"/>
            </w:r>
            <w:r w:rsidR="00C27421">
              <w:rPr>
                <w:sz w:val="18"/>
                <w:szCs w:val="18"/>
              </w:rPr>
              <w:instrText>ADDIN CSL_CITATION {"citationItems":[{"id":"ITEM-1","itemData":{"DOI":"10.3390/su12093828","ISSN":"20711050","abstract":"We aimed to assess whether the environmental impacts in terms of global warming potential (GWP), acidification potential (AP), eutrophication potential (EP), and land occupation (LO) of beef can be decreased when ecosystem and cultural/provisioning services are included in the evaluation. We used four Italian production systems: Fat, with beef imported calves kept in confinement; CoCaI, with beef cows and calves kept in confinement; SpEx, with beef cows and calves kept on pasture and finishing conducted in confinement; and Pod, with Podolian cows and calves kept on pasture and finishing conducted in confinement. After the economic allocation, the GWP of system Pod decreased considerably and showed values lower than those computed for systems CoCaI and SpEx (P &lt; 0.05 and P &lt; 0.001, respectively). System Pod showed the lowest AP and EP as compared with all the other systems (P &lt; 0.01). Systems Fat and CoCaI showed the smallest LO, with values lower than systems Pod (P &lt; 0.05) and SpEx (P &lt; 0.001). We conclude that the environmental impacts of extensive and local beef production systems in terms of GWP, AP, and EP was markedly reduced when the provision of accessory services was included in the calculation. Conversely, LO did not markedly change due to the high absolute values needed to allow pasture-based feeding. The estimation of additional positive aspects linked to the use of natural pastures, such as removal of carbon dioxide, increased biodiversity, and exploitation of feeds nonedible by humans, may allow a further reduction of LO.","author":[{"dropping-particle":"","family":"Bragaglio","given":"Andrea","non-dropping-particle":"","parse-names":false,"suffix":""},{"dropping-particle":"","family":"Braghieri","given":"Ada","non-dropping-particle":"","parse-names":false,"suffix":""},{"dropping-particle":"","family":"Pacelli","given":"Corrado","non-dropping-particle":"","parse-names":false,"suffix":""},{"dropping-particle":"","family":"Napolitano","given":"Fabio","non-dropping-particle":"","parse-names":false,"suffix":""}],"container-title":"Sustainability (Switzerland)","id":"ITEM-1","issue":"9","issued":{"date-parts":[["2020"]]},"page":"1-15","title":"Environmental impacts of beef as corrected for the provision of ecosystem services","type":"article-journal","volume":"12"},"uris":["http://www.mendeley.com/documents/?uuid=f3258ebd-b81c-4d5c-8e8d-078de0e81b4b"]}],"mendeley":{"formattedCitation":"(Bragaglio et al., 2020)","manualFormatting":"Bragaglio et al. (2020)","plainTextFormattedCitation":"(Bragaglio et al., 2020)","previouslyFormattedCitation":"&lt;sup&gt;78&lt;/sup&gt;"},"properties":{"noteIndex":0},"schema":"https://github.com/citation-style-language/schema/raw/master/csl-citation.json"}</w:instrText>
            </w:r>
            <w:r w:rsidRPr="00BF29E4">
              <w:rPr>
                <w:sz w:val="18"/>
                <w:szCs w:val="18"/>
              </w:rPr>
              <w:fldChar w:fldCharType="separate"/>
            </w:r>
            <w:r w:rsidRPr="00BF29E4">
              <w:rPr>
                <w:noProof/>
                <w:sz w:val="18"/>
                <w:szCs w:val="18"/>
              </w:rPr>
              <w:t xml:space="preserve">Bragaglio et al. </w:t>
            </w:r>
            <w:r w:rsidRPr="008427C7">
              <w:rPr>
                <w:noProof/>
                <w:sz w:val="18"/>
                <w:szCs w:val="18"/>
              </w:rPr>
              <w:t>(2020)</w:t>
            </w:r>
            <w:r w:rsidRPr="00BF29E4">
              <w:rPr>
                <w:sz w:val="18"/>
                <w:szCs w:val="18"/>
              </w:rPr>
              <w:fldChar w:fldCharType="end"/>
            </w:r>
          </w:p>
        </w:tc>
        <w:tc>
          <w:tcPr>
            <w:tcW w:w="1417" w:type="dxa"/>
            <w:noWrap/>
            <w:vAlign w:val="center"/>
          </w:tcPr>
          <w:p w14:paraId="4DD91C15"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sz w:val="18"/>
                <w:szCs w:val="18"/>
              </w:rPr>
              <w:t>beef</w:t>
            </w:r>
          </w:p>
        </w:tc>
        <w:tc>
          <w:tcPr>
            <w:tcW w:w="3544" w:type="dxa"/>
            <w:noWrap/>
            <w:vAlign w:val="center"/>
          </w:tcPr>
          <w:p w14:paraId="1D172567"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sz w:val="18"/>
                <w:szCs w:val="18"/>
              </w:rPr>
              <w:t>beef, milk, ecosystem services</w:t>
            </w:r>
          </w:p>
        </w:tc>
        <w:tc>
          <w:tcPr>
            <w:tcW w:w="4961" w:type="dxa"/>
            <w:noWrap/>
            <w:vAlign w:val="center"/>
          </w:tcPr>
          <w:p w14:paraId="1C0296BE"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sz w:val="18"/>
                <w:szCs w:val="18"/>
              </w:rPr>
              <w:t>economic</w:t>
            </w:r>
          </w:p>
        </w:tc>
      </w:tr>
      <w:tr w:rsidR="00340E4E" w:rsidRPr="008427C7" w14:paraId="174B0F7B" w14:textId="77777777" w:rsidTr="00DA1C73">
        <w:trPr>
          <w:trHeight w:val="290"/>
        </w:trPr>
        <w:tc>
          <w:tcPr>
            <w:tcW w:w="1164" w:type="dxa"/>
            <w:noWrap/>
            <w:vAlign w:val="center"/>
          </w:tcPr>
          <w:p w14:paraId="6A597484" w14:textId="74D28E08"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sz w:val="18"/>
                <w:szCs w:val="18"/>
              </w:rPr>
              <w:fldChar w:fldCharType="begin" w:fldLock="1"/>
            </w:r>
            <w:r w:rsidR="00C27421">
              <w:rPr>
                <w:sz w:val="18"/>
                <w:szCs w:val="18"/>
              </w:rPr>
              <w:instrText>ADDIN CSL_CITATION {"citationItems":[{"id":"ITEM-1","itemData":{"DOI":"10.1016/j.jclepro.2021.126447","ISSN":"09596526","abstract":"Recent environmental footprint comparisons between meat and plant-based meat analogues do not consider nutritional density holistically, nor the high carbon opportunity costs (COC) of land requirements, which are critical in terms of climate stabilisation targets. We performed an attributional life cycle assessment (LCA) of a 100 g serving of cooked protein balls (PPBs) made from peas (Pisum sativum), and Swedish-style beef meatballs (MBs) made from Irish or Brazilian beef. Per serving, PPB production and consumption was associated with lower environmental burdens across all 16 categories assessed. Global warming, acidification, and land use burdens of PPBs were at least 85%, 81%, and 89% smaller, respectively, than MBs. The scale of environmental advantage was sensitive to the allocation method, with biophysical allocation across cattle co-products decreasing MB burdens by at least 35%, 38%, and 46% in the acidification, climate change, and land use categories, respectively. Furthermore, PPBs have a higher nutritional density than MBs, and hence their environmental footprint per unit of nutrition was considerably lower across all 16 impact categories. Per Nutrient Density Unit, global warming, acidification, and land use burdens of PPBs were at least 89%, 87%, and 93% smaller, respectively, than MBs. Results were tested with Monte Carlo simulations and a modified null hypothesis significance test, which supported the main findings. Finally, when COC of land was factored in, the climate advantage of PPBs extended greatly. Assuming MBs equivalent to just 5% of German beef consumption are replaced by PPBs, total carbon savings including COC could amount to 8 million tonnes CO2e annually, an amount equal to 1% of Germany's annual GHG emissions. Therefore, this study highlights the potential of PPBs to meet health and climate neutrality objectives.","author":[{"dropping-particle":"","family":"Saget","given":"Sophie","non-dropping-particle":"","parse-names":false,"suffix":""},{"dropping-particle":"","family":"Costa","given":"Marcela","non-dropping-particle":"","parse-names":false,"suffix":""},{"dropping-particle":"","family":"Santos","given":"Carla Sancho","non-dropping-particle":"","parse-names":false,"suffix":""},{"dropping-particle":"","family":"Vasconcelos","given":"Marta Wilton","non-dropping-particle":"","parse-names":false,"suffix":""},{"dropping-particle":"","family":"Gibbons","given":"James","non-dropping-particle":"","parse-names":false,"suffix":""},{"dropping-particle":"","family":"Styles","given":"David","non-dropping-particle":"","parse-names":false,"suffix":""},{"dropping-particle":"","family":"Williams","given":"Michael","non-dropping-particle":"","parse-names":false,"suffix":""}],"container-title":"Journal of Cleaner Production","id":"ITEM-1","issued":{"date-parts":[["2021"]]},"page":"126447","publisher":"Elsevier Ltd","title":"Substitution of beef with pea protein reduces the environmental footprint of meat balls whilst supporting health and climate stabilisation goals","type":"article-journal","volume":"297"},"uris":["http://www.mendeley.com/documents/?uuid=7beaa4d3-9d67-49dc-8bc0-41a6da80434b"]}],"mendeley":{"formattedCitation":"(Saget et al., 2021a)","manualFormatting":"Saget et al. (2021)","plainTextFormattedCitation":"(Saget et al., 2021a)","previouslyFormattedCitation":"&lt;sup&gt;79&lt;/sup&gt;"},"properties":{"noteIndex":0},"schema":"https://github.com/citation-style-language/schema/raw/master/csl-citation.json"}</w:instrText>
            </w:r>
            <w:r w:rsidRPr="00BF29E4">
              <w:rPr>
                <w:sz w:val="18"/>
                <w:szCs w:val="18"/>
              </w:rPr>
              <w:fldChar w:fldCharType="separate"/>
            </w:r>
            <w:r w:rsidRPr="00BF29E4">
              <w:rPr>
                <w:noProof/>
                <w:sz w:val="18"/>
                <w:szCs w:val="18"/>
              </w:rPr>
              <w:t xml:space="preserve">Saget et al. </w:t>
            </w:r>
            <w:r w:rsidRPr="008427C7">
              <w:rPr>
                <w:noProof/>
                <w:sz w:val="18"/>
                <w:szCs w:val="18"/>
              </w:rPr>
              <w:t>(2021)</w:t>
            </w:r>
            <w:r w:rsidRPr="00BF29E4">
              <w:rPr>
                <w:sz w:val="18"/>
                <w:szCs w:val="18"/>
              </w:rPr>
              <w:fldChar w:fldCharType="end"/>
            </w:r>
          </w:p>
        </w:tc>
        <w:tc>
          <w:tcPr>
            <w:tcW w:w="1417" w:type="dxa"/>
            <w:noWrap/>
            <w:vAlign w:val="center"/>
          </w:tcPr>
          <w:p w14:paraId="04D7EEC8"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sz w:val="18"/>
                <w:szCs w:val="18"/>
              </w:rPr>
              <w:t>beef vs. pea protein</w:t>
            </w:r>
          </w:p>
        </w:tc>
        <w:tc>
          <w:tcPr>
            <w:tcW w:w="3544" w:type="dxa"/>
            <w:noWrap/>
            <w:vAlign w:val="center"/>
          </w:tcPr>
          <w:p w14:paraId="6AF027AD"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sz w:val="18"/>
                <w:szCs w:val="18"/>
              </w:rPr>
              <w:t>cattle co-products, pea dehulling and fractionation co-products (hulls, slurry, starch)</w:t>
            </w:r>
          </w:p>
        </w:tc>
        <w:tc>
          <w:tcPr>
            <w:tcW w:w="4961" w:type="dxa"/>
            <w:noWrap/>
            <w:vAlign w:val="center"/>
          </w:tcPr>
          <w:p w14:paraId="1A2EFA75"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sz w:val="18"/>
                <w:szCs w:val="18"/>
              </w:rPr>
              <w:t>economic and mass for beef co-products and pea co-products, biophysical (metabolic energy requirements) for beef as sensitivity</w:t>
            </w:r>
          </w:p>
        </w:tc>
      </w:tr>
      <w:tr w:rsidR="00340E4E" w:rsidRPr="008427C7" w14:paraId="6FB37494" w14:textId="77777777" w:rsidTr="00DA1C73">
        <w:trPr>
          <w:trHeight w:val="290"/>
        </w:trPr>
        <w:tc>
          <w:tcPr>
            <w:tcW w:w="1164" w:type="dxa"/>
            <w:noWrap/>
            <w:vAlign w:val="center"/>
          </w:tcPr>
          <w:p w14:paraId="359DA545" w14:textId="01E008C9"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sz w:val="18"/>
                <w:szCs w:val="18"/>
              </w:rPr>
              <w:fldChar w:fldCharType="begin" w:fldLock="1"/>
            </w:r>
            <w:r w:rsidR="00C27421">
              <w:rPr>
                <w:sz w:val="18"/>
                <w:szCs w:val="18"/>
              </w:rPr>
              <w:instrText>ADDIN CSL_CITATION {"citationItems":[{"id":"ITEM-1","itemData":{"DOI":"10.1016/j.spc.2021.07.017","ISSN":"23525509","abstract":"Legume-derived foods have been shown to have comparatively low greenhouse gas (GHG) intensities whilst providing high amounts of nutrients. However, processing legumes into meat analogues can incur significant energy costs. Here, we undertake a comprehensive life cycle assessment of plant-based and (Brazilian and Irish) beef burger patties. Sixteen impact categories are supplemented with the carbon opportunity cost of land occupation, and benchmarked against nutrient density units (NDU) to provide holistic evidence on the potential contribution of plant-based patties to environmentally-sustainable nutritional density. Plant-based patties have a smaller environmental footprint across most categories, including a 77% smaller climate change burden, but incur 8% more energy use compared with Brazilian beef patties. Normalised scores (person equivalents) were significantly larger (p &lt; 0.05) for the beef products across key categories including land use, acidification, and marine and terrestrial eutrophication. Sensitivity analyses indicated significant variance across impact categories if beef cattle are reared in South Africa, France or the United States, including a 16-fold difference in land occupation. Biophysical allocation of co-products reduced environmental burdens of beef burgers. However, owing to a 68% higher NDU per serving, reflecting higher fibre and essential fatty acid content, plant-based patties are associated with 81–87% less climate change and 92–95% less marine eutrophication per NDU compared with beef burger patties. Accounting for carbon opportunity cost of land further increased the climate change advantage of plant-based patties by 25–44%. A simple extrapolation indicates that switching from beef to vegetable patties in the UK could save between 9.5 and 11 million tonnes CO2e annually, representing up to 2.4% of territorial GHG emissions.","author":[{"dropping-particle":"","family":"Saget","given":"Sophie","non-dropping-particle":"","parse-names":false,"suffix":""},{"dropping-particle":"","family":"Porto Costa","given":"Marcela","non-dropping-particle":"","parse-names":false,"suffix":""},{"dropping-particle":"","family":"Santos","given":"Carla Sancho","non-dropping-particle":"","parse-names":false,"suffix":""},{"dropping-particle":"","family":"Vasconcelos","given":"Marta","non-dropping-particle":"","parse-names":false,"suffix":""},{"dropping-particle":"","family":"Styles","given":"David","non-dropping-particle":"","parse-names":false,"suffix":""},{"dropping-particle":"","family":"Williams","given":"Mike","non-dropping-particle":"","parse-names":false,"suffix":""}],"container-title":"Sustainable Production and Consumption","id":"ITEM-1","issued":{"date-parts":[["2021"]]},"page":"936-952","publisher":"Elsevier B.V.","title":"Comparative life cycle assessment of plant and beef-based patties, including carbon opportunity costs","type":"article-journal","volume":"28"},"uris":["http://www.mendeley.com/documents/?uuid=cd40e387-bd67-45ab-91f4-bc7af98bd839"]}],"mendeley":{"formattedCitation":"(Saget et al., 2021b)","manualFormatting":"Saget et al. (2021b)","plainTextFormattedCitation":"(Saget et al., 2021b)","previouslyFormattedCitation":"&lt;sup&gt;80&lt;/sup&gt;"},"properties":{"noteIndex":0},"schema":"https://github.com/citation-style-language/schema/raw/master/csl-citation.json"}</w:instrText>
            </w:r>
            <w:r w:rsidRPr="00BF29E4">
              <w:rPr>
                <w:sz w:val="18"/>
                <w:szCs w:val="18"/>
              </w:rPr>
              <w:fldChar w:fldCharType="separate"/>
            </w:r>
            <w:r w:rsidRPr="00BF29E4">
              <w:rPr>
                <w:noProof/>
                <w:sz w:val="18"/>
                <w:szCs w:val="18"/>
              </w:rPr>
              <w:t>Saget et al. (</w:t>
            </w:r>
            <w:r w:rsidRPr="008427C7">
              <w:rPr>
                <w:noProof/>
                <w:sz w:val="18"/>
                <w:szCs w:val="18"/>
              </w:rPr>
              <w:t>2021b)</w:t>
            </w:r>
            <w:r w:rsidRPr="00BF29E4">
              <w:rPr>
                <w:sz w:val="18"/>
                <w:szCs w:val="18"/>
              </w:rPr>
              <w:fldChar w:fldCharType="end"/>
            </w:r>
          </w:p>
        </w:tc>
        <w:tc>
          <w:tcPr>
            <w:tcW w:w="1417" w:type="dxa"/>
            <w:noWrap/>
            <w:vAlign w:val="center"/>
          </w:tcPr>
          <w:p w14:paraId="7BDA1BC2"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sz w:val="18"/>
                <w:szCs w:val="18"/>
              </w:rPr>
              <w:t>plant-based burger and beef burger</w:t>
            </w:r>
          </w:p>
        </w:tc>
        <w:tc>
          <w:tcPr>
            <w:tcW w:w="3544" w:type="dxa"/>
            <w:noWrap/>
            <w:vAlign w:val="center"/>
          </w:tcPr>
          <w:p w14:paraId="7967DD8E"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sz w:val="18"/>
                <w:szCs w:val="18"/>
              </w:rPr>
              <w:t>beef and co-products; veggie burger and processing co-products</w:t>
            </w:r>
          </w:p>
        </w:tc>
        <w:tc>
          <w:tcPr>
            <w:tcW w:w="4961" w:type="dxa"/>
            <w:noWrap/>
            <w:vAlign w:val="center"/>
          </w:tcPr>
          <w:p w14:paraId="20AB88FF"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sz w:val="18"/>
                <w:szCs w:val="18"/>
              </w:rPr>
              <w:t>economic, sensitivity of mass for veggie and biophysical for beef</w:t>
            </w:r>
          </w:p>
        </w:tc>
      </w:tr>
      <w:tr w:rsidR="00340E4E" w:rsidRPr="008427C7" w14:paraId="41BB1F39" w14:textId="77777777" w:rsidTr="00DA1C73">
        <w:trPr>
          <w:trHeight w:val="290"/>
        </w:trPr>
        <w:tc>
          <w:tcPr>
            <w:tcW w:w="1164" w:type="dxa"/>
            <w:noWrap/>
            <w:vAlign w:val="center"/>
          </w:tcPr>
          <w:p w14:paraId="528C38B7" w14:textId="34D7BF5C" w:rsidR="00340E4E" w:rsidRPr="00BF29E4" w:rsidRDefault="00340E4E" w:rsidP="00C821FE">
            <w:pPr>
              <w:spacing w:after="0" w:line="240" w:lineRule="auto"/>
              <w:rPr>
                <w:sz w:val="18"/>
                <w:szCs w:val="18"/>
              </w:rPr>
            </w:pPr>
            <w:r w:rsidRPr="00BF29E4">
              <w:rPr>
                <w:sz w:val="18"/>
                <w:szCs w:val="18"/>
              </w:rPr>
              <w:fldChar w:fldCharType="begin" w:fldLock="1"/>
            </w:r>
            <w:r w:rsidR="00C27421">
              <w:rPr>
                <w:sz w:val="18"/>
                <w:szCs w:val="18"/>
              </w:rPr>
              <w:instrText>ADDIN CSL_CITATION {"citationItems":[{"id":"ITEM-1","itemData":{"DOI":"10.1093/jas/sky442","ISSN":"15253163","PMID":"30452693","abstract":"While the environmental impacts of livestock production, such as greenhouse gas emissions and water usage, have been studied for a variety of US livestock production systems, the environmental impact of US sheep production is still unknown. A cradle-to-farm gate life cycle assessment (LCA) was conducted according to international standards (ISO 14040/44), analyzing the impacts of CS representing five different meat sheep production systems in California, and focusing on carbon footprint (carbon dioxide equivalents, CO 2 e) and irrigated water usage (metric ton, MT). This study is the first to look specifically at the carbon footprint of the California sheep industry and consider both wool and meat production across the diverse sheep production systems within California. This study also explicitly examined the carbon footprint of hair sheep as compared with wooled sheep production. Data were derived from producer interviews and literature values, and California-specific emission factors were used wherever possible. Flock outputs studied included market lamb meat, breeding stock, 2-d-old lambs, cull adult meat, and wool. Four different methane prediction models were examined, including the current IPCC tier 1 and 2 equations, and an additional sensitivity analysis was conducted to examine the effect of a fixed vs. flexible coefficient of gain (k g) in mature ewes on carbon footprint per ewe. Mass, economic, and protein mass allocation were used to examine the impact of allocation method on carbon footprint and water usage, while sensitivity analyses were used to examine the impact of ewe replacement rate (% of ewe flock per year) and lamb crop (lambs born per ewe bred) on carbon footprint per kilogram market lamb. The carbon footprint of market lamb production ranged from 13.9 to 30.6 kg CO 2 e/kg market lamb production on a mass basis, 10.4 to 18.1 kg CO 2 e/kg market lamb on an economic basis, and 6.6 to 10.1 kg CO 2 e/kg market lamb on a protein mass basis. Enteric methane (CH 4) production was the largest single source of emissions for all CS, averaging 72% of total emissions. Emissions from feed production averaged 22% in total, primarily from manure emissions credited to feed. Whole-ranch water usage ranged from 2.1 to 44.8 MT/kg market lamb, almost entirely from feed production. Overall results were in agreement with those from meat-focused sheep systems in the United Kingdom as well as beef raised under similar conditions in California.","author":[{"dropping-particle":"","family":"Dougherty","given":"Holland C.","non-dropping-particle":"","parse-names":false,"suffix":""},{"dropping-particle":"","family":"Oltjen","given":"James W.","non-dropping-particle":"","parse-names":false,"suffix":""},{"dropping-particle":"","family":"Mitloehner","given":"Frank M.","non-dropping-particle":"","parse-names":false,"suffix":""},{"dropping-particle":"","family":"Depeters","given":"Edward J.","non-dropping-particle":"","parse-names":false,"suffix":""},{"dropping-particle":"","family":"Pettey","given":"Lee Allen","non-dropping-particle":"","parse-names":false,"suffix":""},{"dropping-particle":"","family":"Macon","given":"Dan","non-dropping-particle":"","parse-names":false,"suffix":""},{"dropping-particle":"","family":"Finzel","given":"Julie","non-dropping-particle":"","parse-names":false,"suffix":""},{"dropping-particle":"","family":"Rodrigues","given":"Kimberly","non-dropping-particle":"","parse-names":false,"suffix":""},{"dropping-particle":"","family":"Kebreab","given":"Ermias","non-dropping-particle":"","parse-names":false,"suffix":""}],"container-title":"Journal of Animal Science","id":"ITEM-1","issue":"2","issued":{"date-parts":[["2019"]]},"page":"945-961","title":"Carbon and blue water footprints of California sheep production","type":"article-journal","volume":"97"},"uris":["http://www.mendeley.com/documents/?uuid=240b7bf7-5c22-472e-8ba5-3786cfb659c3"]}],"mendeley":{"formattedCitation":"(Dougherty et al., 2019)","manualFormatting":"Dougherty et al. (2019)","plainTextFormattedCitation":"(Dougherty et al., 2019)","previouslyFormattedCitation":"&lt;sup&gt;81&lt;/sup&gt;"},"properties":{"noteIndex":0},"schema":"https://github.com/citation-style-language/schema/raw/master/csl-citation.json"}</w:instrText>
            </w:r>
            <w:r w:rsidRPr="00BF29E4">
              <w:rPr>
                <w:sz w:val="18"/>
                <w:szCs w:val="18"/>
              </w:rPr>
              <w:fldChar w:fldCharType="separate"/>
            </w:r>
            <w:r w:rsidRPr="00BF29E4">
              <w:rPr>
                <w:noProof/>
                <w:sz w:val="18"/>
                <w:szCs w:val="18"/>
              </w:rPr>
              <w:t>Dougherty et al. (</w:t>
            </w:r>
            <w:r w:rsidRPr="008427C7">
              <w:rPr>
                <w:noProof/>
                <w:sz w:val="18"/>
                <w:szCs w:val="18"/>
              </w:rPr>
              <w:t>2019)</w:t>
            </w:r>
            <w:r w:rsidRPr="00BF29E4">
              <w:rPr>
                <w:sz w:val="18"/>
                <w:szCs w:val="18"/>
              </w:rPr>
              <w:fldChar w:fldCharType="end"/>
            </w:r>
          </w:p>
        </w:tc>
        <w:tc>
          <w:tcPr>
            <w:tcW w:w="1417" w:type="dxa"/>
            <w:noWrap/>
            <w:vAlign w:val="center"/>
          </w:tcPr>
          <w:p w14:paraId="6868B47F" w14:textId="77777777" w:rsidR="00340E4E" w:rsidRPr="008427C7" w:rsidRDefault="00340E4E" w:rsidP="00C821FE">
            <w:pPr>
              <w:spacing w:after="0" w:line="240" w:lineRule="auto"/>
              <w:rPr>
                <w:sz w:val="18"/>
                <w:szCs w:val="18"/>
              </w:rPr>
            </w:pPr>
            <w:r w:rsidRPr="008427C7">
              <w:rPr>
                <w:sz w:val="18"/>
                <w:szCs w:val="18"/>
              </w:rPr>
              <w:t>lamb</w:t>
            </w:r>
          </w:p>
        </w:tc>
        <w:tc>
          <w:tcPr>
            <w:tcW w:w="3544" w:type="dxa"/>
            <w:noWrap/>
            <w:vAlign w:val="center"/>
          </w:tcPr>
          <w:p w14:paraId="13E15B2F" w14:textId="77777777" w:rsidR="00340E4E" w:rsidRPr="008427C7" w:rsidRDefault="00340E4E" w:rsidP="00C821FE">
            <w:pPr>
              <w:spacing w:after="0" w:line="240" w:lineRule="auto"/>
              <w:rPr>
                <w:sz w:val="18"/>
                <w:szCs w:val="18"/>
              </w:rPr>
            </w:pPr>
            <w:r w:rsidRPr="008427C7">
              <w:rPr>
                <w:sz w:val="18"/>
                <w:szCs w:val="18"/>
              </w:rPr>
              <w:t>lamb, breeding stock, wool</w:t>
            </w:r>
          </w:p>
        </w:tc>
        <w:tc>
          <w:tcPr>
            <w:tcW w:w="4961" w:type="dxa"/>
            <w:noWrap/>
            <w:vAlign w:val="center"/>
          </w:tcPr>
          <w:p w14:paraId="4773D4E5" w14:textId="77777777" w:rsidR="00340E4E" w:rsidRPr="008427C7" w:rsidRDefault="00340E4E" w:rsidP="00C821FE">
            <w:pPr>
              <w:spacing w:after="0" w:line="240" w:lineRule="auto"/>
              <w:rPr>
                <w:sz w:val="18"/>
                <w:szCs w:val="18"/>
              </w:rPr>
            </w:pPr>
            <w:r w:rsidRPr="008427C7">
              <w:rPr>
                <w:sz w:val="18"/>
                <w:szCs w:val="18"/>
              </w:rPr>
              <w:t>mass, economic, protein</w:t>
            </w:r>
          </w:p>
        </w:tc>
      </w:tr>
      <w:tr w:rsidR="00340E4E" w:rsidRPr="008427C7" w14:paraId="015A1A07" w14:textId="77777777" w:rsidTr="00DA1C73">
        <w:trPr>
          <w:trHeight w:val="290"/>
        </w:trPr>
        <w:tc>
          <w:tcPr>
            <w:tcW w:w="1164" w:type="dxa"/>
            <w:noWrap/>
            <w:vAlign w:val="center"/>
          </w:tcPr>
          <w:p w14:paraId="42A992DE" w14:textId="5390E4A1" w:rsidR="00340E4E" w:rsidRPr="00BF29E4" w:rsidRDefault="00340E4E" w:rsidP="00C821FE">
            <w:pPr>
              <w:spacing w:after="0" w:line="240" w:lineRule="auto"/>
              <w:rPr>
                <w:sz w:val="18"/>
                <w:szCs w:val="18"/>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{"citationItems":[{"id":"ITEM-1","itemData":{"DOI":"10.1007/s11367-015-0849-z","ISBN":"1136701508","ISSN":"16147502","abstract":"Purpose: Methodology of co-product handling is a critical determinant of calculated resource use and environmental emissions per kilogram (kg) product but has not been examined in detail for different sheep production systems. This paper investigates alternative approaches for handling co-production of wool and live weight (LW, for meat) from dual purpose sheep systems to the farm-gate. Methods: Seven methods were applied; three biophysical allocation (BA) methods based on protein requirements and partitioning of digested protein, protein mass allocation (PMA), economic allocation (EA) and two system expansion (SE) methods. Effects on greenhouse gas (GHG) emissions, fossil energy demand and land occupation (classified according to suitability for arable use) were assessed using four contrasting case study (CS) farm systems. A UK upland farm (CS 1) and a New Zealand hill farm (CS 2) were selected to represent systems focused on lamb and coarse-textured wool for interior textiles. Two Australian Merino sheep farms (CS 3, CS 4) were selected to represent systems focused on medium to superfine garment wool, and lamb. Results and discussion: Total GHG emissions per kilogram total products (i.e. wool + LW) were similar across CS farms. However, results were highly sensitive to the method of co-product handling. GHG emissions based on BA of wool protein to wool resulted in 10–12 kg CO&lt;inf&gt;2&lt;/inf&gt;-e/kg wool (across all CS farms), whereas it increased to 24–38 kg CO&lt;inf&gt;2&lt;/inf&gt;-e/kg wool when BA included a proportion of sheep maintenance requirements. Results for allocation% generated using EA varied widely from 4 % (CS 1) to 52 % (CS 4). SE using beef as a substitution for sheep meat gave the lowest, and often negative, GHG emissions from wool production. Different methods were found to re-order the impacts across the four case studies in some instances. A similar overall pattern was observed for the effects of co-product handling method on other impact categories for three of the four farms. Conclusions: BA based on protein partitioning between sheep wool and LW is recommended for attributional studies with the PMA method being an easily applied proxy for the more detailed BA methods. Sensitivity analysis using SE is recommended to understand the implications of system change. Sensitivity analysis using SE is recommended to investigate implications of choosing alternative products or systems, and to evaluate system change strategies in which case consequential…","author":[{"dropping-particle":"","family":"Wiedemann","given":"Stephen G.","non-dropping-particle":"","parse-names":false,"suffix":""},{"dropping-particle":"","family":"Ledgard","given":"Stewart F.","non-dropping-particle":"","parse-names":false,"suffix":""},{"dropping-particle":"","family":"Henry","given":"Beverley K.","non-dropping-particle":"","parse-names":false,"suffix":""},{"dropping-particle":"","family":"Yan","given":"Ming Jia","non-dropping-particle":"","parse-names":false,"suffix":""},{"dropping-particle":"","family":"Mao","given":"Ningtao","non-dropping-particle":"","parse-names":false,"suffix":""},{"dropping-particle":"","family":"Russell","given":"Stephen J.","non-dropping-particle":"","parse-names":false,"suffix":""}],"container-title":"International Journal of Life Cycle Assessment","id":"ITEM-1","issue":"4","issued":{"date-parts":[["2015"]]},"page":"463-476","title":"Application of life cycle assessment to sheep production systems: investigating co-production of wool and meat using case studies from major global producers","type":"article-journal","volume":"20"},"uris":["http://www.mendeley.com/documents/?uuid=6513b019-c425-4c81-8df6-fbfaedce131c"]}],"mendeley":{"formattedCitation":"(Wiedemann et al., 2015)","manualFormatting":"Wiedemann et al. (2015)","plainTextFormattedCitation":"(Wiedemann et al., 2015)","previouslyFormattedCitation":"&lt;sup&gt;82&lt;/sup&gt;"},"properties":{"noteIndex":0},"schema":"https://github.com/citation-style-language/schema/raw/master/csl-citation.json"}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Wiedemann et al. (</w:t>
            </w:r>
            <w:r w:rsidRPr="008427C7">
              <w:rPr>
                <w:rFonts w:ascii="Calibri" w:eastAsia="Times New Roman" w:hAnsi="Calibri" w:cs="Calibri"/>
                <w:noProof/>
                <w:color w:val="000000"/>
                <w:sz w:val="18"/>
                <w:szCs w:val="18"/>
                <w:lang w:eastAsia="en-CA"/>
              </w:rPr>
              <w:t>2015)</w:t>
            </w:r>
            <w:r w:rsidRPr="00BF29E4">
              <w:rPr>
                <w:rFonts w:ascii="Calibri" w:eastAsia="Times New Roman" w:hAnsi="Calibri" w:cs="Calibri"/>
                <w:color w:val="000000"/>
                <w:sz w:val="18"/>
                <w:szCs w:val="18"/>
                <w:lang w:eastAsia="en-CA"/>
              </w:rPr>
              <w:fldChar w:fldCharType="end"/>
            </w:r>
          </w:p>
        </w:tc>
        <w:tc>
          <w:tcPr>
            <w:tcW w:w="1417" w:type="dxa"/>
            <w:noWrap/>
            <w:vAlign w:val="center"/>
          </w:tcPr>
          <w:p w14:paraId="7E741B39" w14:textId="77777777" w:rsidR="00340E4E" w:rsidRPr="008427C7" w:rsidRDefault="00340E4E" w:rsidP="00C821FE">
            <w:pPr>
              <w:spacing w:after="0" w:line="240" w:lineRule="auto"/>
              <w:rPr>
                <w:sz w:val="18"/>
                <w:szCs w:val="18"/>
              </w:rPr>
            </w:pPr>
            <w:r w:rsidRPr="008427C7">
              <w:rPr>
                <w:rFonts w:ascii="Calibri" w:eastAsia="Times New Roman" w:hAnsi="Calibri" w:cs="Calibri"/>
                <w:color w:val="000000"/>
                <w:sz w:val="18"/>
                <w:szCs w:val="18"/>
                <w:lang w:eastAsia="en-CA"/>
              </w:rPr>
              <w:t>sheep</w:t>
            </w:r>
          </w:p>
        </w:tc>
        <w:tc>
          <w:tcPr>
            <w:tcW w:w="3544" w:type="dxa"/>
            <w:noWrap/>
            <w:vAlign w:val="center"/>
          </w:tcPr>
          <w:p w14:paraId="47454BF9" w14:textId="77777777" w:rsidR="00340E4E" w:rsidRPr="008427C7" w:rsidRDefault="00340E4E" w:rsidP="00C821FE">
            <w:pPr>
              <w:spacing w:after="0" w:line="240" w:lineRule="auto"/>
              <w:rPr>
                <w:sz w:val="18"/>
                <w:szCs w:val="18"/>
              </w:rPr>
            </w:pPr>
            <w:r w:rsidRPr="008427C7">
              <w:rPr>
                <w:rFonts w:ascii="Calibri" w:eastAsia="Times New Roman" w:hAnsi="Calibri" w:cs="Calibri"/>
                <w:color w:val="000000"/>
                <w:sz w:val="18"/>
                <w:szCs w:val="18"/>
                <w:lang w:eastAsia="en-CA"/>
              </w:rPr>
              <w:t>wool and meat</w:t>
            </w:r>
          </w:p>
        </w:tc>
        <w:tc>
          <w:tcPr>
            <w:tcW w:w="4961" w:type="dxa"/>
            <w:noWrap/>
            <w:vAlign w:val="center"/>
          </w:tcPr>
          <w:p w14:paraId="48806972" w14:textId="77777777" w:rsidR="00340E4E" w:rsidRPr="008427C7" w:rsidRDefault="00340E4E" w:rsidP="00C821FE">
            <w:pPr>
              <w:spacing w:after="0" w:line="240" w:lineRule="auto"/>
              <w:rPr>
                <w:sz w:val="18"/>
                <w:szCs w:val="18"/>
              </w:rPr>
            </w:pPr>
            <w:r w:rsidRPr="008427C7">
              <w:rPr>
                <w:rFonts w:ascii="Calibri" w:eastAsia="Times New Roman" w:hAnsi="Calibri" w:cs="Calibri"/>
                <w:color w:val="000000"/>
                <w:sz w:val="18"/>
                <w:szCs w:val="18"/>
                <w:lang w:eastAsia="en-CA"/>
              </w:rPr>
              <w:t>protein requirements and partitioning of digested protein, protein mass allocation, economic allocation, system expansion, subdivision for different animals produced on same farm</w:t>
            </w:r>
          </w:p>
        </w:tc>
      </w:tr>
      <w:tr w:rsidR="00340E4E" w:rsidRPr="008427C7" w14:paraId="26EF2416" w14:textId="77777777" w:rsidTr="00DA1C73">
        <w:trPr>
          <w:trHeight w:val="290"/>
        </w:trPr>
        <w:tc>
          <w:tcPr>
            <w:tcW w:w="1164" w:type="dxa"/>
            <w:noWrap/>
            <w:vAlign w:val="center"/>
          </w:tcPr>
          <w:p w14:paraId="78A52953" w14:textId="7FF5289B" w:rsidR="00340E4E" w:rsidRPr="00BF29E4" w:rsidRDefault="00340E4E" w:rsidP="00C821FE">
            <w:pPr>
              <w:spacing w:after="0" w:line="240" w:lineRule="auto"/>
              <w:rPr>
                <w:sz w:val="18"/>
                <w:szCs w:val="18"/>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{"citationItems":[{"id":"ITEM-1","itemData":{"DOI":"10.1016/j.jclepro.2011.10.005","ISSN":"09596526","abstract":"Most agricultural products are produced on farms where there is a mix of activities, resulting in a range of co-products. This raises the issue of how best to model these complex production systems for Life Cycle Assessment, especially where there are benefits imparted by one activity in the mixed farming system to another. On the mixed farm studied, there were significant two-way reference flows (representing 288 t CO 2-e/year or 10% of the total farm emissions) between activities producing distinct products (wool, meat, grain) and these were modelled using system expansion. Cropping and sheep activities were modelled as separate sub-processes in the farming system, with unique inputs and outputs identified for each. Co-production from the sheep activity was modelling using allocation, comparing biophysical and economic relationships. Using an economic allocation resulted in different estimates of global warming impact for sheep co-products, with figures varying by 7-52%. When compared to biophysical allocation, economic allocation shifted the environmental burden to the higher value co-products and away from the high resource use products. Using economic allocation, for every kilogram of wool produced there was an estimated 28.7 kg of CO 2-e emitted. Amongst the live animal products, the stud rams had the highest estimated carbon footprint (719 kg CO 2-e/ram). Amongst the crops, estimates of emissions for the cereal grains averaged 202 kg CO 2-e/tonne grain, canola 222 kg CO 2-e/tonne and lupins 510 kg CO 2-e/tonne, when modelled to include the benefits of the mixed farming system. © 2011 Elsevier Ltd. All rights reserved.","author":[{"dropping-particle":"","family":"Eady","given":"Sandra","non-dropping-particle":"","parse-names":false,"suffix":""},{"dropping-particle":"","family":"Carre","given":"Andrew","non-dropping-particle":"","parse-names":false,"suffix":""},{"dropping-particle":"","family":"Grant","given":"Tim","non-dropping-particle":"","parse-names":false,"suffix":""}],"container-title":"Journal of Cleaner Production","id":"ITEM-1","issued":{"date-parts":[["2012"]]},"page":"143-149","publisher":"Elsevier Ltd","title":"Life cycle assessment modelling of complex agricultural systems with multiple food and fibre co-products","type":"article-journal","volume":"28"},"uris":["http://www.mendeley.com/documents/?uuid=d51c7100-9f3a-4588-86c2-0e89d302a51e"]}],"mendeley":{"formattedCitation":"(Eady et al., 2012)","manualFormatting":"Eady et al. (2012)","plainTextFormattedCitation":"(Eady et al., 2012)","previouslyFormattedCitation":"&lt;sup&gt;83&lt;/sup&gt;"},"properties":{"noteIndex":0},"schema":"https://github.com/citation-style-language/schema/raw/master/csl-citation.json"}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Eady et al. (</w:t>
            </w:r>
            <w:r w:rsidRPr="008427C7">
              <w:rPr>
                <w:rFonts w:ascii="Calibri" w:eastAsia="Times New Roman" w:hAnsi="Calibri" w:cs="Calibri"/>
                <w:noProof/>
                <w:color w:val="000000"/>
                <w:sz w:val="18"/>
                <w:szCs w:val="18"/>
                <w:lang w:eastAsia="en-CA"/>
              </w:rPr>
              <w:t>2012)</w:t>
            </w:r>
            <w:r w:rsidRPr="00BF29E4">
              <w:rPr>
                <w:rFonts w:ascii="Calibri" w:eastAsia="Times New Roman" w:hAnsi="Calibri" w:cs="Calibri"/>
                <w:color w:val="000000"/>
                <w:sz w:val="18"/>
                <w:szCs w:val="18"/>
                <w:lang w:eastAsia="en-CA"/>
              </w:rPr>
              <w:fldChar w:fldCharType="end"/>
            </w:r>
          </w:p>
        </w:tc>
        <w:tc>
          <w:tcPr>
            <w:tcW w:w="1417" w:type="dxa"/>
            <w:noWrap/>
            <w:vAlign w:val="center"/>
          </w:tcPr>
          <w:p w14:paraId="732F4A7D" w14:textId="77777777" w:rsidR="00340E4E" w:rsidRPr="008427C7" w:rsidRDefault="00340E4E" w:rsidP="00C821FE">
            <w:pPr>
              <w:spacing w:after="0" w:line="240" w:lineRule="auto"/>
              <w:rPr>
                <w:sz w:val="18"/>
                <w:szCs w:val="18"/>
              </w:rPr>
            </w:pPr>
            <w:r w:rsidRPr="008427C7">
              <w:rPr>
                <w:rFonts w:ascii="Calibri" w:eastAsia="Times New Roman" w:hAnsi="Calibri" w:cs="Calibri"/>
                <w:color w:val="000000"/>
                <w:sz w:val="18"/>
                <w:szCs w:val="18"/>
                <w:lang w:eastAsia="en-CA"/>
              </w:rPr>
              <w:t>sheep</w:t>
            </w:r>
          </w:p>
        </w:tc>
        <w:tc>
          <w:tcPr>
            <w:tcW w:w="3544" w:type="dxa"/>
            <w:noWrap/>
            <w:vAlign w:val="center"/>
          </w:tcPr>
          <w:p w14:paraId="78499405" w14:textId="77777777" w:rsidR="00340E4E" w:rsidRPr="008427C7" w:rsidRDefault="00340E4E" w:rsidP="00C821FE">
            <w:pPr>
              <w:spacing w:after="0" w:line="240" w:lineRule="auto"/>
              <w:rPr>
                <w:sz w:val="18"/>
                <w:szCs w:val="18"/>
              </w:rPr>
            </w:pPr>
            <w:r w:rsidRPr="008427C7">
              <w:rPr>
                <w:rFonts w:ascii="Calibri" w:eastAsia="Times New Roman" w:hAnsi="Calibri" w:cs="Calibri"/>
                <w:color w:val="000000"/>
                <w:sz w:val="18"/>
                <w:szCs w:val="18"/>
                <w:lang w:eastAsia="en-CA"/>
              </w:rPr>
              <w:t>food and fibre co-products (crops and sheep)</w:t>
            </w:r>
          </w:p>
        </w:tc>
        <w:tc>
          <w:tcPr>
            <w:tcW w:w="4961" w:type="dxa"/>
            <w:noWrap/>
            <w:vAlign w:val="center"/>
          </w:tcPr>
          <w:p w14:paraId="39C07256" w14:textId="77777777" w:rsidR="00340E4E" w:rsidRPr="008427C7" w:rsidRDefault="00340E4E" w:rsidP="00C821FE">
            <w:pPr>
              <w:spacing w:after="0" w:line="240" w:lineRule="auto"/>
              <w:rPr>
                <w:sz w:val="18"/>
                <w:szCs w:val="18"/>
              </w:rPr>
            </w:pPr>
            <w:r w:rsidRPr="008427C7">
              <w:rPr>
                <w:rFonts w:ascii="Calibri" w:eastAsia="Times New Roman" w:hAnsi="Calibri" w:cs="Calibri"/>
                <w:color w:val="000000"/>
                <w:sz w:val="18"/>
                <w:szCs w:val="18"/>
                <w:lang w:eastAsia="en-CA"/>
              </w:rPr>
              <w:t>subdivision for crops and sheep; biophysical and economic allocation for co-products from sheep</w:t>
            </w:r>
          </w:p>
        </w:tc>
      </w:tr>
      <w:tr w:rsidR="00340E4E" w:rsidRPr="008427C7" w14:paraId="1EC21B31" w14:textId="77777777" w:rsidTr="00DA1C73">
        <w:trPr>
          <w:trHeight w:val="290"/>
        </w:trPr>
        <w:tc>
          <w:tcPr>
            <w:tcW w:w="1164" w:type="dxa"/>
            <w:noWrap/>
            <w:vAlign w:val="center"/>
          </w:tcPr>
          <w:p w14:paraId="3F482779" w14:textId="72EF8531"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{"citationItems":[{"id":"ITEM-1","itemData":{"DOI":"10.1016/j.jclepro.2019.119845","ISSN":"09596526","abstract":"This study presents an environmental life cycle assessment of poultry fat (PF), poultry by-product meal (PBM) and steam hydrolyzed feather meal (HF). These ingredients are obtained by rendering poultry by-products and can be used as valuable feedstuffs for the fish feed industry, displacing traditional fishmeal and fish oil, promoting a circular economy system by reducing waste, adding value to by-products of the poultry production and reintroducing them in the economy as high-value products. A life cycle inventory and model were implemented for the PF, PBM and HF production chains based on data collected from two poultry by-product rendering units: the first producing both PF and PBM, and the second producing only HF. Four environmental impact categories were assessed using the CML life-cycle impact assessment method: global warming (GW), abiotic depletion (AD), acidification (AC) and eutrophication (EUT). The impacts calculated with economic allocation for 1 t of PF, 1 t of PBM and 1 t of HF from poultry by-products are 666, 726 and 597 kg CO2 eq (GW); 3.8, 4.2 and 3.2 kg Sb eq (AD); 4.2, 4.6 and 4.7 kg SO2 eq (AC); and 1.8, 2.0 and 2.1 kg PO43− eq (EUT), respectively. The rendering process of by-products is mainly responsible for GW and AD (mainly due to process heat), while the poultry production is the main contributor for AC and EUT. In more detail, a sensitivity analysis of alternative multifunctionality procedures for dealing with poultry by-products was performed, showing that the selected allocation method has a huge influence on the life cycle impacts, with higher impacts when mass allocation is employed instead of economic allocation. Additionally, a sensitivity analysis was conducted on the type of energy used in the rendering process, and distances in poultry by-product transportation to the rendering plants. The results show that the fuel source for process heat or the electricity generation system has a significant influence on the impacts, while the transportation distance has much less.","author":[{"dropping-particle":"","family":"Campos","given":"Inês","non-dropping-particle":"","parse-names":false,"suffix":""},{"dropping-particle":"","family":"Pinheiro Valente","given":"Luisa Maria","non-dropping-particle":"","parse-names":false,"suffix":""},{"dropping-particle":"","family":"Matos","given":"Elisabete","non-dropping-particle":"","parse-names":false,"suffix":""},{"dropping-particle":"","family":"Marques","given":"Pedro","non-dropping-particle":"","parse-names":false,"suffix":""},{"dropping-particle":"","family":"Freire","given":"Fausto","non-dropping-particle":"","parse-names":false,"suffix":""}],"container-title":"Journal of Cleaner Production","id":"ITEM-1","issued":{"date-parts":[["2020"]]},"title":"Life-cycle assessment of animal feed ingredients: Poultry fat, poultry by-product meal and hydrolyzed feather meal","type":"article-journal","volume":"252"},"uris":["http://www.mendeley.com/documents/?uuid=d7791220-b262-499d-b2b6-1dd3e4a50d93"]}],"mendeley":{"formattedCitation":"(Campos et al., 2020)","manualFormatting":"Campos et al. (2020)","plainTextFormattedCitation":"(Campos et al., 2020)","previouslyFormattedCitation":"&lt;sup&gt;84&lt;/sup&gt;"},"properties":{"noteIndex":0},"schema":"https://github.com/citation-style-language/schema/raw/master/csl-citation.json"}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 xml:space="preserve">Campos et al. </w:t>
            </w:r>
            <w:r w:rsidRPr="008427C7">
              <w:rPr>
                <w:rFonts w:ascii="Calibri" w:eastAsia="Times New Roman" w:hAnsi="Calibri" w:cs="Calibri"/>
                <w:noProof/>
                <w:color w:val="000000"/>
                <w:sz w:val="18"/>
                <w:szCs w:val="18"/>
                <w:lang w:eastAsia="en-CA"/>
              </w:rPr>
              <w:t>(2020)</w:t>
            </w:r>
            <w:r w:rsidRPr="00BF29E4">
              <w:rPr>
                <w:rFonts w:ascii="Calibri" w:eastAsia="Times New Roman" w:hAnsi="Calibri" w:cs="Calibri"/>
                <w:color w:val="000000"/>
                <w:sz w:val="18"/>
                <w:szCs w:val="18"/>
                <w:lang w:eastAsia="en-CA"/>
              </w:rPr>
              <w:fldChar w:fldCharType="end"/>
            </w:r>
          </w:p>
        </w:tc>
        <w:tc>
          <w:tcPr>
            <w:tcW w:w="1417" w:type="dxa"/>
            <w:noWrap/>
            <w:vAlign w:val="center"/>
          </w:tcPr>
          <w:p w14:paraId="4E1F31BC"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poultry by-products for animal feed (fish industry)</w:t>
            </w:r>
          </w:p>
        </w:tc>
        <w:tc>
          <w:tcPr>
            <w:tcW w:w="3544" w:type="dxa"/>
            <w:noWrap/>
            <w:vAlign w:val="center"/>
          </w:tcPr>
          <w:p w14:paraId="1DC3DEE7"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poultry fat, poultry by-product meal, steam hydrolyzed feather meal, and poultry for human consumption</w:t>
            </w:r>
          </w:p>
        </w:tc>
        <w:tc>
          <w:tcPr>
            <w:tcW w:w="4961" w:type="dxa"/>
            <w:noWrap/>
            <w:vAlign w:val="center"/>
          </w:tcPr>
          <w:p w14:paraId="7E4B0314" w14:textId="42533B3D" w:rsidR="00340E4E" w:rsidRPr="008427C7" w:rsidRDefault="00340E4E" w:rsidP="003B5D4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economic, mass for sensitivity analysis. Natural gas inputs</w:t>
            </w:r>
            <w:r w:rsidR="003B5D4E">
              <w:rPr>
                <w:rFonts w:ascii="Calibri" w:eastAsia="Times New Roman" w:hAnsi="Calibri" w:cs="Calibri"/>
                <w:color w:val="000000"/>
                <w:sz w:val="18"/>
                <w:szCs w:val="18"/>
                <w:lang w:eastAsia="en-CA"/>
              </w:rPr>
              <w:t>: exergy</w:t>
            </w:r>
          </w:p>
        </w:tc>
      </w:tr>
      <w:tr w:rsidR="00340E4E" w:rsidRPr="008427C7" w14:paraId="7B8707F0" w14:textId="77777777" w:rsidTr="00DA1C73">
        <w:trPr>
          <w:trHeight w:val="290"/>
        </w:trPr>
        <w:tc>
          <w:tcPr>
            <w:tcW w:w="1164" w:type="dxa"/>
            <w:noWrap/>
            <w:vAlign w:val="center"/>
            <w:hideMark/>
          </w:tcPr>
          <w:p w14:paraId="1799E345" w14:textId="11606BAB"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{"citationItems":[{"id":"ITEM-1","itemData":{"DOI":"10.1007/s11367-017-1432-6","ISSN":"16147502","abstract":"Purpose: Uncertainty is present in many forms in life cycle assessment (LCA). However, little attention has been paid to analyze the variability that methodological choices have on LCA outcomes. To address this variability, common practice is to conduct a sensitivity analysis, which is sometimes treated only at a qualitative level. Hence, the purpose of this paper was to evaluate the uncertainty and the sensitivity in the LCA of swine production due to two methodological choices: the allocation approach and the life cycle impact assessment (LCIA) method. Methods: We used a comparative case study of swine production to address uncertainty due to methodological choices. First, scenario variation through a sensitivity analysis of the approaches used to address the multi-functionality problem was conducted for the main processes of the system product, followed by an impact assessment using five LCIA methods at the midpoint level. The results from the sensitivity analysis were used to generate 10,000 independent simulations using the Monte Carlo method and then compared using comparison indicators in histogram graphics. Results and discussion: Regardless of the differences between the absolute values of the LCA obtained due to the allocation approach and LCIA methods used, the overall ranking of scenarios did not change. The use of the substitution method to address the multi-functional processes in swine production showed the highest values for almost all of the impact categories, except for freshwater ecotoxicity; therefore, this method introduced the greater variations into our analysis. Regarding the variation of the LCIA method, for acidification, eutrophication, and freshwater ecotoxicity, the results were very sensitive. The uncertainty analysis with the Monte Carlo simulations showed a wide range of results and an almost equal probability of all the scenarios be the preferable option to decrease the impacts on acidification, eutrophication, and freshwater ecotoxicity. Considering the aggregate result variation across allocation approaches and LCIA methods, the uncertainty is too high to identify a statistically significant alternative. Conclusions: The uncertainty analysis showed that performing only a sensitivity analysis could mislead the decision-maker with respect to LCA results; our analysis with the Monte Carlo simulation indicates no significant difference between the alternatives compared. Although the uncertainty in the LCA outcomes could no…","author":[{"dropping-particle":"","family":"Cherubini","given":"Edivan","non-dropping-particle":"","parse-names":false,"suffix":""},{"dropping-particle":"","family":"Franco","given":"Davide","non-dropping-particle":"","parse-names":false,"suffix":""},{"dropping-particle":"","family":"Zanghelini","given":"Guilherme Marcelo","non-dropping-particle":"","parse-names":false,"suffix":""},{"dropping-particle":"","family":"Soares","given":"Sebastião Roberto","non-dropping-particle":"","parse-names":false,"suffix":""}],"container-title":"International Journal of Life Cycle Assessment","id":"ITEM-1","issue":"10","issued":{"date-parts":[["2018"]]},"page":"2055-2070","publisher":"The International Journal of Life Cycle Assessment","title":"Uncertainty in LCA case study due to allocation approaches and life cycle impact assessment methods","type":"article-journal","volume":"23"},"uris":["http://www.mendeley.com/documents/?uuid=9a1fc71a-0cd2-4715-bad3-e942b563a5a8"]}],"mendeley":{"formattedCitation":"(Cherubini et al., 2018)","manualFormatting":"Cherubini et al. (2018)","plainTextFormattedCitation":"(Cherubini et al., 2018)","previouslyFormattedCitation":"&lt;sup&gt;85&lt;/sup&gt;"},"properties":{"noteIndex":0},"schema":"https://github.com/citation-style-language/schema/raw/master/csl-citation.json"}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Cherubini et al. (</w:t>
            </w:r>
            <w:r w:rsidRPr="008427C7">
              <w:rPr>
                <w:rFonts w:ascii="Calibri" w:eastAsia="Times New Roman" w:hAnsi="Calibri" w:cs="Calibri"/>
                <w:noProof/>
                <w:color w:val="000000"/>
                <w:sz w:val="18"/>
                <w:szCs w:val="18"/>
                <w:lang w:eastAsia="en-CA"/>
              </w:rPr>
              <w:t>2018)</w:t>
            </w:r>
            <w:r w:rsidRPr="00BF29E4">
              <w:rPr>
                <w:rFonts w:ascii="Calibri" w:eastAsia="Times New Roman" w:hAnsi="Calibri" w:cs="Calibri"/>
                <w:color w:val="000000"/>
                <w:sz w:val="18"/>
                <w:szCs w:val="18"/>
                <w:lang w:eastAsia="en-CA"/>
              </w:rPr>
              <w:fldChar w:fldCharType="end"/>
            </w:r>
          </w:p>
        </w:tc>
        <w:tc>
          <w:tcPr>
            <w:tcW w:w="1417" w:type="dxa"/>
            <w:noWrap/>
            <w:vAlign w:val="center"/>
            <w:hideMark/>
          </w:tcPr>
          <w:p w14:paraId="05B097F3"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swine</w:t>
            </w:r>
          </w:p>
        </w:tc>
        <w:tc>
          <w:tcPr>
            <w:tcW w:w="3544" w:type="dxa"/>
            <w:noWrap/>
            <w:vAlign w:val="center"/>
            <w:hideMark/>
          </w:tcPr>
          <w:p w14:paraId="62C1FC7F"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multi-functional processes: grain processing (soybean and maize), animal rearing, manure management system, slaughtering. Piglets, sows, boars, swine in animal rearing and for swine carcasses and their co-products in the slaughterhouse stage, manure, soybean meal and oil, maize grain</w:t>
            </w:r>
          </w:p>
        </w:tc>
        <w:tc>
          <w:tcPr>
            <w:tcW w:w="4961" w:type="dxa"/>
            <w:noWrap/>
            <w:vAlign w:val="center"/>
            <w:hideMark/>
          </w:tcPr>
          <w:p w14:paraId="47008F52"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substitution/system expansion; economic; mass; for manure allocation occurs after manure management system before application in soil (as opposed to before sending manure to management system). No mass allocation of electricity/heat to manure management system because energy does not have a weight so system expansion, so products are meat, electricity and heat</w:t>
            </w:r>
          </w:p>
        </w:tc>
      </w:tr>
      <w:tr w:rsidR="00340E4E" w:rsidRPr="008427C7" w14:paraId="48C58AE0" w14:textId="77777777" w:rsidTr="00DA1C73">
        <w:trPr>
          <w:trHeight w:val="290"/>
        </w:trPr>
        <w:tc>
          <w:tcPr>
            <w:tcW w:w="1164" w:type="dxa"/>
            <w:noWrap/>
            <w:vAlign w:val="center"/>
          </w:tcPr>
          <w:p w14:paraId="06488983" w14:textId="466D4EC4"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lastRenderedPageBreak/>
              <w:fldChar w:fldCharType="begin" w:fldLock="1"/>
            </w:r>
            <w:r w:rsidR="00C27421">
              <w:rPr>
                <w:rFonts w:ascii="Calibri" w:eastAsia="Times New Roman" w:hAnsi="Calibri" w:cs="Calibri"/>
                <w:color w:val="000000"/>
                <w:sz w:val="18"/>
                <w:szCs w:val="18"/>
                <w:lang w:eastAsia="en-CA"/>
              </w:rPr>
              <w:instrText>ADDIN CSL_CITATION {"citationItems":[{"id":"ITEM-1","itemData":{"DOI":"10.3390/su132111693","ISSN":"20711050","abstract":"Pork is one of the proteins of greatest demand worldwide. This study has evaluated the environmental sustainability of pig production by applying the life cycle assessment methodological framework. The system boundaries include feed production, pig production, slaughtering, and slaughterhouse by‐product management. Within this context, three scenarios have been proposed: the first related to the management of slaughter by‐products in an open dump, the second contem-plates a model for using these by‐products in a rendering plant, and a third where the environmental burden of slaughterhouse co‐products is portioned according to economic allocation. The primary data collected correspond to the period of 2019 for the facilities of a producer in a coastal province of Ecuador. Three functional units were used—“1 kilogram of pig carcass at the slaughterhouse gate”, “1 kilogram pig live weigh at the farm gate”, and “1 kilogram of feed at the plant gate”. The impact categories included were global warming, fossil depletion, marine eutrophication, ozone layer depletion, particulate matter formation, photochemical oxidation formation, and ter-restrial acidification. The results revealed that the production of ingredients for feed is the largest contributor to the environmental burden of pig and pork. The rendering of slaughter by‐products that avoid the production of other fats and proteins results in a lower environmental impact than the other scenarios in almost all categories.","author":[{"dropping-particle":"","family":"Pazmiño","given":"Mayra L.","non-dropping-particle":"","parse-names":false,"suffix":""},{"dropping-particle":"","family":"Ramirez","given":"Angel D.","non-dropping-particle":"","parse-names":false,"suffix":""}],"container-title":"Sustainability (Switzerland)","id":"ITEM-1","issue":"21","issued":{"date-parts":[["2021"]]},"title":"Life cycle assessment as a methodological framework for the evaluation of the environmental sustainability of pig and pork production in Ecuador","type":"article-journal","volume":"13"},"uris":["http://www.mendeley.com/documents/?uuid=1619bc58-a818-4ca7-a3e8-256724f0e630"]}],"mendeley":{"formattedCitation":"(Pazmiño and Ramirez, 2021)","manualFormatting":"Pazmiño and Ramirez (2021)","plainTextFormattedCitation":"(Pazmiño and Ramirez, 2021)","previouslyFormattedCitation":"&lt;sup&gt;86&lt;/sup&gt;"},"properties":{"noteIndex":0},"schema":"https://github.com/citation-style-language/schema/raw/master/csl-citation.json"}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Pazmiño and Ramirez (</w:t>
            </w:r>
            <w:r w:rsidRPr="008427C7">
              <w:rPr>
                <w:rFonts w:ascii="Calibri" w:eastAsia="Times New Roman" w:hAnsi="Calibri" w:cs="Calibri"/>
                <w:noProof/>
                <w:color w:val="000000"/>
                <w:sz w:val="18"/>
                <w:szCs w:val="18"/>
                <w:lang w:eastAsia="en-CA"/>
              </w:rPr>
              <w:t>2021)</w:t>
            </w:r>
            <w:r w:rsidRPr="00BF29E4">
              <w:rPr>
                <w:rFonts w:ascii="Calibri" w:eastAsia="Times New Roman" w:hAnsi="Calibri" w:cs="Calibri"/>
                <w:color w:val="000000"/>
                <w:sz w:val="18"/>
                <w:szCs w:val="18"/>
                <w:lang w:eastAsia="en-CA"/>
              </w:rPr>
              <w:fldChar w:fldCharType="end"/>
            </w:r>
          </w:p>
        </w:tc>
        <w:tc>
          <w:tcPr>
            <w:tcW w:w="1417" w:type="dxa"/>
            <w:noWrap/>
            <w:vAlign w:val="center"/>
          </w:tcPr>
          <w:p w14:paraId="27D01BDE"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pork</w:t>
            </w:r>
          </w:p>
        </w:tc>
        <w:tc>
          <w:tcPr>
            <w:tcW w:w="3544" w:type="dxa"/>
            <w:noWrap/>
            <w:vAlign w:val="center"/>
          </w:tcPr>
          <w:p w14:paraId="75C9CCBE"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pork and slaughter co-products</w:t>
            </w:r>
          </w:p>
        </w:tc>
        <w:tc>
          <w:tcPr>
            <w:tcW w:w="4961" w:type="dxa"/>
            <w:noWrap/>
            <w:vAlign w:val="center"/>
          </w:tcPr>
          <w:p w14:paraId="59C07E99"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economic</w:t>
            </w:r>
          </w:p>
        </w:tc>
      </w:tr>
      <w:tr w:rsidR="00340E4E" w:rsidRPr="008427C7" w14:paraId="3DEE4F2C" w14:textId="77777777" w:rsidTr="00DA1C73">
        <w:trPr>
          <w:trHeight w:val="290"/>
        </w:trPr>
        <w:tc>
          <w:tcPr>
            <w:tcW w:w="1164" w:type="dxa"/>
            <w:noWrap/>
            <w:vAlign w:val="center"/>
          </w:tcPr>
          <w:p w14:paraId="5D6D7E4D" w14:textId="11BFE0B2"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{"citationItems":[{"id":"ITEM-1","itemData":{"DOI":"10.1007/s11367-016-1249-8","ISBN":"0948-3349, 1614-7502","ISSN":"0948-3349","abstract":"Purpose The purpose of this study was to test the chainorganization environmental footprint (chain-OEF) approach by applying it to part of a pork production chain in Belgium. The approach is supposed to provide insight into the environmental impact of a specific production chain in an efficient manner by applying pragmatic data collection throughout the chain. This is achieved by allocating the environmental impact of each of the production sites to the product of interest using straightforward allocation rules. Methods The cradle-to-gate (up to retail) environmental impact of pork was determined by life cycle assessment (LCA), in line with the product and organisation environmental footprint guidelines (PEF and OEF; European Commission 2013b). Foreground data was gathered at a feed production site, two farmers, a slaughterhouse and a meat processing site. All foreground operations are part of the same pork production chain in Belgium. The chain was completed using background data from Ecoinvent v3.01 (Wernet et al. 2016), Agri-Footprint v1.0 (Blonk 2014), European Life Cycle Database v3.0, LCA Food Database (Nielsen et al. 2003) and OEF Sector Rules Retail (Humbert et al. 2015b). The impact was quantified using the international reference life cycle data system (ILCD) midpoint method for 14 impact categories, but focussing on climate change. Results and discussion The total carbon footprint of the cradle-to-gate pork production system equals 0.46 kg CO2-eq. (100 g pork)−1 . This result is quite similar to that of earlier studies analysing the pork production chain: 0.58 and 0.57 kg CO2-eq. (100 g pork)−1 (Bracquené et al. 2011, Agri-Footprint 2014). Most of the carbon footprint was caused by feed production and more specifically, by the feed ingredients and their transport. Grains, soy and palm oil have the largest impact contributions. The farms are responsible for most of the remaining impact. N2O and CH4 emissions are the largest cause of greenhouse gas emissions at the farms. Also, in the other 13 considered impact categories, feed production and farming are responsible for more than half of the total impact, mostly followed by meat processing. Conclusions Applying the chain-OEF approach in this study has shown that a chain LCA can be performed successfully and pragmatic data collection allows obtaining LCA results relatively fast, especially for small or medium-sized enterprises (SMEs). Whereas data availability was not such an issue, the main bot…","author":[{"dropping-particle":"","family":"Six","given":"Lasse","non-dropping-particle":"","parse-names":false,"suffix":""},{"dropping-particle":"","family":"Wilde","given":"Bruno","non-dropping-particle":"De","parse-names":false,"suffix":""},{"dropping-particle":"","family":"Vermeiren","given":"Frederic","non-dropping-particle":"","parse-names":false,"suffix":""},{"dropping-particle":"","family":"Hemelryck","given":"Steven","non-dropping-particle":"Van","parse-names":false,"suffix":""},{"dropping-particle":"","family":"Vercaeren","given":"Mieke","non-dropping-particle":"","parse-names":false,"suffix":""},{"dropping-particle":"","family":"Zamagni","given":"Alessandra","non-dropping-particle":"","parse-names":false,"suffix":""},{"dropping-particle":"","family":"Masoni","given":"Paolo","non-dropping-particle":"","parse-names":false,"suffix":""},{"dropping-particle":"","family":"Dewulf","given":"Jo","non-dropping-particle":"","parse-names":false,"suffix":""},{"dropping-particle":"","family":"Meester","given":"Steven","non-dropping-particle":"De","parse-names":false,"suffix":""}],"container-title":"The International Journal of Life Cycle Assessment","id":"ITEM-1","issue":"9","issued":{"date-parts":[["2017"]]},"page":"1354-1372","publisher":"The International Journal of Life Cycle Assessment","title":"Using the product environmental footprint for supply chain management: lessons learned from a case study on pork","type":"article-journal","volume":"22"},"uris":["http://www.mendeley.com/documents/?uuid=1e0c540e-b1fb-4400-bd09-3a44eb55a244"]}],"mendeley":{"formattedCitation":"(Six et al., 2017)","manualFormatting":"Six et al. (2017)","plainTextFormattedCitation":"(Six et al., 2017)","previouslyFormattedCitation":"&lt;sup&gt;87&lt;/sup&gt;"},"properties":{"noteIndex":0},"schema":"https://github.com/citation-style-language/schema/raw/master/csl-citation.json"}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Six et al. (</w:t>
            </w:r>
            <w:r w:rsidRPr="008427C7">
              <w:rPr>
                <w:rFonts w:ascii="Calibri" w:eastAsia="Times New Roman" w:hAnsi="Calibri" w:cs="Calibri"/>
                <w:noProof/>
                <w:color w:val="000000"/>
                <w:sz w:val="18"/>
                <w:szCs w:val="18"/>
                <w:lang w:eastAsia="en-CA"/>
              </w:rPr>
              <w:t>2017)</w:t>
            </w:r>
            <w:r w:rsidRPr="00BF29E4">
              <w:rPr>
                <w:rFonts w:ascii="Calibri" w:eastAsia="Times New Roman" w:hAnsi="Calibri" w:cs="Calibri"/>
                <w:color w:val="000000"/>
                <w:sz w:val="18"/>
                <w:szCs w:val="18"/>
                <w:lang w:eastAsia="en-CA"/>
              </w:rPr>
              <w:fldChar w:fldCharType="end"/>
            </w:r>
          </w:p>
        </w:tc>
        <w:tc>
          <w:tcPr>
            <w:tcW w:w="1417" w:type="dxa"/>
            <w:noWrap/>
            <w:vAlign w:val="center"/>
          </w:tcPr>
          <w:p w14:paraId="4C934263"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pork</w:t>
            </w:r>
          </w:p>
        </w:tc>
        <w:tc>
          <w:tcPr>
            <w:tcW w:w="3544" w:type="dxa"/>
            <w:noWrap/>
            <w:vAlign w:val="center"/>
          </w:tcPr>
          <w:p w14:paraId="4866B7D1"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 pork co-products</w:t>
            </w:r>
          </w:p>
        </w:tc>
        <w:tc>
          <w:tcPr>
            <w:tcW w:w="4961" w:type="dxa"/>
            <w:noWrap/>
            <w:vAlign w:val="center"/>
          </w:tcPr>
          <w:p w14:paraId="27A69D53"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economic allocation for products; employee commuting data allocated by mass</w:t>
            </w:r>
          </w:p>
        </w:tc>
      </w:tr>
      <w:tr w:rsidR="00340E4E" w:rsidRPr="008427C7" w14:paraId="0EC2D1B6" w14:textId="77777777" w:rsidTr="00DA1C73">
        <w:trPr>
          <w:trHeight w:val="290"/>
        </w:trPr>
        <w:tc>
          <w:tcPr>
            <w:tcW w:w="1164" w:type="dxa"/>
            <w:noWrap/>
            <w:vAlign w:val="center"/>
          </w:tcPr>
          <w:p w14:paraId="7A60128A" w14:textId="11B3B885"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sz w:val="18"/>
                <w:szCs w:val="18"/>
              </w:rPr>
              <w:fldChar w:fldCharType="begin" w:fldLock="1"/>
            </w:r>
            <w:r w:rsidR="00C27421">
              <w:rPr>
                <w:sz w:val="18"/>
                <w:szCs w:val="18"/>
              </w:rPr>
              <w:instrText>ADDIN CSL_CITATION {"citationItems":[{"id":"ITEM-1","itemData":{"DOI":"10.1016/j.jclepro.2020.123046","ISSN":"09596526","abstract":"The organic farming of laying hens is experiencing a growing trend in Italy, following an increase in consumer demand for organic eggs. The present study aimed to investigate the environmental performance of organic egg production for the first time in the Italian context. To this end, the Life Cycle Assessment (LCA) of organic egg production in a farm rearing laying hens located in Northern Italy was performed. The analysis was carried out in a cradle to farm gate perspective, with 1 kg of eggs selected as functional unit. Primary data relating to animal performances and resources consumed was collected on site, and subsequently integrated with secondary data, including estimates of manure-related emissions. In order to model in a representative way the organic feed consumed, data relating to typical cropping systems of the country has been used for the various ingredients, keeping the organic production method specifications into account. Inventory data was then converted on an annual basis and characterized using the ILCD method, and twelve impact categories were assessed. Moreover, the influence on impact results of different allocation choices and efficiency in terms of hen-day egg production were explored with a sensitivity analysis. The main environmental burden for organic egg production showed to be feed production and supply, with a share ranging from 49% to 87% over all the evaluated impact categories. Other hotspots are pullets rearing, responsible for a share between 10 and 14% over all categories, and manure-related emissions, which weighed significantly for PM (35%), TA (39%) and TE (39%). A value for CC of 1.56 kg CO2 eq/kg shelled eggs was obtained, thanks to good production performances together with some benefits given by organic feed use, particularly the avoidance of mineral fertilizer consumption and of land use change related emission. At the same time, the results show clearly that environmental improvements should be sought primarily in the same feed area. This must be done both on-farm, which was highlighted also by the sensitivity analysis on hen-day egg production, and at the supply chain level, acting on the impact related to crop production and pullets rearing phases. Starting from the results, some environmental weaknesses and strengths of organic farming have been discussed. Future studies must further investigate the impact of this rearing system in a wider perspective and explore possible scenarios of mitigation practices.","author":[{"dropping-particle":"","family":"Costantini","given":"Michele","non-dropping-particle":"","parse-names":false,"suffix":""},{"dropping-particle":"","family":"Lovarelli","given":"Daniela","non-dropping-particle":"","parse-names":false,"suffix":""},{"dropping-particle":"","family":"Orsi","given":"Luigi","non-dropping-particle":"","parse-names":false,"suffix":""},{"dropping-particle":"","family":"Ganzaroli","given":"Andrea","non-dropping-particle":"","parse-names":false,"suffix":""},{"dropping-particle":"","family":"Ferrante","given":"Valentina","non-dropping-particle":"","parse-names":false,"suffix":""},{"dropping-particle":"","family":"Febo","given":"Pierluigi","non-dropping-particle":"","parse-names":false,"suffix":""},{"dropping-particle":"","family":"Guarino","given":"Marcella","non-dropping-particle":"","parse-names":false,"suffix":""},{"dropping-particle":"","family":"Bacenetti","given":"Jacopo","non-dropping-particle":"","parse-names":false,"suffix":""}],"container-title":"Journal of Cleaner Production","id":"ITEM-1","issued":{"date-parts":[["2020"]]},"page":"123046","publisher":"Elsevier Ltd","title":"Investigating on the environmental sustainability of animal products: The case of organic eggs","type":"article-journal","volume":"274"},"uris":["http://www.mendeley.com/documents/?uuid=2c0da82c-75cf-4d1a-a01d-cb14f72c6e01"]}],"mendeley":{"formattedCitation":"(Costantini et al., 2020)","manualFormatting":"Costantini et al. (2020)","plainTextFormattedCitation":"(Costantini et al., 2020)","previouslyFormattedCitation":"&lt;sup&gt;88&lt;/sup&gt;"},"properties":{"noteIndex":0},"schema":"https://github.com/citation-style-language/schema/raw/master/csl-citation.json"}</w:instrText>
            </w:r>
            <w:r w:rsidRPr="00BF29E4">
              <w:rPr>
                <w:sz w:val="18"/>
                <w:szCs w:val="18"/>
              </w:rPr>
              <w:fldChar w:fldCharType="separate"/>
            </w:r>
            <w:r w:rsidRPr="00BF29E4">
              <w:rPr>
                <w:noProof/>
                <w:sz w:val="18"/>
                <w:szCs w:val="18"/>
              </w:rPr>
              <w:t>Costantini et al. (</w:t>
            </w:r>
            <w:r w:rsidRPr="008427C7">
              <w:rPr>
                <w:noProof/>
                <w:sz w:val="18"/>
                <w:szCs w:val="18"/>
              </w:rPr>
              <w:t>2020)</w:t>
            </w:r>
            <w:r w:rsidRPr="00BF29E4">
              <w:rPr>
                <w:sz w:val="18"/>
                <w:szCs w:val="18"/>
              </w:rPr>
              <w:fldChar w:fldCharType="end"/>
            </w:r>
          </w:p>
        </w:tc>
        <w:tc>
          <w:tcPr>
            <w:tcW w:w="1417" w:type="dxa"/>
            <w:noWrap/>
            <w:vAlign w:val="center"/>
          </w:tcPr>
          <w:p w14:paraId="52B423E1"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sz w:val="18"/>
                <w:szCs w:val="18"/>
              </w:rPr>
              <w:t>eggs</w:t>
            </w:r>
          </w:p>
        </w:tc>
        <w:tc>
          <w:tcPr>
            <w:tcW w:w="3544" w:type="dxa"/>
            <w:noWrap/>
            <w:vAlign w:val="center"/>
          </w:tcPr>
          <w:p w14:paraId="63D1505E"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sz w:val="18"/>
                <w:szCs w:val="18"/>
              </w:rPr>
              <w:t>eggs and meat</w:t>
            </w:r>
          </w:p>
        </w:tc>
        <w:tc>
          <w:tcPr>
            <w:tcW w:w="4961" w:type="dxa"/>
            <w:noWrap/>
            <w:vAlign w:val="center"/>
          </w:tcPr>
          <w:p w14:paraId="700519FC"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sz w:val="18"/>
                <w:szCs w:val="18"/>
              </w:rPr>
              <w:t>not allocated (attributed entirely to eggs), sensitivity analysis for biophysical allocation (metabolizable energy requirements for growth and egg productions) and economic</w:t>
            </w:r>
          </w:p>
        </w:tc>
      </w:tr>
      <w:tr w:rsidR="00340E4E" w:rsidRPr="008427C7" w14:paraId="227FE4EC" w14:textId="77777777" w:rsidTr="00DA1C73">
        <w:trPr>
          <w:trHeight w:val="290"/>
        </w:trPr>
        <w:tc>
          <w:tcPr>
            <w:tcW w:w="1164" w:type="dxa"/>
            <w:noWrap/>
            <w:vAlign w:val="center"/>
          </w:tcPr>
          <w:p w14:paraId="62F3DBA7" w14:textId="596E424D" w:rsidR="00340E4E" w:rsidRPr="00BF29E4" w:rsidRDefault="00340E4E" w:rsidP="00C821FE">
            <w:pPr>
              <w:spacing w:after="0" w:line="240" w:lineRule="auto"/>
              <w:rPr>
                <w:sz w:val="18"/>
                <w:szCs w:val="18"/>
              </w:rPr>
            </w:pPr>
            <w:r w:rsidRPr="00BF29E4">
              <w:rPr>
                <w:sz w:val="18"/>
                <w:szCs w:val="18"/>
              </w:rPr>
              <w:fldChar w:fldCharType="begin" w:fldLock="1"/>
            </w:r>
            <w:r w:rsidR="00C27421">
              <w:rPr>
                <w:sz w:val="18"/>
                <w:szCs w:val="18"/>
              </w:rPr>
              <w:instrText>ADDIN CSL_CITATION {"citationItems":[{"id":"ITEM-1","itemData":{"DOI":"10.1016/j.jclepro.2019.118241","ISSN":"09596526","abstract":"This study demonstrates the effect of better accounting for feed-food competition in life cycle assessment (LCA) to derive mitigation strategies that contribute to efficiently feeding the growing world population. Economic allocation, commonly used in LCA, falls short in accounting for feed-food competition as it does not consider interlinkages in the food system. The authors hypothesise that an alternative “food-based” allocation better accounts for food-feed competition by assigning no environmental impact to feed products unfit for human consumption. To evaluate the impact of accounting for feed-food competition on LCA results, economic and food-based allocation were compared in an LCA of a novel egg production system that feeds only products unsuitable or undesired for human consumption. Using economic allocation, the global warming potential (GWP) of 1.30 kg CO2-eq, energy use (EU) of 10.49 MJ, land use (LU) of 2.90 m2, and land use ratio (LUR) of 1.56 per kg egg of the case study farm were all lower than that of free range or organic eggs. Avoiding feed-food competition on this farm reduced the environmental impact per kg egg by 56–65% for GWP, 46–54% for EU, 35–48% for LU and 88% for LUR, compared to free-range laying hens fed a conventional diet. Accounting for feed-food competition with food-based allocation further reduced impacts per kg egg by 44% for GWP to 0.57 kg CO2-eq, 38% for EU to 4.05 MJ, 90% for LU to 2.59 m2, and 83% for LUR to 1.29. This improved LCA better captures the complexity of the food system.","author":[{"dropping-particle":"","family":"Hal","given":"O.","non-dropping-particle":"van","parse-names":false,"suffix":""},{"dropping-particle":"","family":"Weijenberg","given":"A. A.A.","non-dropping-particle":"","parse-names":false,"suffix":""},{"dropping-particle":"","family":"Boer","given":"I. J.M.","non-dropping-particle":"de","parse-names":false,"suffix":""},{"dropping-particle":"","family":"Zanten","given":"H. H.E.","non-dropping-particle":"van","parse-names":false,"suffix":""}],"container-title":"Journal of Cleaner Production","id":"ITEM-1","issued":{"date-parts":[["2019"]]},"title":"Accounting for feed-food competition in environmental impact assessment: Towards a resource efficient food-system","type":"article-journal","volume":"240"},"uris":["http://www.mendeley.com/documents/?uuid=5e8acea8-f8fa-41ea-9dfb-1359745c3d87"]}],"mendeley":{"formattedCitation":"(van Hal et al., 2019)","manualFormatting":"van Hal et al. (2019)","plainTextFormattedCitation":"(van Hal et al., 2019)","previouslyFormattedCitation":"&lt;sup&gt;89&lt;/sup&gt;"},"properties":{"noteIndex":0},"schema":"https://github.com/citation-style-language/schema/raw/master/csl-citation.json"}</w:instrText>
            </w:r>
            <w:r w:rsidRPr="00BF29E4">
              <w:rPr>
                <w:sz w:val="18"/>
                <w:szCs w:val="18"/>
              </w:rPr>
              <w:fldChar w:fldCharType="separate"/>
            </w:r>
            <w:r w:rsidRPr="00BF29E4">
              <w:rPr>
                <w:noProof/>
                <w:sz w:val="18"/>
                <w:szCs w:val="18"/>
              </w:rPr>
              <w:t>van Hal et al. (</w:t>
            </w:r>
            <w:r w:rsidRPr="008427C7">
              <w:rPr>
                <w:noProof/>
                <w:sz w:val="18"/>
                <w:szCs w:val="18"/>
              </w:rPr>
              <w:t>2019)</w:t>
            </w:r>
            <w:r w:rsidRPr="00BF29E4">
              <w:rPr>
                <w:sz w:val="18"/>
                <w:szCs w:val="18"/>
              </w:rPr>
              <w:fldChar w:fldCharType="end"/>
            </w:r>
          </w:p>
        </w:tc>
        <w:tc>
          <w:tcPr>
            <w:tcW w:w="1417" w:type="dxa"/>
            <w:noWrap/>
            <w:vAlign w:val="center"/>
          </w:tcPr>
          <w:p w14:paraId="403E79C6" w14:textId="77777777" w:rsidR="00340E4E" w:rsidRPr="008427C7" w:rsidRDefault="00340E4E" w:rsidP="00C821FE">
            <w:pPr>
              <w:spacing w:after="0" w:line="240" w:lineRule="auto"/>
              <w:rPr>
                <w:sz w:val="18"/>
                <w:szCs w:val="18"/>
              </w:rPr>
            </w:pPr>
            <w:r w:rsidRPr="008427C7">
              <w:rPr>
                <w:sz w:val="18"/>
                <w:szCs w:val="18"/>
              </w:rPr>
              <w:t>eggs</w:t>
            </w:r>
          </w:p>
        </w:tc>
        <w:tc>
          <w:tcPr>
            <w:tcW w:w="3544" w:type="dxa"/>
            <w:noWrap/>
            <w:vAlign w:val="center"/>
          </w:tcPr>
          <w:p w14:paraId="37D26E2E" w14:textId="77777777" w:rsidR="00340E4E" w:rsidRPr="008427C7" w:rsidRDefault="00340E4E" w:rsidP="00C821FE">
            <w:pPr>
              <w:spacing w:after="0" w:line="240" w:lineRule="auto"/>
              <w:rPr>
                <w:sz w:val="18"/>
                <w:szCs w:val="18"/>
              </w:rPr>
            </w:pPr>
            <w:r w:rsidRPr="008427C7">
              <w:rPr>
                <w:sz w:val="18"/>
                <w:szCs w:val="18"/>
              </w:rPr>
              <w:t>feed co-products</w:t>
            </w:r>
          </w:p>
        </w:tc>
        <w:tc>
          <w:tcPr>
            <w:tcW w:w="4961" w:type="dxa"/>
            <w:noWrap/>
            <w:vAlign w:val="center"/>
          </w:tcPr>
          <w:p w14:paraId="1ED9BEF8" w14:textId="77777777" w:rsidR="00340E4E" w:rsidRPr="008427C7" w:rsidRDefault="00340E4E" w:rsidP="00C821FE">
            <w:pPr>
              <w:spacing w:after="0" w:line="240" w:lineRule="auto"/>
              <w:rPr>
                <w:sz w:val="18"/>
                <w:szCs w:val="18"/>
              </w:rPr>
            </w:pPr>
            <w:r w:rsidRPr="008427C7">
              <w:rPr>
                <w:sz w:val="18"/>
                <w:szCs w:val="18"/>
              </w:rPr>
              <w:t>food-based, compared with economic</w:t>
            </w:r>
          </w:p>
        </w:tc>
      </w:tr>
      <w:tr w:rsidR="00340E4E" w:rsidRPr="008427C7" w14:paraId="0F4D8F7D" w14:textId="77777777" w:rsidTr="00DA1C73">
        <w:trPr>
          <w:trHeight w:val="290"/>
        </w:trPr>
        <w:tc>
          <w:tcPr>
            <w:tcW w:w="1164" w:type="dxa"/>
            <w:noWrap/>
            <w:vAlign w:val="center"/>
          </w:tcPr>
          <w:p w14:paraId="1F7DE763" w14:textId="3020E0C5" w:rsidR="00340E4E" w:rsidRPr="00BF29E4" w:rsidRDefault="00340E4E" w:rsidP="00C821FE">
            <w:pPr>
              <w:spacing w:after="0" w:line="240" w:lineRule="auto"/>
              <w:rPr>
                <w:sz w:val="18"/>
                <w:szCs w:val="18"/>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{"citationItems":[{"id":"ITEM-1","itemData":{"DOI":"10.1007/s11367-017-1340-9","ISBN":"09483349 (ISSN)","ISSN":"16147502","abstract":"Animal by-products may be increasingly relied upon to satisfy nutritional requirements of salmonids and other fed aquaculture species as demand for fish meal outpaces supply. Previous studies of aquaculture supply chains have included either no animal by-product inputs or small inputs of poultry by-products. Australian Atlantic salmon production includes high use of feed inputs derived from poultry and mammalian by-products and provides a case study to explore the environmental implications and methodological challenges associated with these inputs.","author":[{"dropping-particle":"","family":"Parker","given":"Robert","non-dropping-particle":"","parse-names":false,"suffix":""}],"container-title":"International Journal of Life Cycle Assessment","id":"ITEM-1","issued":{"date-parts":[["2018"]]},"page":"982-994","publisher":"The International Journal of Life Cycle Assessment","title":"Implications of high animal by-product feed inputs in life cycle assessments of farmed Atlantic salmon","type":"article-journal","volume":"23"},"uris":["http://www.mendeley.com/documents/?uuid=5ae0c095-d18f-4a88-8135-fb525ba3fbff"]}],"mendeley":{"formattedCitation":"(Parker, 2018)","manualFormatting":"Parker (2018)","plainTextFormattedCitation":"(Parker, 2018)","previouslyFormattedCitation":"&lt;sup&gt;90&lt;/sup&gt;"},"properties":{"noteIndex":0},"schema":"https://github.com/citation-style-language/schema/raw/master/csl-citation.json"}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Parker (</w:t>
            </w:r>
            <w:r w:rsidRPr="008427C7">
              <w:rPr>
                <w:rFonts w:ascii="Calibri" w:eastAsia="Times New Roman" w:hAnsi="Calibri" w:cs="Calibri"/>
                <w:noProof/>
                <w:color w:val="000000"/>
                <w:sz w:val="18"/>
                <w:szCs w:val="18"/>
                <w:lang w:eastAsia="en-CA"/>
              </w:rPr>
              <w:t>2018)</w:t>
            </w:r>
            <w:r w:rsidRPr="00BF29E4">
              <w:rPr>
                <w:rFonts w:ascii="Calibri" w:eastAsia="Times New Roman" w:hAnsi="Calibri" w:cs="Calibri"/>
                <w:color w:val="000000"/>
                <w:sz w:val="18"/>
                <w:szCs w:val="18"/>
                <w:lang w:eastAsia="en-CA"/>
              </w:rPr>
              <w:fldChar w:fldCharType="end"/>
            </w:r>
          </w:p>
        </w:tc>
        <w:tc>
          <w:tcPr>
            <w:tcW w:w="1417" w:type="dxa"/>
            <w:noWrap/>
            <w:vAlign w:val="center"/>
          </w:tcPr>
          <w:p w14:paraId="3C22768A" w14:textId="77777777" w:rsidR="00340E4E" w:rsidRPr="008427C7" w:rsidRDefault="00340E4E" w:rsidP="00C821FE">
            <w:pPr>
              <w:spacing w:after="0" w:line="240" w:lineRule="auto"/>
              <w:rPr>
                <w:sz w:val="18"/>
                <w:szCs w:val="18"/>
              </w:rPr>
            </w:pPr>
            <w:r w:rsidRPr="008427C7">
              <w:rPr>
                <w:rFonts w:ascii="Calibri" w:eastAsia="Times New Roman" w:hAnsi="Calibri" w:cs="Calibri"/>
                <w:color w:val="000000"/>
                <w:sz w:val="18"/>
                <w:szCs w:val="18"/>
                <w:lang w:eastAsia="en-CA"/>
              </w:rPr>
              <w:t>salmon</w:t>
            </w:r>
          </w:p>
        </w:tc>
        <w:tc>
          <w:tcPr>
            <w:tcW w:w="3544" w:type="dxa"/>
            <w:noWrap/>
            <w:vAlign w:val="center"/>
          </w:tcPr>
          <w:p w14:paraId="112A611B" w14:textId="77777777" w:rsidR="00340E4E" w:rsidRPr="008427C7" w:rsidRDefault="00340E4E" w:rsidP="00C821FE">
            <w:pPr>
              <w:spacing w:after="0" w:line="240" w:lineRule="auto"/>
              <w:rPr>
                <w:sz w:val="18"/>
                <w:szCs w:val="18"/>
              </w:rPr>
            </w:pPr>
            <w:r w:rsidRPr="008427C7">
              <w:rPr>
                <w:rFonts w:ascii="Calibri" w:eastAsia="Times New Roman" w:hAnsi="Calibri" w:cs="Calibri"/>
                <w:color w:val="000000"/>
                <w:sz w:val="18"/>
                <w:szCs w:val="18"/>
                <w:lang w:eastAsia="en-CA"/>
              </w:rPr>
              <w:t>co-products from crop, fishery, animal by-product feed inputs; fish mortalities, sludge for compost, fish product; animal co-products at slaughter</w:t>
            </w:r>
          </w:p>
        </w:tc>
        <w:tc>
          <w:tcPr>
            <w:tcW w:w="4961" w:type="dxa"/>
            <w:noWrap/>
            <w:vAlign w:val="center"/>
          </w:tcPr>
          <w:p w14:paraId="21DBFB8A" w14:textId="77777777" w:rsidR="00340E4E" w:rsidRPr="008427C7" w:rsidRDefault="00340E4E" w:rsidP="00C821FE">
            <w:pPr>
              <w:spacing w:after="0" w:line="240" w:lineRule="auto"/>
              <w:rPr>
                <w:sz w:val="18"/>
                <w:szCs w:val="18"/>
              </w:rPr>
            </w:pPr>
            <w:r w:rsidRPr="008427C7">
              <w:rPr>
                <w:rFonts w:ascii="Calibri" w:eastAsia="Times New Roman" w:hAnsi="Calibri" w:cs="Calibri"/>
                <w:color w:val="000000"/>
                <w:sz w:val="18"/>
                <w:szCs w:val="18"/>
                <w:lang w:eastAsia="en-CA"/>
              </w:rPr>
              <w:t>energy density/biophysical; system expansion (sludge replaces fertilizers) and mortalities excluded; mass</w:t>
            </w:r>
          </w:p>
        </w:tc>
      </w:tr>
      <w:tr w:rsidR="00340E4E" w:rsidRPr="008427C7" w14:paraId="266779D5" w14:textId="77777777" w:rsidTr="00DA1C73">
        <w:trPr>
          <w:trHeight w:val="290"/>
        </w:trPr>
        <w:tc>
          <w:tcPr>
            <w:tcW w:w="1164" w:type="dxa"/>
            <w:noWrap/>
            <w:vAlign w:val="center"/>
          </w:tcPr>
          <w:p w14:paraId="2D866449" w14:textId="1343B5AB" w:rsidR="00340E4E" w:rsidRPr="00BF29E4" w:rsidRDefault="00340E4E" w:rsidP="00C821FE">
            <w:pPr>
              <w:spacing w:after="0" w:line="240" w:lineRule="auto"/>
              <w:rPr>
                <w:sz w:val="18"/>
                <w:szCs w:val="18"/>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{"citationItems":[{"id":"ITEM-1","itemData":{"DOI":"10.1007/s11367-017-1386-8","ISSN":"16147502","abstract":"Purpose The European Union relies on seafood imports to supply growing demand that European production has failed to meet. Politically motivated media reports have denigrated competing imports in favour of local production. While life cycle assessment (LCA) measures global impact of value chains, it often fails to contextualise them. Using LCA, this article takes farmed Scottish Atlantic salmon as a case study of Blocal^ production to identify and map the contributions to global environmental impact. Methods Data on the Scottish salmon value chain were col-lected by structured survey from a large international feed mill, six farms and a major processor. Secondary data were collected from available literature on feed ingredients and background data from EcoInvent2.2. A mid-point CML2001 approach was adopted focussing on global warming potential (GWP), acidification potential (AP), eutrophication potential, ozone depletion potential, photo-chemical oxidation potential, consumptive water use and land use. Results were displayed as contribution analyses of materials and processes and mapped geographically using area plots. Results and discussion Far from being a Blocally^ produced commodity, nearly 50% of the feed ingredients were sourced from South America and less than 25% originated in the UK. It was found that over 90% of the impact to farm-gate was embodied in feed, apart from eutrophication potential which was high at the farm from direct nitrogenous emissions into the marine environment. The majority of impacts do not occur in Scotland, particularly for land and water use, which occur at a more geographically significant level than GWP or AP, which are more global or regional impacts, respectively. High GWP emissions from vegetable-based ingredients were related to soil management and energy intensive processes such as wet milling to produce gluten from wheat and maize, sunflower and rapeseed oil processing. Conclusions The results show that in an age of globalised commodity trading, concerns around Blocal^ production are often misleading. As consumers try to make more responsible purchase choices, they may be misled over the global impacts their choices are having. There are clearly trade-offs between different feed ingredients, especially regarding substitution of marine ingredients with those of vegetable origin. While ma-rine ingredients perform comparatively well, they are highly limited, and biodiversity impacts of different ingredients are les…","author":[{"dropping-particle":"","family":"Newton","given":"Richard W.","non-dropping-particle":"","parse-names":false,"suffix":""},{"dropping-particle":"","family":"Little","given":"David C.","non-dropping-particle":"","parse-names":false,"suffix":""}],"container-title":"International Journal of Life Cycle Assessment","id":"ITEM-1","issued":{"date-parts":[["2018"]]},"page":"1018-1029","publisher":"The International Journal of Life Cycle Assessment","title":"Mapping the impacts of farmed Scottish salmon from a life cycle perspective","type":"article-journal","volume":"23"},"uris":["http://www.mendeley.com/documents/?uuid=3f477804-9462-46bb-866e-f7c699bac788"]}],"mendeley":{"formattedCitation":"(Newton and Little, 2018)","manualFormatting":"Newton and Little (2018)","plainTextFormattedCitation":"(Newton and Little, 2018)","previouslyFormattedCitation":"&lt;sup&gt;91&lt;/sup&gt;"},"properties":{"noteIndex":0},"schema":"https://github.com/citation-style-language/schema/raw/master/csl-citation.json"}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Newton and Little (</w:t>
            </w:r>
            <w:r w:rsidRPr="008427C7">
              <w:rPr>
                <w:rFonts w:ascii="Calibri" w:eastAsia="Times New Roman" w:hAnsi="Calibri" w:cs="Calibri"/>
                <w:noProof/>
                <w:color w:val="000000"/>
                <w:sz w:val="18"/>
                <w:szCs w:val="18"/>
                <w:lang w:eastAsia="en-CA"/>
              </w:rPr>
              <w:t>2018)</w:t>
            </w:r>
            <w:r w:rsidRPr="00BF29E4">
              <w:rPr>
                <w:rFonts w:ascii="Calibri" w:eastAsia="Times New Roman" w:hAnsi="Calibri" w:cs="Calibri"/>
                <w:color w:val="000000"/>
                <w:sz w:val="18"/>
                <w:szCs w:val="18"/>
                <w:lang w:eastAsia="en-CA"/>
              </w:rPr>
              <w:fldChar w:fldCharType="end"/>
            </w:r>
          </w:p>
        </w:tc>
        <w:tc>
          <w:tcPr>
            <w:tcW w:w="1417" w:type="dxa"/>
            <w:noWrap/>
            <w:vAlign w:val="center"/>
          </w:tcPr>
          <w:p w14:paraId="17C20F00" w14:textId="77777777" w:rsidR="00340E4E" w:rsidRPr="008427C7" w:rsidRDefault="00340E4E" w:rsidP="00C821FE">
            <w:pPr>
              <w:spacing w:after="0" w:line="240" w:lineRule="auto"/>
              <w:rPr>
                <w:sz w:val="18"/>
                <w:szCs w:val="18"/>
              </w:rPr>
            </w:pPr>
            <w:r w:rsidRPr="008427C7">
              <w:rPr>
                <w:rFonts w:ascii="Calibri" w:eastAsia="Times New Roman" w:hAnsi="Calibri" w:cs="Calibri"/>
                <w:color w:val="000000"/>
                <w:sz w:val="18"/>
                <w:szCs w:val="18"/>
                <w:lang w:eastAsia="en-CA"/>
              </w:rPr>
              <w:t>salmon</w:t>
            </w:r>
          </w:p>
        </w:tc>
        <w:tc>
          <w:tcPr>
            <w:tcW w:w="3544" w:type="dxa"/>
            <w:noWrap/>
            <w:vAlign w:val="center"/>
          </w:tcPr>
          <w:p w14:paraId="0AC63B9C" w14:textId="77777777" w:rsidR="00340E4E" w:rsidRPr="008427C7" w:rsidRDefault="00340E4E" w:rsidP="00C821FE">
            <w:pPr>
              <w:spacing w:after="0" w:line="240" w:lineRule="auto"/>
              <w:rPr>
                <w:sz w:val="18"/>
                <w:szCs w:val="18"/>
              </w:rPr>
            </w:pPr>
            <w:r w:rsidRPr="008427C7">
              <w:rPr>
                <w:rFonts w:ascii="Calibri" w:eastAsia="Times New Roman" w:hAnsi="Calibri" w:cs="Calibri"/>
                <w:color w:val="000000"/>
                <w:sz w:val="18"/>
                <w:szCs w:val="18"/>
                <w:lang w:eastAsia="en-CA"/>
              </w:rPr>
              <w:t>salmon, fish oil, viscera</w:t>
            </w:r>
          </w:p>
        </w:tc>
        <w:tc>
          <w:tcPr>
            <w:tcW w:w="4961" w:type="dxa"/>
            <w:noWrap/>
            <w:vAlign w:val="center"/>
          </w:tcPr>
          <w:p w14:paraId="71E98385" w14:textId="77777777" w:rsidR="00340E4E" w:rsidRPr="008427C7" w:rsidRDefault="00340E4E" w:rsidP="00C821FE">
            <w:pPr>
              <w:spacing w:after="0" w:line="240" w:lineRule="auto"/>
              <w:rPr>
                <w:sz w:val="18"/>
                <w:szCs w:val="18"/>
              </w:rPr>
            </w:pPr>
            <w:r w:rsidRPr="008427C7">
              <w:rPr>
                <w:rFonts w:ascii="Calibri" w:eastAsia="Times New Roman" w:hAnsi="Calibri" w:cs="Calibri"/>
                <w:color w:val="000000"/>
                <w:sz w:val="18"/>
                <w:szCs w:val="18"/>
                <w:lang w:eastAsia="en-CA"/>
              </w:rPr>
              <w:t>subdivision; economic (mass as sensitivity)</w:t>
            </w:r>
          </w:p>
        </w:tc>
      </w:tr>
      <w:tr w:rsidR="00340E4E" w:rsidRPr="008427C7" w14:paraId="5EF92EF8" w14:textId="77777777" w:rsidTr="00DA1C73">
        <w:trPr>
          <w:trHeight w:val="290"/>
        </w:trPr>
        <w:tc>
          <w:tcPr>
            <w:tcW w:w="1164" w:type="dxa"/>
            <w:noWrap/>
            <w:vAlign w:val="center"/>
          </w:tcPr>
          <w:p w14:paraId="6AB9A53C" w14:textId="5DA4CBBD" w:rsidR="00340E4E" w:rsidRPr="00BF29E4" w:rsidRDefault="00340E4E" w:rsidP="00C821FE">
            <w:pPr>
              <w:spacing w:after="0" w:line="240" w:lineRule="auto"/>
              <w:rPr>
                <w:sz w:val="18"/>
                <w:szCs w:val="18"/>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{"citationItems":[{"id":"ITEM-1","itemData":{"DOI":"10.1016/j.jclepro.2017.07.069","ISBN":"1473-0189 (Electronic)\\r1473-0189 (Linking)","ISSN":"09596526","PMID":"22173785","abstract":"This study presents environmental impacts of rainbow trout production in Finland, when different raw materials for feed are used. The scenarios under consideration in this study are the present scenario, feed composition in 2009 and scenarios where Baltic herring is used as feed raw material resulting in nutrient circulation in the Baltic Sea area. The system boundaries included production of fish feed and feed raw materials and transports of them. Also considered were hatcheries, fish farming, fish processing and packaging, but these factors were assumed to be the same for all the scenarios. The environmental impacts considered were climate impact and aquatic eutrophication. According to the results, the present eutrophication impact of rainbow trout fillet is 40 kg PO4-eq/ton, when economic allocation was used between fillet and by-products of gutting and filleting. The eutrophication impact of the rainbow trout product chain in 2009 and 2016 were the same: the higher canola oil content increased eutrophication impact as much as the impact was reduced by lower phosphorus and nitrogen emissions of the fish farming stage during years 2009–2016. If all the fish-based raw materials for feed are replaced with Baltic Herring, the total eutrophication impact would be −48 kg PO4-eq/ton, when using 2009 feed formulations, but when using 2016 feed formulations the impact would be only −5 kg PO4-eq/ton because of lower fish raw material contents. The fuel consumption used when catching the Baltic herring capturing is about the same as catching the raw materials of fish meal and fish oil from the oceans, so changing the raw material from ocean-based fish to Baltic herring does not have an effect on climate impact of rainbow trout. Also the substitution of fish oil for canola oil does not cause major changes in climate impact. Scenarios where fish are caught and used directly for human consumption show that even more nutrients are omitted from the Baltic Sea in relation to the obtained amount of fish fillet and the climate impact is also lower than in farmed rainbow trout, but uncertainty with regard to the results is high because of limited fishing fuel consumption data. Nevertheless it is not likely that the Finnish consumption of domestic small caught fish, like Baltic herring, will increase because consumer behaviour has changed and people prefer to eat salmonids or other fillet-size fish instead. Allocation was found to be critical when calculating environmen…","author":[{"dropping-particle":"","family":"Silvenius","given":"Frans","non-dropping-particle":"","parse-names":false,"suffix":""},{"dropping-particle":"","family":"Grönroos","given":"Juha","non-dropping-particle":"","parse-names":false,"suffix":""},{"dropping-particle":"","family":"Kankainen","given":"Markus","non-dropping-particle":"","parse-names":false,"suffix":""},{"dropping-particle":"","family":"Kurppa","given":"Sirpa","non-dropping-particle":"","parse-names":false,"suffix":""},{"dropping-particle":"","family":"Mäkinen","given":"Timo","non-dropping-particle":"","parse-names":false,"suffix":""},{"dropping-particle":"","family":"Vielma","given":"Jouni","non-dropping-particle":"","parse-names":false,"suffix":""}],"container-title":"Journal of Cleaner Production","id":"ITEM-1","issued":{"date-parts":[["2017"]]},"page":"1467-1473","title":"Impact of feed raw material to climate and eutrophication impacts of Finnish rainbow trout farming and comparisons on climate impact and eutrophication between farmed and wild fish","type":"article-journal","volume":"164"},"uris":["http://www.mendeley.com/documents/?uuid=0216237c-bf07-4f62-8924-c2de399a6472"]}],"mendeley":{"formattedCitation":"(Silvenius et al., 2017)","manualFormatting":"Silvenius et al. (2017)","plainTextFormattedCitation":"(Silvenius et al., 2017)","previouslyFormattedCitation":"&lt;sup&gt;92&lt;/sup&gt;"},"properties":{"noteIndex":0},"schema":"https://github.com/citation-style-language/schema/raw/master/csl-citation.json"}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 xml:space="preserve">Silvenius et al. </w:t>
            </w:r>
            <w:r w:rsidRPr="008427C7">
              <w:rPr>
                <w:rFonts w:ascii="Calibri" w:eastAsia="Times New Roman" w:hAnsi="Calibri" w:cs="Calibri"/>
                <w:noProof/>
                <w:color w:val="000000"/>
                <w:sz w:val="18"/>
                <w:szCs w:val="18"/>
                <w:lang w:eastAsia="en-CA"/>
              </w:rPr>
              <w:t>(2017)</w:t>
            </w:r>
            <w:r w:rsidRPr="00BF29E4">
              <w:rPr>
                <w:rFonts w:ascii="Calibri" w:eastAsia="Times New Roman" w:hAnsi="Calibri" w:cs="Calibri"/>
                <w:color w:val="000000"/>
                <w:sz w:val="18"/>
                <w:szCs w:val="18"/>
                <w:lang w:eastAsia="en-CA"/>
              </w:rPr>
              <w:fldChar w:fldCharType="end"/>
            </w:r>
          </w:p>
        </w:tc>
        <w:tc>
          <w:tcPr>
            <w:tcW w:w="1417" w:type="dxa"/>
            <w:noWrap/>
            <w:vAlign w:val="center"/>
          </w:tcPr>
          <w:p w14:paraId="6F04EC39" w14:textId="77777777" w:rsidR="00340E4E" w:rsidRPr="008427C7" w:rsidRDefault="00340E4E" w:rsidP="00C821FE">
            <w:pPr>
              <w:spacing w:after="0" w:line="240" w:lineRule="auto"/>
              <w:rPr>
                <w:sz w:val="18"/>
                <w:szCs w:val="18"/>
              </w:rPr>
            </w:pPr>
            <w:r w:rsidRPr="008427C7">
              <w:rPr>
                <w:rFonts w:ascii="Calibri" w:eastAsia="Times New Roman" w:hAnsi="Calibri" w:cs="Calibri"/>
                <w:color w:val="000000"/>
                <w:sz w:val="18"/>
                <w:szCs w:val="18"/>
                <w:lang w:eastAsia="en-CA"/>
              </w:rPr>
              <w:t>fish</w:t>
            </w:r>
          </w:p>
        </w:tc>
        <w:tc>
          <w:tcPr>
            <w:tcW w:w="3544" w:type="dxa"/>
            <w:noWrap/>
            <w:vAlign w:val="center"/>
          </w:tcPr>
          <w:p w14:paraId="2AE74975" w14:textId="77777777" w:rsidR="00340E4E" w:rsidRPr="008427C7" w:rsidRDefault="00340E4E" w:rsidP="00C821FE">
            <w:pPr>
              <w:spacing w:after="0" w:line="240" w:lineRule="auto"/>
              <w:rPr>
                <w:sz w:val="18"/>
                <w:szCs w:val="18"/>
              </w:rPr>
            </w:pPr>
            <w:r w:rsidRPr="008427C7">
              <w:rPr>
                <w:rFonts w:ascii="Calibri" w:eastAsia="Times New Roman" w:hAnsi="Calibri" w:cs="Calibri"/>
                <w:color w:val="000000"/>
                <w:sz w:val="18"/>
                <w:szCs w:val="18"/>
                <w:lang w:eastAsia="en-CA"/>
              </w:rPr>
              <w:t>fish meal and oil; soymeal and soybean oil/canola meal and canola oil; fillet and by-products</w:t>
            </w:r>
          </w:p>
        </w:tc>
        <w:tc>
          <w:tcPr>
            <w:tcW w:w="4961" w:type="dxa"/>
            <w:noWrap/>
            <w:vAlign w:val="center"/>
          </w:tcPr>
          <w:p w14:paraId="05F9E600" w14:textId="77777777" w:rsidR="00340E4E" w:rsidRPr="008427C7" w:rsidRDefault="00340E4E" w:rsidP="00C821FE">
            <w:pPr>
              <w:spacing w:after="0" w:line="240" w:lineRule="auto"/>
              <w:rPr>
                <w:sz w:val="18"/>
                <w:szCs w:val="18"/>
              </w:rPr>
            </w:pPr>
            <w:r w:rsidRPr="008427C7">
              <w:rPr>
                <w:rFonts w:ascii="Calibri" w:eastAsia="Times New Roman" w:hAnsi="Calibri" w:cs="Calibri"/>
                <w:color w:val="000000"/>
                <w:sz w:val="18"/>
                <w:szCs w:val="18"/>
                <w:lang w:eastAsia="en-CA"/>
              </w:rPr>
              <w:t>mass; economic; economic</w:t>
            </w:r>
          </w:p>
        </w:tc>
      </w:tr>
      <w:tr w:rsidR="00340E4E" w:rsidRPr="008427C7" w14:paraId="76749D0E" w14:textId="77777777" w:rsidTr="00DA1C73">
        <w:trPr>
          <w:trHeight w:val="290"/>
        </w:trPr>
        <w:tc>
          <w:tcPr>
            <w:tcW w:w="1164" w:type="dxa"/>
            <w:noWrap/>
            <w:vAlign w:val="center"/>
          </w:tcPr>
          <w:p w14:paraId="188BB6F0" w14:textId="3CF110C0"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{"citationItems":[{"id":"ITEM-1","itemData":{"DOI":"10.1016/j.dib.2020.106558","ISSN":"23523409","abstract":"The sharing of total environmental impacts between the different products of a multi-output system is crucial in Life Cycle Assessment. ISO standards recommend subdivision then substitution methods when possible. Sometimes, allocations rules are necessary. They consist of allocating the total impact to the different products in proportion to a value that characterize the products. They can be based on physical parameters (such as mass, protein, dry matter, etc.) or the economic value of coproducts can be used as a proxy. As they are based on various type of parameters, allocation rules can lead to significantly different environmental impact results. Then a consensus is difficult to reach between stakeholders as for example in meat sector. To make the debate going further, Chen et al. (2017) proposed a new allocation method based on biophysical parameters (Chen et al., 2017). Adapted from previous methods, they propose to allocate impacts in proportion to the energy needed for the growth, the maintenance and the activity of each tissue. The method has been judged as scientifically viable but also particularly difficult to apply due to the amount of necessary data and to the complexity of the calculation model. In a recent project, we developed a freeware to easily calculate biophysical allocation factors as well as mass and economic factors to allow a fair comparison: MeatPartTool. We also collected data to create a dataset of mass, economic and biophysical allocation factors for a large range of beef (132 individuals), calf (54 individuals) and lamb (14 individuals) at the slaughterhouse stage. This data paper provides both primary data and calculated allocation factors.","author":[{"dropping-particle":"","family":"Féon","given":"Samuel","non-dropping-particle":"Le","parse-names":false,"suffix":""},{"dropping-particle":"","family":"Aubin","given":"Joël","non-dropping-particle":"","parse-names":false,"suffix":""},{"dropping-particle":"","family":"Gac","given":"Armelle","non-dropping-particle":"","parse-names":false,"suffix":""},{"dropping-particle":"","family":"Lapasin","given":"Christophe","non-dropping-particle":"","parse-names":false,"suffix":""},{"dropping-particle":"","family":"Wilfart","given":"Aurélie","non-dropping-particle":"","parse-names":false,"suffix":""}],"container-title":"Data in Brief","id":"ITEM-1","issued":{"date-parts":[["2020"]]},"page":"106558","publisher":"Elsevier Inc.","title":"Allocation factors for meat coproducts: Dataset to perform life cycle assessment at slaughterhouse","type":"article-journal","volume":"33"},"uris":["http://www.mendeley.com/documents/?uuid=8c697ec8-ecfd-4334-9b4e-2a1e4cefdd26"]}],"mendeley":{"formattedCitation":"(Le Féon et al., 2020)","manualFormatting":"Le Féon et al. (2020)","plainTextFormattedCitation":"(Le Féon et al., 2020)","previouslyFormattedCitation":"&lt;sup&gt;93&lt;/sup&gt;"},"properties":{"noteIndex":0},"schema":"https://github.com/citation-style-language/schema/raw/master/csl-citation.json"}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Le Féon et al. (</w:t>
            </w:r>
            <w:r w:rsidRPr="008427C7">
              <w:rPr>
                <w:rFonts w:ascii="Calibri" w:eastAsia="Times New Roman" w:hAnsi="Calibri" w:cs="Calibri"/>
                <w:noProof/>
                <w:color w:val="000000"/>
                <w:sz w:val="18"/>
                <w:szCs w:val="18"/>
                <w:lang w:eastAsia="en-CA"/>
              </w:rPr>
              <w:t>2020)</w:t>
            </w:r>
            <w:r w:rsidRPr="00BF29E4">
              <w:rPr>
                <w:rFonts w:ascii="Calibri" w:eastAsia="Times New Roman" w:hAnsi="Calibri" w:cs="Calibri"/>
                <w:color w:val="000000"/>
                <w:sz w:val="18"/>
                <w:szCs w:val="18"/>
                <w:lang w:eastAsia="en-CA"/>
              </w:rPr>
              <w:fldChar w:fldCharType="end"/>
            </w:r>
          </w:p>
        </w:tc>
        <w:tc>
          <w:tcPr>
            <w:tcW w:w="1417" w:type="dxa"/>
            <w:noWrap/>
            <w:vAlign w:val="center"/>
          </w:tcPr>
          <w:p w14:paraId="42F5DCAB"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 xml:space="preserve">livestock </w:t>
            </w:r>
          </w:p>
        </w:tc>
        <w:tc>
          <w:tcPr>
            <w:tcW w:w="3544" w:type="dxa"/>
            <w:noWrap/>
            <w:vAlign w:val="center"/>
          </w:tcPr>
          <w:p w14:paraId="6D1F70E6"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livestock co-products</w:t>
            </w:r>
          </w:p>
        </w:tc>
        <w:tc>
          <w:tcPr>
            <w:tcW w:w="4961" w:type="dxa"/>
            <w:noWrap/>
            <w:vAlign w:val="center"/>
          </w:tcPr>
          <w:p w14:paraId="6A3B0D28"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biophysical (amount of energy used in growing and maintaining parts of animal), also mass and economic factors collected</w:t>
            </w:r>
          </w:p>
        </w:tc>
      </w:tr>
      <w:tr w:rsidR="00340E4E" w:rsidRPr="008427C7" w14:paraId="22CA1DCF" w14:textId="77777777" w:rsidTr="00DA1C73">
        <w:trPr>
          <w:trHeight w:val="290"/>
        </w:trPr>
        <w:tc>
          <w:tcPr>
            <w:tcW w:w="1164" w:type="dxa"/>
            <w:noWrap/>
            <w:vAlign w:val="center"/>
          </w:tcPr>
          <w:p w14:paraId="72BA2702" w14:textId="409345A1"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{"citationItems":[{"id":"ITEM-1","itemData":{"DOI":"10.1016/j.dib.2020.106558","ISSN":"23523409","abstract":"The sharing of total environmental impacts between the different products of a multi-output system is crucial in Life Cycle Assessment. ISO standards recommend subdivision then substitution methods when possible. Sometimes, allocations rules are necessary. They consist of allocating the total impact to the different products in proportion to a value that characterize the products. They can be based on physical parameters (such as mass, protein, dry matter, etc.) or the economic value of coproducts can be used as a proxy. As they are based on various type of parameters, allocation rules can lead to significantly different environmental impact results. Then a consensus is difficult to reach between stakeholders as for example in meat sector. To make the debate going further, Chen et al. (2017) proposed a new allocation method based on biophysical parameters (Chen et al., 2017). Adapted from previous methods, they propose to allocate impacts in proportion to the energy needed for the growth, the maintenance and the activity of each tissue. The method has been judged as scientifically viable but also particularly difficult to apply due to the amount of necessary data and to the complexity of the calculation model. In a recent project, we developed a freeware to easily calculate biophysical allocation factors as well as mass and economic factors to allow a fair comparison: MeatPartTool. We also collected data to create a dataset of mass, economic and biophysical allocation factors for a large range of beef (132 individuals), calf (54 individuals) and lamb (14 individuals) at the slaughterhouse stage. This data paper provides both primary data and calculated allocation factors.","author":[{"dropping-particle":"","family":"Féon","given":"Samuel","non-dropping-particle":"Le","parse-names":false,"suffix":""},{"dropping-particle":"","family":"Aubin","given":"Joël","non-dropping-particle":"","parse-names":false,"suffix":""},{"dropping-particle":"","family":"Gac","given":"Armelle","non-dropping-particle":"","parse-names":false,"suffix":""},{"dropping-particle":"","family":"Lapasin","given":"Christophe","non-dropping-particle":"","parse-names":false,"suffix":""},{"dropping-particle":"","family":"Wilfart","given":"Aurélie","non-dropping-particle":"","parse-names":false,"suffix":""}],"container-title":"Data in Brief","id":"ITEM-1","issued":{"date-parts":[["2020"]]},"page":"106558","publisher":"Elsevier Inc.","title":"Allocation factors for meat coproducts: Dataset to perform life cycle assessment at slaughterhouse","type":"article-journal","volume":"33"},"uris":["http://www.mendeley.com/documents/?uuid=8c697ec8-ecfd-4334-9b4e-2a1e4cefdd26"]}],"mendeley":{"formattedCitation":"(Le Féon et al., 2020)","manualFormatting":"Le Féon et al. (2020)","plainTextFormattedCitation":"(Le Féon et al., 2020)","previouslyFormattedCitation":"&lt;sup&gt;93&lt;/sup&gt;"},"properties":{"noteIndex":0},"schema":"https://github.com/citation-style-language/schema/raw/master/csl-citation.json"}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Le Féon et al. (</w:t>
            </w:r>
            <w:r w:rsidRPr="008427C7">
              <w:rPr>
                <w:rFonts w:ascii="Calibri" w:eastAsia="Times New Roman" w:hAnsi="Calibri" w:cs="Calibri"/>
                <w:noProof/>
                <w:color w:val="000000"/>
                <w:sz w:val="18"/>
                <w:szCs w:val="18"/>
                <w:lang w:eastAsia="en-CA"/>
              </w:rPr>
              <w:t>2020)</w:t>
            </w:r>
            <w:r w:rsidRPr="00BF29E4">
              <w:rPr>
                <w:rFonts w:ascii="Calibri" w:eastAsia="Times New Roman" w:hAnsi="Calibri" w:cs="Calibri"/>
                <w:color w:val="000000"/>
                <w:sz w:val="18"/>
                <w:szCs w:val="18"/>
                <w:lang w:eastAsia="en-CA"/>
              </w:rPr>
              <w:fldChar w:fldCharType="end"/>
            </w:r>
          </w:p>
        </w:tc>
        <w:tc>
          <w:tcPr>
            <w:tcW w:w="1417" w:type="dxa"/>
            <w:noWrap/>
            <w:vAlign w:val="center"/>
          </w:tcPr>
          <w:p w14:paraId="6A775A8E"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 xml:space="preserve">livestock </w:t>
            </w:r>
          </w:p>
        </w:tc>
        <w:tc>
          <w:tcPr>
            <w:tcW w:w="3544" w:type="dxa"/>
            <w:noWrap/>
            <w:vAlign w:val="center"/>
          </w:tcPr>
          <w:p w14:paraId="7FD9E9E6"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livestock co-products</w:t>
            </w:r>
          </w:p>
        </w:tc>
        <w:tc>
          <w:tcPr>
            <w:tcW w:w="4961" w:type="dxa"/>
            <w:noWrap/>
            <w:vAlign w:val="center"/>
          </w:tcPr>
          <w:p w14:paraId="65EF2778" w14:textId="1E3EB684" w:rsidR="00340E4E" w:rsidRPr="008427C7" w:rsidRDefault="00340E4E" w:rsidP="003B5D4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 xml:space="preserve">biophysical (metabolic energy requirements) </w:t>
            </w:r>
          </w:p>
        </w:tc>
      </w:tr>
      <w:tr w:rsidR="00340E4E" w:rsidRPr="008427C7" w14:paraId="41B8532B" w14:textId="77777777" w:rsidTr="00DA1C73">
        <w:trPr>
          <w:trHeight w:val="290"/>
        </w:trPr>
        <w:tc>
          <w:tcPr>
            <w:tcW w:w="1164" w:type="dxa"/>
            <w:noWrap/>
            <w:vAlign w:val="center"/>
            <w:hideMark/>
          </w:tcPr>
          <w:p w14:paraId="3EE6414D" w14:textId="613D3817" w:rsidR="00340E4E" w:rsidRPr="00BF29E4" w:rsidRDefault="00340E4E" w:rsidP="00C821FE">
            <w:pPr>
              <w:spacing w:after="0" w:line="240" w:lineRule="auto"/>
              <w:rPr>
                <w:rFonts w:ascii="Calibri" w:eastAsia="Times New Roman" w:hAnsi="Calibri" w:cs="Calibri"/>
                <w:color w:val="000000"/>
                <w:sz w:val="18"/>
                <w:szCs w:val="18"/>
                <w:lang w:eastAsia="en-CA"/>
              </w:rPr>
            </w:pPr>
            <w:r w:rsidRPr="00BF29E4">
              <w:rPr>
                <w:rFonts w:ascii="Calibri" w:eastAsia="Times New Roman" w:hAnsi="Calibri" w:cs="Calibri"/>
                <w:color w:val="000000"/>
                <w:sz w:val="18"/>
                <w:szCs w:val="18"/>
                <w:lang w:eastAsia="en-CA"/>
              </w:rPr>
              <w:fldChar w:fldCharType="begin" w:fldLock="1"/>
            </w:r>
            <w:r w:rsidR="00C27421">
              <w:rPr>
                <w:rFonts w:ascii="Calibri" w:eastAsia="Times New Roman" w:hAnsi="Calibri" w:cs="Calibri"/>
                <w:color w:val="000000"/>
                <w:sz w:val="18"/>
                <w:szCs w:val="18"/>
                <w:lang w:eastAsia="en-CA"/>
              </w:rPr>
              <w:instrText>ADDIN CSL_CITATION {"citationItems":[{"id":"ITEM-1","itemData":{"DOI":"10.1016/j.jenvman.2019.03.059","ISSN":"10958630","PMID":"31009817","abstract":"Livestock production is important for food security, nutrition, and landscape maintenance, but it is associated with several environmental impacts. To assess the risk and benefits arising from livestock production, transparent and robust indicators are required, such as those offered by life cycle assessment. A central question in such approaches is how environmental burden is allocated to livestock products and to manure that is re-used for agricultural production. To incentivize sustainable use of manure, it should be considered as a co-product as long as it is not disposed of, or wasted, or applied in excess of crop nutrient needs, in which case it should be treated as a waste. This paper proposes a theoretical approach to define nutrient requirements based on nutrient response curves to economic and physical optima and a pragmatic approach based on crop nutrient yield adjusted for nutrient losses to atmosphere and water. Allocation of environmental burden to manure and other livestock products is then based on the nutrient value from manure for crop production using the price of fertilizer nutrients. We illustrate and discuss the proposed method with two case studies.","author":[{"dropping-particle":"","family":"Leip","given":"Adrian","non-dropping-particle":"","parse-names":false,"suffix":""},{"dropping-particle":"","family":"Ledgard","given":"Stewart","non-dropping-particle":"","parse-names":false,"suffix":""},{"dropping-particle":"","family":"Uwizeye","given":"Aimable","non-dropping-particle":"","parse-names":false,"suffix":""},{"dropping-particle":"","family":"Palhares","given":"Julio C.P.","non-dropping-particle":"","parse-names":false,"suffix":""},{"dropping-particle":"","family":"Aller","given":"M. Fernanda","non-dropping-particle":"","parse-names":false,"suffix":""},{"dropping-particle":"","family":"Amon","given":"Barbara","non-dropping-particle":"","parse-names":false,"suffix":""},{"dropping-particle":"","family":"Binder","given":"Michael","non-dropping-particle":"","parse-names":false,"suffix":""},{"dropping-particle":"","family":"Cordovil","given":"Claudia M.d.S.","non-dropping-particle":"","parse-names":false,"suffix":""},{"dropping-particle":"","family":"Camillis","given":"Camillo","non-dropping-particle":"De","parse-names":false,"suffix":""},{"dropping-particle":"","family":"Dong","given":"Hongming","non-dropping-particle":"","parse-names":false,"suffix":""},{"dropping-particle":"","family":"Fusi","given":"Alessandra","non-dropping-particle":"","parse-names":false,"suffix":""},{"dropping-particle":"","family":"Helin","given":"Janne","non-dropping-particle":"","parse-names":false,"suffix":""},{"dropping-particle":"","family":"Hörtenhuber","given":"Stefan","non-dropping-particle":"","parse-names":false,"suffix":""},{"dropping-particle":"","family":"Hristov","given":"Alexander N.","non-dropping-particle":"","parse-names":false,"suffix":""},{"dropping-particle":"","family":"Koelsch","given":"Richard","non-dropping-particle":"","parse-names":false,"suffix":""},{"dropping-particle":"","family":"Liu","given":"Chunjiang","non-dropping-particle":"","parse-names":false,"suffix":""},{"dropping-particle":"","family":"Masso","given":"Cargele","non-dropping-particle":"","parse-names":false,"suffix":""},{"dropping-particle":"V.","family":"Nkongolo","given":"Nsalambi","non-dropping-particle":"","parse-names":false,"suffix":""},{"dropping-particle":"","family":"Patra","given":"Amlan K.","non-dropping-particle":"","parse-names":false,"suffix":""},{"dropping-particle":"","family":"Redding","given":"Matthew R.","non-dropping-particle":"","parse-names":false,"suffix":""},{"dropping-particle":"","family":"Rufino","given":"Mariana C.","non-dropping-particle":"","parse-names":false,"suffix":""},{"dropping-particle":"","family":"Sakrabani","given":"Ruben","non-dropping-particle":"","parse-names":false,"suffix":""},{"dropping-particle":"","family":"Thoma","given":"Greg","non-dropping-particle":"","parse-names":false,"suffix":""},{"dropping-particle":"","family":"Vertès","given":"Françoise","non-dropping-particle":"","parse-names":false,"suffix":""},{"dropping-particle":"","family":"Wang","given":"Ying","non-dropping-particle":"","parse-names":false,"suffix":""}],"container-title":"Journal of Environmental Management","id":"ITEM-1","issue":"March","issued":{"date-parts":[["2019"]]},"page":"293-304","publisher":"Elsevier","title":"The value of manure - Manure as co-product in life cycle assessment","type":"article-journal","volume":"241"},"uris":["http://www.mendeley.com/documents/?uuid=eee5f9ef-3836-4616-a13c-96309ffae73a"]}],"mendeley":{"formattedCitation":"(Leip et al., 2019)","manualFormatting":"Leip et al. (2019)","plainTextFormattedCitation":"(Leip et al., 2019)","previouslyFormattedCitation":"&lt;sup&gt;94&lt;/sup&gt;"},"properties":{"noteIndex":0},"schema":"https://github.com/citation-style-language/schema/raw/master/csl-citation.json"}</w:instrText>
            </w:r>
            <w:r w:rsidRPr="00BF29E4">
              <w:rPr>
                <w:rFonts w:ascii="Calibri" w:eastAsia="Times New Roman" w:hAnsi="Calibri" w:cs="Calibri"/>
                <w:color w:val="000000"/>
                <w:sz w:val="18"/>
                <w:szCs w:val="18"/>
                <w:lang w:eastAsia="en-CA"/>
              </w:rPr>
              <w:fldChar w:fldCharType="separate"/>
            </w:r>
            <w:r w:rsidRPr="00BF29E4">
              <w:rPr>
                <w:rFonts w:ascii="Calibri" w:eastAsia="Times New Roman" w:hAnsi="Calibri" w:cs="Calibri"/>
                <w:noProof/>
                <w:color w:val="000000"/>
                <w:sz w:val="18"/>
                <w:szCs w:val="18"/>
                <w:lang w:eastAsia="en-CA"/>
              </w:rPr>
              <w:t>Leip et al. (</w:t>
            </w:r>
            <w:r w:rsidRPr="008427C7">
              <w:rPr>
                <w:rFonts w:ascii="Calibri" w:eastAsia="Times New Roman" w:hAnsi="Calibri" w:cs="Calibri"/>
                <w:noProof/>
                <w:color w:val="000000"/>
                <w:sz w:val="18"/>
                <w:szCs w:val="18"/>
                <w:lang w:eastAsia="en-CA"/>
              </w:rPr>
              <w:t>2019)</w:t>
            </w:r>
            <w:r w:rsidRPr="00BF29E4">
              <w:rPr>
                <w:rFonts w:ascii="Calibri" w:eastAsia="Times New Roman" w:hAnsi="Calibri" w:cs="Calibri"/>
                <w:color w:val="000000"/>
                <w:sz w:val="18"/>
                <w:szCs w:val="18"/>
                <w:lang w:eastAsia="en-CA"/>
              </w:rPr>
              <w:fldChar w:fldCharType="end"/>
            </w:r>
          </w:p>
        </w:tc>
        <w:tc>
          <w:tcPr>
            <w:tcW w:w="1417" w:type="dxa"/>
            <w:noWrap/>
            <w:vAlign w:val="center"/>
            <w:hideMark/>
          </w:tcPr>
          <w:p w14:paraId="2263FC2B"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manure</w:t>
            </w:r>
          </w:p>
        </w:tc>
        <w:tc>
          <w:tcPr>
            <w:tcW w:w="3544" w:type="dxa"/>
            <w:noWrap/>
            <w:vAlign w:val="center"/>
            <w:hideMark/>
          </w:tcPr>
          <w:p w14:paraId="70CDC540"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manure and other livestock products</w:t>
            </w:r>
          </w:p>
        </w:tc>
        <w:tc>
          <w:tcPr>
            <w:tcW w:w="4961" w:type="dxa"/>
            <w:noWrap/>
            <w:vAlign w:val="center"/>
            <w:hideMark/>
          </w:tcPr>
          <w:p w14:paraId="21151AF8" w14:textId="77777777" w:rsidR="00340E4E" w:rsidRPr="008427C7" w:rsidRDefault="00340E4E" w:rsidP="00C821FE">
            <w:pPr>
              <w:spacing w:after="0" w:line="240" w:lineRule="auto"/>
              <w:rPr>
                <w:rFonts w:ascii="Calibri" w:eastAsia="Times New Roman" w:hAnsi="Calibri" w:cs="Calibri"/>
                <w:color w:val="000000"/>
                <w:sz w:val="18"/>
                <w:szCs w:val="18"/>
                <w:lang w:eastAsia="en-CA"/>
              </w:rPr>
            </w:pPr>
            <w:r w:rsidRPr="008427C7">
              <w:rPr>
                <w:rFonts w:ascii="Calibri" w:eastAsia="Times New Roman" w:hAnsi="Calibri" w:cs="Calibri"/>
                <w:color w:val="000000"/>
                <w:sz w:val="18"/>
                <w:szCs w:val="18"/>
                <w:lang w:eastAsia="en-CA"/>
              </w:rPr>
              <w:t xml:space="preserve">nutrient value from manure for crop production </w:t>
            </w:r>
          </w:p>
        </w:tc>
      </w:tr>
    </w:tbl>
    <w:p w14:paraId="575B5F81" w14:textId="52F26E8E" w:rsidR="00340E4E" w:rsidRDefault="00340E4E"/>
    <w:p w14:paraId="3988157A" w14:textId="31B5BADB" w:rsidR="00C27421" w:rsidRPr="00C27421" w:rsidRDefault="00C27421">
      <w:pPr>
        <w:rPr>
          <w:b/>
        </w:rPr>
      </w:pPr>
      <w:r w:rsidRPr="00C27421">
        <w:rPr>
          <w:b/>
        </w:rPr>
        <w:t>References</w:t>
      </w:r>
    </w:p>
    <w:p w14:paraId="6CE57F0F" w14:textId="585E4A1C"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fldChar w:fldCharType="begin" w:fldLock="1"/>
      </w:r>
      <w:r>
        <w:instrText xml:space="preserve">ADDIN Mendeley Bibliography CSL_BIBLIOGRAPHY </w:instrText>
      </w:r>
      <w:r>
        <w:fldChar w:fldCharType="separate"/>
      </w:r>
      <w:r w:rsidRPr="00C27421">
        <w:rPr>
          <w:rFonts w:ascii="Calibri" w:hAnsi="Calibri" w:cs="Calibri"/>
          <w:noProof/>
          <w:szCs w:val="24"/>
        </w:rPr>
        <w:t>Aguirre-Villegas, H.A., Passos-Fonseca, T.H., Reinemann, D.J., Larson, R., 2017. Grazing intensity affects the environmental impact of dairy systems. J. Dairy Sci. 100, 6804–6821. https://doi.org/10.3168/jds.2016-12325</w:t>
      </w:r>
    </w:p>
    <w:p w14:paraId="3B486294"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Bacenetti, J., Bava, L., Schievano, A., Zucali, M., 2018. Whey protein concentrate (WPC) production: Environmental impact assessment. J. Food Eng. 224, 139–147. https://doi.org/10.1016/j.jfoodeng.2017.12.018</w:t>
      </w:r>
    </w:p>
    <w:p w14:paraId="62FA929E"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Baldini, C., Gardoni, D., Guarino, M., 2017. A critical review of the recent evolution of Life Cycle Assessment applied to milk production. J. Clean. Prod. 140, 421–435. https://doi.org/10.1016/j.jclepro.2016.06.078</w:t>
      </w:r>
    </w:p>
    <w:p w14:paraId="41D7A2D9"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Baldini, M., Da Borso, F., Rossi, A., Taverna, M., Bovolenta, S., Piasentier, E., Corazzin, M., 2020. Environmental sustainability assessment of dairy farms rearing the Italian simmental dual‐purpose breed. Animals 10. https://doi.org/10.3390/ani10020296</w:t>
      </w:r>
    </w:p>
    <w:p w14:paraId="088F2472"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Bava, L., Bacenetti, J., Gislon, G., Pellegrino, L., D’Incecco, P., Sandrucci, A., Tamburini, A., Fiala, M., Zucali, M., 2018. Impact assessment of traditional food manufacturing: The case of Grana Padano cheese. Sci. Total Environ. 626, 1200–1209. https://doi.org/10.1016/j.scitotenv.2018.01.143</w:t>
      </w:r>
    </w:p>
    <w:p w14:paraId="7675D312"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Berlese, M., Corazzin, M., Bovolenta, S., 2019. Environmental sustainability assessment of buffalo mozzarella cheese production chain: A scenario analysis. J. Clean. Prod. 238, 117922. https://doi.org/10.1016/j.jclepro.2019.117922</w:t>
      </w:r>
    </w:p>
    <w:p w14:paraId="212F5972"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 xml:space="preserve">Boone, L., Roldán-Ruiz, I., Van linden, V., Muylle, H., Dewulf, J., 2019. Environmental sustainability of </w:t>
      </w:r>
      <w:r w:rsidRPr="00C27421">
        <w:rPr>
          <w:rFonts w:ascii="Calibri" w:hAnsi="Calibri" w:cs="Calibri"/>
          <w:noProof/>
          <w:szCs w:val="24"/>
        </w:rPr>
        <w:lastRenderedPageBreak/>
        <w:t>conventional and organic farming: Accounting for ecosystem services in life cycle assessment. Sci. Total Environ. 695, 133841. https://doi.org/10.1016/j.scitotenv.2019.133841</w:t>
      </w:r>
    </w:p>
    <w:p w14:paraId="3087204A"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Bragaglio, A., Braghieri, A., Pacelli, C., Napolitano, F., 2020. Environmental impacts of beef as corrected for the provision of ecosystem services. Sustain. 12, 1–15. https://doi.org/10.3390/su12093828</w:t>
      </w:r>
    </w:p>
    <w:p w14:paraId="4AEE815C"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Bragaglio, A., Napolitano, F., Pacelli, C., Pirlo, G., Sabia, E., Serrapica, F., Serrapica, M., Braghieri, A., 2018. Environmental impacts of Italian beef production: A comparison between different systems. J. Clean. Prod. 172, 4033–4043. https://doi.org/10.1016/j.jclepro.2017.03.078</w:t>
      </w:r>
    </w:p>
    <w:p w14:paraId="3AE59564"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Brankatschk, G., Finkbeiner, M., 2017. Crop rotations and crop residues are relevant parameters for agricultural carbon footprints. Agron. Sustain. Dev. 37. https://doi.org/10.1007/s13593-017-0464-4</w:t>
      </w:r>
    </w:p>
    <w:p w14:paraId="14A0F78B"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Brankatschk, G., Finkbeiner, M., 2015. Modeling crop rotation in agricultural LCAs - Challenges and potential solutions. Agric. Syst. 138, 66–76. https://doi.org/10.1016/j.agsy.2015.05.008</w:t>
      </w:r>
    </w:p>
    <w:p w14:paraId="7E455DA5"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Brizga, J., Kurppa, S., Heusala, H., 2021. Environmental impacts of milking cows in latvia. Sustain. 13, 1–12. https://doi.org/10.3390/su13020784</w:t>
      </w:r>
    </w:p>
    <w:p w14:paraId="46266E17"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Campos, I., Pinheiro Valente, L.M., Matos, E., Marques, P., Freire, F., 2020. Life-cycle assessment of animal feed ingredients: Poultry fat, poultry by-product meal and hydrolyzed feather meal. J. Clean. Prod. 252. https://doi.org/10.1016/j.jclepro.2019.119845</w:t>
      </w:r>
    </w:p>
    <w:p w14:paraId="4B5A389A"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Carvalho, L.S., Willers, C.D., Soares, B.B., Nogueira, A.R., de Almeida Neto, J.A., Rodrigues, L.B., 2021. Environmental life cycle assessment of cow milk in a conventional semi-intensive Brazilian production system. Environ. Sci. Pollut. Res. https://doi.org/10.1007/s11356-021-17317-5</w:t>
      </w:r>
    </w:p>
    <w:p w14:paraId="5F3A5A63"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Cherubini, E., Franco, D., Zanghelini, G.M., Soares, S.R., 2018. Uncertainty in LCA case study due to allocation approaches and life cycle impact assessment methods. Int. J. Life Cycle Assess. 23, 2055–2070. https://doi.org/10.1007/s11367-017-1432-6</w:t>
      </w:r>
    </w:p>
    <w:p w14:paraId="5CAA7E20"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Costa, M.P., Chadwick, D., Saget, S., Rees, R.M., Williams, M., Styles, D., 2020. Representing crop rotations in life cycle assessment: a review of legume LCA studies. Int. J. Life Cycle Assess. 25, 1942–1956. https://doi.org/10.1007/s11367-020-01812-x</w:t>
      </w:r>
    </w:p>
    <w:p w14:paraId="13B57CA0"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Costantini, M., Ferrante, V., Guarino, M., Bacenetti, J., 2021. Environmental sustainability assessment of poultry productions through life cycle approaches: A critical review. Trends Food Sci. Technol. 110, 201–212. https://doi.org/10.1016/j.tifs.2021.01.086</w:t>
      </w:r>
    </w:p>
    <w:p w14:paraId="347AC84A"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Costantini, M., Lovarelli, D., Orsi, L., Ganzaroli, A., Ferrante, V., Febo, P., Guarino, M., Bacenetti, J., 2020. Investigating on the environmental sustainability of animal products: The case of organic eggs. J. Clean. Prod. 274, 123046. https://doi.org/10.1016/j.jclepro.2020.123046</w:t>
      </w:r>
    </w:p>
    <w:p w14:paraId="65628144"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Dalla Riva, A., Burek, J., Kim, D., Thoma, G., Cassandro, M., De Marchi, M., 2018. The environmental analysis of asiago PDO cheese: a case study from farm gate-to-plant gate. Ital. J. Anim. Sci. 17, 250–262. https://doi.org/10.1080/1828051X.2017.1344936</w:t>
      </w:r>
    </w:p>
    <w:p w14:paraId="0F060B5C"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Dalla Riva, A., Burek, J., Kim, D., Thoma, G., Cassandro, M., De Marchi, M., 2017. Environmental life cycle assessment of Italian mozzarella cheese: Hotspots and improvement opportunities. J. Dairy Sci. 100, 7933–7952. https://doi.org/10.3168/jds.2016-12396</w:t>
      </w:r>
    </w:p>
    <w:p w14:paraId="75EE9359"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 xml:space="preserve">Del Hierro, Ó., Gallejones, P., Besga, G., Artetxe, A., Garbisu, C., 2021. A comparison of ipcc guidelines and allocation methods to estimate the environmental impact of barley production in the basque </w:t>
      </w:r>
      <w:r w:rsidRPr="00C27421">
        <w:rPr>
          <w:rFonts w:ascii="Calibri" w:hAnsi="Calibri" w:cs="Calibri"/>
          <w:noProof/>
          <w:szCs w:val="24"/>
        </w:rPr>
        <w:lastRenderedPageBreak/>
        <w:t>country through life cycle assessment (Lca). Agric. 11. https://doi.org/10.3390/agriculture11101005</w:t>
      </w:r>
    </w:p>
    <w:p w14:paraId="5C97AFBF"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Depping, V., Grunow, M., Kulozik, U., 2020. A methodological framework for comparing fractionated and non-fractionated products in life cycle assessments: The case of milk concentrates. J. Clean. Prod. 257, 120478. https://doi.org/10.1016/j.jclepro.2020.120478</w:t>
      </w:r>
    </w:p>
    <w:p w14:paraId="423E1A50"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Derose, K., Liu, F., Davis, R.W., Simmons, B.A., Quinn, J.C., 2019. Conversion of Distiller’s Grains to Renewable Fuels and High Value Protein: Integrated Techno-Economic and Life Cycle Assessment. Environ. Sci. Technol. 53, 10525–10533. https://doi.org/10.1021/acs.est.9b03273</w:t>
      </w:r>
    </w:p>
    <w:p w14:paraId="6384466D"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Dijkman, T.J., Birkved, M., Saxe, H., Wenzel, H., Hauschild, M.Z., 2017. Environmental impacts of barley cultivation under current and future climatic conditions. J. Clean. Prod. 140, 644–653. https://doi.org/10.1016/j.jclepro.2016.05.154</w:t>
      </w:r>
    </w:p>
    <w:p w14:paraId="648EBBDB"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Dougherty, H.C., Oltjen, J.W., Mitloehner, F.M., Depeters, E.J., Pettey, L.A., Macon, D., Finzel, J., Rodrigues, K., Kebreab, E., 2019. Carbon and blue water footprints of California sheep production. J. Anim. Sci. 97, 945–961. https://doi.org/10.1093/jas/sky442</w:t>
      </w:r>
    </w:p>
    <w:p w14:paraId="52C9AEDA"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Eady, S., Carre, A., Grant, T., 2012. Life cycle assessment modelling of complex agricultural systems with multiple food and fibre co-products. J. Clean. Prod. 28, 143–149. https://doi.org/10.1016/j.jclepro.2011.10.005</w:t>
      </w:r>
    </w:p>
    <w:p w14:paraId="1E45C96C"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EDA, 2018. Product Environmental Foodprint Category Rules for Dairy Products.</w:t>
      </w:r>
    </w:p>
    <w:p w14:paraId="764D011C"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Famiglietti, J., Guerci, M., Proserpio, C., Ravaglia, P., Motta, M., 2019. Development and testing of the Product Environmental Footprint Milk Tool: A comprehensive LCA tool for dairy products. Sci. Total Environ. 648, 1614–1626. https://doi.org/10.1016/j.scitotenv.2018.08.142</w:t>
      </w:r>
    </w:p>
    <w:p w14:paraId="033076F4"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FAO, 2014. Greenhouse gas emissions and fossil energy demand from poultry supply chains: Guidelines for quantification, Livestock Environmental Assessment and Performance Partnership.</w:t>
      </w:r>
    </w:p>
    <w:p w14:paraId="755011C7"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Feitz, A.J., Lundie, S., Dennien, G., Morain, M., Jones, M., 2007. Generation of an industry-specific physico-chemical allocation matrix: Application in the dairy industry and implications for systems analysis. Int. J. Life Cycle Assess. 12, 109–117. https://doi.org/10.1065/lca2005.10.228</w:t>
      </w:r>
    </w:p>
    <w:p w14:paraId="1BC706C5"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Finnegan, W., Goggins, J., Clifford, E., Zhan, X., 2017. Global warming potential associated with dairy products in the Republic of Ireland. J. Clean. Prod. 163, 262–273. https://doi.org/10.1016/j.jclepro.2015.08.025</w:t>
      </w:r>
    </w:p>
    <w:p w14:paraId="3D5B6758"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Finnegan, W., Yan, M., Holden, N.M., Goggins, J., 2018. A review of environmental life cycle assessment studies examining cheese production. Int. J. Life Cycle Assess. 23, 1773–1787. https://doi.org/10.1007/s11367-017-1407-7</w:t>
      </w:r>
    </w:p>
    <w:p w14:paraId="76986226"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Flysjö, A., Thrane, M., Hermansen, J.E., 2014. Method to assess the carbon footprint at product level in the dairy industry. Int. Dairy J. 34, 86–92. https://doi.org/10.1016/j.idairyj.2013.07.016</w:t>
      </w:r>
    </w:p>
    <w:p w14:paraId="4EFA3B13"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Fridrihsone, A., Romagnoli, F., Cabulis, U., 2020. Environmental life cycle assessment of rapeseed and rapeseed oil produced in Northern Europe: A Latvian case study. Sustain. 12. https://doi.org/10.3390/su12145699</w:t>
      </w:r>
    </w:p>
    <w:p w14:paraId="70B917B3"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 xml:space="preserve">Garg, M.R., Sherasia, P.L., Phondba, B.T., Makkar, H.P.S., 2018. Greenhouse gas emission intensity based on lifetime milk production of dairy animals, as affected by ration-balancing program. Anim. Prod. </w:t>
      </w:r>
      <w:r w:rsidRPr="00C27421">
        <w:rPr>
          <w:rFonts w:ascii="Calibri" w:hAnsi="Calibri" w:cs="Calibri"/>
          <w:noProof/>
          <w:szCs w:val="24"/>
        </w:rPr>
        <w:lastRenderedPageBreak/>
        <w:t>Sci. 58, 1027–1042. https://doi.org/10.1071/AN15586</w:t>
      </w:r>
    </w:p>
    <w:p w14:paraId="07CF1907"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Gilardino, A., Quispe, I., Pacheco, M., Bartl, K., 2020. Comparison of different methods for consideration of multifunctionality of Peruvian dairy cattle in Life Cycle Assessment. Livest. Sci. 240, 104151. https://doi.org/10.1016/j.livsci.2020.104151</w:t>
      </w:r>
    </w:p>
    <w:p w14:paraId="2EFFE3B5"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Goglio, P., Bonari, E., Mazzoncini, M., 2012. LCA of cropping systems with different external input levels for energetic purposes. Biomass and Bioenergy 42, 33–42. https://doi.org/10.1016/j.biombioe.2012.03.021</w:t>
      </w:r>
    </w:p>
    <w:p w14:paraId="29CF5924"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Goglio, P., Brankatschk, G., Knudsen, M.T., Williams, A.G., Nemecek, T., 2018. Addressing crop interactions within cropping systems in LCA. Int. J. Life Cycle Assess. 23, 1735–1743. https://doi.org/10.1007/s11367-017-1393-9</w:t>
      </w:r>
    </w:p>
    <w:p w14:paraId="129B915F"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Gonzalez-Quintero, R., Bolivar-Vergara, D.M., Chirinda, N., Arango, J., Pantevez, H., Barahona-Rosales, R., Sanchez-Pinzon, M.S., 2021. Environmental impact of primary beef production chain in Colombia: Carbon footprint, non-renewable energy and land use using Life Cycle Assessment. Alliance Bioversity-CIAT Res. Online 0–32.</w:t>
      </w:r>
    </w:p>
    <w:p w14:paraId="7524B470"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Heusala, H., Sinkko, T., Mogensen, L., Knudsen, M.T., 2020a. Carbon footprint and land use of food products containing oat protein concentrate. J. Clean. Prod. 276, 122938. https://doi.org/10.1016/j.jclepro.2020.122938</w:t>
      </w:r>
    </w:p>
    <w:p w14:paraId="1C2B1F1B"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Heusala, H., Sinkko, T., Sözer, N., Hytönen, E., Mogensen, L., Knudsen, M.T., 2020b. Carbon footprint and land use of oat and faba bean protein concentrates using a life cycle assessment approach. J. Clean. Prod. 242, 1–9. https://doi.org/10.1016/j.jclepro.2019.118376</w:t>
      </w:r>
    </w:p>
    <w:p w14:paraId="3D55105F"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Hietala, S., Heusala, H., Katajajuuri, J.M., Järvenranta, K., Virkajärvi, P., Huuskonen, A., Nousiainen, J., 2021. Environmental life cycle assessment of Finnish beef – cradle-to-farm gate analysis of dairy and beef breed beef production. Agric. Syst. 194. https://doi.org/10.1016/j.agsy.2021.103250</w:t>
      </w:r>
    </w:p>
    <w:p w14:paraId="0361E3E2"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Houssard, C., Maxime, D., Benoit, S., Pouliot, Y., Margni, M., 2020. Comparative life cycle assessment of five greek yogurt production systems: A perspective beyond the plant boundaries. Sustain. 12, 1–21. https://doi.org/10.3390/su12219141</w:t>
      </w:r>
    </w:p>
    <w:p w14:paraId="5D7000A2"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Houssard, C., Maxime, D., Pouliot, Y., Margni, M., 2021. Allocation is not enough! A system boundaries expansion approach to account for production and consumption synergies: The environmental footprint of Greek yogurt. J. Clean. Prod. 283, 124607. https://doi.org/10.1016/j.jclepro.2020.124607</w:t>
      </w:r>
    </w:p>
    <w:p w14:paraId="2CD53526"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Jungbluth, N., Keller, R., Meili, C., 2018. Life cycle assessment of a detailed dairy processing model and recommendations for the allocation to single products. Int. J. Life Cycle Assess. 23, 1806–1813. https://doi.org/10.1007/s11367-017-1392-x</w:t>
      </w:r>
    </w:p>
    <w:p w14:paraId="0A64B4AC"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Khatri, P., Jain, S., 2017. Environmental life cycle assessment of edible oils: A review of current knowledge and future research challenges. J. Clean. Prod. 152, 63–76. https://doi.org/10.1016/j.jclepro.2017.03.096</w:t>
      </w:r>
    </w:p>
    <w:p w14:paraId="5473D0FF"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Khatri, P., Jain, S., Pandey, S., 2017. A cradle-to-gate assessment of environmental impacts for production of mustard oil using life cycle assessment approach. J. Clean. Prod. 166, 988–997. https://doi.org/10.1016/j.jclepro.2017.08.109</w:t>
      </w:r>
    </w:p>
    <w:p w14:paraId="7A25AE69"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 xml:space="preserve">Kyttä, V., Helenius, J., Tuomisto, H.L., 2021a. Carbon footprint and energy use of recycled fertilizers in </w:t>
      </w:r>
      <w:r w:rsidRPr="00C27421">
        <w:rPr>
          <w:rFonts w:ascii="Calibri" w:hAnsi="Calibri" w:cs="Calibri"/>
          <w:noProof/>
          <w:szCs w:val="24"/>
        </w:rPr>
        <w:lastRenderedPageBreak/>
        <w:t>arable farming. J. Clean. Prod. 287. https://doi.org/10.1016/j.jclepro.2020.125063</w:t>
      </w:r>
    </w:p>
    <w:p w14:paraId="12A0E1F1"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Kyttä, V., Roitto, M., Astaptsev, A., Saarinen, M., Tuomisto, H.L., 2021b. Review and expert survey of allocation methods used in life cycle assessment of milk and beef. Int. J. Life Cycle Assess. https://doi.org/10.1007/s11367-021-02019-4</w:t>
      </w:r>
    </w:p>
    <w:p w14:paraId="41088E54"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Laca, Amanda, Gómez, N., Laca, Adriana, Díaz, M., 2020. Overview on GHG emissions of raw milk production and a comparison of milk and cheese carbon footprints of two different systems from northern Spain. Environ. Sci. Pollut. Res. 27, 1650–1666. https://doi.org/10.1007/s11356-019-06857-6</w:t>
      </w:r>
    </w:p>
    <w:p w14:paraId="0048F3B4"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Le Féon, S., Aubin, J., Gac, A., Lapasin, C., Wilfart, A., 2020. Allocation factors for meat coproducts: Dataset to perform life cycle assessment at slaughterhouse. Data Br. 33, 106558. https://doi.org/10.1016/j.dib.2020.106558</w:t>
      </w:r>
    </w:p>
    <w:p w14:paraId="09B9E2F0"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Lehmann, J.O., Mogensen, L., Kristensen, T., 2019. Extended lactations in dairy production: Economic, productivity and climatic impact at herd, farm and sector level. Livest. Sci. 220, 100–110. https://doi.org/10.1016/j.livsci.2018.12.014</w:t>
      </w:r>
    </w:p>
    <w:p w14:paraId="3B43BA8D"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Leip, A., Ledgard, S., Uwizeye, A., Palhares, J.C.P., Aller, M.F., Amon, B., Binder, M., Cordovil, C.M. d. S., De Camillis, C., Dong, H., Fusi, A., Helin, J., Hörtenhuber, S., Hristov, A.N., Koelsch, R., Liu, C., Masso, C., Nkongolo, N. V., Patra, A.K., Redding, M.R., Rufino, M.C., Sakrabani, R., Thoma, G., Vertès, F., Wang, Y., 2019. The value of manure - Manure as co-product in life cycle assessment. J. Environ. Manage. 241, 293–304. https://doi.org/10.1016/j.jenvman.2019.03.059</w:t>
      </w:r>
    </w:p>
    <w:p w14:paraId="30587F44"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Locker, C.R., Torkamani, S., Laurenzi, I.J., Jin, V.L., Schmer, M.R., Karlen, D.L., 2019. Field-to-farm gate greenhouse gas emissions from corn stover production in the Midwestern U.S. J. Clean. Prod. 226, 1116–1127. https://doi.org/10.1016/j.jclepro.2019.03.154</w:t>
      </w:r>
    </w:p>
    <w:p w14:paraId="4E172C45"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March, M.D., Hargreaves, P.R., Sykes, A.J., Rees, R.M., 2021. Effect of Nutritional Variation and LCA Methodology on the Carbon Footprint of Milk Production From Holstein Friesian Dairy Cows. Front. Sustain. Food Syst. 5, 1–16. https://doi.org/10.3389/fsufs.2021.588158</w:t>
      </w:r>
    </w:p>
    <w:p w14:paraId="6A0A215D"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Matsuura, M.I.S.F., Dias, F.R.T., Picoli, J.F., Lucas, K.R.G., de Castro, C., Hirakuri, M.H., 2017. Life-cycle assessment of the soybean-sunflower production system in the Brazilian Cerrado. Int. J. Life Cycle Assess. 22, 492–501. https://doi.org/10.1007/s11367-016-1089-6</w:t>
      </w:r>
    </w:p>
    <w:p w14:paraId="21AEE5DF"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Nakashima, T., Ishikawa, S., 2017. Linking life cycle assessment to bioeconomic modelling with positive mathematical programming: An alternative approach to calibration. J. Clean. Prod. 167, 875–884. https://doi.org/10.1016/j.jclepro.2017.04.124</w:t>
      </w:r>
    </w:p>
    <w:p w14:paraId="4DB563DE"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Newton, R.W., Little, D.C., 2018. Mapping the impacts of farmed Scottish salmon from a life cycle perspective. Int. J. Life Cycle Assess. 23, 1018–1029. https://doi.org/10.1007/s11367-017-1386-8</w:t>
      </w:r>
    </w:p>
    <w:p w14:paraId="42C51CE8"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Ni, Y., Mwabonje, O.N., Richter, G.M., Qi, A., Yeung, K., Patel, M., Woods, J., 2019. Assessing availability and greenhouse gas emissions of lignocellulosic biomass feedstock supply – case study for a catchment in England. Biofuels, Bioprod. Biorefining 13, 568–581. https://doi.org/10.1002/bbb.1966</w:t>
      </w:r>
    </w:p>
    <w:p w14:paraId="1EF2C148"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Oliveira, M., Cocozza, A., Zucaro, A., Santagata, R., Ulgiati, S., 2021. Circular economy in the agro-industry: Integrated environmental assessment of dairy products. Renew. Sustain. Energy Rev. 148, 111314. https://doi.org/10.1016/j.rser.2021.111314</w:t>
      </w:r>
    </w:p>
    <w:p w14:paraId="61EDA831"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lastRenderedPageBreak/>
        <w:t>Palmieri, N., Forleo, M.B., Giannoccaro, G., Suardi, A., 2017. Environmental impact of cereal straw management: An on-farm assessment. J. Clean. Prod. 142, 2950–2964. https://doi.org/10.1016/j.jclepro.2016.10.173</w:t>
      </w:r>
    </w:p>
    <w:p w14:paraId="755A531D"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Palmieri, Nadia, Forleo, M.B., Salimei, E., 2017. Environmental impacts of a dairy cheese chain including whey feeding: An Italian case study. J. Clean. Prod. 140, 881–889. https://doi.org/10.1016/j.jclepro.2016.06.185</w:t>
      </w:r>
    </w:p>
    <w:p w14:paraId="25336E48"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Parker, R., 2018. Implications of high animal by-product feed inputs in life cycle assessments of farmed Atlantic salmon. Int. J. Life Cycle Assess. 23, 982–994. https://doi.org/10.1007/s11367-017-1340-9</w:t>
      </w:r>
    </w:p>
    <w:p w14:paraId="411A859D"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Pazmiño, M.L., Ramirez, A.D., 2021. Life cycle assessment as a methodological framework for the evaluation of the environmental sustainability of pig and pork production in Ecuador. Sustain. 13. https://doi.org/10.3390/su132111693</w:t>
      </w:r>
    </w:p>
    <w:p w14:paraId="3184C07D"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Pirlo, G., Lolli, S., 2019. Environmental impact of milk production from samples of organic and conventional farms in Lombardy (Italy). J. Clean. Prod. 211, 962–971. https://doi.org/10.1016/j.jclepro.2018.11.070</w:t>
      </w:r>
    </w:p>
    <w:p w14:paraId="4CD936D4"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Rawnsley, R., Dynes, R.A., Christie, K.M., Harrison, M.T., Doran-Browne, N.A., Vibart, R., Eckard, R., 2018. A review of whole farm-system analysis in evaluating greenhouse-gas mitigation strategies from livestock production systems. Anim. Prod. Sci. 58, 980–989. https://doi.org/10.1071/AN15632</w:t>
      </w:r>
    </w:p>
    <w:p w14:paraId="44193E6E"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Rice, P., O’Brien, D., Shalloo, L., Holden, N.M., 2017. Evaluation of allocation methods for calculation of carbon footprint of grass-based dairy production. J. Environ. Manage. 202, 311–319. https://doi.org/10.1016/j.jenvman.2017.06.071</w:t>
      </w:r>
    </w:p>
    <w:p w14:paraId="177CCC84"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Romano, E., De Palo, P., Tidona, F., Maggiolino, A., Bragaglio, A., 2021a. Dairy buffalo life cycle assessment (LCA) affected by a management choice: the production of wheat crop. Sustain. 13, 1–20. https://doi.org/10.3390/su131911108</w:t>
      </w:r>
    </w:p>
    <w:p w14:paraId="29BEB387"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Romano, E., Roma, R., Tidona, F., Giraffa, G., Bragaglio, A., 2021b. Dairy farms and life cycle assessment (Lca): The allocation criterion useful to estimate undesirable products. Sustain. 13, 1–24. https://doi.org/10.3390/su13084354</w:t>
      </w:r>
    </w:p>
    <w:p w14:paraId="13FA1823"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Sabia, E., Gauly, M., Napolitano, F., Serrapica, F., Cifuni, G.F., Claps, S., 2020. Dairy sheep carbon footprint and ReCiPe end-point study. Small Rumin. Res. 185, 106085. https://doi.org/10.1016/j.smallrumres.2020.106085</w:t>
      </w:r>
    </w:p>
    <w:p w14:paraId="7C7CC53D"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Saget, S., Costa, M., Santos, C.S., Vasconcelos, M.W., Gibbons, J., Styles, D., Williams, M., 2021a. Substitution of beef with pea protein reduces the environmental footprint of meat balls whilst supporting health and climate stabilisation goals. J. Clean. Prod. 297, 126447. https://doi.org/10.1016/j.jclepro.2021.126447</w:t>
      </w:r>
    </w:p>
    <w:p w14:paraId="59A79CC9"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Saget, S., Porto Costa, M., Santos, C.S., Vasconcelos, M., Styles, D., Williams, M., 2021b. Comparative life cycle assessment of plant and beef-based patties, including carbon opportunity costs. Sustain. Prod. Consum. 28, 936–952. https://doi.org/10.1016/j.spc.2021.07.017</w:t>
      </w:r>
    </w:p>
    <w:p w14:paraId="0E36ACF4"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Salas-Vargas, C., Brunett-Pérez, L., Espinosa-Ortiz, V.E., Martínez-García, C.G., 2021. Environmental impact of Oaxaca cheese production and wastewater from artisanal dairies under two scenarios in Aculco, State of Mexico. J. Clean. Prod. 311. https://doi.org/10.1016/j.jclepro.2021.127586</w:t>
      </w:r>
    </w:p>
    <w:p w14:paraId="6295CFA0"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 xml:space="preserve">Salim, I., González-García, S., Feijoo, G., Moreira, M.T., 2019. Assessing the environmental sustainability </w:t>
      </w:r>
      <w:r w:rsidRPr="00C27421">
        <w:rPr>
          <w:rFonts w:ascii="Calibri" w:hAnsi="Calibri" w:cs="Calibri"/>
          <w:noProof/>
          <w:szCs w:val="24"/>
        </w:rPr>
        <w:lastRenderedPageBreak/>
        <w:t>of glucose from wheat as a fermentation feedstock. J. Environ. Manage. 247, 323–332. https://doi.org/10.1016/j.jenvman.2019.06.016</w:t>
      </w:r>
    </w:p>
    <w:p w14:paraId="284B15CD"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Salvador, S., Corazzin, M., Romanzin, A., Bovolenta, S., 2017. Greenhouse gas balance of mountain dairy farms as affected by grassland carbon sequestration. J. Environ. Manage. 196, 644–650. https://doi.org/10.1016/j.jenvman.2017.03.052</w:t>
      </w:r>
    </w:p>
    <w:p w14:paraId="639029CB"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Santos, H.C.M., Maranduba, H.L., de Almeida Neto, J.A., Rodrigues, L.B., 2017. Life cycle assessment of cheese production process in a small-sized dairy industry in Brazil. Environ. Sci. Pollut. Res. 24, 3470–3482. https://doi.org/10.1007/s11356-016-8084-0</w:t>
      </w:r>
    </w:p>
    <w:p w14:paraId="2CA04629"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Sevenster, M., Luo, Z., Eady, S., Grant, T., 2020. Including long-term soil organic carbon changes in life cycle assessment of agricultural products. Int. J. Life Cycle Assess. 25, 1231–1241. https://doi.org/10.1007/s11367-019-01660-4</w:t>
      </w:r>
    </w:p>
    <w:p w14:paraId="1BB05E93"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Shrestha, P., Karim, R.A., Sieverding, H.L., Archer, D.W., Kumar, S., Nleya, T., Graham, C.J., Stone, J.J., 2020. Life cycle assessment of wheat production and wheat-based crop rotations. J. Environ. Qual. 49, 1515–1529. https://doi.org/10.1002/jeq2.20158</w:t>
      </w:r>
    </w:p>
    <w:p w14:paraId="5828F269"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Silvenius, F., Grönroos, J., Kankainen, M., Kurppa, S., Mäkinen, T., Vielma, J., 2017. Impact of feed raw material to climate and eutrophication impacts of Finnish rainbow trout farming and comparisons on climate impact and eutrophication between farmed and wild fish. J. Clean. Prod. 164, 1467–1473. https://doi.org/10.1016/j.jclepro.2017.07.069</w:t>
      </w:r>
    </w:p>
    <w:p w14:paraId="35E88B26"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Six, L., De Wilde, B., Vermeiren, F., Van Hemelryck, S., Vercaeren, M., Zamagni, A., Masoni, P., Dewulf, J., De Meester, S., 2017. Using the product environmental footprint for supply chain management: lessons learned from a case study on pork. Int. J. Life Cycle Assess. 22, 1354–1372. https://doi.org/10.1007/s11367-016-1249-8</w:t>
      </w:r>
    </w:p>
    <w:p w14:paraId="352F04F3"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Summerscales, J., Dissanayake, N.P.J., 2018. Allocation in the Life Cycle Assessment (LCA) of Flax Fibres for the Reinforcement of Composites, in: Advances in Natural Fibre Composites. pp. 223–235. https://doi.org/10.1007/978-3-319-64641-1_7</w:t>
      </w:r>
    </w:p>
    <w:p w14:paraId="67DDB771"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Thoma, G., Jolliet, O., Wang, Y., 2013. A biophysical approach to allocation of life cycle environmental burdens for fluid milk supply chain analysis. Int. Dairy J. 31, S41–S49. https://doi.org/10.1016/j.idairyj.2012.08.012</w:t>
      </w:r>
    </w:p>
    <w:p w14:paraId="3FD349BC"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Tricase, C., Lamonaca, E., Ingrao, C., Bacenetti, J., Lo Giudice, A., 2018. A comparative Life Cycle Assessment between organic and conventional barley cultivation for sustainable agriculture pathways. J. Clean. Prod. 172, 3747–3759. https://doi.org/10.1016/j.jclepro.2017.07.008</w:t>
      </w:r>
    </w:p>
    <w:p w14:paraId="27C0896A"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Uddin, M.E., Aguirre-Villegas, H.A., Larson, R.A., Wattiaux, M.A., 2021. Carbon footprint of milk from Holstein and Jersey cows fed low or high forage diet with alfalfa silage or corn silage as the main forage source. J. Clean. Prod. 298, 126720. https://doi.org/10.1016/j.jclepro.2021.126720</w:t>
      </w:r>
    </w:p>
    <w:p w14:paraId="2064725D"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Usva, K., Virtanen, E., Hyvärinen, H., Nousiainen, J., Sinkko, T., Kurppa, S., 2019. Applying water scarcity footprint methodologies to milk production in Finland. Int. J. Life Cycle Assess. 24, 351–361. https://doi.org/10.1007/s11367-018-1512-2</w:t>
      </w:r>
    </w:p>
    <w:p w14:paraId="48841EDE"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van der Werf, H.M.G., Nguyen, T.T.H., 2015. Construction cost of plant compounds provides a physical relationship for co-product allocation in life cycle assessment. Int. J. Life Cycle Assess. 20, 777–784. https://doi.org/10.1007/s11367-015-0872-0</w:t>
      </w:r>
    </w:p>
    <w:p w14:paraId="0FA116A0"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lastRenderedPageBreak/>
        <w:t>van Hal, O., Weijenberg, A.A.A., de Boer, I.J.M., van Zanten, H.H.E., 2019. Accounting for feed-food competition in environmental impact assessment: Towards a resource efficient food-system. J. Clean. Prod. 240. https://doi.org/10.1016/j.jclepro.2019.118241</w:t>
      </w:r>
    </w:p>
    <w:p w14:paraId="31EDA1C9"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Van Stappen, F., Mathot, M., Loriers, A., Delcour, A., Stilmant, D., Planchon, V., Bodson, B., Léonard, A., Goffart, J.P., 2018. Sensitive parameters in local agricultural life cycle assessments: the illustrative case of cereal production in Wallonia, Belgium. Int. J. Life Cycle Assess. 23, 225–250. https://doi.org/10.1007/s11367-017-1325-8</w:t>
      </w:r>
    </w:p>
    <w:p w14:paraId="04647590"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Vellinga, T. V., de Vries, M., 2018. Effectiveness of climate change mitigation options considering the amount of meat produced in dairy systems. Agric. Syst. 162, 136–144. https://doi.org/10.1016/j.agsy.2018.01.026</w:t>
      </w:r>
    </w:p>
    <w:p w14:paraId="1CFECB1D"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Vida, E., Tedesco, D.E.A., 2017. The carbon footprint of integrated milk production and renewable energy systems – A case study. Sci. Total Environ. 609, 1286–1294. https://doi.org/10.1016/j.scitotenv.2017.07.271</w:t>
      </w:r>
    </w:p>
    <w:p w14:paraId="75C2DB0B"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Werth, S.J., Rocha, A.S., Oltjen, J.W., Kebreab, E., Mitloehner, F.M., 2021. A life cycle assessment of the environmental impacts of cattle feedlot finishing rations. Int. J. Life Cycle Assess. 26, 1779–1793. https://doi.org/10.1007/s11367-021-01957-3</w:t>
      </w:r>
    </w:p>
    <w:p w14:paraId="4F5A2816"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Wiedemann, S.G., Ledgard, S.F., Henry, B.K., Yan, M.J., Mao, N., Russell, S.J., 2015. Application of life cycle assessment to sheep production systems: investigating co-production of wool and meat using case studies from major global producers. Int. J. Life Cycle Assess. 20, 463–476. https://doi.org/10.1007/s11367-015-0849-z</w:t>
      </w:r>
    </w:p>
    <w:p w14:paraId="50C0ADD5"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szCs w:val="24"/>
        </w:rPr>
      </w:pPr>
      <w:r w:rsidRPr="00C27421">
        <w:rPr>
          <w:rFonts w:ascii="Calibri" w:hAnsi="Calibri" w:cs="Calibri"/>
          <w:noProof/>
          <w:szCs w:val="24"/>
        </w:rPr>
        <w:t>Wilkes, A., Wassie, S., Odhong’, C., Fraval, S., van Dijk, S., 2020. Variation in the carbon footprint of milk production on smallholder dairy farms in central Kenya. J. Clean. Prod. 265, 121780. https://doi.org/10.1016/j.jclepro.2020.121780</w:t>
      </w:r>
    </w:p>
    <w:p w14:paraId="0AD9960E" w14:textId="77777777" w:rsidR="00C27421" w:rsidRPr="00C27421" w:rsidRDefault="00C27421" w:rsidP="00C27421">
      <w:pPr>
        <w:widowControl w:val="0"/>
        <w:autoSpaceDE w:val="0"/>
        <w:autoSpaceDN w:val="0"/>
        <w:adjustRightInd w:val="0"/>
        <w:spacing w:line="240" w:lineRule="auto"/>
        <w:ind w:left="480" w:hanging="480"/>
        <w:rPr>
          <w:rFonts w:ascii="Calibri" w:hAnsi="Calibri" w:cs="Calibri"/>
          <w:noProof/>
        </w:rPr>
      </w:pPr>
      <w:r w:rsidRPr="00C27421">
        <w:rPr>
          <w:rFonts w:ascii="Calibri" w:hAnsi="Calibri" w:cs="Calibri"/>
          <w:noProof/>
          <w:szCs w:val="24"/>
        </w:rPr>
        <w:t>Yan, M., Holden, N.M., 2018. Life cycle assessment of multi-product dairy processing using Irish butter and milk powders as an example. J. Clean. Prod. 198, 215–230. https://doi.org/10.1016/j.jclepro.2018.07.006</w:t>
      </w:r>
    </w:p>
    <w:p w14:paraId="23CE3EE6" w14:textId="61C03887" w:rsidR="00C27421" w:rsidRDefault="00C27421">
      <w:r>
        <w:fldChar w:fldCharType="end"/>
      </w:r>
    </w:p>
    <w:sectPr w:rsidR="00C2742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12A5"/>
    <w:rsid w:val="001A401C"/>
    <w:rsid w:val="00295C4C"/>
    <w:rsid w:val="002A1AA7"/>
    <w:rsid w:val="002E7595"/>
    <w:rsid w:val="00340E4E"/>
    <w:rsid w:val="0039701A"/>
    <w:rsid w:val="003B5D4E"/>
    <w:rsid w:val="003B73ED"/>
    <w:rsid w:val="0047386B"/>
    <w:rsid w:val="004831EF"/>
    <w:rsid w:val="00546AEE"/>
    <w:rsid w:val="00694489"/>
    <w:rsid w:val="006E1132"/>
    <w:rsid w:val="007257C5"/>
    <w:rsid w:val="007B6FC8"/>
    <w:rsid w:val="008119C5"/>
    <w:rsid w:val="0081690E"/>
    <w:rsid w:val="0083152B"/>
    <w:rsid w:val="008E7C91"/>
    <w:rsid w:val="00931548"/>
    <w:rsid w:val="009D12A5"/>
    <w:rsid w:val="00A80ACF"/>
    <w:rsid w:val="00B21551"/>
    <w:rsid w:val="00B66375"/>
    <w:rsid w:val="00C23BD9"/>
    <w:rsid w:val="00C27421"/>
    <w:rsid w:val="00C75293"/>
    <w:rsid w:val="00D32891"/>
    <w:rsid w:val="00DA1C73"/>
    <w:rsid w:val="00E31D66"/>
    <w:rsid w:val="00EC217B"/>
    <w:rsid w:val="00F53DF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AF9D3"/>
  <w15:chartTrackingRefBased/>
  <w15:docId w15:val="{BDEA3CD5-1C61-4829-8E10-41C9F7964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A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A80ACF"/>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340E4E"/>
    <w:rPr>
      <w:sz w:val="16"/>
      <w:szCs w:val="16"/>
    </w:rPr>
  </w:style>
  <w:style w:type="paragraph" w:styleId="CommentText">
    <w:name w:val="annotation text"/>
    <w:basedOn w:val="Normal"/>
    <w:link w:val="CommentTextChar"/>
    <w:uiPriority w:val="99"/>
    <w:semiHidden/>
    <w:unhideWhenUsed/>
    <w:rsid w:val="00340E4E"/>
    <w:pPr>
      <w:spacing w:line="240" w:lineRule="auto"/>
    </w:pPr>
    <w:rPr>
      <w:sz w:val="20"/>
      <w:szCs w:val="20"/>
    </w:rPr>
  </w:style>
  <w:style w:type="character" w:customStyle="1" w:styleId="CommentTextChar">
    <w:name w:val="Comment Text Char"/>
    <w:basedOn w:val="DefaultParagraphFont"/>
    <w:link w:val="CommentText"/>
    <w:uiPriority w:val="99"/>
    <w:semiHidden/>
    <w:rsid w:val="00340E4E"/>
    <w:rPr>
      <w:sz w:val="20"/>
      <w:szCs w:val="20"/>
    </w:rPr>
  </w:style>
  <w:style w:type="paragraph" w:styleId="BalloonText">
    <w:name w:val="Balloon Text"/>
    <w:basedOn w:val="Normal"/>
    <w:link w:val="BalloonTextChar"/>
    <w:uiPriority w:val="99"/>
    <w:semiHidden/>
    <w:unhideWhenUsed/>
    <w:rsid w:val="00340E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0E4E"/>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75293"/>
    <w:rPr>
      <w:b/>
      <w:bCs/>
    </w:rPr>
  </w:style>
  <w:style w:type="character" w:customStyle="1" w:styleId="CommentSubjectChar">
    <w:name w:val="Comment Subject Char"/>
    <w:basedOn w:val="CommentTextChar"/>
    <w:link w:val="CommentSubject"/>
    <w:uiPriority w:val="99"/>
    <w:semiHidden/>
    <w:rsid w:val="00C7529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621</TotalTime>
  <Pages>13</Pages>
  <Words>52413</Words>
  <Characters>298759</Characters>
  <Application>Microsoft Office Word</Application>
  <DocSecurity>0</DocSecurity>
  <Lines>2489</Lines>
  <Paragraphs>700</Paragraphs>
  <ScaleCrop>false</ScaleCrop>
  <HeadingPairs>
    <vt:vector size="2" baseType="variant">
      <vt:variant>
        <vt:lpstr>Title</vt:lpstr>
      </vt:variant>
      <vt:variant>
        <vt:i4>1</vt:i4>
      </vt:variant>
    </vt:vector>
  </HeadingPairs>
  <TitlesOfParts>
    <vt:vector size="1" baseType="lpstr">
      <vt:lpstr/>
    </vt:vector>
  </TitlesOfParts>
  <Company>UBC Okanagan</Company>
  <LinksUpToDate>false</LinksUpToDate>
  <CharactersWithSpaces>350472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nbamber@student.ubc.ca</dc:creator>
  <cp:keywords/>
  <dc:description/>
  <cp:lastModifiedBy>Bamber, Nicole</cp:lastModifiedBy>
  <cp:revision>19</cp:revision>
  <dcterms:created xsi:type="dcterms:W3CDTF">2024-03-04T19:07:00Z</dcterms:created>
  <dcterms:modified xsi:type="dcterms:W3CDTF">2025-10-01T21:41:00Z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http://www.zotero.org/styles/journal-of-cleaner-production</vt:lpwstr>
  </property>
  <property fmtid="{D5CDD505-2E9C-101B-9397-08002B2CF9AE}" pid="13" name="Mendeley Recent Style Name 5_1">
    <vt:lpwstr>Journal of Cleaner Production</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http://www.zotero.org/styles/the-international-journal-of-life-cycle-assessment</vt:lpwstr>
  </property>
  <property fmtid="{D5CDD505-2E9C-101B-9397-08002B2CF9AE}" pid="19" name="Mendeley Recent Style Name 8_1">
    <vt:lpwstr>The International Journal of Life Cycle Assessment</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5b3eaf8e-5857-3e3f-bc82-7a76740c97fa</vt:lpwstr>
  </property>
  <property fmtid="{D5CDD505-2E9C-101B-9397-08002B2CF9AE}" pid="24" name="Mendeley Citation Style_1">
    <vt:lpwstr>http://www.zotero.org/styles/journal-of-cleaner-production</vt:lpwstr>
  </property>
</Properties>
</file>