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2202" w14:textId="49972E3E" w:rsidR="009B6EFA" w:rsidRDefault="00D617C3" w:rsidP="000D0F08">
      <w:pPr>
        <w:pStyle w:val="Title"/>
        <w:jc w:val="center"/>
        <w:rPr>
          <w:sz w:val="40"/>
          <w:szCs w:val="40"/>
        </w:rPr>
      </w:pPr>
      <w:bookmarkStart w:id="0" w:name="_Hlk211849683"/>
      <w:bookmarkEnd w:id="0"/>
      <w:r>
        <w:rPr>
          <w:sz w:val="40"/>
          <w:szCs w:val="40"/>
        </w:rPr>
        <w:t>Guidance on i</w:t>
      </w:r>
      <w:r w:rsidR="00F860EA" w:rsidRPr="00022A5D">
        <w:rPr>
          <w:sz w:val="40"/>
          <w:szCs w:val="40"/>
        </w:rPr>
        <w:t>ntegrati</w:t>
      </w:r>
      <w:r w:rsidR="00232140" w:rsidRPr="00022A5D">
        <w:rPr>
          <w:sz w:val="40"/>
          <w:szCs w:val="40"/>
        </w:rPr>
        <w:t>ng</w:t>
      </w:r>
      <w:r w:rsidR="008D09C8" w:rsidRPr="00022A5D">
        <w:rPr>
          <w:sz w:val="40"/>
          <w:szCs w:val="40"/>
        </w:rPr>
        <w:t xml:space="preserve"> marine environmental impacts of </w:t>
      </w:r>
      <w:r w:rsidR="000D0F08">
        <w:rPr>
          <w:sz w:val="40"/>
          <w:szCs w:val="40"/>
        </w:rPr>
        <w:t>ocean alkalinity enhancement</w:t>
      </w:r>
      <w:r w:rsidR="00701EBD">
        <w:rPr>
          <w:sz w:val="40"/>
          <w:szCs w:val="40"/>
        </w:rPr>
        <w:t xml:space="preserve"> </w:t>
      </w:r>
      <w:r w:rsidR="008D09C8" w:rsidRPr="00022A5D">
        <w:rPr>
          <w:sz w:val="40"/>
          <w:szCs w:val="40"/>
        </w:rPr>
        <w:t>in</w:t>
      </w:r>
      <w:r w:rsidR="006D64FA" w:rsidRPr="00022A5D">
        <w:rPr>
          <w:sz w:val="40"/>
          <w:szCs w:val="40"/>
        </w:rPr>
        <w:t>to</w:t>
      </w:r>
      <w:r w:rsidR="008D09C8" w:rsidRPr="00022A5D">
        <w:rPr>
          <w:sz w:val="40"/>
          <w:szCs w:val="40"/>
        </w:rPr>
        <w:t xml:space="preserve"> life cycle assessment</w:t>
      </w:r>
    </w:p>
    <w:p w14:paraId="5ED16763" w14:textId="28E186BC" w:rsidR="00A712DD" w:rsidRPr="00A712DD" w:rsidRDefault="00A712DD" w:rsidP="00A712DD">
      <w:pPr>
        <w:pStyle w:val="Subtitle"/>
        <w:jc w:val="center"/>
      </w:pPr>
      <w:r>
        <w:t>Supplementary Information</w:t>
      </w:r>
    </w:p>
    <w:p w14:paraId="6C6646BD" w14:textId="63DB312A" w:rsidR="00C34A3E" w:rsidRPr="00022A5D" w:rsidRDefault="00C34A3E" w:rsidP="00482E3F">
      <w:pPr>
        <w:pStyle w:val="RSCB01ARTAbstract"/>
        <w:jc w:val="center"/>
        <w:rPr>
          <w:rFonts w:cs="Times New Roman"/>
          <w:noProof w:val="0"/>
          <w:sz w:val="20"/>
        </w:rPr>
      </w:pPr>
      <w:r w:rsidRPr="00022A5D">
        <w:rPr>
          <w:rFonts w:cs="Times New Roman"/>
          <w:noProof w:val="0"/>
          <w:sz w:val="20"/>
        </w:rPr>
        <w:t>Mona H. Delval *</w:t>
      </w:r>
      <w:r w:rsidRPr="00022A5D">
        <w:rPr>
          <w:rFonts w:cs="Times New Roman"/>
          <w:noProof w:val="0"/>
          <w:sz w:val="20"/>
          <w:vertAlign w:val="superscript"/>
        </w:rPr>
        <w:t>a</w:t>
      </w:r>
      <w:r w:rsidRPr="00022A5D">
        <w:rPr>
          <w:rFonts w:cs="Times New Roman"/>
          <w:noProof w:val="0"/>
          <w:sz w:val="20"/>
        </w:rPr>
        <w:t>, Patrik J.G. Henriksson</w:t>
      </w:r>
      <w:r w:rsidRPr="00022A5D">
        <w:rPr>
          <w:rFonts w:cs="Times New Roman"/>
          <w:noProof w:val="0"/>
          <w:sz w:val="20"/>
          <w:vertAlign w:val="superscript"/>
        </w:rPr>
        <w:t xml:space="preserve"> </w:t>
      </w:r>
      <w:proofErr w:type="spellStart"/>
      <w:r w:rsidRPr="00022A5D">
        <w:rPr>
          <w:rFonts w:cs="Times New Roman"/>
          <w:noProof w:val="0"/>
          <w:sz w:val="20"/>
          <w:vertAlign w:val="superscript"/>
        </w:rPr>
        <w:t>a,b</w:t>
      </w:r>
      <w:proofErr w:type="spellEnd"/>
      <w:r w:rsidRPr="00022A5D">
        <w:rPr>
          <w:rFonts w:cs="Times New Roman"/>
          <w:noProof w:val="0"/>
          <w:sz w:val="20"/>
        </w:rPr>
        <w:t xml:space="preserve">, </w:t>
      </w:r>
      <w:r w:rsidR="00482E3F" w:rsidRPr="00022A5D">
        <w:rPr>
          <w:rFonts w:cs="Times New Roman"/>
          <w:noProof w:val="0"/>
          <w:sz w:val="20"/>
        </w:rPr>
        <w:t xml:space="preserve">Paul Behrens </w:t>
      </w:r>
      <w:proofErr w:type="spellStart"/>
      <w:r w:rsidR="00482E3F" w:rsidRPr="00022A5D">
        <w:rPr>
          <w:rFonts w:cs="Times New Roman"/>
          <w:noProof w:val="0"/>
          <w:sz w:val="20"/>
          <w:vertAlign w:val="superscript"/>
        </w:rPr>
        <w:t>a,c</w:t>
      </w:r>
      <w:proofErr w:type="spellEnd"/>
      <w:r w:rsidR="00482E3F" w:rsidRPr="00022A5D">
        <w:rPr>
          <w:rFonts w:cs="Times New Roman"/>
          <w:noProof w:val="0"/>
          <w:sz w:val="20"/>
        </w:rPr>
        <w:t xml:space="preserve">, </w:t>
      </w:r>
      <w:r w:rsidR="000C474D" w:rsidRPr="00022A5D">
        <w:rPr>
          <w:rFonts w:cs="Times New Roman"/>
          <w:noProof w:val="0"/>
          <w:sz w:val="20"/>
        </w:rPr>
        <w:t>Laura Scherer</w:t>
      </w:r>
      <w:r w:rsidR="009079E3" w:rsidRPr="00022A5D">
        <w:rPr>
          <w:rFonts w:cs="Times New Roman"/>
          <w:noProof w:val="0"/>
          <w:sz w:val="20"/>
        </w:rPr>
        <w:t xml:space="preserve"> </w:t>
      </w:r>
      <w:r w:rsidR="009079E3" w:rsidRPr="00022A5D">
        <w:rPr>
          <w:rFonts w:cs="Times New Roman"/>
          <w:noProof w:val="0"/>
          <w:sz w:val="20"/>
          <w:vertAlign w:val="superscript"/>
        </w:rPr>
        <w:t>a</w:t>
      </w:r>
      <w:r w:rsidR="000C474D" w:rsidRPr="00022A5D">
        <w:rPr>
          <w:rFonts w:cs="Times New Roman"/>
          <w:noProof w:val="0"/>
          <w:sz w:val="20"/>
        </w:rPr>
        <w:t xml:space="preserve">, </w:t>
      </w:r>
      <w:r w:rsidR="009079E3" w:rsidRPr="00022A5D">
        <w:rPr>
          <w:rFonts w:cs="Times New Roman"/>
          <w:noProof w:val="0"/>
          <w:sz w:val="20"/>
        </w:rPr>
        <w:t>P</w:t>
      </w:r>
      <w:r w:rsidR="000C474D" w:rsidRPr="00022A5D">
        <w:rPr>
          <w:rFonts w:cs="Times New Roman"/>
          <w:noProof w:val="0"/>
          <w:sz w:val="20"/>
        </w:rPr>
        <w:t>ablo Trucco</w:t>
      </w:r>
      <w:r w:rsidR="00243283">
        <w:rPr>
          <w:rFonts w:cs="Times New Roman"/>
          <w:noProof w:val="0"/>
          <w:sz w:val="20"/>
        </w:rPr>
        <w:t>-</w:t>
      </w:r>
      <w:proofErr w:type="spellStart"/>
      <w:r w:rsidR="000C474D" w:rsidRPr="00022A5D">
        <w:rPr>
          <w:rFonts w:cs="Times New Roman"/>
          <w:noProof w:val="0"/>
          <w:sz w:val="20"/>
        </w:rPr>
        <w:t>Pignata</w:t>
      </w:r>
      <w:proofErr w:type="spellEnd"/>
      <w:r w:rsidR="009079E3" w:rsidRPr="00022A5D">
        <w:rPr>
          <w:rFonts w:cs="Times New Roman"/>
          <w:noProof w:val="0"/>
          <w:sz w:val="20"/>
        </w:rPr>
        <w:t xml:space="preserve"> </w:t>
      </w:r>
      <w:r w:rsidR="00482E3F" w:rsidRPr="00022A5D">
        <w:rPr>
          <w:rFonts w:cs="Times New Roman"/>
          <w:noProof w:val="0"/>
          <w:sz w:val="20"/>
          <w:vertAlign w:val="superscript"/>
        </w:rPr>
        <w:t>d</w:t>
      </w:r>
      <w:r w:rsidR="000C474D" w:rsidRPr="00022A5D">
        <w:rPr>
          <w:rFonts w:cs="Times New Roman"/>
          <w:noProof w:val="0"/>
          <w:sz w:val="20"/>
        </w:rPr>
        <w:t xml:space="preserve">, </w:t>
      </w:r>
      <w:r w:rsidR="008277E0" w:rsidRPr="00022A5D">
        <w:rPr>
          <w:rFonts w:cs="Times New Roman"/>
          <w:noProof w:val="0"/>
          <w:sz w:val="20"/>
        </w:rPr>
        <w:t xml:space="preserve">Patricia Grasse </w:t>
      </w:r>
      <w:proofErr w:type="spellStart"/>
      <w:r w:rsidR="00DB7ED8">
        <w:rPr>
          <w:rFonts w:cs="Times New Roman"/>
          <w:noProof w:val="0"/>
          <w:sz w:val="20"/>
          <w:vertAlign w:val="superscript"/>
        </w:rPr>
        <w:t>e</w:t>
      </w:r>
      <w:r w:rsidR="008277E0" w:rsidRPr="00022A5D">
        <w:rPr>
          <w:rFonts w:cs="Times New Roman"/>
          <w:noProof w:val="0"/>
          <w:sz w:val="20"/>
          <w:vertAlign w:val="superscript"/>
        </w:rPr>
        <w:t>,</w:t>
      </w:r>
      <w:r w:rsidR="00DB7ED8">
        <w:rPr>
          <w:rFonts w:cs="Times New Roman"/>
          <w:noProof w:val="0"/>
          <w:sz w:val="20"/>
          <w:vertAlign w:val="superscript"/>
        </w:rPr>
        <w:t>f</w:t>
      </w:r>
      <w:proofErr w:type="spellEnd"/>
      <w:r w:rsidR="008277E0">
        <w:rPr>
          <w:rFonts w:cs="Times New Roman"/>
          <w:noProof w:val="0"/>
          <w:sz w:val="20"/>
        </w:rPr>
        <w:t xml:space="preserve">, </w:t>
      </w:r>
      <w:r w:rsidR="000C474D" w:rsidRPr="00022A5D">
        <w:rPr>
          <w:rFonts w:cs="Times New Roman"/>
          <w:noProof w:val="0"/>
          <w:sz w:val="20"/>
        </w:rPr>
        <w:t>Phil Renforth</w:t>
      </w:r>
      <w:r w:rsidR="009079E3" w:rsidRPr="00022A5D">
        <w:rPr>
          <w:rFonts w:cs="Times New Roman"/>
          <w:noProof w:val="0"/>
          <w:sz w:val="20"/>
        </w:rPr>
        <w:t xml:space="preserve"> </w:t>
      </w:r>
      <w:r w:rsidR="00DB7ED8">
        <w:rPr>
          <w:rFonts w:cs="Times New Roman"/>
          <w:noProof w:val="0"/>
          <w:sz w:val="20"/>
          <w:vertAlign w:val="superscript"/>
        </w:rPr>
        <w:t>g</w:t>
      </w:r>
      <w:r w:rsidR="000C474D" w:rsidRPr="00022A5D">
        <w:rPr>
          <w:rFonts w:cs="Times New Roman"/>
          <w:noProof w:val="0"/>
          <w:sz w:val="20"/>
        </w:rPr>
        <w:t>,</w:t>
      </w:r>
      <w:r w:rsidR="00482E3F" w:rsidRPr="00022A5D">
        <w:rPr>
          <w:rFonts w:cs="Times New Roman"/>
          <w:noProof w:val="0"/>
          <w:sz w:val="20"/>
        </w:rPr>
        <w:t xml:space="preserve"> and</w:t>
      </w:r>
      <w:r w:rsidR="000C474D" w:rsidRPr="00022A5D">
        <w:rPr>
          <w:rFonts w:cs="Times New Roman"/>
          <w:noProof w:val="0"/>
          <w:sz w:val="20"/>
        </w:rPr>
        <w:t xml:space="preserve"> Nils Thonemann</w:t>
      </w:r>
      <w:r w:rsidR="000C474D" w:rsidRPr="00022A5D">
        <w:rPr>
          <w:rFonts w:cs="Times New Roman"/>
          <w:noProof w:val="0"/>
          <w:sz w:val="20"/>
          <w:vertAlign w:val="superscript"/>
        </w:rPr>
        <w:t xml:space="preserve"> a</w:t>
      </w:r>
    </w:p>
    <w:p w14:paraId="2AB4ADFB" w14:textId="668EF7AB" w:rsidR="00C34A3E" w:rsidRPr="00022A5D" w:rsidRDefault="00C34A3E" w:rsidP="00C34A3E">
      <w:pPr>
        <w:pStyle w:val="RSCF01FootnoteAuthorAddress"/>
        <w:rPr>
          <w:rFonts w:ascii="Times New Roman" w:hAnsi="Times New Roman"/>
        </w:rPr>
      </w:pPr>
      <w:r w:rsidRPr="00022A5D">
        <w:rPr>
          <w:rFonts w:ascii="Times New Roman" w:hAnsi="Times New Roman"/>
        </w:rPr>
        <w:t xml:space="preserve">Institute of Environmental Sciences (CML), Leiden University, </w:t>
      </w:r>
      <w:proofErr w:type="spellStart"/>
      <w:r w:rsidRPr="00022A5D">
        <w:rPr>
          <w:rFonts w:ascii="Times New Roman" w:hAnsi="Times New Roman"/>
        </w:rPr>
        <w:t>Einsteinweg</w:t>
      </w:r>
      <w:proofErr w:type="spellEnd"/>
      <w:r w:rsidRPr="00022A5D">
        <w:rPr>
          <w:rFonts w:ascii="Times New Roman" w:hAnsi="Times New Roman"/>
        </w:rPr>
        <w:t xml:space="preserve"> 2, 2333 CC, Leiden, the Netherlands.</w:t>
      </w:r>
    </w:p>
    <w:p w14:paraId="7083509F" w14:textId="77777777" w:rsidR="00C34A3E" w:rsidRPr="00022A5D" w:rsidRDefault="00C34A3E" w:rsidP="00C34A3E">
      <w:pPr>
        <w:pStyle w:val="RSCF01FootnoteAuthorAddress"/>
        <w:rPr>
          <w:rFonts w:ascii="Times New Roman" w:hAnsi="Times New Roman"/>
        </w:rPr>
      </w:pPr>
      <w:r w:rsidRPr="00022A5D">
        <w:rPr>
          <w:rFonts w:ascii="Times New Roman" w:hAnsi="Times New Roman"/>
        </w:rPr>
        <w:t xml:space="preserve">Stockholm Resilience Centre, Stockholm University, </w:t>
      </w:r>
      <w:proofErr w:type="spellStart"/>
      <w:r w:rsidRPr="00022A5D">
        <w:rPr>
          <w:rFonts w:ascii="Times New Roman" w:hAnsi="Times New Roman"/>
        </w:rPr>
        <w:t>Albanovägen</w:t>
      </w:r>
      <w:proofErr w:type="spellEnd"/>
      <w:r w:rsidRPr="00022A5D">
        <w:rPr>
          <w:rFonts w:ascii="Times New Roman" w:hAnsi="Times New Roman"/>
        </w:rPr>
        <w:t xml:space="preserve"> 28, 106 91, Stockholm, Sweden.</w:t>
      </w:r>
    </w:p>
    <w:p w14:paraId="63B01EDC" w14:textId="29063AB7" w:rsidR="00C34A3E" w:rsidRPr="00022A5D" w:rsidRDefault="00C34A3E" w:rsidP="00482E3F">
      <w:pPr>
        <w:pStyle w:val="RSCF01FootnoteAuthorAddress"/>
        <w:rPr>
          <w:rFonts w:ascii="Times New Roman" w:hAnsi="Times New Roman"/>
        </w:rPr>
      </w:pPr>
      <w:r w:rsidRPr="00022A5D">
        <w:rPr>
          <w:rFonts w:ascii="Times New Roman" w:hAnsi="Times New Roman"/>
        </w:rPr>
        <w:t>University of Oxford, Oxford Martin School, 34 Broad St, OX1 3BD, Oxford, United Kingdom.</w:t>
      </w:r>
    </w:p>
    <w:p w14:paraId="1A0768CB" w14:textId="1C7C1782" w:rsidR="00A42234" w:rsidRPr="000842B7" w:rsidRDefault="00FA2B66" w:rsidP="000842B7">
      <w:pPr>
        <w:pStyle w:val="RSCF01FootnoteAuthorAddress"/>
        <w:rPr>
          <w:rFonts w:ascii="Times New Roman" w:hAnsi="Times New Roman"/>
        </w:rPr>
      </w:pPr>
      <w:r w:rsidRPr="00022A5D">
        <w:rPr>
          <w:rFonts w:ascii="Times New Roman" w:hAnsi="Times New Roman"/>
        </w:rPr>
        <w:t>National Oceanography Centre, Southa</w:t>
      </w:r>
      <w:r w:rsidR="00EA0407" w:rsidRPr="00022A5D">
        <w:rPr>
          <w:rFonts w:ascii="Times New Roman" w:hAnsi="Times New Roman"/>
        </w:rPr>
        <w:t>mpton, United Kingdom.</w:t>
      </w:r>
    </w:p>
    <w:p w14:paraId="7607C714" w14:textId="1CEF31C3" w:rsidR="003538C4" w:rsidRDefault="00A42234" w:rsidP="0077415B">
      <w:pPr>
        <w:pStyle w:val="RSCF01FootnoteAuthorAddress"/>
        <w:rPr>
          <w:rFonts w:ascii="Times New Roman" w:hAnsi="Times New Roman"/>
        </w:rPr>
      </w:pPr>
      <w:r w:rsidRPr="00022A5D">
        <w:rPr>
          <w:rFonts w:ascii="Times New Roman" w:hAnsi="Times New Roman"/>
        </w:rPr>
        <w:t>German Centre for Integrative Biodiversity Research (</w:t>
      </w:r>
      <w:proofErr w:type="spellStart"/>
      <w:r w:rsidRPr="00022A5D">
        <w:rPr>
          <w:rFonts w:ascii="Times New Roman" w:hAnsi="Times New Roman"/>
        </w:rPr>
        <w:t>iDiv</w:t>
      </w:r>
      <w:proofErr w:type="spellEnd"/>
      <w:r w:rsidRPr="00022A5D">
        <w:rPr>
          <w:rFonts w:ascii="Times New Roman" w:hAnsi="Times New Roman"/>
        </w:rPr>
        <w:t>) Halle-Jena-Leipzig, 04103, Leipzig, Germany</w:t>
      </w:r>
    </w:p>
    <w:p w14:paraId="6BDD43ED" w14:textId="6CF6B8FC" w:rsidR="000842B7" w:rsidRDefault="000842B7" w:rsidP="0077415B">
      <w:pPr>
        <w:pStyle w:val="RSCF01FootnoteAuthorAddress"/>
        <w:rPr>
          <w:rFonts w:ascii="Times New Roman" w:hAnsi="Times New Roman"/>
        </w:rPr>
      </w:pPr>
      <w:r w:rsidRPr="00DB7ED8">
        <w:rPr>
          <w:rFonts w:ascii="Times New Roman" w:hAnsi="Times New Roman"/>
        </w:rPr>
        <w:t>GEOMAR Helmholtz Centre for Ocean Research Kiel, 24148, Kiel, Germany</w:t>
      </w:r>
    </w:p>
    <w:p w14:paraId="1AE3637D" w14:textId="126B0FEB" w:rsidR="00DB7ED8" w:rsidRPr="00022A5D" w:rsidRDefault="00DB7ED8" w:rsidP="0077415B">
      <w:pPr>
        <w:pStyle w:val="RSCF01FootnoteAuthorAddress"/>
        <w:rPr>
          <w:rFonts w:ascii="Times New Roman" w:hAnsi="Times New Roman"/>
        </w:rPr>
      </w:pPr>
      <w:r w:rsidRPr="00022A5D">
        <w:rPr>
          <w:rFonts w:ascii="Times New Roman" w:hAnsi="Times New Roman"/>
        </w:rPr>
        <w:t>Research Centre for Carbon Solutions, Heriot-Watt University, Edinburgh, United Kingdom</w:t>
      </w:r>
    </w:p>
    <w:p w14:paraId="05320E96" w14:textId="5A2DBC3B" w:rsidR="00C34A3E" w:rsidRPr="00022A5D" w:rsidRDefault="00C34A3E" w:rsidP="00C34A3E">
      <w:pPr>
        <w:pStyle w:val="Footer"/>
        <w:rPr>
          <w:rFonts w:cs="Times New Roman"/>
          <w:i/>
          <w:iCs/>
          <w:sz w:val="18"/>
          <w:szCs w:val="18"/>
        </w:rPr>
      </w:pPr>
      <w:r w:rsidRPr="00022A5D">
        <w:rPr>
          <w:rFonts w:cs="Times New Roman"/>
          <w:i/>
          <w:iCs/>
          <w:sz w:val="18"/>
          <w:szCs w:val="18"/>
        </w:rPr>
        <w:t>* Corresponding author. m.h.delval@cml.leidenuniv.nl (M.H. Delval)</w:t>
      </w:r>
    </w:p>
    <w:p w14:paraId="10ABDBA9" w14:textId="05BB5ADD" w:rsidR="00835117" w:rsidRPr="00412380" w:rsidRDefault="00412621" w:rsidP="00412621">
      <w:pPr>
        <w:pStyle w:val="Heading1"/>
        <w:numPr>
          <w:ilvl w:val="0"/>
          <w:numId w:val="0"/>
        </w:numPr>
        <w:ind w:left="360" w:hanging="360"/>
      </w:pPr>
      <w:r>
        <w:t xml:space="preserve">A. </w:t>
      </w:r>
      <w:r w:rsidR="00D36A0D">
        <w:t>T</w:t>
      </w:r>
      <w:r w:rsidR="00F8797D" w:rsidRPr="00022A5D">
        <w:t>echnical</w:t>
      </w:r>
      <w:r w:rsidR="00D6219D" w:rsidRPr="00022A5D">
        <w:t xml:space="preserve"> information on </w:t>
      </w:r>
      <w:r w:rsidR="00934B1A">
        <w:t>ocean alkalinity enhancement</w:t>
      </w:r>
    </w:p>
    <w:p w14:paraId="6AD6A2DF" w14:textId="078562B2" w:rsidR="00D6219D" w:rsidRPr="004013A7" w:rsidRDefault="00F8797D" w:rsidP="00E230F8">
      <w:pPr>
        <w:spacing w:line="480" w:lineRule="auto"/>
        <w:rPr>
          <w:rFonts w:cs="Times New Roman"/>
          <w:szCs w:val="20"/>
        </w:rPr>
      </w:pPr>
      <w:r w:rsidRPr="00022A5D">
        <w:rPr>
          <w:szCs w:val="24"/>
        </w:rPr>
        <w:t>In</w:t>
      </w:r>
      <w:r w:rsidR="00151E32">
        <w:rPr>
          <w:szCs w:val="24"/>
        </w:rPr>
        <w:t xml:space="preserve"> ocean alkalinity enhancement</w:t>
      </w:r>
      <w:r w:rsidRPr="00022A5D">
        <w:rPr>
          <w:szCs w:val="24"/>
        </w:rPr>
        <w:t xml:space="preserve"> </w:t>
      </w:r>
      <w:r w:rsidR="00151E32">
        <w:rPr>
          <w:szCs w:val="24"/>
        </w:rPr>
        <w:t>(</w:t>
      </w:r>
      <w:r w:rsidRPr="00022A5D">
        <w:rPr>
          <w:szCs w:val="24"/>
        </w:rPr>
        <w:t>OAE</w:t>
      </w:r>
      <w:r w:rsidR="00151E32">
        <w:rPr>
          <w:szCs w:val="24"/>
        </w:rPr>
        <w:t>)</w:t>
      </w:r>
      <w:r w:rsidRPr="00022A5D">
        <w:rPr>
          <w:szCs w:val="24"/>
        </w:rPr>
        <w:t xml:space="preserve"> approaches, a</w:t>
      </w:r>
      <w:r w:rsidR="00D6219D" w:rsidRPr="00022A5D">
        <w:rPr>
          <w:szCs w:val="24"/>
        </w:rPr>
        <w:t xml:space="preserve">lkaline materials are intentionally </w:t>
      </w:r>
      <w:r w:rsidR="006926E5">
        <w:rPr>
          <w:szCs w:val="24"/>
        </w:rPr>
        <w:t>added</w:t>
      </w:r>
      <w:r w:rsidR="00D6219D" w:rsidRPr="00022A5D">
        <w:rPr>
          <w:szCs w:val="24"/>
        </w:rPr>
        <w:t xml:space="preserve"> </w:t>
      </w:r>
      <w:r w:rsidR="006926E5">
        <w:rPr>
          <w:szCs w:val="24"/>
        </w:rPr>
        <w:t>to</w:t>
      </w:r>
      <w:r w:rsidR="00BA2314">
        <w:rPr>
          <w:szCs w:val="24"/>
        </w:rPr>
        <w:t xml:space="preserve"> marine environments</w:t>
      </w:r>
      <w:r w:rsidR="008D0834">
        <w:rPr>
          <w:szCs w:val="24"/>
        </w:rPr>
        <w:t xml:space="preserve"> </w:t>
      </w:r>
      <w:r w:rsidR="008D0834" w:rsidRPr="49E5B81A">
        <w:rPr>
          <w:rFonts w:cs="Times New Roman"/>
        </w:rPr>
        <w:t>via mineral, industrial, or electrochemical sources</w:t>
      </w:r>
      <w:r w:rsidR="008D0834">
        <w:rPr>
          <w:szCs w:val="24"/>
        </w:rPr>
        <w:t>.</w:t>
      </w:r>
      <w:r w:rsidR="00D6219D" w:rsidRPr="00022A5D">
        <w:rPr>
          <w:szCs w:val="24"/>
        </w:rPr>
        <w:t xml:space="preserve"> </w:t>
      </w:r>
      <w:r w:rsidR="008D0834">
        <w:rPr>
          <w:szCs w:val="24"/>
        </w:rPr>
        <w:t>A</w:t>
      </w:r>
      <w:r w:rsidR="00D6219D" w:rsidRPr="00022A5D">
        <w:rPr>
          <w:szCs w:val="24"/>
        </w:rPr>
        <w:t>s the</w:t>
      </w:r>
      <w:r w:rsidR="00B322DE">
        <w:rPr>
          <w:szCs w:val="24"/>
        </w:rPr>
        <w:t>se materials</w:t>
      </w:r>
      <w:r w:rsidR="00D6219D" w:rsidRPr="00022A5D">
        <w:rPr>
          <w:szCs w:val="24"/>
        </w:rPr>
        <w:t xml:space="preserve"> dissolve, alkaline materials consume protons (H</w:t>
      </w:r>
      <w:r w:rsidR="00D6219D" w:rsidRPr="00022A5D">
        <w:rPr>
          <w:szCs w:val="24"/>
          <w:vertAlign w:val="superscript"/>
        </w:rPr>
        <w:t>+</w:t>
      </w:r>
      <w:r w:rsidR="00D6219D" w:rsidRPr="00022A5D">
        <w:rPr>
          <w:szCs w:val="24"/>
        </w:rPr>
        <w:t>)</w:t>
      </w:r>
      <w:r w:rsidR="00494E72">
        <w:rPr>
          <w:szCs w:val="24"/>
        </w:rPr>
        <w:t xml:space="preserve"> in seawater and pore waters</w:t>
      </w:r>
      <w:r w:rsidR="00D6219D" w:rsidRPr="00022A5D">
        <w:rPr>
          <w:szCs w:val="24"/>
        </w:rPr>
        <w:t xml:space="preserve">. Subsequently, a shift of </w:t>
      </w:r>
      <w:r w:rsidR="0063570F">
        <w:rPr>
          <w:szCs w:val="24"/>
        </w:rPr>
        <w:t xml:space="preserve">marine </w:t>
      </w:r>
      <w:r w:rsidR="00D6219D" w:rsidRPr="00022A5D">
        <w:rPr>
          <w:szCs w:val="24"/>
        </w:rPr>
        <w:t xml:space="preserve">carbonate chemistry equilibrium occurs, </w:t>
      </w:r>
      <w:r w:rsidR="00D6219D" w:rsidRPr="00022A5D">
        <w:rPr>
          <w:rFonts w:cs="Times New Roman"/>
          <w:szCs w:val="20"/>
        </w:rPr>
        <w:t>with dissolved</w:t>
      </w:r>
      <w:r w:rsidR="008540B8">
        <w:rPr>
          <w:rFonts w:cs="Times New Roman"/>
          <w:szCs w:val="20"/>
        </w:rPr>
        <w:t xml:space="preserve"> carbon dioxide</w:t>
      </w:r>
      <w:r w:rsidR="00D6219D" w:rsidRPr="00022A5D">
        <w:rPr>
          <w:rFonts w:cs="Times New Roman"/>
          <w:szCs w:val="20"/>
        </w:rPr>
        <w:t xml:space="preserve"> </w:t>
      </w:r>
      <w:r w:rsidR="008540B8">
        <w:rPr>
          <w:rFonts w:cs="Times New Roman"/>
          <w:szCs w:val="20"/>
        </w:rPr>
        <w:t>(</w:t>
      </w:r>
      <w:r w:rsidR="00D6219D" w:rsidRPr="00022A5D">
        <w:rPr>
          <w:rFonts w:cs="Times New Roman"/>
          <w:szCs w:val="20"/>
        </w:rPr>
        <w:t>CO</w:t>
      </w:r>
      <w:r w:rsidR="00D6219D" w:rsidRPr="00022A5D">
        <w:rPr>
          <w:rFonts w:cs="Times New Roman"/>
          <w:szCs w:val="20"/>
          <w:vertAlign w:val="subscript"/>
        </w:rPr>
        <w:t>2</w:t>
      </w:r>
      <w:r w:rsidR="008540B8">
        <w:rPr>
          <w:rFonts w:cs="Times New Roman"/>
          <w:szCs w:val="20"/>
        </w:rPr>
        <w:t xml:space="preserve">) </w:t>
      </w:r>
      <w:r w:rsidR="00D6219D" w:rsidRPr="00022A5D">
        <w:rPr>
          <w:rFonts w:cs="Times New Roman"/>
          <w:szCs w:val="20"/>
        </w:rPr>
        <w:t>in water converted into bicarbonate (HCO</w:t>
      </w:r>
      <w:r w:rsidR="00D6219D" w:rsidRPr="00022A5D">
        <w:rPr>
          <w:rFonts w:cs="Times New Roman"/>
          <w:szCs w:val="20"/>
          <w:vertAlign w:val="subscript"/>
        </w:rPr>
        <w:t>3</w:t>
      </w:r>
      <w:r w:rsidR="00D6219D" w:rsidRPr="00022A5D">
        <w:rPr>
          <w:rFonts w:cs="Times New Roman"/>
          <w:szCs w:val="20"/>
          <w:vertAlign w:val="superscript"/>
        </w:rPr>
        <w:t>−</w:t>
      </w:r>
      <w:r w:rsidR="00D6219D" w:rsidRPr="00022A5D">
        <w:rPr>
          <w:rFonts w:cs="Times New Roman"/>
          <w:szCs w:val="20"/>
        </w:rPr>
        <w:t>) and carbonate (CO</w:t>
      </w:r>
      <w:r w:rsidR="00D6219D" w:rsidRPr="00022A5D">
        <w:rPr>
          <w:rFonts w:cs="Times New Roman"/>
          <w:szCs w:val="20"/>
          <w:vertAlign w:val="subscript"/>
        </w:rPr>
        <w:t>3</w:t>
      </w:r>
      <w:r w:rsidR="00D6219D" w:rsidRPr="00022A5D">
        <w:rPr>
          <w:rFonts w:cs="Times New Roman"/>
          <w:szCs w:val="20"/>
          <w:vertAlign w:val="superscript"/>
        </w:rPr>
        <w:t>2−</w:t>
      </w:r>
      <w:r w:rsidR="00D6219D" w:rsidRPr="00022A5D">
        <w:rPr>
          <w:rFonts w:cs="Times New Roman"/>
          <w:szCs w:val="20"/>
        </w:rPr>
        <w:t>) ions. This shift is measurable by an increase in total alkalinity (TA). Consequently, the partial pressure of CO</w:t>
      </w:r>
      <w:r w:rsidR="00D6219D" w:rsidRPr="00022A5D">
        <w:rPr>
          <w:rFonts w:cs="Times New Roman"/>
          <w:szCs w:val="20"/>
          <w:vertAlign w:val="subscript"/>
        </w:rPr>
        <w:t>2</w:t>
      </w:r>
      <w:r w:rsidR="00D6219D" w:rsidRPr="00022A5D">
        <w:rPr>
          <w:rFonts w:cs="Times New Roman"/>
          <w:szCs w:val="20"/>
        </w:rPr>
        <w:t xml:space="preserve"> (pCO</w:t>
      </w:r>
      <w:r w:rsidR="00D6219D" w:rsidRPr="00022A5D">
        <w:rPr>
          <w:rFonts w:cs="Times New Roman"/>
          <w:szCs w:val="20"/>
          <w:vertAlign w:val="subscript"/>
        </w:rPr>
        <w:t>2</w:t>
      </w:r>
      <w:r w:rsidR="00D6219D" w:rsidRPr="00022A5D">
        <w:rPr>
          <w:rFonts w:cs="Times New Roman"/>
          <w:szCs w:val="20"/>
        </w:rPr>
        <w:t xml:space="preserve">), which </w:t>
      </w:r>
      <w:r w:rsidR="00B70801">
        <w:rPr>
          <w:rFonts w:cs="Times New Roman"/>
          <w:szCs w:val="20"/>
        </w:rPr>
        <w:t>is proportional to the concentration of dissolved</w:t>
      </w:r>
      <w:r w:rsidR="00D6219D" w:rsidRPr="00022A5D">
        <w:rPr>
          <w:rFonts w:cs="Times New Roman"/>
          <w:szCs w:val="20"/>
        </w:rPr>
        <w:t xml:space="preserve"> CO</w:t>
      </w:r>
      <w:r w:rsidR="00D6219D" w:rsidRPr="00022A5D">
        <w:rPr>
          <w:rFonts w:cs="Times New Roman"/>
          <w:szCs w:val="20"/>
          <w:vertAlign w:val="subscript"/>
        </w:rPr>
        <w:t>2</w:t>
      </w:r>
      <w:r w:rsidR="00D6219D" w:rsidRPr="00022A5D">
        <w:rPr>
          <w:rFonts w:cs="Times New Roman"/>
          <w:szCs w:val="20"/>
        </w:rPr>
        <w:t xml:space="preserve"> in seawater, is reduced, which</w:t>
      </w:r>
      <w:r w:rsidR="00F83FC6">
        <w:rPr>
          <w:rFonts w:cs="Times New Roman"/>
          <w:szCs w:val="20"/>
        </w:rPr>
        <w:t xml:space="preserve"> </w:t>
      </w:r>
      <w:r w:rsidR="00D6219D" w:rsidRPr="00022A5D">
        <w:rPr>
          <w:rFonts w:cs="Times New Roman"/>
          <w:szCs w:val="20"/>
        </w:rPr>
        <w:t>enhances the air-sea flux of CO</w:t>
      </w:r>
      <w:r w:rsidR="00D6219D" w:rsidRPr="00022A5D">
        <w:rPr>
          <w:rFonts w:cs="Times New Roman"/>
          <w:szCs w:val="20"/>
          <w:vertAlign w:val="subscript"/>
        </w:rPr>
        <w:t>2</w:t>
      </w:r>
      <w:r w:rsidR="00D6219D" w:rsidRPr="00022A5D">
        <w:rPr>
          <w:rFonts w:cs="Times New Roman"/>
          <w:szCs w:val="20"/>
        </w:rPr>
        <w:t xml:space="preserve"> into the ocean </w:t>
      </w:r>
      <w:r w:rsidR="00B70801">
        <w:rPr>
          <w:rFonts w:cs="Times New Roman"/>
          <w:szCs w:val="20"/>
        </w:rPr>
        <w:t>until</w:t>
      </w:r>
      <w:r w:rsidR="00D6219D" w:rsidRPr="00022A5D">
        <w:rPr>
          <w:rFonts w:cs="Times New Roman"/>
          <w:szCs w:val="20"/>
        </w:rPr>
        <w:t xml:space="preserve"> re-equilibrat</w:t>
      </w:r>
      <w:r w:rsidR="00B70801">
        <w:rPr>
          <w:rFonts w:cs="Times New Roman"/>
          <w:szCs w:val="20"/>
        </w:rPr>
        <w:t>ion is reached</w:t>
      </w:r>
      <w:r w:rsidR="00D6219D" w:rsidRPr="00022A5D">
        <w:rPr>
          <w:rFonts w:cs="Times New Roman"/>
          <w:szCs w:val="20"/>
        </w:rPr>
        <w:t xml:space="preserve"> </w:t>
      </w:r>
      <w:r w:rsidR="00D6219D" w:rsidRPr="00022A5D">
        <w:rPr>
          <w:rFonts w:cs="Times New Roman"/>
          <w:szCs w:val="20"/>
        </w:rPr>
        <w:fldChar w:fldCharType="begin"/>
      </w:r>
      <w:r w:rsidR="000D210C">
        <w:rPr>
          <w:rFonts w:cs="Times New Roman"/>
          <w:szCs w:val="20"/>
        </w:rPr>
        <w:instrText xml:space="preserve"> ADDIN ZOTERO_ITEM CSL_CITATION {"citationID":"ib0C06D1","properties":{"formattedCitation":"(Renforth and Henderson 2017; Bach et al. 2019; NASEM 2022)","plainCitation":"(Renforth and Henderson 2017; Bach et al. 2019; NASEM 2022)","noteIndex":0},"citationItems":[{"id":23879,"uris":["http://zotero.org/users/12946250/items/EZIWHWHA"],"itemData":{"id":23879,"type":"article-journal","abstract":"Humankind will need to remove hundreds of gigatons of carbon dioxide (CO2) from the atmosphere by the end of the twenty-ﬁrst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ﬂuxes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calciﬁers would proﬁt in a scheme where CaCO3 derivatives would be used due to beneﬁcial changes in carbonate chemistry. Figuratively, this may turn the blue ocean into a white(r) ocean. When using silicates, the release of additional Si, Fe and Ni could beneﬁt siliciﬁers and N2-ﬁxers (cyanobacteria) and increase ocean productivity ultimately turning the blue ocean into a green(er) ocean. These considerations call for dedicated research to assess risks and co-beneﬁts of mineral dissolution products on marine and other environments. Indeed, both EW and OAE could become important tools to realize CO2 removal at the planetary scale but associated risks and/or co-beneﬁts should be revealed before deciding on their implementation.","container-title":"Frontiers in Climate","DOI":"10.3389/fclim.2019.00007","ISSN":"2624-9553","journalAbbreviation":"Front. Clim.","language":"en","page":"7","source":"DOI.org (Crossref)","title":"CO2 removal with enhanced weathering and ocean alkalinity enhancement: Potential risks and co-benefits for marine pelagic ecosystems","title-short":"CO2 Removal With Enhanced Weathering and Ocean Alkalinity Enhancement","URL":"https://www.frontiersin.org/article/10.3389/fclim.2019.00007/full","volume":"1","author":[{"family":"Bach","given":"Lennart T."},{"family":"Gill","given":"Sophie J."},{"family":"Rickaby","given":"Rosalind E. M."},{"family":"Gore","given":"Sarah"},{"family":"Renforth","given":"Phil"}],"accessed":{"date-parts":[["2025",1,27]]},"issued":{"date-parts":[["2019",10,11]]}}},{"id":79,"uris":["http://zotero.org/users/12946250/items/EFLBQS38"],"itemData":{"id":79,"type":"book","DOI":"10.17226/26278","edition":"National Academies of Sciences, Engineering, and Medicine","ISBN":"978-0-309-08761-2","language":"en","publisher":"National Academies Press","publisher-place":"Washington D.C.","source":"DOI.org (Crossref)","title":"A Research Strategy for Ocean-based Carbon Dioxide Removal and Sequestration","URL":"https://www.nap.edu/catalog/26278","author":[{"literal":"NASEM"}],"accessed":{"date-parts":[["2023",11,27]]},"issued":{"date-parts":[["2022",4,25]]}}},{"id":24234,"uris":["http://zotero.org/users/12946250/items/TW9DAAWU"],"itemData":{"id":24234,"type":"article-journal","abstract":"Over the coming century humanity may need to ﬁnd reservoirs to store several trillions of tons of carbon dioxide (CO2) emitted from fossil fuel combustion, which would otherwise cause dangerous climate change if it were left in the atmosphere. Carbon storage in the ocean as bicarbonate ions (by increasing ocean alkalinity) has received very little attention. Yet recent work suggests sufﬁcient capacity to sequester copious quantities of CO2. It may be possible to sequester hundreds of billions to trillions of tons of C without surpassing postindustrial average carbonate saturation states in the surface ocean. When globally distributed, the impact of elevated alkalinity is potentially small and may help ameliorate the effects of ocean acidiﬁcation. However, the local impact around addition sites may be more acute but is speciﬁc to the mineral and technology. The alkalinity of the ocean increases naturally because of rock weathering in which &gt;1.5 mol of carbon are removed from the atmosphere for every mole of magnesium or calcium dissolved from silicate minerals (e.g., wollastonite, olivine, and anorthite) and 0.5 mol for carbonate minerals (e.g., calcite and dolomite). These processes are responsible for naturally sequestering 0.5 billion tons of CO2 per year. Alkalinity is reduced in the ocean through carbonate mineral precipitation, which is almost exclusively formed from biological activity. Most of the previous work on the biological response to changes in carbonate chemistry have focused on acidifying conditions. More research is required to understand carbonate precipitation at elevated alkalinity to constrain the longevity of carbon storage. A range of technologies have been proposed to increase ocean alkalinity (accelerated weathering of limestone, enhanced weathering, electrochemical promoted weathering, and ocean liming), the cost of which may be comparable to alternative carbon sequestration proposals (e.g., $20–100 tCO2À1). There are still many unanswered technical, environmental, social, and ethical questions, but the scale of the carbon sequestration challenge warrants research to address these.","container-title":"Reviews of Geophysics","DOI":"10.1002/2016RG000533","ISSN":"8755-1209, 1944-9208","issue":"3","journalAbbreviation":"Rev. Geophys.","language":"en","license":"http://onlinelibrary.wiley.com/termsAndConditions#vor","page":"636-674","source":"DOI.org (Crossref)","title":"Assessing ocean alkalinity for carbon sequestration","URL":"https://agupubs.onlinelibrary.wiley.com/doi/10.1002/2016RG000533","volume":"55","author":[{"family":"Renforth","given":"Phil"},{"family":"Henderson","given":"Gideon"}],"accessed":{"date-parts":[["2025",1,30]]},"issued":{"date-parts":[["2017",9]]}}}],"schema":"https://github.com/citation-style-language/schema/raw/master/csl-citation.json"} </w:instrText>
      </w:r>
      <w:r w:rsidR="00D6219D" w:rsidRPr="00022A5D">
        <w:rPr>
          <w:rFonts w:cs="Times New Roman"/>
          <w:szCs w:val="20"/>
        </w:rPr>
        <w:fldChar w:fldCharType="separate"/>
      </w:r>
      <w:r w:rsidR="00F11CB3" w:rsidRPr="00F11CB3">
        <w:rPr>
          <w:rFonts w:cs="Times New Roman"/>
        </w:rPr>
        <w:t>(Renforth and Henderson 2017; Bach et al. 2019; NASEM 2022)</w:t>
      </w:r>
      <w:r w:rsidR="00D6219D" w:rsidRPr="00022A5D">
        <w:rPr>
          <w:rFonts w:cs="Times New Roman"/>
          <w:szCs w:val="20"/>
        </w:rPr>
        <w:fldChar w:fldCharType="end"/>
      </w:r>
      <w:r w:rsidR="00D6219D" w:rsidRPr="00022A5D">
        <w:rPr>
          <w:rFonts w:cs="Times New Roman"/>
          <w:szCs w:val="20"/>
        </w:rPr>
        <w:t>.</w:t>
      </w:r>
      <w:r w:rsidR="00C10B14">
        <w:rPr>
          <w:rFonts w:cs="Times New Roman"/>
          <w:szCs w:val="20"/>
        </w:rPr>
        <w:t xml:space="preserve"> Hence, OAE increases the ocean’s capacity to store dissolved inorganic carbon and </w:t>
      </w:r>
      <w:proofErr w:type="gramStart"/>
      <w:r w:rsidR="00C10B14">
        <w:rPr>
          <w:rFonts w:cs="Times New Roman"/>
          <w:szCs w:val="20"/>
        </w:rPr>
        <w:t>mode</w:t>
      </w:r>
      <w:r w:rsidR="00352237">
        <w:rPr>
          <w:rFonts w:cs="Times New Roman"/>
          <w:szCs w:val="20"/>
        </w:rPr>
        <w:t>rates</w:t>
      </w:r>
      <w:proofErr w:type="gramEnd"/>
      <w:r w:rsidR="00352237">
        <w:rPr>
          <w:rFonts w:cs="Times New Roman"/>
          <w:szCs w:val="20"/>
        </w:rPr>
        <w:t xml:space="preserve"> pH changes.</w:t>
      </w:r>
      <w:r w:rsidR="005D0084">
        <w:rPr>
          <w:rFonts w:cs="Times New Roman"/>
          <w:szCs w:val="20"/>
        </w:rPr>
        <w:t xml:space="preserve"> Carbon storage via OAE </w:t>
      </w:r>
      <w:r w:rsidR="005D0084" w:rsidRPr="004013A7">
        <w:rPr>
          <w:rFonts w:cs="Times New Roman"/>
          <w:szCs w:val="20"/>
        </w:rPr>
        <w:t xml:space="preserve">is </w:t>
      </w:r>
      <w:r w:rsidR="004013A7" w:rsidRPr="004013A7">
        <w:rPr>
          <w:rFonts w:cs="Times New Roman"/>
          <w:szCs w:val="20"/>
        </w:rPr>
        <w:t>expected to persist for centuries to millennia due to the long residence time of dissolved inorganic carbon in the ocean</w:t>
      </w:r>
      <w:r w:rsidR="004013A7">
        <w:rPr>
          <w:rFonts w:cs="Times New Roman"/>
          <w:szCs w:val="20"/>
        </w:rPr>
        <w:t xml:space="preserve"> </w:t>
      </w:r>
      <w:r w:rsidR="004013A7">
        <w:rPr>
          <w:rFonts w:cs="Times New Roman"/>
          <w:szCs w:val="20"/>
        </w:rPr>
        <w:fldChar w:fldCharType="begin"/>
      </w:r>
      <w:r w:rsidR="000D210C">
        <w:rPr>
          <w:rFonts w:cs="Times New Roman"/>
          <w:szCs w:val="20"/>
        </w:rPr>
        <w:instrText xml:space="preserve"> ADDIN ZOTERO_ITEM CSL_CITATION {"citationID":"1Frj822a","properties":{"formattedCitation":"(Hartmann et al. 2023)","plainCitation":"(Hartmann et al. 2023)","noteIndex":0},"citationItems":[{"id":26199,"uris":["http://zotero.org/users/12946250/items/GKNV7N2P"],"itemData":{"id":26199,"type":"article-journal","abstract":"Abstract. According to modelling studies, ocean alkalinity enhancement (OAE)is one of the proposed carbon dioxide removal (CDR) approaches with largepotential, with the beneficial side effect of counteracting oceanacidification. The real-world application of OAE, however, remains unclearas most basic assumptions are untested. Before large-scale deployment can beconsidered, safe and sustainable procedures for the addition of alkalinityto seawater must be identified and governance established. One of theconcerns is the stability of alkalinity when added to seawater. The surfaceocean is already supersaturated with respect to calcite and aragonite, andan increase in total alkalinity (TA) together with a corresponding shift incarbonate chemistry towards higher carbonate ion concentrations would resultin a further increase in supersaturation, and potentially to solid carbonateprecipitation. Precipitation of carbonate minerals consumes alkalinity andincreases dissolved CO2 in seawater, thereby reducing the efficiency ofOAE for CO2 removal. In order to address the application of alkalinesolution as well as fine particulate alkaline solids, a set of sixexperiments was performed using natural seawater with alkalinity of around2400 µmol kgsw−1. The application of CO2-equilibrated alkalinesolution bears the lowest risk of losing alkalinity due to carbonate phaseformation if added total alkalinity (ΔTA) is less than 2400 µmol kgsw−1. The addition of reactive alkaline solids can cause a net loss ofalkalinity if added ΔTA &gt; 600 µmol kgsw−1 (e.g. forMg(OH)2). Commercially available (ultrafine) Ca(OH)2 causes, ingeneral, a net loss in TA for the tested amounts of TA addition, which hasconsequences for suggested use of slurries with alkaline solids suppliedfrom ships. The rapid application of excessive amounts of Ca(OH)2,exceeding a threshold for alkalinity loss, resulted in a massive increase inTA (&gt; 20 000 µmol kgsw−1) at the cost of lower efficiency andresultant high pH values &gt; 9.5. Analysis of precipitatesindicates formation of aragonite. However, unstable carbonate phases formedcan partially redissolve, indicating that net loss of a fraction ofalkalinity may not be permanent, which has important implications for real-world OAE application. Our results indicate that using an alkaline solution instead of reactivealkaline particles can avoid carbonate formation, unless alkalinity additionvia solutions shifts the system beyond critical supersaturation levels. Toavoid the loss of alkalinity and dissolved inorganic carbon (DIC) fromseawater, the application of reactor techniques can be considered. Thesetechniques produce an equilibrated solution from alkaline solids andCO2 prior to application. Differing behaviours of tested materialssuggest that standardized engineered materials for OAE need to be developedto achieve safe and sustainable OAE with solids, if reactors technologiesshould be avoided.","container-title":"Biogeosciences","DOI":"10.5194/bg-20-781-2023","ISSN":"1726-4189","issue":"4","language":"en","license":"https://creativecommons.org/licenses/by/4.0/","page":"781-802","publisher":"Copernicus GmbH","source":"Crossref","title":"Stability of alkalinity in ocean alkalinity enhancement (OAE) approaches – consequences for durability of CO&lt;sub&gt;2&lt;/sub&gt; storage","URL":"https://bg.copernicus.org/articles/20/781/2023/","volume":"20","author":[{"family":"Hartmann","given":"Jens"},{"family":"Suitner","given":"Niels"},{"family":"Lim","given":"Carl"},{"family":"Schneider","given":"Julieta"},{"family":"Marín-Samper","given":"Laura"},{"family":"Arístegui","given":"Javier"},{"family":"Renforth","given":"Phil"},{"family":"Taucher","given":"Jan"},{"family":"Riebesell","given":"Ulf"}],"accessed":{"date-parts":[["2025",7,10]]},"issued":{"date-parts":[["2023"]]}}}],"schema":"https://github.com/citation-style-language/schema/raw/master/csl-citation.json"} </w:instrText>
      </w:r>
      <w:r w:rsidR="004013A7">
        <w:rPr>
          <w:rFonts w:cs="Times New Roman"/>
          <w:szCs w:val="20"/>
        </w:rPr>
        <w:fldChar w:fldCharType="separate"/>
      </w:r>
      <w:r w:rsidR="004013A7" w:rsidRPr="004013A7">
        <w:rPr>
          <w:rFonts w:cs="Times New Roman"/>
        </w:rPr>
        <w:t>(Hartmann et al. 2023)</w:t>
      </w:r>
      <w:r w:rsidR="004013A7">
        <w:rPr>
          <w:rFonts w:cs="Times New Roman"/>
          <w:szCs w:val="20"/>
        </w:rPr>
        <w:fldChar w:fldCharType="end"/>
      </w:r>
      <w:r w:rsidR="004013A7">
        <w:rPr>
          <w:rFonts w:cs="Times New Roman"/>
          <w:szCs w:val="20"/>
        </w:rPr>
        <w:t>.</w:t>
      </w:r>
    </w:p>
    <w:p w14:paraId="2378A1BA" w14:textId="0AA35BFE" w:rsidR="00827046" w:rsidRPr="00CE17AF" w:rsidRDefault="002D1F39" w:rsidP="00E230F8">
      <w:pPr>
        <w:spacing w:line="480" w:lineRule="auto"/>
        <w:rPr>
          <w:rFonts w:cs="Times New Roman"/>
        </w:rPr>
      </w:pPr>
      <w:r w:rsidRPr="00022A5D">
        <w:rPr>
          <w:rFonts w:cs="Times New Roman"/>
          <w:szCs w:val="20"/>
        </w:rPr>
        <w:t xml:space="preserve">While </w:t>
      </w:r>
      <w:r w:rsidR="00250BEE" w:rsidRPr="00022A5D">
        <w:rPr>
          <w:rFonts w:cs="Times New Roman"/>
          <w:szCs w:val="20"/>
        </w:rPr>
        <w:t xml:space="preserve">OAE technologies have </w:t>
      </w:r>
      <w:r w:rsidR="00985FF6" w:rsidRPr="00022A5D">
        <w:rPr>
          <w:rFonts w:cs="Times New Roman"/>
          <w:szCs w:val="20"/>
        </w:rPr>
        <w:t>mostly remained at</w:t>
      </w:r>
      <w:r w:rsidR="00250BEE" w:rsidRPr="00022A5D">
        <w:rPr>
          <w:rFonts w:cs="Times New Roman"/>
          <w:szCs w:val="20"/>
        </w:rPr>
        <w:t xml:space="preserve"> the laboratory phase (around technical readiness level (TRL) 3 to 5) or the pilot phase (TRL 6 to 8), many are discussing the large-scale deployment of OAE in the coming years or decades. Several field trials have been conducted, are currently running</w:t>
      </w:r>
      <w:r w:rsidR="00F22F0E" w:rsidRPr="00022A5D">
        <w:rPr>
          <w:rFonts w:cs="Times New Roman"/>
          <w:szCs w:val="20"/>
        </w:rPr>
        <w:t>,</w:t>
      </w:r>
      <w:r w:rsidR="00250BEE" w:rsidRPr="00022A5D">
        <w:rPr>
          <w:rFonts w:cs="Times New Roman"/>
          <w:szCs w:val="20"/>
        </w:rPr>
        <w:t xml:space="preserve"> or </w:t>
      </w:r>
      <w:r w:rsidR="00F22F0E" w:rsidRPr="00022A5D">
        <w:rPr>
          <w:rFonts w:cs="Times New Roman"/>
          <w:szCs w:val="20"/>
        </w:rPr>
        <w:t xml:space="preserve">are </w:t>
      </w:r>
      <w:r w:rsidR="00250BEE" w:rsidRPr="00022A5D">
        <w:rPr>
          <w:rFonts w:cs="Times New Roman"/>
          <w:szCs w:val="20"/>
        </w:rPr>
        <w:t>scheduled by start-ups, universities</w:t>
      </w:r>
      <w:r w:rsidR="00F22F0E" w:rsidRPr="00022A5D">
        <w:rPr>
          <w:rFonts w:cs="Times New Roman"/>
          <w:szCs w:val="20"/>
        </w:rPr>
        <w:t>,</w:t>
      </w:r>
      <w:r w:rsidR="00250BEE" w:rsidRPr="00022A5D">
        <w:rPr>
          <w:rFonts w:cs="Times New Roman"/>
          <w:szCs w:val="20"/>
        </w:rPr>
        <w:t xml:space="preserve"> and research groups. These field trials are taking place mostly in the US</w:t>
      </w:r>
      <w:r w:rsidR="006B4551">
        <w:rPr>
          <w:rFonts w:cs="Times New Roman"/>
          <w:szCs w:val="20"/>
        </w:rPr>
        <w:t xml:space="preserve"> and </w:t>
      </w:r>
      <w:r w:rsidR="00250BEE" w:rsidRPr="00022A5D">
        <w:rPr>
          <w:rFonts w:cs="Times New Roman"/>
          <w:szCs w:val="20"/>
        </w:rPr>
        <w:t xml:space="preserve">Europe </w:t>
      </w:r>
      <w:r w:rsidR="00250BEE" w:rsidRPr="00022A5D">
        <w:rPr>
          <w:rFonts w:cs="Times New Roman"/>
          <w:szCs w:val="20"/>
        </w:rPr>
        <w:fldChar w:fldCharType="begin"/>
      </w:r>
      <w:r w:rsidR="00C251C9">
        <w:rPr>
          <w:rFonts w:cs="Times New Roman"/>
          <w:szCs w:val="20"/>
        </w:rPr>
        <w:instrText xml:space="preserve"> ADDIN ZOTERO_ITEM CSL_CITATION {"citationID":"160sgX4y","properties":{"formattedCitation":"(Ocean Visions 2025)","plainCitation":"(Ocean Visions 2025)","noteIndex":0},"citationItems":[{"id":25570,"uris":["http://zotero.org/users/12946250/items/CCBAZNCH"],"itemData":{"id":25570,"type":"webpage","title":"Ocean Visions mCDR Field Trial Database","URL":"https://oceanvisions.org/mcdr-field-trials/","author":[{"literal":"Ocean Visions"}],"accessed":{"date-parts":[["2025",4,30]]},"issued":{"date-parts":[["2025"]]}}}],"schema":"https://github.com/citation-style-language/schema/raw/master/csl-citation.json"} </w:instrText>
      </w:r>
      <w:r w:rsidR="00250BEE" w:rsidRPr="00022A5D">
        <w:rPr>
          <w:rFonts w:cs="Times New Roman"/>
          <w:szCs w:val="20"/>
        </w:rPr>
        <w:fldChar w:fldCharType="separate"/>
      </w:r>
      <w:r w:rsidR="00675B55" w:rsidRPr="00022A5D">
        <w:rPr>
          <w:rFonts w:cs="Times New Roman"/>
          <w:szCs w:val="20"/>
        </w:rPr>
        <w:t>(Ocean Visions 2025)</w:t>
      </w:r>
      <w:r w:rsidR="00250BEE" w:rsidRPr="00022A5D">
        <w:rPr>
          <w:rFonts w:cs="Times New Roman"/>
          <w:szCs w:val="20"/>
        </w:rPr>
        <w:fldChar w:fldCharType="end"/>
      </w:r>
      <w:r w:rsidR="00250BEE" w:rsidRPr="00022A5D">
        <w:rPr>
          <w:rFonts w:cs="Times New Roman"/>
          <w:szCs w:val="20"/>
        </w:rPr>
        <w:t>.</w:t>
      </w:r>
      <w:r w:rsidR="00E36EF0">
        <w:rPr>
          <w:rFonts w:cs="Times New Roman"/>
          <w:szCs w:val="20"/>
        </w:rPr>
        <w:t xml:space="preserve"> </w:t>
      </w:r>
      <w:r w:rsidR="00E36EF0">
        <w:rPr>
          <w:rFonts w:cs="Times New Roman"/>
        </w:rPr>
        <w:t>T</w:t>
      </w:r>
      <w:r w:rsidR="00E36EF0" w:rsidRPr="49E5B81A">
        <w:rPr>
          <w:rFonts w:cs="Times New Roman"/>
        </w:rPr>
        <w:t xml:space="preserve">he first OAE carbon credits were recently issued </w:t>
      </w:r>
      <w:r w:rsidR="00E36EF0" w:rsidRPr="49E5B81A">
        <w:rPr>
          <w:rFonts w:cs="Times New Roman"/>
        </w:rPr>
        <w:fldChar w:fldCharType="begin"/>
      </w:r>
      <w:r w:rsidR="001004F7">
        <w:rPr>
          <w:rFonts w:cs="Times New Roman"/>
        </w:rPr>
        <w:instrText xml:space="preserve"> ADDIN ZOTERO_ITEM CSL_CITATION {"citationID":"4aXCNRIt","properties":{"formattedCitation":"(Isometric 2025)","plainCitation":"(Isometric 2025)","noteIndex":0},"citationItems":[{"id":26112,"uris":["http://zotero.org/users/12946250/items/JZUD22XB"],"itemData":{"id":26112,"type":"post-weblog","title":"625.64 credits issued to Planetary","URL":"https://registry.isometric.com/issuance/iss_1JXW6N77B1S05B02","author":[{"literal":"Isometric"}],"accessed":{"date-parts":[["2025",7,7]]},"issued":{"date-parts":[["2025",6,16]]}}}],"schema":"https://github.com/citation-style-language/schema/raw/master/csl-citation.json"} </w:instrText>
      </w:r>
      <w:r w:rsidR="00E36EF0" w:rsidRPr="49E5B81A">
        <w:rPr>
          <w:rFonts w:cs="Times New Roman"/>
        </w:rPr>
        <w:fldChar w:fldCharType="separate"/>
      </w:r>
      <w:r w:rsidR="00E36EF0" w:rsidRPr="49E5B81A">
        <w:rPr>
          <w:rFonts w:cs="Times New Roman"/>
        </w:rPr>
        <w:t>(Isometric 2025)</w:t>
      </w:r>
      <w:r w:rsidR="00E36EF0" w:rsidRPr="49E5B81A">
        <w:rPr>
          <w:rFonts w:cs="Times New Roman"/>
        </w:rPr>
        <w:fldChar w:fldCharType="end"/>
      </w:r>
      <w:r w:rsidR="00E36EF0" w:rsidRPr="49E5B81A">
        <w:rPr>
          <w:rFonts w:cs="Times New Roman"/>
        </w:rPr>
        <w:t>.</w:t>
      </w:r>
    </w:p>
    <w:p w14:paraId="73226773" w14:textId="7F880884" w:rsidR="00993D5C" w:rsidRPr="00993D5C" w:rsidRDefault="006C01A5" w:rsidP="00412621">
      <w:pPr>
        <w:pStyle w:val="Heading1"/>
        <w:numPr>
          <w:ilvl w:val="0"/>
          <w:numId w:val="44"/>
        </w:numPr>
      </w:pPr>
      <w:r>
        <w:t>E</w:t>
      </w:r>
      <w:r w:rsidR="00D1028D">
        <w:t xml:space="preserve">xposure and effect processes </w:t>
      </w:r>
      <w:r w:rsidR="00596189">
        <w:t>for humans</w:t>
      </w:r>
      <w:r>
        <w:t xml:space="preserve"> </w:t>
      </w:r>
      <w:r w:rsidR="00461DFB">
        <w:t>and structures with instrumental or cultural value to humans</w:t>
      </w:r>
      <w:r w:rsidR="00993D5C">
        <w:t xml:space="preserve"> as sensitive receptors</w:t>
      </w:r>
    </w:p>
    <w:p w14:paraId="3A3AF154" w14:textId="41808558" w:rsidR="00AE7432" w:rsidRPr="00022A5D" w:rsidRDefault="00AE7432" w:rsidP="00E230F8">
      <w:pPr>
        <w:spacing w:line="480" w:lineRule="auto"/>
        <w:rPr>
          <w:rFonts w:cs="Times New Roman"/>
          <w:i/>
          <w:iCs/>
          <w:szCs w:val="20"/>
          <w:u w:val="single"/>
        </w:rPr>
      </w:pPr>
      <w:r w:rsidRPr="00022A5D">
        <w:rPr>
          <w:rFonts w:cs="Times New Roman"/>
          <w:i/>
          <w:iCs/>
          <w:szCs w:val="20"/>
          <w:u w:val="single"/>
        </w:rPr>
        <w:t>Human exposure</w:t>
      </w:r>
    </w:p>
    <w:p w14:paraId="0248F138" w14:textId="6A280FB5" w:rsidR="00AE7432" w:rsidRDefault="00AE7432" w:rsidP="00E230F8">
      <w:pPr>
        <w:spacing w:line="480" w:lineRule="auto"/>
        <w:rPr>
          <w:rFonts w:cs="Times New Roman"/>
        </w:rPr>
      </w:pPr>
      <w:r w:rsidRPr="00022A5D">
        <w:rPr>
          <w:rFonts w:cs="Times New Roman"/>
        </w:rPr>
        <w:lastRenderedPageBreak/>
        <w:t xml:space="preserve">Humans can be exposed to alkaline materials via physical exposure and exposure by ingestion. </w:t>
      </w:r>
      <w:r w:rsidR="00E3341E">
        <w:rPr>
          <w:rFonts w:cs="Times New Roman"/>
        </w:rPr>
        <w:t>P</w:t>
      </w:r>
      <w:r w:rsidRPr="00022A5D">
        <w:rPr>
          <w:rFonts w:cs="Times New Roman"/>
        </w:rPr>
        <w:t xml:space="preserve">hysical exposure occurs through skin, eye contact, or inhalation </w:t>
      </w:r>
      <w:r w:rsidRPr="00022A5D">
        <w:rPr>
          <w:rFonts w:cs="Times New Roman"/>
        </w:rPr>
        <w:fldChar w:fldCharType="begin"/>
      </w:r>
      <w:r w:rsidR="000D210C">
        <w:rPr>
          <w:rFonts w:cs="Times New Roman"/>
        </w:rPr>
        <w:instrText xml:space="preserve"> ADDIN ZOTERO_ITEM CSL_CITATION {"citationID":"wjBk2Sh1","properties":{"formattedCitation":"(NASEM 2022; Gentile et al. 2022)","plainCitation":"(NASEM 2022; Gentile et al. 2022)","noteIndex":0},"citationItems":[{"id":24216,"uris":["http://zotero.org/users/12946250/items/JXWQ5QQT"],"itemData":{"id":24216,"type":"article-journal","abstract":"Ocean Alkalinity Enhancement (OAE) is a proposed Negative Emissions Technology (NET) to remove atmospheric CO2 through the dispersion of alkaline materials (e.g.: calcium hydroxide, slaked lime, SL) into seawater, simultaneously counteracting ocean acidiﬁcation. This study considers aircraft discharge of SL and its consequent dry deposition, extending to the marine environment a technique used in freshwater. A feasibility analysis assesses potential, costs, beneﬁts, and disadvantages, considering scenarios with different assumptions on aircraft size, discharge height and duration, and wind conditions.","container-title":"Science of The Total Environment","DOI":"10.1016/j.scitotenv.2022.153484","ISSN":"00489697","journalAbbreviation":"Sci. Total Environ.","language":"en","page":"153484","source":"DOI.org (Crossref)","title":"Use of aircraft in ocean alkalinity enhancement","URL":"https://linkinghub.elsevier.com/retrieve/pii/S0048969722005769","volume":"822","author":[{"family":"Gentile","given":"Elisa"},{"family":"Tarantola","given":"Fabio"},{"family":"Lockley","given":"Andrew"},{"family":"Vivian","given":"Chris"},{"family":"Caserini","given":"Stefano"}],"accessed":{"date-parts":[["2025",1,30]]},"issued":{"date-parts":[["2022",5]]}}},{"id":79,"uris":["http://zotero.org/users/12946250/items/EFLBQS38"],"itemData":{"id":79,"type":"book","DOI":"10.17226/26278","edition":"National Academies of Sciences, Engineering, and Medicine","ISBN":"978-0-309-08761-2","language":"en","publisher":"National Academies Press","publisher-place":"Washington D.C.","source":"DOI.org (Crossref)","title":"A Research Strategy for Ocean-based Carbon Dioxide Removal and Sequestration","URL":"https://www.nap.edu/catalog/26278","author":[{"literal":"NASEM"}],"accessed":{"date-parts":[["2023",11,27]]},"issued":{"date-parts":[["2022",4,25]]}}}],"schema":"https://github.com/citation-style-language/schema/raw/master/csl-citation.json"} </w:instrText>
      </w:r>
      <w:r w:rsidRPr="00022A5D">
        <w:rPr>
          <w:rFonts w:cs="Times New Roman"/>
        </w:rPr>
        <w:fldChar w:fldCharType="separate"/>
      </w:r>
      <w:r w:rsidRPr="00022A5D">
        <w:rPr>
          <w:rFonts w:cs="Times New Roman"/>
        </w:rPr>
        <w:t>(NASEM 2022; Gentile et al. 2022)</w:t>
      </w:r>
      <w:r w:rsidRPr="00022A5D">
        <w:rPr>
          <w:rFonts w:cs="Times New Roman"/>
        </w:rPr>
        <w:fldChar w:fldCharType="end"/>
      </w:r>
      <w:r w:rsidRPr="00022A5D">
        <w:rPr>
          <w:rFonts w:cs="Times New Roman"/>
        </w:rPr>
        <w:t xml:space="preserve">. However, once alkaline material is </w:t>
      </w:r>
      <w:r w:rsidR="006926E5">
        <w:rPr>
          <w:rFonts w:cs="Times New Roman"/>
        </w:rPr>
        <w:t>added</w:t>
      </w:r>
      <w:r w:rsidRPr="00022A5D">
        <w:rPr>
          <w:rFonts w:cs="Times New Roman"/>
        </w:rPr>
        <w:t xml:space="preserve"> to the ocean, risk of this exposure process is low, especially in OAE approaches deployed in the open ocean or near or onto marine sediments. For</w:t>
      </w:r>
      <w:r w:rsidR="004A2CBB">
        <w:rPr>
          <w:rFonts w:cs="Times New Roman"/>
        </w:rPr>
        <w:t xml:space="preserve"> coastal enhanced weathering</w:t>
      </w:r>
      <w:r w:rsidRPr="00022A5D">
        <w:rPr>
          <w:rFonts w:cs="Times New Roman"/>
        </w:rPr>
        <w:t xml:space="preserve"> </w:t>
      </w:r>
      <w:r w:rsidR="004A2CBB">
        <w:rPr>
          <w:rFonts w:cs="Times New Roman"/>
        </w:rPr>
        <w:t>(</w:t>
      </w:r>
      <w:r w:rsidRPr="00022A5D">
        <w:rPr>
          <w:rFonts w:cs="Times New Roman"/>
        </w:rPr>
        <w:t>CEW</w:t>
      </w:r>
      <w:r w:rsidR="004A2CBB">
        <w:rPr>
          <w:rFonts w:cs="Times New Roman"/>
        </w:rPr>
        <w:t>)</w:t>
      </w:r>
      <w:r w:rsidRPr="00022A5D">
        <w:rPr>
          <w:rFonts w:cs="Times New Roman"/>
        </w:rPr>
        <w:t>, the choice of deployment site should avoid locations with high human activity. Exposure risks are higher by ingestion</w:t>
      </w:r>
      <w:r w:rsidR="002767DC">
        <w:rPr>
          <w:rFonts w:cs="Times New Roman"/>
        </w:rPr>
        <w:t>; t</w:t>
      </w:r>
      <w:r w:rsidRPr="00022A5D">
        <w:rPr>
          <w:rFonts w:cs="Times New Roman"/>
        </w:rPr>
        <w:t xml:space="preserve">race metals co-released and ingested by marine species can bioaccumulate along the marine food chain, eventually ending up in food consumed by humans </w:t>
      </w:r>
      <w:r w:rsidRPr="00022A5D">
        <w:rPr>
          <w:rFonts w:cs="Times New Roman"/>
        </w:rPr>
        <w:fldChar w:fldCharType="begin"/>
      </w:r>
      <w:r w:rsidR="000D210C">
        <w:rPr>
          <w:rFonts w:cs="Times New Roman"/>
        </w:rPr>
        <w:instrText xml:space="preserve"> ADDIN ZOTERO_ITEM CSL_CITATION {"citationID":"YkG4AyFa","properties":{"formattedCitation":"(Bach et al. 2019; NASEM 2022)","plainCitation":"(Bach et al. 2019; NASEM 2022)","noteIndex":0},"citationItems":[{"id":23879,"uris":["http://zotero.org/users/12946250/items/EZIWHWHA"],"itemData":{"id":23879,"type":"article-journal","abstract":"Humankind will need to remove hundreds of gigatons of carbon dioxide (CO2) from the atmosphere by the end of the twenty-ﬁrst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ﬂuxes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calciﬁers would proﬁt in a scheme where CaCO3 derivatives would be used due to beneﬁcial changes in carbonate chemistry. Figuratively, this may turn the blue ocean into a white(r) ocean. When using silicates, the release of additional Si, Fe and Ni could beneﬁt siliciﬁers and N2-ﬁxers (cyanobacteria) and increase ocean productivity ultimately turning the blue ocean into a green(er) ocean. These considerations call for dedicated research to assess risks and co-beneﬁts of mineral dissolution products on marine and other environments. Indeed, both EW and OAE could become important tools to realize CO2 removal at the planetary scale but associated risks and/or co-beneﬁts should be revealed before deciding on their implementation.","container-title":"Frontiers in Climate","DOI":"10.3389/fclim.2019.00007","ISSN":"2624-9553","journalAbbreviation":"Front. Clim.","language":"en","page":"7","source":"DOI.org (Crossref)","title":"CO2 removal with enhanced weathering and ocean alkalinity enhancement: Potential risks and co-benefits for marine pelagic ecosystems","title-short":"CO2 Removal With Enhanced Weathering and Ocean Alkalinity Enhancement","URL":"https://www.frontiersin.org/article/10.3389/fclim.2019.00007/full","volume":"1","author":[{"family":"Bach","given":"Lennart T."},{"family":"Gill","given":"Sophie J."},{"family":"Rickaby","given":"Rosalind E. M."},{"family":"Gore","given":"Sarah"},{"family":"Renforth","given":"Phil"}],"accessed":{"date-parts":[["2025",1,27]]},"issued":{"date-parts":[["2019",10,11]]}}},{"id":79,"uris":["http://zotero.org/users/12946250/items/EFLBQS38"],"itemData":{"id":79,"type":"book","DOI":"10.17226/26278","edition":"National Academies of Sciences, Engineering, and Medicine","ISBN":"978-0-309-08761-2","language":"en","publisher":"National Academies Press","publisher-place":"Washington D.C.","source":"DOI.org (Crossref)","title":"A Research Strategy for Ocean-based Carbon Dioxide Removal and Sequestration","URL":"https://www.nap.edu/catalog/26278","author":[{"literal":"NASEM"}],"accessed":{"date-parts":[["2023",11,27]]},"issued":{"date-parts":[["2022",4,25]]}}}],"schema":"https://github.com/citation-style-language/schema/raw/master/csl-citation.json"} </w:instrText>
      </w:r>
      <w:r w:rsidRPr="00022A5D">
        <w:rPr>
          <w:rFonts w:cs="Times New Roman"/>
        </w:rPr>
        <w:fldChar w:fldCharType="separate"/>
      </w:r>
      <w:r w:rsidRPr="00022A5D">
        <w:rPr>
          <w:rFonts w:cs="Times New Roman"/>
        </w:rPr>
        <w:t>(Bach et al. 2019; NASEM 2022)</w:t>
      </w:r>
      <w:r w:rsidRPr="00022A5D">
        <w:rPr>
          <w:rFonts w:cs="Times New Roman"/>
        </w:rPr>
        <w:fldChar w:fldCharType="end"/>
      </w:r>
      <w:r w:rsidRPr="00022A5D">
        <w:rPr>
          <w:rFonts w:cs="Times New Roman"/>
        </w:rPr>
        <w:t>. However, this potential exposure process is an area of few studies.</w:t>
      </w:r>
    </w:p>
    <w:p w14:paraId="2EABD00E" w14:textId="77777777" w:rsidR="006C01A5" w:rsidRPr="00022A5D" w:rsidRDefault="006C01A5" w:rsidP="00E230F8">
      <w:pPr>
        <w:spacing w:line="480" w:lineRule="auto"/>
        <w:rPr>
          <w:rFonts w:cs="Times New Roman"/>
          <w:i/>
          <w:u w:val="single"/>
        </w:rPr>
      </w:pPr>
      <w:r w:rsidRPr="4C734679">
        <w:rPr>
          <w:rFonts w:cs="Times New Roman"/>
          <w:i/>
          <w:u w:val="single"/>
        </w:rPr>
        <w:t>Effects on human health</w:t>
      </w:r>
    </w:p>
    <w:p w14:paraId="7AE83920" w14:textId="32795722" w:rsidR="00590619" w:rsidRDefault="006C01A5" w:rsidP="00E230F8">
      <w:pPr>
        <w:spacing w:line="480" w:lineRule="auto"/>
        <w:rPr>
          <w:rFonts w:cs="Times New Roman"/>
          <w:szCs w:val="20"/>
        </w:rPr>
      </w:pPr>
      <w:r w:rsidRPr="00022A5D">
        <w:rPr>
          <w:rFonts w:cs="Times New Roman"/>
          <w:szCs w:val="20"/>
        </w:rPr>
        <w:t xml:space="preserve">Alkaline material can have toxic effects on humans. Direct physical exposure to alkaline materials can cause pneumonia, bronchitis, or dermatitis. The severity will be proportional to the duration and degree of exposure </w:t>
      </w:r>
      <w:r w:rsidRPr="00022A5D">
        <w:rPr>
          <w:rFonts w:cs="Times New Roman"/>
          <w:szCs w:val="20"/>
        </w:rPr>
        <w:fldChar w:fldCharType="begin"/>
      </w:r>
      <w:r w:rsidR="000D210C">
        <w:rPr>
          <w:rFonts w:cs="Times New Roman"/>
          <w:szCs w:val="20"/>
        </w:rPr>
        <w:instrText xml:space="preserve"> ADDIN ZOTERO_ITEM CSL_CITATION {"citationID":"wnqNeEhx","properties":{"formattedCitation":"(Bach et al. 2019; NASEM 2022; Gentile et al. 2022)","plainCitation":"(Bach et al. 2019; NASEM 2022; Gentile et al. 2022)","noteIndex":0},"citationItems":[{"id":23879,"uris":["http://zotero.org/users/12946250/items/EZIWHWHA"],"itemData":{"id":23879,"type":"article-journal","abstract":"Humankind will need to remove hundreds of gigatons of carbon dioxide (CO2) from the atmosphere by the end of the twenty-ﬁrst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ﬂuxes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calciﬁers would proﬁt in a scheme where CaCO3 derivatives would be used due to beneﬁcial changes in carbonate chemistry. Figuratively, this may turn the blue ocean into a white(r) ocean. When using silicates, the release of additional Si, Fe and Ni could beneﬁt siliciﬁers and N2-ﬁxers (cyanobacteria) and increase ocean productivity ultimately turning the blue ocean into a green(er) ocean. These considerations call for dedicated research to assess risks and co-beneﬁts of mineral dissolution products on marine and other environments. Indeed, both EW and OAE could become important tools to realize CO2 removal at the planetary scale but associated risks and/or co-beneﬁts should be revealed before deciding on their implementation.","container-title":"Frontiers in Climate","DOI":"10.3389/fclim.2019.00007","ISSN":"2624-9553","journalAbbreviation":"Front. Clim.","language":"en","page":"7","source":"DOI.org (Crossref)","title":"CO2 removal with enhanced weathering and ocean alkalinity enhancement: Potential risks and co-benefits for marine pelagic ecosystems","title-short":"CO2 Removal With Enhanced Weathering and Ocean Alkalinity Enhancement","URL":"https://www.frontiersin.org/article/10.3389/fclim.2019.00007/full","volume":"1","author":[{"family":"Bach","given":"Lennart T."},{"family":"Gill","given":"Sophie J."},{"family":"Rickaby","given":"Rosalind E. M."},{"family":"Gore","given":"Sarah"},{"family":"Renforth","given":"Phil"}],"accessed":{"date-parts":[["2025",1,27]]},"issued":{"date-parts":[["2019",10,11]]}}},{"id":24216,"uris":["http://zotero.org/users/12946250/items/JXWQ5QQT"],"itemData":{"id":24216,"type":"article-journal","abstract":"Ocean Alkalinity Enhancement (OAE) is a proposed Negative Emissions Technology (NET) to remove atmospheric CO2 through the dispersion of alkaline materials (e.g.: calcium hydroxide, slaked lime, SL) into seawater, simultaneously counteracting ocean acidiﬁcation. This study considers aircraft discharge of SL and its consequent dry deposition, extending to the marine environment a technique used in freshwater. A feasibility analysis assesses potential, costs, beneﬁts, and disadvantages, considering scenarios with different assumptions on aircraft size, discharge height and duration, and wind conditions.","container-title":"Science of The Total Environment","DOI":"10.1016/j.scitotenv.2022.153484","ISSN":"00489697","journalAbbreviation":"Sci. Total Environ.","language":"en","page":"153484","source":"DOI.org (Crossref)","title":"Use of aircraft in ocean alkalinity enhancement","URL":"https://linkinghub.elsevier.com/retrieve/pii/S0048969722005769","volume":"822","author":[{"family":"Gentile","given":"Elisa"},{"family":"Tarantola","given":"Fabio"},{"family":"Lockley","given":"Andrew"},{"family":"Vivian","given":"Chris"},{"family":"Caserini","given":"Stefano"}],"accessed":{"date-parts":[["2025",1,30]]},"issued":{"date-parts":[["2022",5]]}}},{"id":79,"uris":["http://zotero.org/users/12946250/items/EFLBQS38"],"itemData":{"id":79,"type":"book","DOI":"10.17226/26278","edition":"National Academies of Sciences, Engineering, and Medicine","ISBN":"978-0-309-08761-2","language":"en","publisher":"National Academies Press","publisher-place":"Washington D.C.","source":"DOI.org (Crossref)","title":"A Research Strategy for Ocean-based Carbon Dioxide Removal and Sequestration","URL":"https://www.nap.edu/catalog/26278","author":[{"literal":"NASEM"}],"accessed":{"date-parts":[["2023",11,27]]},"issued":{"date-parts":[["2022",4,25]]}}}],"schema":"https://github.com/citation-style-language/schema/raw/master/csl-citation.json"} </w:instrText>
      </w:r>
      <w:r w:rsidRPr="00022A5D">
        <w:rPr>
          <w:rFonts w:cs="Times New Roman"/>
          <w:szCs w:val="20"/>
        </w:rPr>
        <w:fldChar w:fldCharType="separate"/>
      </w:r>
      <w:r w:rsidRPr="00022A5D">
        <w:rPr>
          <w:rFonts w:cs="Times New Roman"/>
          <w:szCs w:val="18"/>
        </w:rPr>
        <w:t>(Bach et al. 2019; NASEM 2022; Gentile et al. 2022)</w:t>
      </w:r>
      <w:r w:rsidRPr="00022A5D">
        <w:rPr>
          <w:rFonts w:cs="Times New Roman"/>
          <w:szCs w:val="20"/>
        </w:rPr>
        <w:fldChar w:fldCharType="end"/>
      </w:r>
      <w:r w:rsidRPr="00022A5D">
        <w:rPr>
          <w:rFonts w:cs="Times New Roman"/>
          <w:szCs w:val="20"/>
        </w:rPr>
        <w:t xml:space="preserve">. Indirect exposure by ingestion could affect human health, notably if toxic substances like trace metals bioaccumulate in the food chain </w:t>
      </w:r>
      <w:r w:rsidRPr="00022A5D">
        <w:rPr>
          <w:rFonts w:cs="Times New Roman"/>
          <w:szCs w:val="20"/>
        </w:rPr>
        <w:fldChar w:fldCharType="begin"/>
      </w:r>
      <w:r w:rsidR="001653A5">
        <w:rPr>
          <w:rFonts w:cs="Times New Roman"/>
          <w:szCs w:val="20"/>
        </w:rPr>
        <w:instrText xml:space="preserve"> ADDIN ZOTERO_ITEM CSL_CITATION {"citationID":"kLfoYtqu","properties":{"formattedCitation":"(Bach et al. 2019)","plainCitation":"(Bach et al. 2019)","noteIndex":0},"citationItems":[{"id":23879,"uris":["http://zotero.org/users/12946250/items/EZIWHWHA"],"itemData":{"id":23879,"type":"article-journal","abstract":"Humankind will need to remove hundreds of gigatons of carbon dioxide (CO2) from the atmosphere by the end of the twenty-ﬁrst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ﬂuxes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calciﬁers would proﬁt in a scheme where CaCO3 derivatives would be used due to beneﬁcial changes in carbonate chemistry. Figuratively, this may turn the blue ocean into a white(r) ocean. When using silicates, the release of additional Si, Fe and Ni could beneﬁt siliciﬁers and N2-ﬁxers (cyanobacteria) and increase ocean productivity ultimately turning the blue ocean into a green(er) ocean. These considerations call for dedicated research to assess risks and co-beneﬁts of mineral dissolution products on marine and other environments. Indeed, both EW and OAE could become important tools to realize CO2 removal at the planetary scale but associated risks and/or co-beneﬁts should be revealed before deciding on their implementation.","container-title":"Frontiers in Climate","DOI":"10.3389/fclim.2019.00007","ISSN":"2624-9553","journalAbbreviation":"Front. Clim.","language":"en","page":"7","source":"DOI.org (Crossref)","title":"CO2 removal with enhanced weathering and ocean alkalinity enhancement: Potential risks and co-benefits for marine pelagic ecosystems","title-short":"CO2 Removal With Enhanced Weathering and Ocean Alkalinity Enhancement","URL":"https://www.frontiersin.org/article/10.3389/fclim.2019.00007/full","volume":"1","author":[{"family":"Bach","given":"Lennart T."},{"family":"Gill","given":"Sophie J."},{"family":"Rickaby","given":"Rosalind E. M."},{"family":"Gore","given":"Sarah"},{"family":"Renforth","given":"Phil"}],"accessed":{"date-parts":[["2025",1,27]]},"issued":{"date-parts":[["2019",10,11]]}}}],"schema":"https://github.com/citation-style-language/schema/raw/master/csl-citation.json"} </w:instrText>
      </w:r>
      <w:r w:rsidRPr="00022A5D">
        <w:rPr>
          <w:rFonts w:cs="Times New Roman"/>
          <w:szCs w:val="20"/>
        </w:rPr>
        <w:fldChar w:fldCharType="separate"/>
      </w:r>
      <w:r w:rsidRPr="00022A5D">
        <w:rPr>
          <w:rFonts w:cs="Times New Roman"/>
        </w:rPr>
        <w:t>(Bach et al. 2019)</w:t>
      </w:r>
      <w:r w:rsidRPr="00022A5D">
        <w:rPr>
          <w:rFonts w:cs="Times New Roman"/>
          <w:szCs w:val="20"/>
        </w:rPr>
        <w:fldChar w:fldCharType="end"/>
      </w:r>
      <w:r w:rsidRPr="00022A5D">
        <w:rPr>
          <w:rFonts w:cs="Times New Roman"/>
          <w:szCs w:val="20"/>
        </w:rPr>
        <w:t xml:space="preserve">. Of particular concern are trace metals present in steel slags and the high concentration of nickel in olivine </w:t>
      </w:r>
      <w:r w:rsidRPr="00022A5D">
        <w:rPr>
          <w:rFonts w:cs="Times New Roman"/>
          <w:szCs w:val="20"/>
        </w:rPr>
        <w:fldChar w:fldCharType="begin"/>
      </w:r>
      <w:r w:rsidR="000D210C">
        <w:rPr>
          <w:rFonts w:cs="Times New Roman"/>
          <w:szCs w:val="20"/>
        </w:rPr>
        <w:instrText xml:space="preserve"> ADDIN ZOTERO_ITEM CSL_CITATION {"citationID":"uI8ykOa8","properties":{"formattedCitation":"(NASEM 2022; Oschlies et al. 2025)","plainCitation":"(NASEM 2022; Oschlies et al. 2025)","noteIndex":0},"citationItems":[{"id":79,"uris":["http://zotero.org/users/12946250/items/EFLBQS38"],"itemData":{"id":79,"type":"book","DOI":"10.17226/26278","edition":"National Academies of Sciences, Engineering, and Medicine","ISBN":"978-0-309-08761-2","language":"en","publisher":"National Academies Press","publisher-place":"Washington D.C.","source":"DOI.org (Crossref)","title":"A Research Strategy for Ocean-based Carbon Dioxide Removal and Sequestration","URL":"https://www.nap.edu/catalog/26278","author":[{"literal":"NASEM"}],"accessed":{"date-parts":[["2023",11,27]]},"issued":{"date-parts":[["2022",4,25]]}}},{"id":20277,"uris":["http://zotero.org/users/12946250/items/R85VYI7V"],"itemData":{"id":20277,"type":"article-journal","container-title":"Frontiers in Climate","DOI":"10.3389/fclim.2024.1506181","journalAbbreviation":"Front. Clim.","language":"en","page":"1506181","source":"Zotero","title":"Perspectives and challenges of marine carbon dioxide removal","volume":"6","author":[{"family":"Oschlies","given":"Andreas"},{"family":"Bach","given":"Lennart T"},{"family":"Fennel","given":"Katja"},{"family":"Gattuso","given":"Jean-Pierre"},{"family":"Mengis","given":"Nadine"}],"issued":{"date-parts":[["2025"]]}}}],"schema":"https://github.com/citation-style-language/schema/raw/master/csl-citation.json"} </w:instrText>
      </w:r>
      <w:r w:rsidRPr="00022A5D">
        <w:rPr>
          <w:rFonts w:cs="Times New Roman"/>
          <w:szCs w:val="20"/>
        </w:rPr>
        <w:fldChar w:fldCharType="separate"/>
      </w:r>
      <w:r w:rsidRPr="00022A5D">
        <w:rPr>
          <w:rFonts w:cs="Times New Roman"/>
        </w:rPr>
        <w:t xml:space="preserve">(NASEM 2022; </w:t>
      </w:r>
      <w:proofErr w:type="spellStart"/>
      <w:r w:rsidRPr="00022A5D">
        <w:rPr>
          <w:rFonts w:cs="Times New Roman"/>
        </w:rPr>
        <w:t>Oschlies</w:t>
      </w:r>
      <w:proofErr w:type="spellEnd"/>
      <w:r w:rsidRPr="00022A5D">
        <w:rPr>
          <w:rFonts w:cs="Times New Roman"/>
        </w:rPr>
        <w:t xml:space="preserve"> et al. 2025)</w:t>
      </w:r>
      <w:r w:rsidRPr="00022A5D">
        <w:rPr>
          <w:rFonts w:cs="Times New Roman"/>
          <w:szCs w:val="20"/>
        </w:rPr>
        <w:fldChar w:fldCharType="end"/>
      </w:r>
      <w:r w:rsidRPr="00022A5D">
        <w:rPr>
          <w:rFonts w:cs="Times New Roman"/>
          <w:szCs w:val="20"/>
        </w:rPr>
        <w:t>. However, this issue has not yet been well studied.</w:t>
      </w:r>
    </w:p>
    <w:p w14:paraId="435AB2AE" w14:textId="77777777" w:rsidR="00AE7432" w:rsidRPr="00022A5D" w:rsidRDefault="00AE7432" w:rsidP="00E230F8">
      <w:pPr>
        <w:spacing w:line="480" w:lineRule="auto"/>
        <w:rPr>
          <w:rFonts w:cs="Times New Roman"/>
          <w:i/>
          <w:iCs/>
          <w:szCs w:val="20"/>
          <w:u w:val="single"/>
        </w:rPr>
      </w:pPr>
      <w:r w:rsidRPr="00022A5D">
        <w:rPr>
          <w:rFonts w:cs="Times New Roman"/>
          <w:i/>
          <w:iCs/>
          <w:szCs w:val="20"/>
          <w:u w:val="single"/>
        </w:rPr>
        <w:t>Exposure of structures with instrumental or cultural value to humans</w:t>
      </w:r>
    </w:p>
    <w:p w14:paraId="6952190C" w14:textId="4AEB78AF" w:rsidR="00AE7432" w:rsidRPr="00271E2C" w:rsidRDefault="00AE7432" w:rsidP="00E230F8">
      <w:pPr>
        <w:spacing w:line="480" w:lineRule="auto"/>
        <w:rPr>
          <w:rFonts w:cs="Times New Roman"/>
        </w:rPr>
      </w:pPr>
      <w:r w:rsidRPr="00022A5D">
        <w:rPr>
          <w:rFonts w:cs="Times New Roman"/>
        </w:rPr>
        <w:t>For marine impact pathways, structures with instrumental or cultural value to humans include coastal touristic sites or fisheries zones (Woods et al., 2021). If located near OAE deployment sites, these structures could be indirectly exposed to altered ocean chemistry, including localised reductions in dissolved CO</w:t>
      </w:r>
      <w:r w:rsidRPr="00022A5D">
        <w:rPr>
          <w:rFonts w:cs="Times New Roman"/>
          <w:vertAlign w:val="subscript"/>
        </w:rPr>
        <w:t>2</w:t>
      </w:r>
      <w:r w:rsidRPr="00022A5D">
        <w:rPr>
          <w:rFonts w:cs="Times New Roman"/>
        </w:rPr>
        <w:t xml:space="preserve"> levels </w:t>
      </w:r>
      <w:r w:rsidRPr="00022A5D">
        <w:rPr>
          <w:rFonts w:cs="Times New Roman"/>
        </w:rPr>
        <w:fldChar w:fldCharType="begin"/>
      </w:r>
      <w:r w:rsidR="00045DD3">
        <w:rPr>
          <w:rFonts w:cs="Times New Roman"/>
        </w:rPr>
        <w:instrText xml:space="preserve"> ADDIN ZOTERO_ITEM CSL_CITATION {"citationID":"3LSljnfe","properties":{"formattedCitation":"(Nawaz et al. 2023)","plainCitation":"(Nawaz et al. 2023)","noteIndex":0},"citationItems":[{"id":25563,"uris":["http://zotero.org/users/12946250/items/JXNEIRRP"],"itemData":{"id":25563,"type":"article-journal","abstract":"Ocean alkalinity enhancement (OAE) is being considered as a way of achieving large-scale removals of carbon dioxide from the atmosphere. Research on the risks and benefits of different OAE approaches is expanding apace, but it remains difficult to anticipate and appraise the potential impacts to human communities that OAE might generate. These impacts, however, will be critical to evaluating the viability of specific OAE projects. This paper draws on the authors’ involvement in interdisciplinary assessment of OAE (1) to identify the factors that currently limit characterization of potential social impacts and (2) to propose ways of reconfiguring OAE research to better consider these.","container-title":"Environmental Science &amp; Technology","DOI":"10.1021/acs.est.2c09595","ISSN":"0013-936X, 1520-5851","issue":"24","journalAbbreviation":"Environ. Sci. Technol.","language":"en","license":"https://doi.org/10.15223/policy-029","page":"8863-8869","source":"DOI.org (Crossref)","title":"Broaden research on ocean alkalinity enhancement to better characterize social impacts","URL":"https://pubs.acs.org/doi/10.1021/acs.est.2c09595","volume":"57","author":[{"family":"Nawaz","given":"Sara"},{"family":"Lezaun","given":"Javier"},{"family":"Valenzuela","given":"Jose Maria"},{"family":"Renforth","given":"Phil"}],"accessed":{"date-parts":[["2025",4,29]]},"issued":{"date-parts":[["2023",6,20]]}}}],"schema":"https://github.com/citation-style-language/schema/raw/master/csl-citation.json"} </w:instrText>
      </w:r>
      <w:r w:rsidRPr="00022A5D">
        <w:rPr>
          <w:rFonts w:cs="Times New Roman"/>
        </w:rPr>
        <w:fldChar w:fldCharType="separate"/>
      </w:r>
      <w:r w:rsidRPr="00022A5D">
        <w:rPr>
          <w:rFonts w:cs="Times New Roman"/>
        </w:rPr>
        <w:t>(Nawaz et al. 2023)</w:t>
      </w:r>
      <w:r w:rsidRPr="00022A5D">
        <w:rPr>
          <w:rFonts w:cs="Times New Roman"/>
        </w:rPr>
        <w:fldChar w:fldCharType="end"/>
      </w:r>
      <w:r w:rsidRPr="00022A5D">
        <w:rPr>
          <w:rFonts w:cs="Times New Roman"/>
        </w:rPr>
        <w:t>. However, given the other outstanding gaps in knowledge</w:t>
      </w:r>
      <w:r w:rsidR="007A5C6B">
        <w:rPr>
          <w:rFonts w:cs="Times New Roman"/>
        </w:rPr>
        <w:t xml:space="preserve"> on exposure processes for </w:t>
      </w:r>
      <w:r w:rsidR="00C370F9">
        <w:rPr>
          <w:rFonts w:cs="Times New Roman"/>
        </w:rPr>
        <w:t>marine species and ecosystems as well as humans</w:t>
      </w:r>
      <w:r w:rsidRPr="00022A5D">
        <w:rPr>
          <w:rFonts w:cs="Times New Roman"/>
        </w:rPr>
        <w:t>, the second-order impacts on touristic sites or fisheries are even more uncertain.</w:t>
      </w:r>
    </w:p>
    <w:p w14:paraId="1D1E29CC" w14:textId="77777777" w:rsidR="00945D1B" w:rsidRPr="00022A5D" w:rsidRDefault="00945D1B" w:rsidP="00E230F8">
      <w:pPr>
        <w:spacing w:line="480" w:lineRule="auto"/>
        <w:rPr>
          <w:rFonts w:cs="Times New Roman"/>
          <w:i/>
          <w:iCs/>
          <w:szCs w:val="20"/>
          <w:u w:val="single"/>
        </w:rPr>
      </w:pPr>
      <w:r w:rsidRPr="00022A5D">
        <w:rPr>
          <w:rFonts w:cs="Times New Roman"/>
          <w:i/>
          <w:iCs/>
          <w:szCs w:val="20"/>
          <w:u w:val="single"/>
        </w:rPr>
        <w:t>Effects on socio-economic assets and ecosystem services</w:t>
      </w:r>
    </w:p>
    <w:p w14:paraId="293648C8" w14:textId="3652D195" w:rsidR="00945D1B" w:rsidRPr="00022A5D" w:rsidRDefault="00945D1B" w:rsidP="00E230F8">
      <w:pPr>
        <w:spacing w:line="480" w:lineRule="auto"/>
        <w:rPr>
          <w:rFonts w:cs="Times New Roman"/>
          <w:szCs w:val="20"/>
        </w:rPr>
      </w:pPr>
      <w:r w:rsidRPr="00022A5D">
        <w:rPr>
          <w:rFonts w:cs="Times New Roman"/>
          <w:szCs w:val="20"/>
        </w:rPr>
        <w:t xml:space="preserve">The </w:t>
      </w:r>
      <w:r>
        <w:rPr>
          <w:rFonts w:cs="Times New Roman"/>
          <w:szCs w:val="20"/>
        </w:rPr>
        <w:t>effe</w:t>
      </w:r>
      <w:r w:rsidRPr="00022A5D">
        <w:rPr>
          <w:rFonts w:cs="Times New Roman"/>
          <w:szCs w:val="20"/>
        </w:rPr>
        <w:t xml:space="preserve">cts of alkaline mineral exposure on fisheries could be both positive and negative. Fisheries located near OAE deployment sites, where local ocean chemistry is altered, could be affected by a reduction in photosynthesis. This may disrupt phytoplankton communities, indirectly affecting marine food webs and, ultimately, those fisheries </w:t>
      </w:r>
      <w:r w:rsidRPr="00022A5D">
        <w:rPr>
          <w:rFonts w:cs="Times New Roman"/>
          <w:szCs w:val="20"/>
        </w:rPr>
        <w:fldChar w:fldCharType="begin"/>
      </w:r>
      <w:r w:rsidR="00045DD3">
        <w:rPr>
          <w:rFonts w:cs="Times New Roman"/>
          <w:szCs w:val="20"/>
        </w:rPr>
        <w:instrText xml:space="preserve"> ADDIN ZOTERO_ITEM CSL_CITATION {"citationID":"ZwnwSeI8","properties":{"formattedCitation":"(Nawaz et al. 2023)","plainCitation":"(Nawaz et al. 2023)","noteIndex":0},"citationItems":[{"id":25563,"uris":["http://zotero.org/users/12946250/items/JXNEIRRP"],"itemData":{"id":25563,"type":"article-journal","abstract":"Ocean alkalinity enhancement (OAE) is being considered as a way of achieving large-scale removals of carbon dioxide from the atmosphere. Research on the risks and benefits of different OAE approaches is expanding apace, but it remains difficult to anticipate and appraise the potential impacts to human communities that OAE might generate. These impacts, however, will be critical to evaluating the viability of specific OAE projects. This paper draws on the authors’ involvement in interdisciplinary assessment of OAE (1) to identify the factors that currently limit characterization of potential social impacts and (2) to propose ways of reconfiguring OAE research to better consider these.","container-title":"Environmental Science &amp; Technology","DOI":"10.1021/acs.est.2c09595","ISSN":"0013-936X, 1520-5851","issue":"24","journalAbbreviation":"Environ. Sci. Technol.","language":"en","license":"https://doi.org/10.15223/policy-029","page":"8863-8869","source":"DOI.org (Crossref)","title":"Broaden research on ocean alkalinity enhancement to better characterize social impacts","URL":"https://pubs.acs.org/doi/10.1021/acs.est.2c09595","volume":"57","author":[{"family":"Nawaz","given":"Sara"},{"family":"Lezaun","given":"Javier"},{"family":"Valenzuela","given":"Jose Maria"},{"family":"Renforth","given":"Phil"}],"accessed":{"date-parts":[["2025",4,29]]},"issued":{"date-parts":[["2023",6,20]]}}}],"schema":"https://github.com/citation-style-language/schema/raw/master/csl-citation.json"} </w:instrText>
      </w:r>
      <w:r w:rsidRPr="00022A5D">
        <w:rPr>
          <w:rFonts w:cs="Times New Roman"/>
          <w:szCs w:val="20"/>
        </w:rPr>
        <w:fldChar w:fldCharType="separate"/>
      </w:r>
      <w:r w:rsidRPr="00022A5D">
        <w:rPr>
          <w:rFonts w:cs="Times New Roman"/>
          <w:szCs w:val="18"/>
        </w:rPr>
        <w:t>(Nawaz et al. 2023)</w:t>
      </w:r>
      <w:r w:rsidRPr="00022A5D">
        <w:rPr>
          <w:rFonts w:cs="Times New Roman"/>
          <w:szCs w:val="20"/>
        </w:rPr>
        <w:fldChar w:fldCharType="end"/>
      </w:r>
      <w:r w:rsidRPr="00022A5D">
        <w:rPr>
          <w:rFonts w:cs="Times New Roman"/>
          <w:szCs w:val="20"/>
        </w:rPr>
        <w:t xml:space="preserve">. In contrast, the mitigation of ocean acidification by OAE through changed ocean chemistry could enhance fish stocks and benefit fisheries </w:t>
      </w:r>
      <w:r w:rsidRPr="00022A5D">
        <w:rPr>
          <w:rFonts w:cs="Times New Roman"/>
          <w:szCs w:val="20"/>
        </w:rPr>
        <w:fldChar w:fldCharType="begin"/>
      </w:r>
      <w:r w:rsidR="00DF7F34">
        <w:rPr>
          <w:rFonts w:cs="Times New Roman"/>
          <w:szCs w:val="20"/>
        </w:rPr>
        <w:instrText xml:space="preserve"> ADDIN ZOTERO_ITEM CSL_CITATION {"citationID":"SZLHAn23","properties":{"formattedCitation":"(Sloterdijk et al. 2025)","plainCitation":"(Sloterdijk et al. 2025)","noteIndex":0},"citationItems":[{"id":26325,"uris":["http://zotero.org/users/12946250/items/XTH5WY67"],"itemData":{"id":26325,"type":"article-journal","abstract":"Achieving global climate goals while ensuring food security in a changing climate presents significant challenges, particularly when relying solely on land‐based solutions. Covering over 70% of the Earth's surface, the ocean remains an underutilized resource for climate mitigation. Ocean alkalinity enhancement (OAE) is one such strategy, designed to strengthen the ocean's natural carbon sink, reduce atmospheric CO2, and mitigate ocean acidification. However, its implications for fisheries, critical for food security and livelihoods, remain uncertain. This study examines the interplay between global fisheries, OAE, and different future socioeconomic and climatic conditions, using the Shared Socioeconomic Pathways (SSPs) and Representative Concentration Pathways framework. We explore how global fisheries and OAE could evolve under three combined scenarios: SSP1‐2.6 (sustainability‐focused), SSP3‐7.0 (regional rivalry), and SSP5‐8.5 (high fossil fuel dependency). By integrating ecological, economic, societal, and technological perspectives, we develop scenario narratives and quantify key bio‐economic parameters, including technological progress, fishing costs, fisheries management, marine aquaculture, and ecosystem carrying capacity. High‐emission (SSP5‐8.5) and fragmented development (SSP3‐7.0) scenarios present significant barriers to the coexistence of OAE and fisheries, whereas sustainability‐focused pathways (SSP1‐2.6) offer the most favorable conditions for their alignment. Successfully integrating OAE with fisheries management will likely depend on technological advancements, international cooperation, and socio‐economic developments. These scenarios are aligned with those used in model‐based scenario studies conducted under the frameworks of the Intergovernmental Panel on Climate Change and the Intergovernmental Platform on Biodiversity and Ecosystem Services (IPBES), providing a shared foundation for future work.","container-title":"Earth's Future","DOI":"10.1029/2024EF005478","ISSN":"2328-4277, 2328-4277","issue":"7","journalAbbreviation":"Earth's futur","language":"en","page":"e2024EF005478","source":"DOI.org (Crossref)","title":"Future scenarios of global fisheries and ocean alkalinity enhancement under socio‐economic and climate pathways","URL":"https://agupubs.onlinelibrary.wiley.com/doi/10.1029/2024EF005478","volume":"13","author":[{"family":"Sloterdijk","given":"Hans"},{"family":"Grünhagen","given":"Caroline"},{"family":"Voss","given":"Rudi"},{"family":"Grasse","given":"Patricia"},{"family":"Keller","given":"David P."},{"family":"Kleemann","given":"Linda"},{"family":"Kluger","given":"Lotta Clara"},{"family":"Lancker","given":"Kira"},{"family":"Rickels","given":"Wilfried"},{"family":"Riebesell","given":"Ulf"},{"family":"Salvatteci","given":"Renato"},{"family":"Oschlies","given":"Andreas"},{"family":"Schmidt","given":"Jörn O."},{"family":"Oppelt","given":"Natascha"},{"family":"Rehdanz","given":"Katrin"},{"family":"Riekhof","given":"Marie‐Catherine"}],"accessed":{"date-parts":[["2025",8,7]]},"issued":{"date-parts":[["2025",7]]}}}],"schema":"https://github.com/citation-style-language/schema/raw/master/csl-citation.json"} </w:instrText>
      </w:r>
      <w:r w:rsidRPr="00022A5D">
        <w:rPr>
          <w:rFonts w:cs="Times New Roman"/>
          <w:szCs w:val="20"/>
        </w:rPr>
        <w:fldChar w:fldCharType="separate"/>
      </w:r>
      <w:r w:rsidRPr="00022A5D">
        <w:rPr>
          <w:rFonts w:cs="Times New Roman"/>
        </w:rPr>
        <w:t>(</w:t>
      </w:r>
      <w:proofErr w:type="spellStart"/>
      <w:r w:rsidRPr="00022A5D">
        <w:rPr>
          <w:rFonts w:cs="Times New Roman"/>
        </w:rPr>
        <w:t>Sloterdijk</w:t>
      </w:r>
      <w:proofErr w:type="spellEnd"/>
      <w:r w:rsidRPr="00022A5D">
        <w:rPr>
          <w:rFonts w:cs="Times New Roman"/>
        </w:rPr>
        <w:t xml:space="preserve"> et al. 2025)</w:t>
      </w:r>
      <w:r w:rsidRPr="00022A5D">
        <w:rPr>
          <w:rFonts w:cs="Times New Roman"/>
          <w:szCs w:val="20"/>
        </w:rPr>
        <w:fldChar w:fldCharType="end"/>
      </w:r>
      <w:r w:rsidRPr="00022A5D">
        <w:rPr>
          <w:rFonts w:cs="Times New Roman"/>
          <w:szCs w:val="20"/>
        </w:rPr>
        <w:t xml:space="preserve">. However, these effects and their significance are not well </w:t>
      </w:r>
      <w:r w:rsidRPr="00022A5D">
        <w:rPr>
          <w:rFonts w:cs="Times New Roman"/>
          <w:szCs w:val="20"/>
        </w:rPr>
        <w:lastRenderedPageBreak/>
        <w:t xml:space="preserve">understood and could vary depending on the type of alkaline material used </w:t>
      </w:r>
      <w:r w:rsidRPr="00022A5D">
        <w:rPr>
          <w:rFonts w:cs="Times New Roman"/>
          <w:szCs w:val="20"/>
        </w:rPr>
        <w:fldChar w:fldCharType="begin"/>
      </w:r>
      <w:r w:rsidR="00045DD3">
        <w:rPr>
          <w:rFonts w:cs="Times New Roman"/>
          <w:szCs w:val="20"/>
        </w:rPr>
        <w:instrText xml:space="preserve"> ADDIN ZOTERO_ITEM CSL_CITATION {"citationID":"kh3uiBfN","properties":{"formattedCitation":"(Le Quesne and Pinnegar 2012; Haigh et al. 2015; Nawaz et al. 2023)","plainCitation":"(Le Quesne and Pinnegar 2012; Haigh et al. 2015; Nawaz et al. 2023)","noteIndex":0},"citationItems":[{"id":25568,"uris":["http://zotero.org/users/12946250/items/K9FVI3PP"],"itemData":{"id":25568,"type":"article-journal","container-title":"PLOS ONE","DOI":"10.1371/journal.pone.0117533","ISSN":"1932-6203","issue":"2","journalAbbreviation":"PLoS ONE","language":"en","page":"e0117533","source":"DOI.org (Crossref)","title":"Effects of ocean acidification on temperate coastal marine ecosystems and fisheries in the Northeast Pacific","URL":"https://dx.plos.org/10.1371/journal.pone.0117533","volume":"10","author":[{"family":"Haigh","given":"Rowan"},{"family":"Ianson","given":"Debby"},{"family":"Holt","given":"Carrie A."},{"family":"Neate","given":"Holly E."},{"family":"Edwards","given":"Andrew M."}],"accessed":{"date-parts":[["2025",4,29]]},"issued":{"date-parts":[["2015",2,11]]}}},{"id":25565,"uris":["http://zotero.org/users/12946250/items/9SPYPG53"],"itemData":{"id":25565,"type":"article-journal","abstract":"Views expressed on the potential impact of ocean acidiﬁcation range from wholesale degradation of marine ecosystems through to no discernable impact with minimal consequences. Constraining this range of predictions is necessary for the development of informed policy and management. The direct biological impacts of acidiﬁcation occur at the molecular and cellular level; however, it is the expression of these effects at the population and ecosystem level that is of societal concern. Here, we consider the potential impact of ocean acidiﬁcation on ﬁsheries with particular emphasis on approaches to scaling from physiological responses to population- and ecosystem-level processes. In some instances, impacts of ocean acidiﬁcation may lead to changes in the relative species composition at a given trophic level without affecting the overall productivity, whilst in other instances, ocean acidiﬁcation may lead to a reduction in productivity at a given tropic level. Because of the scale at which ecological processes operate, modelling studies are required. Here, ocean acidiﬁcation is situated within ongoing research into the ecological dynamics of perturbed systems, for which many models have already been developed. Whilst few existing models currently explicitly represent physiological processes sensitive to ocean acidiﬁcation, some examples of how ocean acidiﬁcation effects may be emulated within existing models are discussed. Answering the question of how acidiﬁcation may impact ﬁsheries requires the integration of knowledge across disciplines; this contribution aims to facilitate the inclusion of higher trophic level ecology into this ongoing debate and discussion.","container-title":"Fish and Fisheries","DOI":"10.1111/j.1467-2979.2011.00423.x","ISSN":"1467-2960, 1467-2979","issue":"3","journalAbbreviation":"Fish. Fish.","language":"en","license":"http://onlinelibrary.wiley.com/termsAndConditions#vor","page":"333-344","source":"DOI.org (Crossref)","title":"The potential impacts of ocean acidification: scaling from physiology to fisheries","title-short":"The potential impacts of ocean acidification","URL":"https://onlinelibrary.wiley.com/doi/10.1111/j.1467-2979.2011.00423.x","volume":"13","author":[{"family":"Le Quesne","given":"Will J F"},{"family":"Pinnegar","given":"John K"}],"accessed":{"date-parts":[["2025",4,29]]},"issued":{"date-parts":[["2012"]]}}},{"id":25563,"uris":["http://zotero.org/users/12946250/items/JXNEIRRP"],"itemData":{"id":25563,"type":"article-journal","abstract":"Ocean alkalinity enhancement (OAE) is being considered as a way of achieving large-scale removals of carbon dioxide from the atmosphere. Research on the risks and benefits of different OAE approaches is expanding apace, but it remains difficult to anticipate and appraise the potential impacts to human communities that OAE might generate. These impacts, however, will be critical to evaluating the viability of specific OAE projects. This paper draws on the authors’ involvement in interdisciplinary assessment of OAE (1) to identify the factors that currently limit characterization of potential social impacts and (2) to propose ways of reconfiguring OAE research to better consider these.","container-title":"Environmental Science &amp; Technology","DOI":"10.1021/acs.est.2c09595","ISSN":"0013-936X, 1520-5851","issue":"24","journalAbbreviation":"Environ. Sci. Technol.","language":"en","license":"https://doi.org/10.15223/policy-029","page":"8863-8869","source":"DOI.org (Crossref)","title":"Broaden research on ocean alkalinity enhancement to better characterize social impacts","URL":"https://pubs.acs.org/doi/10.1021/acs.est.2c09595","volume":"57","author":[{"family":"Nawaz","given":"Sara"},{"family":"Lezaun","given":"Javier"},{"family":"Valenzuela","given":"Jose Maria"},{"family":"Renforth","given":"Phil"}],"accessed":{"date-parts":[["2025",4,29]]},"issued":{"date-parts":[["2023",6,20]]}}}],"schema":"https://github.com/citation-style-language/schema/raw/master/csl-citation.json"} </w:instrText>
      </w:r>
      <w:r w:rsidRPr="00022A5D">
        <w:rPr>
          <w:rFonts w:cs="Times New Roman"/>
          <w:szCs w:val="20"/>
        </w:rPr>
        <w:fldChar w:fldCharType="separate"/>
      </w:r>
      <w:r w:rsidRPr="00022A5D">
        <w:rPr>
          <w:rFonts w:cs="Times New Roman"/>
          <w:szCs w:val="18"/>
        </w:rPr>
        <w:t>(Le Quesne and Pinnegar 2012; Haigh et al. 2015; Nawaz et al. 2023)</w:t>
      </w:r>
      <w:r w:rsidRPr="00022A5D">
        <w:rPr>
          <w:rFonts w:cs="Times New Roman"/>
          <w:szCs w:val="20"/>
        </w:rPr>
        <w:fldChar w:fldCharType="end"/>
      </w:r>
      <w:r w:rsidRPr="00022A5D">
        <w:rPr>
          <w:rFonts w:cs="Times New Roman"/>
          <w:szCs w:val="20"/>
        </w:rPr>
        <w:t>.</w:t>
      </w:r>
    </w:p>
    <w:p w14:paraId="1436FFB3" w14:textId="3FB01EAA" w:rsidR="00AE7432" w:rsidRDefault="00945D1B" w:rsidP="00E230F8">
      <w:pPr>
        <w:spacing w:line="480" w:lineRule="auto"/>
        <w:rPr>
          <w:rFonts w:cs="Times New Roman"/>
          <w:szCs w:val="20"/>
        </w:rPr>
      </w:pPr>
      <w:r w:rsidRPr="00022A5D">
        <w:rPr>
          <w:rFonts w:cs="Times New Roman"/>
          <w:szCs w:val="20"/>
        </w:rPr>
        <w:t xml:space="preserve">Tourism may also experience both beneficial and adverse effects. For instance, the counteraction of ocean acidification could positively affect the aesthetic value of marine environments, potentially benefitting tourism. Conversely, potential human health concerns related to trace metal bioaccumulation could affect public perception and deter tourism activity </w:t>
      </w:r>
      <w:r w:rsidRPr="00022A5D">
        <w:rPr>
          <w:rFonts w:cs="Times New Roman"/>
          <w:szCs w:val="20"/>
        </w:rPr>
        <w:fldChar w:fldCharType="begin"/>
      </w:r>
      <w:r w:rsidR="00045DD3">
        <w:rPr>
          <w:rFonts w:cs="Times New Roman"/>
          <w:szCs w:val="20"/>
        </w:rPr>
        <w:instrText xml:space="preserve"> ADDIN ZOTERO_ITEM CSL_CITATION {"citationID":"V9dT1tA9","properties":{"formattedCitation":"(Nawaz et al. 2023)","plainCitation":"(Nawaz et al. 2023)","noteIndex":0},"citationItems":[{"id":25563,"uris":["http://zotero.org/users/12946250/items/JXNEIRRP"],"itemData":{"id":25563,"type":"article-journal","abstract":"Ocean alkalinity enhancement (OAE) is being considered as a way of achieving large-scale removals of carbon dioxide from the atmosphere. Research on the risks and benefits of different OAE approaches is expanding apace, but it remains difficult to anticipate and appraise the potential impacts to human communities that OAE might generate. These impacts, however, will be critical to evaluating the viability of specific OAE projects. This paper draws on the authors’ involvement in interdisciplinary assessment of OAE (1) to identify the factors that currently limit characterization of potential social impacts and (2) to propose ways of reconfiguring OAE research to better consider these.","container-title":"Environmental Science &amp; Technology","DOI":"10.1021/acs.est.2c09595","ISSN":"0013-936X, 1520-5851","issue":"24","journalAbbreviation":"Environ. Sci. Technol.","language":"en","license":"https://doi.org/10.15223/policy-029","page":"8863-8869","source":"DOI.org (Crossref)","title":"Broaden research on ocean alkalinity enhancement to better characterize social impacts","URL":"https://pubs.acs.org/doi/10.1021/acs.est.2c09595","volume":"57","author":[{"family":"Nawaz","given":"Sara"},{"family":"Lezaun","given":"Javier"},{"family":"Valenzuela","given":"Jose Maria"},{"family":"Renforth","given":"Phil"}],"accessed":{"date-parts":[["2025",4,29]]},"issued":{"date-parts":[["2023",6,20]]}}}],"schema":"https://github.com/citation-style-language/schema/raw/master/csl-citation.json"} </w:instrText>
      </w:r>
      <w:r w:rsidRPr="00022A5D">
        <w:rPr>
          <w:rFonts w:cs="Times New Roman"/>
          <w:szCs w:val="20"/>
        </w:rPr>
        <w:fldChar w:fldCharType="separate"/>
      </w:r>
      <w:r w:rsidRPr="00022A5D">
        <w:rPr>
          <w:rFonts w:cs="Times New Roman"/>
          <w:szCs w:val="20"/>
        </w:rPr>
        <w:t>(Nawaz et al. 2023)</w:t>
      </w:r>
      <w:r w:rsidRPr="00022A5D">
        <w:rPr>
          <w:rFonts w:cs="Times New Roman"/>
          <w:szCs w:val="20"/>
        </w:rPr>
        <w:fldChar w:fldCharType="end"/>
      </w:r>
      <w:r w:rsidRPr="00022A5D">
        <w:rPr>
          <w:rFonts w:cs="Times New Roman"/>
          <w:szCs w:val="20"/>
        </w:rPr>
        <w:t>.</w:t>
      </w:r>
    </w:p>
    <w:p w14:paraId="2D8A6EC5" w14:textId="230EE26B" w:rsidR="00E65DD3" w:rsidRPr="00A60AE3" w:rsidRDefault="00F07A87" w:rsidP="00E65DD3">
      <w:r w:rsidRPr="00F07A87">
        <w:rPr>
          <w:noProof/>
        </w:rPr>
        <w:drawing>
          <wp:inline distT="0" distB="0" distL="0" distR="0" wp14:anchorId="119105EC" wp14:editId="039CF672">
            <wp:extent cx="5943600" cy="2917190"/>
            <wp:effectExtent l="0" t="0" r="0" b="0"/>
            <wp:docPr id="775879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79141" name=""/>
                    <pic:cNvPicPr/>
                  </pic:nvPicPr>
                  <pic:blipFill>
                    <a:blip r:embed="rId11"/>
                    <a:stretch>
                      <a:fillRect/>
                    </a:stretch>
                  </pic:blipFill>
                  <pic:spPr>
                    <a:xfrm>
                      <a:off x="0" y="0"/>
                      <a:ext cx="5943600" cy="2917190"/>
                    </a:xfrm>
                    <a:prstGeom prst="rect">
                      <a:avLst/>
                    </a:prstGeom>
                  </pic:spPr>
                </pic:pic>
              </a:graphicData>
            </a:graphic>
          </wp:inline>
        </w:drawing>
      </w:r>
      <w:r w:rsidRPr="00F07A87">
        <w:rPr>
          <w:noProof/>
        </w:rPr>
        <w:t xml:space="preserve"> </w:t>
      </w:r>
      <w:r w:rsidR="00EA5A61" w:rsidRPr="00EA5A61">
        <w:rPr>
          <w:noProof/>
        </w:rPr>
        <w:t xml:space="preserve"> </w:t>
      </w:r>
    </w:p>
    <w:p w14:paraId="48FE9315" w14:textId="5AD523ED" w:rsidR="00E65DD3" w:rsidRPr="00E65DD3" w:rsidRDefault="00E65DD3" w:rsidP="007C2D17">
      <w:pPr>
        <w:pStyle w:val="Caption"/>
        <w:jc w:val="center"/>
      </w:pPr>
      <w:r>
        <w:t xml:space="preserve">Marine impact pathways of </w:t>
      </w:r>
      <w:r w:rsidR="00C9315D">
        <w:t>ocean alkalinity enhancement</w:t>
      </w:r>
      <w:r w:rsidR="007203F9">
        <w:t xml:space="preserve"> (OAE)</w:t>
      </w:r>
      <w:r>
        <w:t>, including humans and structures with instrumental or cultural value to humans. Solid arrows indicate established linkages, while dashed arrows represent uncertain or currently under-researched connections based on the present state of knowledge.</w:t>
      </w:r>
    </w:p>
    <w:p w14:paraId="1D4650F4" w14:textId="144E3A55" w:rsidR="00301B2A" w:rsidRDefault="00A91BB3" w:rsidP="000C7E1E">
      <w:pPr>
        <w:pStyle w:val="Heading1"/>
        <w:numPr>
          <w:ilvl w:val="0"/>
          <w:numId w:val="44"/>
        </w:numPr>
      </w:pPr>
      <w:r>
        <w:t>F</w:t>
      </w:r>
      <w:r w:rsidR="00167EBF">
        <w:t>ate process</w:t>
      </w:r>
      <w:r w:rsidR="003A58F8">
        <w:t>es of OAE</w:t>
      </w:r>
      <w:r>
        <w:t xml:space="preserve">: </w:t>
      </w:r>
      <w:r w:rsidR="003178CF">
        <w:t>Their effects</w:t>
      </w:r>
      <w:r w:rsidR="003A58F8">
        <w:t xml:space="preserve"> on </w:t>
      </w:r>
      <w:r w:rsidR="004E22D4">
        <w:t>alkaline material’</w:t>
      </w:r>
      <w:r w:rsidR="00E26474">
        <w:t>s</w:t>
      </w:r>
      <w:r w:rsidR="003A58F8">
        <w:t xml:space="preserve"> residence</w:t>
      </w:r>
      <w:r w:rsidR="004E22D4">
        <w:t xml:space="preserve"> time</w:t>
      </w:r>
      <w:r w:rsidR="003178CF">
        <w:t>,</w:t>
      </w:r>
      <w:r w:rsidR="004E22D4">
        <w:t xml:space="preserve"> </w:t>
      </w:r>
      <w:r>
        <w:t>and</w:t>
      </w:r>
      <w:r w:rsidR="003A58F8">
        <w:t xml:space="preserve"> </w:t>
      </w:r>
      <w:r w:rsidR="00443C12">
        <w:t xml:space="preserve">main </w:t>
      </w:r>
      <w:r>
        <w:t>f</w:t>
      </w:r>
      <w:r w:rsidR="00301B2A">
        <w:t xml:space="preserve">actors </w:t>
      </w:r>
      <w:r w:rsidR="003178CF">
        <w:t>influencing these process</w:t>
      </w:r>
      <w:r w:rsidR="00443C12">
        <w:t>es</w:t>
      </w:r>
    </w:p>
    <w:p w14:paraId="3765C04C" w14:textId="21898F67" w:rsidR="009746BA" w:rsidRDefault="00D759C7" w:rsidP="00644228">
      <w:pPr>
        <w:spacing w:line="480" w:lineRule="auto"/>
        <w:rPr>
          <w:rFonts w:cs="Times New Roman"/>
          <w:i/>
          <w:iCs/>
          <w:u w:val="single"/>
        </w:rPr>
      </w:pPr>
      <w:r w:rsidRPr="0052185E">
        <w:rPr>
          <w:rFonts w:cs="Times New Roman"/>
        </w:rPr>
        <w:t>We identified five key fate processes for alkaline material and its co-released elements introduced into the marine environment through OAE: diffusion, mixing, sinking, burial, and dissolution.</w:t>
      </w:r>
    </w:p>
    <w:p w14:paraId="341B947B" w14:textId="713272A9" w:rsidR="007323B6" w:rsidRDefault="007323B6" w:rsidP="00644228">
      <w:pPr>
        <w:spacing w:line="480" w:lineRule="auto"/>
        <w:rPr>
          <w:rFonts w:cs="Times New Roman"/>
          <w:i/>
          <w:iCs/>
          <w:u w:val="single"/>
        </w:rPr>
      </w:pPr>
      <w:r>
        <w:rPr>
          <w:rFonts w:cs="Times New Roman"/>
          <w:i/>
          <w:iCs/>
          <w:u w:val="single"/>
        </w:rPr>
        <w:t>Diffusion, mixing, and sinking</w:t>
      </w:r>
    </w:p>
    <w:p w14:paraId="3A5ABCD6" w14:textId="163ADA33" w:rsidR="00F33515" w:rsidRPr="000C7E1E" w:rsidRDefault="00C904E2" w:rsidP="00644228">
      <w:pPr>
        <w:spacing w:line="480" w:lineRule="auto"/>
        <w:rPr>
          <w:rFonts w:cs="Times New Roman"/>
        </w:rPr>
      </w:pPr>
      <w:r w:rsidRPr="49E5B81A">
        <w:rPr>
          <w:rFonts w:cs="Times New Roman"/>
        </w:rPr>
        <w:t xml:space="preserve">These processes weaken with increasing distance as the alkaline material concentration lowers, and dissolution occurs </w:t>
      </w:r>
      <w:r w:rsidRPr="49E5B81A">
        <w:rPr>
          <w:rFonts w:cs="Times New Roman"/>
        </w:rPr>
        <w:fldChar w:fldCharType="begin"/>
      </w:r>
      <w:r>
        <w:rPr>
          <w:rFonts w:cs="Times New Roman"/>
        </w:rPr>
        <w:instrText xml:space="preserve"> ADDIN ZOTERO_ITEM CSL_CITATION {"citationID":"YK5uZddb","properties":{"formattedCitation":"(Bach et al. 2019)","plainCitation":"(Bach et al. 2019)","noteIndex":0},"citationItems":[{"id":23879,"uris":["http://zotero.org/users/12946250/items/EZIWHWHA"],"itemData":{"id":23879,"type":"article-journal","abstract":"Humankind will need to remove hundreds of gigatons of carbon dioxide (CO2) from the atmosphere by the end of the twenty-ﬁrst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ﬂuxes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calciﬁers would proﬁt in a scheme where CaCO3 derivatives would be used due to beneﬁcial changes in carbonate chemistry. Figuratively, this may turn the blue ocean into a white(r) ocean. When using silicates, the release of additional Si, Fe and Ni could beneﬁt siliciﬁers and N2-ﬁxers (cyanobacteria) and increase ocean productivity ultimately turning the blue ocean into a green(er) ocean. These considerations call for dedicated research to assess risks and co-beneﬁts of mineral dissolution products on marine and other environments. Indeed, both EW and OAE could become important tools to realize CO2 removal at the planetary scale but associated risks and/or co-beneﬁts should be revealed before deciding on their implementation.","container-title":"Frontiers in Climate","DOI":"10.3389/fclim.2019.00007","ISSN":"2624-9553","journalAbbreviation":"Front. Clim.","language":"en","page":"7","source":"DOI.org (Crossref)","title":"CO2 removal with enhanced weathering and ocean alkalinity enhancement: Potential risks and co-benefits for marine pelagic ecosystems","title-short":"CO2 Removal With Enhanced Weathering and Ocean Alkalinity Enhancement","URL":"https://www.frontiersin.org/article/10.3389/fclim.2019.00007/full","volume":"1","author":[{"family":"Bach","given":"Lennart T."},{"family":"Gill","given":"Sophie J."},{"family":"Rickaby","given":"Rosalind E. M."},{"family":"Gore","given":"Sarah"},{"family":"Renforth","given":"Phil"}],"accessed":{"date-parts":[["2025",1,27]]},"issued":{"date-parts":[["2019",10,11]]}}}],"schema":"https://github.com/citation-style-language/schema/raw/master/csl-citation.json"} </w:instrText>
      </w:r>
      <w:r w:rsidRPr="49E5B81A">
        <w:rPr>
          <w:rFonts w:cs="Times New Roman"/>
        </w:rPr>
        <w:fldChar w:fldCharType="separate"/>
      </w:r>
      <w:r w:rsidRPr="49E5B81A">
        <w:rPr>
          <w:rFonts w:cs="Times New Roman"/>
        </w:rPr>
        <w:t>(Bach et al. 2019)</w:t>
      </w:r>
      <w:r w:rsidRPr="49E5B81A">
        <w:rPr>
          <w:rFonts w:cs="Times New Roman"/>
        </w:rPr>
        <w:fldChar w:fldCharType="end"/>
      </w:r>
      <w:r w:rsidRPr="49E5B81A">
        <w:rPr>
          <w:rFonts w:cs="Times New Roman"/>
        </w:rPr>
        <w:t xml:space="preserve">. </w:t>
      </w:r>
      <w:r w:rsidR="00F33515" w:rsidRPr="49E5B81A">
        <w:rPr>
          <w:rFonts w:cs="Times New Roman"/>
        </w:rPr>
        <w:t>Alkaline material transport in the ocean further depends on water column stratification and</w:t>
      </w:r>
      <w:r w:rsidR="00F33515">
        <w:rPr>
          <w:rFonts w:cs="Times New Roman"/>
        </w:rPr>
        <w:t>, in the case of solid particulate addition,</w:t>
      </w:r>
      <w:r w:rsidR="00F33515" w:rsidRPr="49E5B81A">
        <w:rPr>
          <w:rFonts w:cs="Times New Roman"/>
        </w:rPr>
        <w:t xml:space="preserve"> the material grain size, with larger grains remaining undissolved longer and being </w:t>
      </w:r>
      <w:r w:rsidR="00F33515" w:rsidRPr="49E5B81A">
        <w:rPr>
          <w:rFonts w:cs="Times New Roman"/>
        </w:rPr>
        <w:lastRenderedPageBreak/>
        <w:t xml:space="preserve">transported further or sinking quicker </w:t>
      </w:r>
      <w:r w:rsidR="00F33515" w:rsidRPr="49E5B81A">
        <w:rPr>
          <w:rFonts w:cs="Times New Roman"/>
        </w:rPr>
        <w:fldChar w:fldCharType="begin"/>
      </w:r>
      <w:r w:rsidR="00F33515">
        <w:rPr>
          <w:rFonts w:cs="Times New Roman"/>
        </w:rPr>
        <w:instrText xml:space="preserve"> ADDIN ZOTERO_ITEM CSL_CITATION {"citationID":"zNXFvekD","properties":{"formattedCitation":"(Bach et al. 2019; He and Tyka 2023; Zhuang et al. 2025)","plainCitation":"(Bach et al. 2019; He and Tyka 2023; Zhuang et al. 2025)","noteIndex":0},"citationItems":[{"id":23879,"uris":["http://zotero.org/users/12946250/items/EZIWHWHA"],"itemData":{"id":23879,"type":"article-journal","abstract":"Humankind will need to remove hundreds of gigatons of carbon dioxide (CO2) from the atmosphere by the end of the twenty-ﬁrst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ﬂuxes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calciﬁers would proﬁt in a scheme where CaCO3 derivatives would be used due to beneﬁcial changes in carbonate chemistry. Figuratively, this may turn the blue ocean into a white(r) ocean. When using silicates, the release of additional Si, Fe and Ni could beneﬁt siliciﬁers and N2-ﬁxers (cyanobacteria) and increase ocean productivity ultimately turning the blue ocean into a green(er) ocean. These considerations call for dedicated research to assess risks and co-beneﬁts of mineral dissolution products on marine and other environments. Indeed, both EW and OAE could become important tools to realize CO2 removal at the planetary scale but associated risks and/or co-beneﬁts should be revealed before deciding on their implementation.","container-title":"Frontiers in Climate","DOI":"10.3389/fclim.2019.00007","ISSN":"2624-9553","journalAbbreviation":"Front. Clim.","language":"en","page":"7","source":"DOI.org (Crossref)","title":"CO2 removal with enhanced weathering and ocean alkalinity enhancement: Potential risks and co-benefits for marine pelagic ecosystems","title-short":"CO2 Removal With Enhanced Weathering and Ocean Alkalinity Enhancement","URL":"https://www.frontiersin.org/article/10.3389/fclim.2019.00007/full","volume":"1","author":[{"family":"Bach","given":"Lennart T."},{"family":"Gill","given":"Sophie J."},{"family":"Rickaby","given":"Rosalind E. M."},{"family":"Gore","given":"Sarah"},{"family":"Renforth","given":"Phil"}],"accessed":{"date-parts":[["2025",1,27]]},"issued":{"date-parts":[["2019",10,11]]}}},{"id":24689,"uris":["http://zotero.org/users/12946250/items/QGVUCDA5"],"itemData":{"id":24689,"type":"article-journal","abstract":"Abstract. Ocean alkalinity enhancement (OAE) has recently gained attention as a potential method for carbon dioxide removal (CDR) at gigatonne (Gt) scale, with near-coast OAE operations being economically favorable due to proximity to mineral and energy sources. In this paper we study critical questions which determine the scale and viability of OAE. Which coastal locations are able to sustain a large flux of alkalinity at minimal pH and ΩArag (aragonite saturation) changes? What is the interference distance between adjacent OAE projects? How much CO2 is absorbed per unit of alkalinity added? How quickly does the induced CO2 deficiency equilibrate with the atmosphere? Choosing relatively conservative constraints on ΔpH or ΔOmega, we examine the limits of OAE using the ECCO LLC270 (0.3</w:instrText>
      </w:r>
      <w:r w:rsidR="00F33515">
        <w:rPr>
          <w:rFonts w:ascii="Cambria Math" w:hAnsi="Cambria Math" w:cs="Cambria Math"/>
        </w:rPr>
        <w:instrText>∘</w:instrText>
      </w:r>
      <w:r w:rsidR="00F33515">
        <w:rPr>
          <w:rFonts w:cs="Times New Roman"/>
        </w:rPr>
        <w:instrText xml:space="preserve">) global circulation model. We find that the sustainable OAE rate varies over 1–2 orders of magnitude between different coasts and exhibits complex patterns and non-local dependencies which vary from region to region. In general, OAE in areas of strong coastal currents enables the largest fluxes and depending on the direction of these currents, neighboring OAE sites can exhibit dependencies as far as 400 km or more. At these steady state fluxes most regional stretches of coastline are able to accommodate on the order of 10s to 100s of megatonnes of negative emissions within 300 km of the coast. We conclude that near-coastal OAE has the potential to scale globally to several Gt CO2 yr−1 of drawdown with conservative pH constraints, if the effort is spread over the majority of available coastlines. Depending on the location, we find a diverse set of equilibration kinetics, determined by the interplay of gas exchange and surface residence time. Most locations reach an uptake efficiency plateau of 0.6–0.8 mol CO2 per mol of alkalinity after 3–4 years, after which there is only slow additional CO2 uptake. Regions of significant downwelling (e.g., around Iceland) should be avoided by OAE deployments, as in such locations up to half of the CDR potential of OAE can be lost to bottom waters. The most ideal locations, reaching a molar uptake ratio of around 0.8, include North Madagascar, California, Brazil, Peru and locations close to the Southern Ocean such as Tasmania, Kerguelen and Patagonia, where the gas exchange appears to occur faster than the surface residence time. However, some locations (e.g., Hawaii) take significantly longer to equilibrate (up to 8–10 years) but can still eventually achieve high uptake ratios.","container-title":"Biogeosciences","DOI":"10.5194/bg-20-27-2023","ISSN":"1726-4189","issue":"1","journalAbbreviation":"Biogeosciences","language":"en","license":"https://creativecommons.org/licenses/by/4.0/","page":"27-43","source":"DOI.org (Crossref)","title":"Limits and CO&lt;sub&gt;2&lt;/sub&gt; equilibration of near-coast alkalinity enhancement","URL":"https://bg.copernicus.org/articles/20/27/2023/","volume":"20","author":[{"family":"He","given":"Jing"},{"family":"Tyka","given":"Michael D."}],"accessed":{"date-parts":[["2025",2,28]]},"issued":{"date-parts":[["2023",1,3]]}}},{"id":24236,"uris":["http://zotero.org/users/12946250/items/GJSQSEDV"],"itemData":{"id":24236,"type":"article-journal","abstract":"Ocean alkalinity enhancement (OAE) based on enhanced weathering of olivine (EWO) is a promising marine carbon dioxide removal (mCDR) technique. Previous research primarily focuses on the toxicological effects of potentially toxic metals (PTMs) released from olivine. In this Perspective, we explore the overlooked impacts of EWO on environmental media in two scenarios: olivine applied to beaches/shallow continental shelves and offshore dispersion by vessels. We analyze the potential migration pathways of iron and PTMs (e.g., nickel and chromium) after their release, and their interactions with manganese oxides in sediments, potentially causing secondary contamination. Additionally, we propose mitigation strategies to prevent PTM concentrations from exceeding local environmental quality standards, including the use of alkalization equipment to control PTM levels. This Perspective underscores the need for thorough environmental assessments prior to large-scale implementation to ensure the sustainability and efficacy of mCDR efforts.","container-title":"Environmental Science &amp; Technology","DOI":"10.1021/acs.est.4c10705","ISSN":"0013-936X, 1520-5851","issue":"2","journalAbbreviation":"Environ. Sci. Technol.","language":"en","license":"https://doi.org/10.15223/policy-029","page":"1091-1099","source":"DOI.org (Crossref)","title":"Potential environmental impacts and management strategies for metal release during ocean alkalinity enhancement using olivine","URL":"https://pubs.acs.org/doi/10.1021/acs.est.4c10705","volume":"59","author":[{"family":"Zhuang","given":"Wen"},{"family":"Zhu","given":"Tianqiang"},{"family":"Li","given":"Feng"},{"family":"Queiroz","given":"Hermano Melo"},{"family":"Yan","given":"Qinglin"},{"family":"Zhao","given":"Xiaojie"},{"family":"Liu","given":"Jihua"}],"accessed":{"date-parts":[["2025",1,30]]},"issued":{"date-parts":[["2025",1,21]]}}}],"schema":"https://github.com/citation-style-language/schema/raw/master/csl-citation.json"} </w:instrText>
      </w:r>
      <w:r w:rsidR="00F33515" w:rsidRPr="49E5B81A">
        <w:rPr>
          <w:rFonts w:cs="Times New Roman"/>
        </w:rPr>
        <w:fldChar w:fldCharType="separate"/>
      </w:r>
      <w:r w:rsidR="00F33515" w:rsidRPr="49E5B81A">
        <w:rPr>
          <w:rFonts w:cs="Times New Roman"/>
        </w:rPr>
        <w:t>(Bach et al. 2019; He and Tyka 2023; Zhuang et al. 2025)</w:t>
      </w:r>
      <w:r w:rsidR="00F33515" w:rsidRPr="49E5B81A">
        <w:rPr>
          <w:rFonts w:cs="Times New Roman"/>
        </w:rPr>
        <w:fldChar w:fldCharType="end"/>
      </w:r>
      <w:r w:rsidR="00F33515" w:rsidRPr="49E5B81A">
        <w:rPr>
          <w:rFonts w:cs="Times New Roman"/>
        </w:rPr>
        <w:t xml:space="preserve">. Seasonality also influences sinking, with the decrease in ocean water layers mixing in the summer reducing mineral sinking </w:t>
      </w:r>
      <w:r w:rsidR="00F33515" w:rsidRPr="49E5B81A">
        <w:rPr>
          <w:rFonts w:cs="Times New Roman"/>
        </w:rPr>
        <w:fldChar w:fldCharType="begin"/>
      </w:r>
      <w:r w:rsidR="00F33515">
        <w:rPr>
          <w:rFonts w:cs="Times New Roman"/>
        </w:rPr>
        <w:instrText xml:space="preserve"> ADDIN ZOTERO_ITEM CSL_CITATION {"citationID":"4d2C3TlJ","properties":{"formattedCitation":"(Nagwekar et al. 2024)","plainCitation":"(Nagwekar et al. 2024)","noteIndex":0},"citationItems":[{"id":19370,"uris":["http://zotero.org/users/12946250/items/44ZNGIV4"],"itemData":{"id":19370,"type":"article-journal","abstract":"Ocean Alkalinity Enhancement (OAE) is an ocean‐based Carbon Dioxide Removal (CDR) method to mitigate climate change. Studies to characterize regional differences in OAE efficiencies and biogeochemical effects are still sparse. As subduction regions play a pivotal role for anthropogenic carbon uptake and centennial storage, we here evaluate OAE efficiencies in the subduction regions of the Southern Ocean, the Northwest Atlantic, and the Norwegian‐Barents Sea region. Using the ocean biogeochemistry model FESOM2.1‐REcoM3, we simulate continuous OAE globally and in the subduction regions under high (SSP37.0) and low (SSP1‐2.6) emission scenarios. The OAE efficiency calculated by two different metrics is higher (by 8%–30%) for SSP3‐7.0 than for SSP1‐2.6 due to a lower buffer factor in a high‐CO2 world. All subduction regions show a CDR potential (0.23–0.31; PgC CO2 uptake per Pg alkaline material) consistent with global OAE for both emission scenarios. Calculating the efficiency as the ratio of excess dissolved inorganic carbon (DIC) to excess alkalinity shows that the Southern Ocean and the Northwest Atlantic are as efficient as the global ocean (0.79–0.85), while the Norwegian‐Barents Sea region has a lower efficiency (0.65–0.75). The subduction regions store a fraction of excess carbon below 1 km that is 1.9 times higher than the global ocean. The excess surface alkalinity and thus CO2 uptake and storage follow the mixed‐layer depth seasonality, with the majority of the excess CO2 flux occurring in summer at shallow mixed layer depths. This study therefore highlights that subduction regions can be efficient for OAE if optimal deployment strategies are developed.","container-title":"Earth's Future","DOI":"10.1029/2023EF004213","ISSN":"2328-4277, 2328-4277","issue":"10","journalAbbreviation":"Earth's Future","language":"en","page":"e2023EF004213","source":"DOI.org (Crossref)","title":"Ocean alkalinity enhancement in deep water formation regions under low and high emission pathways","URL":"https://agupubs.onlinelibrary.wiley.com/doi/10.1029/2023EF004213","volume":"12","author":[{"family":"Nagwekar","given":"Tanvi"},{"family":"Nissen","given":"Cara"},{"family":"Hauck","given":"Judith"}],"accessed":{"date-parts":[["2024",10,18]]},"issued":{"date-parts":[["2024",10]]}}}],"schema":"https://github.com/citation-style-language/schema/raw/master/csl-citation.json"} </w:instrText>
      </w:r>
      <w:r w:rsidR="00F33515" w:rsidRPr="49E5B81A">
        <w:rPr>
          <w:rFonts w:cs="Times New Roman"/>
        </w:rPr>
        <w:fldChar w:fldCharType="separate"/>
      </w:r>
      <w:r w:rsidR="00F33515" w:rsidRPr="49E5B81A">
        <w:rPr>
          <w:rFonts w:cs="Times New Roman"/>
        </w:rPr>
        <w:t>(</w:t>
      </w:r>
      <w:proofErr w:type="spellStart"/>
      <w:r w:rsidR="00F33515" w:rsidRPr="49E5B81A">
        <w:rPr>
          <w:rFonts w:cs="Times New Roman"/>
        </w:rPr>
        <w:t>Nagwekar</w:t>
      </w:r>
      <w:proofErr w:type="spellEnd"/>
      <w:r w:rsidR="00F33515" w:rsidRPr="49E5B81A">
        <w:rPr>
          <w:rFonts w:cs="Times New Roman"/>
        </w:rPr>
        <w:t xml:space="preserve"> et al. 2024)</w:t>
      </w:r>
      <w:r w:rsidR="00F33515" w:rsidRPr="49E5B81A">
        <w:rPr>
          <w:rFonts w:cs="Times New Roman"/>
        </w:rPr>
        <w:fldChar w:fldCharType="end"/>
      </w:r>
      <w:r w:rsidR="00F33515" w:rsidRPr="49E5B81A">
        <w:rPr>
          <w:rFonts w:cs="Times New Roman"/>
        </w:rPr>
        <w:t>.</w:t>
      </w:r>
    </w:p>
    <w:p w14:paraId="6D384FA0" w14:textId="5E09B602" w:rsidR="007323B6" w:rsidRDefault="007323B6" w:rsidP="00644228">
      <w:pPr>
        <w:spacing w:line="480" w:lineRule="auto"/>
        <w:rPr>
          <w:rFonts w:cs="Times New Roman"/>
          <w:i/>
          <w:iCs/>
          <w:u w:val="single"/>
        </w:rPr>
      </w:pPr>
      <w:r>
        <w:rPr>
          <w:rFonts w:cs="Times New Roman"/>
          <w:i/>
          <w:iCs/>
          <w:u w:val="single"/>
        </w:rPr>
        <w:t>Burial</w:t>
      </w:r>
    </w:p>
    <w:p w14:paraId="5A7E7AE0" w14:textId="17CD1BEB" w:rsidR="00BE6EA5" w:rsidRPr="000C7E1E" w:rsidRDefault="00BE6EA5" w:rsidP="00644228">
      <w:pPr>
        <w:spacing w:line="480" w:lineRule="auto"/>
        <w:rPr>
          <w:rFonts w:cs="Times New Roman"/>
        </w:rPr>
      </w:pPr>
      <w:r w:rsidRPr="49E5B81A">
        <w:rPr>
          <w:rFonts w:cs="Times New Roman"/>
        </w:rPr>
        <w:t xml:space="preserve">The extent to which it may remain undisturbed in sediments is not clearly established. Over timescale up to millennia, diagenesis, a combination of physical, chemical and biological processes, may alter the buried material, forming new minerals and modifying sediments </w:t>
      </w:r>
      <w:r w:rsidRPr="49E5B81A">
        <w:rPr>
          <w:rFonts w:cs="Times New Roman"/>
        </w:rPr>
        <w:fldChar w:fldCharType="begin"/>
      </w:r>
      <w:r>
        <w:rPr>
          <w:rFonts w:cs="Times New Roman"/>
        </w:rPr>
        <w:instrText xml:space="preserve"> ADDIN ZOTERO_ITEM CSL_CITATION {"citationID":"hx562H6L","properties":{"formattedCitation":"(Scholz et al. 2013)","plainCitation":"(Scholz et al. 2013)","noteIndex":0},"citationItems":[{"id":26293,"uris":["http://zotero.org/users/12946250/items/ULKYY3P9"],"itemData":{"id":26293,"type":"article-journal","abstract":"In order to investigate how submarine weathering processes may aﬀect the water balance of sediments at convergent plate margins, six sediment cores were retrieved oﬀ Central Chile at water depth between $800 and 4000 m. The sediment solid phase was analyzed for its major element composition and the pore ﬂuids were analyzed for dissolved sulfate, sulﬁde, total alkalinity, major cations, chloride, bromide, iodide, hydrocarbons as well as the carbon isotopic composition of methane.","container-title":"Geochimica et Cosmochimica Acta","DOI":"10.1016/j.gca.2012.09.043","ISSN":"00167037","journalAbbreviation":"Geochim. Cosmochim. Acta","language":"en","license":"https://www.elsevier.com/tdm/userlicense/1.0/","page":"200-216","source":"DOI.org (Crossref)","title":"Submarine weathering of silicate minerals and the extent of pore water freshening at active continental margins","URL":"https://linkinghub.elsevier.com/retrieve/pii/S0016703712005558","volume":"100","author":[{"family":"Scholz","given":"Florian"},{"family":"Hensen","given":"Christian"},{"family":"Schmidt","given":"Mark"},{"family":"Geersen","given":"Jacob"}],"accessed":{"date-parts":[["2025",8,5]]},"issued":{"date-parts":[["2013",1]]}}}],"schema":"https://github.com/citation-style-language/schema/raw/master/csl-citation.json"} </w:instrText>
      </w:r>
      <w:r w:rsidRPr="49E5B81A">
        <w:rPr>
          <w:rFonts w:cs="Times New Roman"/>
        </w:rPr>
        <w:fldChar w:fldCharType="separate"/>
      </w:r>
      <w:r w:rsidRPr="49E5B81A">
        <w:rPr>
          <w:rFonts w:cs="Times New Roman"/>
        </w:rPr>
        <w:t>(Scholz et al. 2013)</w:t>
      </w:r>
      <w:r w:rsidRPr="49E5B81A">
        <w:rPr>
          <w:rFonts w:cs="Times New Roman"/>
        </w:rPr>
        <w:fldChar w:fldCharType="end"/>
      </w:r>
      <w:r w:rsidRPr="49E5B81A">
        <w:rPr>
          <w:rFonts w:cs="Times New Roman"/>
        </w:rPr>
        <w:t xml:space="preserve">. Burial likely depends on human-induced sediment disturbance and marine sediment organisms’ activities facilitating deeper mineral penetration into sediments </w:t>
      </w:r>
      <w:r w:rsidRPr="49E5B81A">
        <w:rPr>
          <w:rFonts w:cs="Times New Roman"/>
        </w:rPr>
        <w:fldChar w:fldCharType="begin"/>
      </w:r>
      <w:r>
        <w:rPr>
          <w:rFonts w:cs="Times New Roman"/>
        </w:rPr>
        <w:instrText xml:space="preserve"> ADDIN ZOTERO_ITEM CSL_CITATION {"citationID":"4SSi9aS8","properties":{"formattedCitation":"(Dale et al. 2024; Fuhr et al. 2025)","plainCitation":"(Dale et al. 2024; Fuhr et al. 2025)","noteIndex":0},"citationItems":[{"id":24709,"uris":["http://zotero.org/users/12946250/items/BRIHBZLS"],"itemData":{"id":24709,"type":"article-journal","abstract":"Abstract\n            \n              Carbon dioxide removal from the atmosphere and storage over long times scales in terrestrial and marine reservoirs is urgently needed to limit global warming and for sustainable management of the global carbon cycle. Ocean alkalinity enhancement by the artificial addition of carbonate minerals to the seafloor has been proposed as a method to sequester atmospheric CO\n              2\n              and store it in the ocean as dissolved bicarbonate. Here, a reaction-transport model is used to scrutinize the efficacy of calcite addition and dissolution at a well-studied site in the southwestern Baltic Sea – a brackish coastal water body in northern Europe. We find that most calcite is simply buried without dissolution under moderate addition rates. Applying the model to other sites in the Baltic Sea suggests that dissolution rates and efficiencies are higher in areas with low salinity and undersaturated bottom waters. A simple box model predicts a tentative net CO\n              2\n              uptake rate from the atmosphere of 3.2 megatonnes of carbon dioxide per year for the wider Baltic Sea after continually adding calcite to muddy sediments for 10 years. More robust estimates now require validation by field studies.","container-title":"Communications Earth &amp; Environment","DOI":"10.1038/s43247-024-01569-3","ISSN":"2662-4435","issue":"1","journalAbbreviation":"Commun Earth Environ","language":"en","page":"452","source":"DOI.org (Crossref)","title":"Seafloor alkalinity enhancement as a carbon dioxide removal strategy in the Baltic Sea","URL":"https://www.nature.com/articles/s43247-024-01569-3","volume":"5","author":[{"family":"Dale","given":"Andrew W."},{"family":"Geilert","given":"Sonja"},{"family":"Diercks","given":"Isabel"},{"family":"Fuhr","given":"Michael"},{"family":"Perner","given":"Mirjam"},{"family":"Scholz","given":"Florian"},{"family":"Wallmann","given":"Klaus"}],"accessed":{"date-parts":[["2025",2,28]]},"issued":{"date-parts":[["2024",8,21]]}}},{"id":24582,"uris":["http://zotero.org/users/12946250/items/E6CK4TMA"],"itemData":{"id":24582,"type":"article-journal","abstract":"Abstract\n            Recent studies have proposed calcite and dunite as possible alkaline materials for enhanced benthic weathering in shallow depocenters of the Baltic Sea as a marine carbon dioxide removal strategy. In this study, insights on calcite and dunite weathering from laboratory incubations and long-term benthocosm experiments are combined with a numerical box-model to assess the carbon dioxide uptake potential of mineral addition to organic-rich sediments in the southwest Baltic Sea. The results reveal that calcite has an up to 10-fold higher carbon dioxide uptake efficiency and is therefore the preferable material for enhanced benthic weathering as a marine carbon dioxide removal method, with costs per tonne of sequestered carbon dioxide ranging between 82 and 462 euro for calcite while reaching 558–1920 euro for dunite. These findings could be applicable to other areas in the Baltic Sea and also globally to sediments in the wider coastal shelf with similar geochemical properties.","container-title":"Communications Earth &amp; Environment","DOI":"10.1038/s43247-025-02079-6","ISSN":"2662-4435","issue":"1","journalAbbreviation":"Commun Earth Environ","language":"en","page":"106","source":"DOI.org (Crossref)","title":"Calcite is an efficient and low-cost material to enhance benthic weathering in shelf sediments of the Baltic Sea","URL":"https://www.nature.com/articles/s43247-025-02079-6","volume":"6","author":[{"family":"Fuhr","given":"Michael"},{"family":"Dale","given":"Andrew W."},{"family":"Wallmann","given":"Klaus"},{"family":"Bährle","given":"Rebecca"},{"family":"Kalapurakkal","given":"Habeeb Thanveer"},{"family":"Sommer","given":"Stefan"},{"family":"Spiegel","given":"Timo"},{"family":"Dobashi","given":"Ryo"},{"family":"Buchholz","given":"Björn"},{"family":"Schmidt","given":"Mark"},{"family":"Perner","given":"Mirjam"},{"family":"Geilert","given":"Sonja"}],"accessed":{"date-parts":[["2025",2,25]]},"issued":{"date-parts":[["2025",2,12]]}}}],"schema":"https://github.com/citation-style-language/schema/raw/master/csl-citation.json"} </w:instrText>
      </w:r>
      <w:r w:rsidRPr="49E5B81A">
        <w:rPr>
          <w:rFonts w:cs="Times New Roman"/>
        </w:rPr>
        <w:fldChar w:fldCharType="separate"/>
      </w:r>
      <w:r w:rsidRPr="49E5B81A">
        <w:rPr>
          <w:rFonts w:cs="Times New Roman"/>
        </w:rPr>
        <w:t>(Dale et al. 2024; Fuhr et al. 2025)</w:t>
      </w:r>
      <w:r w:rsidRPr="49E5B81A">
        <w:rPr>
          <w:rFonts w:cs="Times New Roman"/>
        </w:rPr>
        <w:fldChar w:fldCharType="end"/>
      </w:r>
      <w:r w:rsidRPr="49E5B81A">
        <w:rPr>
          <w:rFonts w:cs="Times New Roman"/>
        </w:rPr>
        <w:t>.</w:t>
      </w:r>
    </w:p>
    <w:p w14:paraId="092A4279" w14:textId="576F40FE" w:rsidR="007323B6" w:rsidRDefault="007323B6" w:rsidP="00644228">
      <w:pPr>
        <w:spacing w:line="480" w:lineRule="auto"/>
        <w:rPr>
          <w:rFonts w:cs="Times New Roman"/>
          <w:i/>
          <w:iCs/>
          <w:u w:val="single"/>
        </w:rPr>
      </w:pPr>
      <w:r>
        <w:rPr>
          <w:rFonts w:cs="Times New Roman"/>
          <w:i/>
          <w:iCs/>
          <w:u w:val="single"/>
        </w:rPr>
        <w:t>Dissolution</w:t>
      </w:r>
    </w:p>
    <w:p w14:paraId="0C99AF7F" w14:textId="4C2178E9" w:rsidR="00F747E8" w:rsidRPr="00F747E8" w:rsidRDefault="00F747E8" w:rsidP="00644228">
      <w:pPr>
        <w:spacing w:line="480" w:lineRule="auto"/>
        <w:rPr>
          <w:rFonts w:cs="Times New Roman"/>
        </w:rPr>
      </w:pPr>
      <w:r w:rsidRPr="4133990C">
        <w:rPr>
          <w:rFonts w:cs="Times New Roman"/>
        </w:rPr>
        <w:t xml:space="preserve">The faster the dissolution, the less accumulation and transport to other oceanic zones. To achieve optimal CDR efficiency, material </w:t>
      </w:r>
      <w:r>
        <w:rPr>
          <w:rFonts w:cs="Times New Roman"/>
        </w:rPr>
        <w:t>added</w:t>
      </w:r>
      <w:r w:rsidRPr="4133990C">
        <w:rPr>
          <w:rFonts w:cs="Times New Roman"/>
        </w:rPr>
        <w:t xml:space="preserve"> at the ocean surface must dissolve in the upper layer and thus not sink too rapidly </w:t>
      </w:r>
      <w:r w:rsidRPr="4133990C">
        <w:rPr>
          <w:rFonts w:cs="Times New Roman"/>
        </w:rPr>
        <w:fldChar w:fldCharType="begin"/>
      </w:r>
      <w:r>
        <w:rPr>
          <w:rFonts w:cs="Times New Roman"/>
        </w:rPr>
        <w:instrText xml:space="preserve"> ADDIN ZOTERO_ITEM CSL_CITATION {"citationID":"H7qZxfBf","properties":{"formattedCitation":"(Eisaman et al. 2023)","plainCitation":"(Eisaman et al. 2023)","noteIndex":0},"citationItems":[{"id":24555,"uris":["http://zotero.org/users/12946250/items/AYH7QXCA"],"itemData":{"id":24555,"type":"article-journal","abstract":"Ocean alkalinity enhancement (OAE) is an emerging strategy that aims to mitigate climate change by increasing the alkalinity of seawater. This approach involves increasing the alkalinity of the ocean to enhance its capacity to absorb and store carbon dioxide (CO2) from the atmosphere. This chapter presents an overview of the technical aspects associated with the full range of OAE methods being pursued and discusses implications for undertaking research on these approaches. Various methods have been developed to implement OAE, including the direct injection of alkaline liquid into the surface ocean; dispersal of alkaline particles from ships, platforms, or pipes; the addition of minerals to coastal environments; and the electrochemical removal of acid from seawater. Each method has its advantages and challenges, such as scalability, cost effectiveness, and potential environmental impacts. The choice of technique may depend on factors such as regional oceanographic conditions, alkalinity source availability, and engineering feasibility. This chapter considers electrochemical methods, the accelerated weathering of limestone, ocean liming, the creation of hydrated carbonates, and the addition of minerals to coastal environments. In each case, the technical aspects of the technologies are considered, and implications for best-practice research are drawn. The environmental and social impacts of OAE will likely depend on the speciﬁc technology and the local context in which it is deployed. Therefore, it is essential that the technical feasibility of OAE is undertaken in parallel with, and informed by, wider impact assessments. While OAE shows promise as a potential climate change mitigation strategy, it is essential to acknowledge its limitations and uncertainties. Further research and development are needed to understand the long-term effects, optimize techniques, and address potential unintended consequences. OAE should be viewed as complementary to extensive emission reductions, and its feasibility may be improved if it is operated using energy and supply chains with minimal CO2 emissions.","container-title":"State of the Planet","DOI":"10.5194/sp-2-oae2023-3-2023","ISSN":"2752-0706","journalAbbreviation":"State Planet","language":"en","license":"https://creativecommons.org/licenses/by/4.0/","page":"3","source":"DOI.org (Crossref)","title":"Assessing the technical aspects of ocean-alkalinity-enhancement approaches","URL":"https://sp.copernicus.org/articles/2-oae2023/3/2023/","volume":"2-oae2023","author":[{"family":"Eisaman","given":"Matthew D."},{"family":"Geilert","given":"Sonja"},{"family":"Renforth","given":"Phil"},{"family":"Bastianini","given":"Laura"},{"family":"Campbell","given":"James"},{"family":"Dale","given":"Andrew W."},{"family":"Foteinis","given":"Spyros"},{"family":"Grasse","given":"Patricia"},{"family":"Hawrot","given":"Olivia"},{"family":"Löscher","given":"Carolin R."},{"family":"Rau","given":"Greg H."},{"family":"Rønning","given":"Jakob"}],"accessed":{"date-parts":[["2025",2,18]]},"issued":{"date-parts":[["2023",11,27]]}}}],"schema":"https://github.com/citation-style-language/schema/raw/master/csl-citation.json"} </w:instrText>
      </w:r>
      <w:r w:rsidRPr="4133990C">
        <w:rPr>
          <w:rFonts w:cs="Times New Roman"/>
        </w:rPr>
        <w:fldChar w:fldCharType="separate"/>
      </w:r>
      <w:r w:rsidRPr="4133990C">
        <w:rPr>
          <w:rFonts w:cs="Times New Roman"/>
        </w:rPr>
        <w:t>(Eisaman et al. 2023)</w:t>
      </w:r>
      <w:r w:rsidRPr="4133990C">
        <w:rPr>
          <w:rFonts w:cs="Times New Roman"/>
        </w:rPr>
        <w:fldChar w:fldCharType="end"/>
      </w:r>
      <w:r w:rsidRPr="4133990C">
        <w:rPr>
          <w:rFonts w:cs="Times New Roman"/>
        </w:rPr>
        <w:t xml:space="preserve">. As it dissolves, the material potentially releases other elements such as trace metals and essential nutrients and ions </w:t>
      </w:r>
      <w:r w:rsidRPr="4133990C">
        <w:rPr>
          <w:rFonts w:cs="Times New Roman"/>
          <w:color w:val="000000" w:themeColor="text1"/>
        </w:rPr>
        <w:fldChar w:fldCharType="begin"/>
      </w:r>
      <w:r>
        <w:rPr>
          <w:rFonts w:cs="Times New Roman"/>
          <w:color w:val="000000" w:themeColor="text1"/>
        </w:rPr>
        <w:instrText xml:space="preserve"> ADDIN ZOTERO_ITEM CSL_CITATION {"citationID":"cy6stM1k","properties":{"formattedCitation":"(Bach et al. 2019)","plainCitation":"(Bach et al. 2019)","noteIndex":0},"citationItems":[{"id":23879,"uris":["http://zotero.org/users/12946250/items/EZIWHWHA"],"itemData":{"id":23879,"type":"article-journal","abstract":"Humankind will need to remove hundreds of gigatons of carbon dioxide (CO2) from the atmosphere by the end of the twenty-ﬁrst century to keep global warming below 2◦C within the constraints of the global carbon budget. However, so far it is unclear if and how this could be achieved. A widely recognized idea is to accelerate weathering reactions of minerals that consume CO2 when they dissolve. Acceleration could be realized by pulverizing and distributing gigatons of these minerals onto land (termed “enhanced weathering (EW)”) or sea (termed “ocean alkalinity enhancement (OAE)”) thereby largely increasing their reactive surfaces. However, the desired consumption of atmospheric CO2 during dissolution would inevitably be accompanied by a release of mineral dissolution products (alkalinity, Si, Ca, Mg, Fe, Ni, and maybe others). Here, we approximate their maximum additions to assess potential consequences for pelagic communities (mainly primary producers) and the biogeochemical ﬂuxes they control. Based on this assessment, we tentatively qualify the potential to induce positive and/or negative side effects to be high for Fe, Ni, Si, intermediate for alkalinity, and low for Ca and Mg. However, perturbation potentials are always higher at perturbation hotspots and would be different for EW than for OAE. Furthermore, ecological/biogeochemical consequences of EW/OAE largely depend on the minerals used. We hypothesize that mainly calciﬁers would proﬁt in a scheme where CaCO3 derivatives would be used due to beneﬁcial changes in carbonate chemistry. Figuratively, this may turn the blue ocean into a white(r) ocean. When using silicates, the release of additional Si, Fe and Ni could beneﬁt siliciﬁers and N2-ﬁxers (cyanobacteria) and increase ocean productivity ultimately turning the blue ocean into a green(er) ocean. These considerations call for dedicated research to assess risks and co-beneﬁts of mineral dissolution products on marine and other environments. Indeed, both EW and OAE could become important tools to realize CO2 removal at the planetary scale but associated risks and/or co-beneﬁts should be revealed before deciding on their implementation.","container-title":"Frontiers in Climate","DOI":"10.3389/fclim.2019.00007","ISSN":"2624-9553","journalAbbreviation":"Front. Clim.","language":"en","page":"7","source":"DOI.org (Crossref)","title":"CO2 removal with enhanced weathering and ocean alkalinity enhancement: Potential risks and co-benefits for marine pelagic ecosystems","title-short":"CO2 Removal With Enhanced Weathering and Ocean Alkalinity Enhancement","URL":"https://www.frontiersin.org/article/10.3389/fclim.2019.00007/full","volume":"1","author":[{"family":"Bach","given":"Lennart T."},{"family":"Gill","given":"Sophie J."},{"family":"Rickaby","given":"Rosalind E. M."},{"family":"Gore","given":"Sarah"},{"family":"Renforth","given":"Phil"}],"accessed":{"date-parts":[["2025",1,27]]},"issued":{"date-parts":[["2019",10,11]]}}}],"schema":"https://github.com/citation-style-language/schema/raw/master/csl-citation.json"} </w:instrText>
      </w:r>
      <w:r w:rsidRPr="4133990C">
        <w:rPr>
          <w:rFonts w:cs="Times New Roman"/>
          <w:color w:val="000000" w:themeColor="text1"/>
        </w:rPr>
        <w:fldChar w:fldCharType="separate"/>
      </w:r>
      <w:r w:rsidRPr="4133990C">
        <w:rPr>
          <w:rFonts w:cs="Times New Roman"/>
        </w:rPr>
        <w:t>(Bach et al. 2019)</w:t>
      </w:r>
      <w:r w:rsidRPr="4133990C">
        <w:rPr>
          <w:rFonts w:cs="Times New Roman"/>
          <w:color w:val="000000" w:themeColor="text1"/>
        </w:rPr>
        <w:fldChar w:fldCharType="end"/>
      </w:r>
      <w:r w:rsidRPr="4133990C">
        <w:rPr>
          <w:rFonts w:cs="Times New Roman"/>
        </w:rPr>
        <w:t>.</w:t>
      </w:r>
    </w:p>
    <w:p w14:paraId="0248E871" w14:textId="66AFAF0A" w:rsidR="00D95AC3" w:rsidRDefault="00644228" w:rsidP="00E65DD3">
      <w:pPr>
        <w:spacing w:line="480" w:lineRule="auto"/>
        <w:rPr>
          <w:rFonts w:cs="Times New Roman"/>
        </w:rPr>
      </w:pPr>
      <w:r w:rsidRPr="000E2F22">
        <w:rPr>
          <w:rFonts w:cs="Times New Roman"/>
        </w:rPr>
        <w:t>A range of factors influence dissolution,</w:t>
      </w:r>
      <w:r>
        <w:rPr>
          <w:rFonts w:cs="Times New Roman"/>
        </w:rPr>
        <w:t xml:space="preserve"> such as t</w:t>
      </w:r>
      <w:r w:rsidRPr="00022A5D">
        <w:rPr>
          <w:rFonts w:cs="Times New Roman"/>
        </w:rPr>
        <w:t>he alkaline material</w:t>
      </w:r>
      <w:r>
        <w:rPr>
          <w:rFonts w:cs="Times New Roman"/>
        </w:rPr>
        <w:t xml:space="preserve"> type, grain size, and amount added</w:t>
      </w:r>
      <w:r w:rsidRPr="00022A5D">
        <w:rPr>
          <w:rFonts w:cs="Times New Roman"/>
        </w:rPr>
        <w:t xml:space="preserve">. For instance, pulverised carbonate minerals tend to dissolve faster than pulverised silicate minerals </w:t>
      </w:r>
      <w:r w:rsidRPr="00022A5D">
        <w:rPr>
          <w:rFonts w:cs="Times New Roman"/>
        </w:rPr>
        <w:fldChar w:fldCharType="begin"/>
      </w:r>
      <w:r>
        <w:rPr>
          <w:rFonts w:cs="Times New Roman"/>
        </w:rPr>
        <w:instrText xml:space="preserve"> ADDIN ZOTERO_ITEM CSL_CITATION {"citationID":"GySIXYaE","properties":{"formattedCitation":"(Eisaman et al. 2023)","plainCitation":"(Eisaman et al. 2023)","noteIndex":0},"citationItems":[{"id":24555,"uris":["http://zotero.org/users/12946250/items/AYH7QXCA"],"itemData":{"id":24555,"type":"article-journal","abstract":"Ocean alkalinity enhancement (OAE) is an emerging strategy that aims to mitigate climate change by increasing the alkalinity of seawater. This approach involves increasing the alkalinity of the ocean to enhance its capacity to absorb and store carbon dioxide (CO2) from the atmosphere. This chapter presents an overview of the technical aspects associated with the full range of OAE methods being pursued and discusses implications for undertaking research on these approaches. Various methods have been developed to implement OAE, including the direct injection of alkaline liquid into the surface ocean; dispersal of alkaline particles from ships, platforms, or pipes; the addition of minerals to coastal environments; and the electrochemical removal of acid from seawater. Each method has its advantages and challenges, such as scalability, cost effectiveness, and potential environmental impacts. The choice of technique may depend on factors such as regional oceanographic conditions, alkalinity source availability, and engineering feasibility. This chapter considers electrochemical methods, the accelerated weathering of limestone, ocean liming, the creation of hydrated carbonates, and the addition of minerals to coastal environments. In each case, the technical aspects of the technologies are considered, and implications for best-practice research are drawn. The environmental and social impacts of OAE will likely depend on the speciﬁc technology and the local context in which it is deployed. Therefore, it is essential that the technical feasibility of OAE is undertaken in parallel with, and informed by, wider impact assessments. While OAE shows promise as a potential climate change mitigation strategy, it is essential to acknowledge its limitations and uncertainties. Further research and development are needed to understand the long-term effects, optimize techniques, and address potential unintended consequences. OAE should be viewed as complementary to extensive emission reductions, and its feasibility may be improved if it is operated using energy and supply chains with minimal CO2 emissions.","container-title":"State of the Planet","DOI":"10.5194/sp-2-oae2023-3-2023","ISSN":"2752-0706","journalAbbreviation":"State Planet","language":"en","license":"https://creativecommons.org/licenses/by/4.0/","page":"3","source":"DOI.org (Crossref)","title":"Assessing the technical aspects of ocean-alkalinity-enhancement approaches","URL":"https://sp.copernicus.org/articles/2-oae2023/3/2023/","volume":"2-oae2023","author":[{"family":"Eisaman","given":"Matthew D."},{"family":"Geilert","given":"Sonja"},{"family":"Renforth","given":"Phil"},{"family":"Bastianini","given":"Laura"},{"family":"Campbell","given":"James"},{"family":"Dale","given":"Andrew W."},{"family":"Foteinis","given":"Spyros"},{"family":"Grasse","given":"Patricia"},{"family":"Hawrot","given":"Olivia"},{"family":"Löscher","given":"Carolin R."},{"family":"Rau","given":"Greg H."},{"family":"Rønning","given":"Jakob"}],"accessed":{"date-parts":[["2025",2,18]]},"issued":{"date-parts":[["2023",11,27]]}}}],"schema":"https://github.com/citation-style-language/schema/raw/master/csl-citation.json"} </w:instrText>
      </w:r>
      <w:r w:rsidRPr="00022A5D">
        <w:rPr>
          <w:rFonts w:cs="Times New Roman"/>
        </w:rPr>
        <w:fldChar w:fldCharType="separate"/>
      </w:r>
      <w:r w:rsidRPr="00022A5D">
        <w:rPr>
          <w:rFonts w:cs="Times New Roman"/>
        </w:rPr>
        <w:t>(Eisaman et al. 2023)</w:t>
      </w:r>
      <w:r w:rsidRPr="00022A5D">
        <w:rPr>
          <w:rFonts w:cs="Times New Roman"/>
        </w:rPr>
        <w:fldChar w:fldCharType="end"/>
      </w:r>
      <w:r>
        <w:rPr>
          <w:rFonts w:cs="Times New Roman"/>
        </w:rPr>
        <w:t>. S</w:t>
      </w:r>
      <w:r w:rsidRPr="00022A5D">
        <w:rPr>
          <w:rFonts w:cs="Times New Roman"/>
        </w:rPr>
        <w:t xml:space="preserve">maller grains </w:t>
      </w:r>
      <w:r>
        <w:rPr>
          <w:rFonts w:cs="Times New Roman"/>
        </w:rPr>
        <w:t>have</w:t>
      </w:r>
      <w:r w:rsidRPr="00022A5D">
        <w:rPr>
          <w:rFonts w:cs="Times New Roman"/>
        </w:rPr>
        <w:t xml:space="preserve"> a higher reactive surface area</w:t>
      </w:r>
      <w:r>
        <w:rPr>
          <w:rFonts w:cs="Times New Roman"/>
        </w:rPr>
        <w:t xml:space="preserve"> </w:t>
      </w:r>
      <w:r w:rsidRPr="00022A5D">
        <w:rPr>
          <w:rFonts w:cs="Times New Roman"/>
        </w:rPr>
        <w:t>allow</w:t>
      </w:r>
      <w:r>
        <w:rPr>
          <w:rFonts w:cs="Times New Roman"/>
        </w:rPr>
        <w:t>ing</w:t>
      </w:r>
      <w:r w:rsidRPr="00022A5D">
        <w:rPr>
          <w:rFonts w:cs="Times New Roman"/>
        </w:rPr>
        <w:t xml:space="preserve"> for faster dissolution </w:t>
      </w:r>
      <w:r w:rsidRPr="00022A5D">
        <w:rPr>
          <w:rFonts w:cs="Times New Roman"/>
        </w:rPr>
        <w:fldChar w:fldCharType="begin"/>
      </w:r>
      <w:r>
        <w:rPr>
          <w:rFonts w:cs="Times New Roman"/>
        </w:rPr>
        <w:instrText xml:space="preserve"> ADDIN ZOTERO_ITEM CSL_CITATION {"citationID":"Hc4S2wkJ","properties":{"formattedCitation":"(Foteinis et al. 2023)","plainCitation":"(Foteinis et al. 2023)","noteIndex":0},"citationItems":[{"id":176,"uris":["http://zotero.org/users/12946250/items/P3ACWGHC"],"itemData":{"id":176,"type":"article-journal","abstract":"Coastal enhanced weathering (CEW) is a carbon dioxide removal (CDR) approach whereby crushed silicate minerals are spread in coastal zones to be naturally weathered by waves and tidal currents, releasing alkalinity and removing atmospheric carbon dioxide (CO2). Olivine has been proposed as a candidate mineral due to its abundance and high CO2 uptake potential. A life cycle assessment (LCA) of silt-sized (10 μm) olivine revealed that CEW’s life-cycle carbon emissions and total environmental footprint, i.e., carbon and environmental penalty, amount to around 51 kg CO2eq and 3.2 Ecopoint (Pt) units per tonne of captured atmospheric CO2, respectively, and these will be recaptured within a few months. Smaller particle sizes dissolve and uptake atmospheric CO2 even faster; however, their high carbon and environmental footprints (e.g., 223 kg CO2eq and 10.6 Pt tCO2–1, respectively, for 1 μm olivine), engineering challenges in comminution and transportation, and possible environmental stresses (e.g., airborne and/or silt pollution) might restrict their applicability. Alternatively, larger particle sizes exhibit lower footprints (e.g., 14.2 kg CO2eq tCO2–1 and 1.6 Pt tCO2–1, respectively, for 1000 μm olivine) and could be incorporated in coastal zone management schemes, thus possibly crediting CEW with avoided emissions. However, they dissolve much slower, requiring 5 and 37 years before the 1000 μm olivine becomes carbon and environmental net negative, respectively. The differences between the carbon and environmental penalties highlight the need for using multi-issue life cycle impact assessment methods rather than focusing on carbon balances alone. When CEW’s full environmental profile was considered, it was identified that fossil fuel-dependent electricity for olivine comminution is the main environmental hotspot, followed by nickel releases, which may have a large impact on marine ecotoxicity. Results were also sensitive to transportation means and distance. Renewable energy and low-nickel olivine can minimize CEW’s carbon and environmental profile.","container-title":"Environmental Science &amp; Technology","DOI":"10.1021/acs.est.2c08633","ISSN":"0013-936X","issue":"15","journalAbbreviation":"Environ. Sci. Technol.","page":"6169-6178","publisher":"American Chemical Society","source":"ACS Publications","title":"Life cycle assessment of coastal enhanced weathering for carbon dioxide removal from air","URL":"https://doi.org/10.1021/acs.est.2c08633","volume":"57","author":[{"family":"Foteinis","given":"Spyros"},{"family":"Campbell","given":"James S"},{"family":"Renforth","given":"Phil"}],"accessed":{"date-parts":[["2023",11,13]]},"issued":{"date-parts":[["2023",4,18]]}}}],"schema":"https://github.com/citation-style-language/schema/raw/master/csl-citation.json"} </w:instrText>
      </w:r>
      <w:r w:rsidRPr="00022A5D">
        <w:rPr>
          <w:rFonts w:cs="Times New Roman"/>
        </w:rPr>
        <w:fldChar w:fldCharType="separate"/>
      </w:r>
      <w:r w:rsidRPr="00022A5D">
        <w:rPr>
          <w:rFonts w:cs="Times New Roman"/>
        </w:rPr>
        <w:t>(</w:t>
      </w:r>
      <w:proofErr w:type="spellStart"/>
      <w:r w:rsidRPr="00022A5D">
        <w:rPr>
          <w:rFonts w:cs="Times New Roman"/>
        </w:rPr>
        <w:t>Foteinis</w:t>
      </w:r>
      <w:proofErr w:type="spellEnd"/>
      <w:r w:rsidRPr="00022A5D">
        <w:rPr>
          <w:rFonts w:cs="Times New Roman"/>
        </w:rPr>
        <w:t xml:space="preserve"> et al. 2023)</w:t>
      </w:r>
      <w:r w:rsidRPr="00022A5D">
        <w:rPr>
          <w:rFonts w:cs="Times New Roman"/>
        </w:rPr>
        <w:fldChar w:fldCharType="end"/>
      </w:r>
      <w:r>
        <w:rPr>
          <w:rFonts w:cs="Times New Roman"/>
        </w:rPr>
        <w:t>. H</w:t>
      </w:r>
      <w:r w:rsidRPr="00022A5D">
        <w:rPr>
          <w:rFonts w:cs="Times New Roman"/>
        </w:rPr>
        <w:t xml:space="preserve">owever, below a certain size, a fast dissolution can lead to oversaturation with respect to carbonate and hydroxide minerals, preventing further dissolution and resulting in secondary precipitation </w:t>
      </w:r>
      <w:r w:rsidRPr="00022A5D">
        <w:rPr>
          <w:rFonts w:cs="Times New Roman"/>
        </w:rPr>
        <w:fldChar w:fldCharType="begin"/>
      </w:r>
      <w:r>
        <w:rPr>
          <w:rFonts w:cs="Times New Roman"/>
        </w:rPr>
        <w:instrText xml:space="preserve"> ADDIN ZOTERO_ITEM CSL_CITATION {"citationID":"vhQDVNC4","properties":{"formattedCitation":"(Fuhr et al. 2025)","plainCitation":"(Fuhr et al. 2025)","noteIndex":0},"citationItems":[{"id":24582,"uris":["http://zotero.org/users/12946250/items/E6CK4TMA"],"itemData":{"id":24582,"type":"article-journal","abstract":"Abstract\n            Recent studies have proposed calcite and dunite as possible alkaline materials for enhanced benthic weathering in shallow depocenters of the Baltic Sea as a marine carbon dioxide removal strategy. In this study, insights on calcite and dunite weathering from laboratory incubations and long-term benthocosm experiments are combined with a numerical box-model to assess the carbon dioxide uptake potential of mineral addition to organic-rich sediments in the southwest Baltic Sea. The results reveal that calcite has an up to 10-fold higher carbon dioxide uptake efficiency and is therefore the preferable material for enhanced benthic weathering as a marine carbon dioxide removal method, with costs per tonne of sequestered carbon dioxide ranging between 82 and 462 euro for calcite while reaching 558–1920 euro for dunite. These findings could be applicable to other areas in the Baltic Sea and also globally to sediments in the wider coastal shelf with similar geochemical properties.","container-title":"Communications Earth &amp; Environment","DOI":"10.1038/s43247-025-02079-6","ISSN":"2662-4435","issue":"1","journalAbbreviation":"Commun Earth Environ","language":"en","page":"106","source":"DOI.org (Crossref)","title":"Calcite is an efficient and low-cost material to enhance benthic weathering in shelf sediments of the Baltic Sea","URL":"https://www.nature.com/articles/s43247-025-02079-6","volume":"6","author":[{"family":"Fuhr","given":"Michael"},{"family":"Dale","given":"Andrew W."},{"family":"Wallmann","given":"Klaus"},{"family":"Bährle","given":"Rebecca"},{"family":"Kalapurakkal","given":"Habeeb Thanveer"},{"family":"Sommer","given":"Stefan"},{"family":"Spiegel","given":"Timo"},{"family":"Dobashi","given":"Ryo"},{"family":"Buchholz","given":"Björn"},{"family":"Schmidt","given":"Mark"},{"family":"Perner","given":"Mirjam"},{"family":"Geilert","given":"Sonja"}],"accessed":{"date-parts":[["2025",2,25]]},"issued":{"date-parts":[["2025",2,12]]}}}],"schema":"https://github.com/citation-style-language/schema/raw/master/csl-citation.json"} </w:instrText>
      </w:r>
      <w:r w:rsidRPr="00022A5D">
        <w:rPr>
          <w:rFonts w:cs="Times New Roman"/>
        </w:rPr>
        <w:fldChar w:fldCharType="separate"/>
      </w:r>
      <w:r w:rsidRPr="00022A5D">
        <w:rPr>
          <w:rFonts w:cs="Times New Roman"/>
        </w:rPr>
        <w:t>(Fuhr et al. 2025)</w:t>
      </w:r>
      <w:r w:rsidRPr="00022A5D">
        <w:rPr>
          <w:rFonts w:cs="Times New Roman"/>
        </w:rPr>
        <w:fldChar w:fldCharType="end"/>
      </w:r>
      <w:r w:rsidRPr="00022A5D">
        <w:rPr>
          <w:rFonts w:cs="Times New Roman"/>
        </w:rPr>
        <w:t>.</w:t>
      </w:r>
      <w:r>
        <w:rPr>
          <w:rFonts w:cs="Times New Roman"/>
        </w:rPr>
        <w:t xml:space="preserve"> If large quantities of the mineral are added, the solution reaches oversaturation more quickly, which reduces the overall dissolution efficiency</w:t>
      </w:r>
      <w:r w:rsidRPr="00022A5D">
        <w:rPr>
          <w:rFonts w:cs="Times New Roman"/>
        </w:rPr>
        <w:t xml:space="preserve"> </w:t>
      </w:r>
      <w:r w:rsidRPr="00022A5D">
        <w:rPr>
          <w:rFonts w:cs="Times New Roman"/>
        </w:rPr>
        <w:fldChar w:fldCharType="begin"/>
      </w:r>
      <w:r>
        <w:rPr>
          <w:rFonts w:cs="Times New Roman"/>
        </w:rPr>
        <w:instrText xml:space="preserve"> ADDIN ZOTERO_ITEM CSL_CITATION {"citationID":"1eN9oqmh","properties":{"formattedCitation":"(Hartmann et al. 2023)","plainCitation":"(Hartmann et al. 2023)","noteIndex":0},"citationItems":[{"id":26199,"uris":["http://zotero.org/users/12946250/items/GKNV7N2P"],"itemData":{"id":26199,"type":"article-journal","abstract":"Abstract. According to modelling studies, ocean alkalinity enhancement (OAE)is one of the proposed carbon dioxide removal (CDR) approaches with largepotential, with the beneficial side effect of counteracting oceanacidification. The real-world application of OAE, however, remains unclearas most basic assumptions are untested. Before large-scale deployment can beconsidered, safe and sustainable procedures for the addition of alkalinityto seawater must be identified and governance established. One of theconcerns is the stability of alkalinity when added to seawater. The surfaceocean is already supersaturated with respect to calcite and aragonite, andan increase in total alkalinity (TA) together with a corresponding shift incarbonate chemistry towards higher carbonate ion concentrations would resultin a further increase in supersaturation, and potentially to solid carbonateprecipitation. Precipitation of carbonate minerals consumes alkalinity andincreases dissolved CO2 in seawater, thereby reducing the efficiency ofOAE for CO2 removal. In order to address the application of alkalinesolution as well as fine particulate alkaline solids, a set of sixexperiments was performed using natural seawater with alkalinity of around2400 µmol kgsw−1. The application of CO2-equilibrated alkalinesolution bears the lowest risk of losing alkalinity due to carbonate phaseformation if added total alkalinity (ΔTA) is less than 2400 µmol kgsw−1. The addition of reactive alkaline solids can cause a net loss ofalkalinity if added ΔTA &gt; 600 µmol kgsw−1 (e.g. forMg(OH)2). Commercially available (ultrafine) Ca(OH)2 causes, ingeneral, a net loss in TA for the tested amounts of TA addition, which hasconsequences for suggested use of slurries with alkaline solids suppliedfrom ships. The rapid application of excessive amounts of Ca(OH)2,exceeding a threshold for alkalinity loss, resulted in a massive increase inTA (&gt; 20 000 µmol kgsw−1) at the cost of lower efficiency andresultant high pH values &gt; 9.5. Analysis of precipitatesindicates formation of aragonite. However, unstable carbonate phases formedcan partially redissolve, indicating that net loss of a fraction ofalkalinity may not be permanent, which has important implications for real-world OAE application. Our results indicate that using an alkaline solution instead of reactivealkaline particles can avoid carbonate formation, unless alkalinity additionvia solutions shifts the system beyond critical supersaturation levels. Toavoid the loss of alkalinity and dissolved inorganic carbon (DIC) fromseawater, the application of reactor techniques can be considered. Thesetechniques produce an equilibrated solution from alkaline solids andCO2 prior to application. Differing behaviours of tested materialssuggest that standardized engineered materials for OAE need to be developedto achieve safe and sustainable OAE with solids, if reactors technologiesshould be avoided.","container-title":"Biogeosciences","DOI":"10.5194/bg-20-781-2023","ISSN":"1726-4189","issue":"4","language":"en","license":"https://creativecommons.org/licenses/by/4.0/","page":"781-802","publisher":"Copernicus GmbH","source":"Crossref","title":"Stability of alkalinity in ocean alkalinity enhancement (OAE) approaches – consequences for durability of CO&lt;sub&gt;2&lt;/sub&gt; storage","URL":"https://bg.copernicus.org/articles/20/781/2023/","volume":"20","author":[{"family":"Hartmann","given":"Jens"},{"family":"Suitner","given":"Niels"},{"family":"Lim","given":"Carl"},{"family":"Schneider","given":"Julieta"},{"family":"Marín-Samper","given":"Laura"},{"family":"Arístegui","given":"Javier"},{"family":"Renforth","given":"Phil"},{"family":"Taucher","given":"Jan"},{"family":"Riebesell","given":"Ulf"}],"accessed":{"date-parts":[["2025",7,10]]},"issued":{"date-parts":[["2023"]]}}}],"schema":"https://github.com/citation-style-language/schema/raw/master/csl-citation.json"} </w:instrText>
      </w:r>
      <w:r w:rsidRPr="00022A5D">
        <w:rPr>
          <w:rFonts w:cs="Times New Roman"/>
        </w:rPr>
        <w:fldChar w:fldCharType="separate"/>
      </w:r>
      <w:r w:rsidRPr="00AB7914">
        <w:rPr>
          <w:rFonts w:cs="Times New Roman"/>
        </w:rPr>
        <w:t>(Hartmann et al. 2023)</w:t>
      </w:r>
      <w:r w:rsidRPr="00022A5D">
        <w:rPr>
          <w:rFonts w:cs="Times New Roman"/>
        </w:rPr>
        <w:fldChar w:fldCharType="end"/>
      </w:r>
      <w:r w:rsidRPr="00022A5D">
        <w:rPr>
          <w:rFonts w:cs="Times New Roman"/>
        </w:rPr>
        <w:t>. The saturation state is therefore a</w:t>
      </w:r>
      <w:r>
        <w:rPr>
          <w:rFonts w:cs="Times New Roman"/>
        </w:rPr>
        <w:t>nother</w:t>
      </w:r>
      <w:r w:rsidRPr="00022A5D">
        <w:rPr>
          <w:rFonts w:cs="Times New Roman"/>
        </w:rPr>
        <w:t xml:space="preserve"> key factor, </w:t>
      </w:r>
      <w:r>
        <w:rPr>
          <w:rFonts w:cs="Times New Roman"/>
        </w:rPr>
        <w:t>with</w:t>
      </w:r>
      <w:r w:rsidRPr="00022A5D">
        <w:rPr>
          <w:rFonts w:cs="Times New Roman"/>
        </w:rPr>
        <w:t xml:space="preserve"> dissolution favoured when seawater is undersaturated with respect to that particular mineral </w:t>
      </w:r>
      <w:r w:rsidRPr="00022A5D">
        <w:rPr>
          <w:rFonts w:cs="Times New Roman"/>
        </w:rPr>
        <w:fldChar w:fldCharType="begin"/>
      </w:r>
      <w:r>
        <w:rPr>
          <w:rFonts w:cs="Times New Roman"/>
          <w:szCs w:val="20"/>
        </w:rPr>
        <w:instrText xml:space="preserve"> ADDIN ZOTERO_ITEM CSL_CITATION {"citationID":"u6wm63en","properties":{"formattedCitation":"(Dale et al. 2024)","plainCitation":"(Dale et al. 2024)","noteIndex":0},"citationItems":[{"id":24709,"uris":["http://zotero.org/users/12946250/items/BRIHBZLS"],"itemData":{"id":24709,"type":"article-journal","abstract":"Abstract\n            \n              Carbon dioxide removal from the atmosphere and storage over long times scales in terrestrial and marine reservoirs is urgently needed to limit global warming and for sustainable management of the global carbon cycle. Ocean alkalinity enhancement by the artificial addition of carbonate minerals to the seafloor has been proposed as a method to sequester atmospheric CO\n              2\n              and store it in the ocean as dissolved bicarbonate. Here, a reaction-transport model is used to scrutinize the efficacy of calcite addition and dissolution at a well-studied site in the southwestern Baltic Sea – a brackish coastal water body in northern Europe. We find that most calcite is simply buried without dissolution under moderate addition rates. Applying the model to other sites in the Baltic Sea suggests that dissolution rates and efficiencies are higher in areas with low salinity and undersaturated bottom waters. A simple box model predicts a tentative net CO\n              2\n              uptake rate from the atmosphere of 3.2 megatonnes of carbon dioxide per year for the wider Baltic Sea after continually adding calcite to muddy sediments for 10 years. More robust estimates now require validation by field studies.","container-title":"Communications Earth &amp; Environment","DOI":"10.1038/s43247-024-01569-3","ISSN":"2662-4435","issue":"1","journalAbbreviation":"Commun Earth Environ","language":"en","page":"452","source":"DOI.org (Crossref)","title":"Seafloor alkalinity enhancement as a carbon dioxide removal strategy in the Baltic Sea","URL":"https://www.nature.com/articles/s43247-024-01569-3","volume":"5","author":[{"family":"Dale","given":"Andrew W."},{"family":"Geilert","given":"Sonja"},{"family":"Diercks","given":"Isabel"},{"family":"Fuhr","given":"Michael"},{"family":"Perner","given":"Mirjam"},{"family":"Scholz","given":"Florian"},{"family":"Wallmann","given":"Klaus"}],"accessed":{"date-parts":[["2025",2,28]]},"issued":{"date-parts":[["2024",8,21]]}}}],"schema":"https://github.com/citation-style-language/schema/raw/master/csl-citation.json"} </w:instrText>
      </w:r>
      <w:r w:rsidRPr="00022A5D">
        <w:rPr>
          <w:rFonts w:cs="Times New Roman"/>
        </w:rPr>
        <w:fldChar w:fldCharType="separate"/>
      </w:r>
      <w:r w:rsidRPr="00022A5D">
        <w:rPr>
          <w:rFonts w:cs="Times New Roman"/>
        </w:rPr>
        <w:t>(Dale et al. 2024)</w:t>
      </w:r>
      <w:r w:rsidRPr="00022A5D">
        <w:rPr>
          <w:rFonts w:cs="Times New Roman"/>
        </w:rPr>
        <w:fldChar w:fldCharType="end"/>
      </w:r>
      <w:r w:rsidRPr="00022A5D">
        <w:rPr>
          <w:rFonts w:cs="Times New Roman"/>
        </w:rPr>
        <w:t xml:space="preserve">. </w:t>
      </w:r>
      <w:r>
        <w:rPr>
          <w:rFonts w:cs="Times New Roman"/>
        </w:rPr>
        <w:t>A</w:t>
      </w:r>
      <w:r w:rsidRPr="00022A5D">
        <w:rPr>
          <w:rFonts w:cs="Times New Roman"/>
        </w:rPr>
        <w:t xml:space="preserve">fter </w:t>
      </w:r>
      <w:r>
        <w:rPr>
          <w:rFonts w:cs="Times New Roman"/>
        </w:rPr>
        <w:t>addition</w:t>
      </w:r>
      <w:r w:rsidRPr="00022A5D">
        <w:rPr>
          <w:rFonts w:cs="Times New Roman"/>
        </w:rPr>
        <w:t xml:space="preserve">, waves, currents, and tides support the dissolution </w:t>
      </w:r>
      <w:r w:rsidRPr="00022A5D">
        <w:rPr>
          <w:rFonts w:cs="Times New Roman"/>
        </w:rPr>
        <w:fldChar w:fldCharType="begin"/>
      </w:r>
      <w:r>
        <w:rPr>
          <w:rFonts w:cs="Times New Roman"/>
        </w:rPr>
        <w:instrText xml:space="preserve"> ADDIN ZOTERO_ITEM CSL_CITATION {"citationID":"2o8ZYUpK","properties":{"formattedCitation":"(Montserrat et al. 2017)","plainCitation":"(Montserrat et al. 2017)","noteIndex":0},"citationItems":[{"id":24893,"uris":["http://zotero.org/users/12946250/items/4C9PMFSM"],"itemData":{"id":24893,"type":"article-journal","abstract":"Enhanced weathering of (ultra)basic silicate rocks such as olivine-rich dunite has been proposed as a large-scale climate engineering approach. When implemented in coastal environments, olivine weathering is expected to increase seawater alkalinity, thus resulting in additional CO2 uptake from the atmosphere. However, the mechanisms of marine olivine weathering and its eﬀect on seawater− carbonate chemistry remain poorly understood. Here, we present results from batch reaction experiments, in which forsteritic olivine was subjected to rotational agitation in diﬀerent seawater media for periods of days to months. Olivine dissolution caused a signiﬁcant increase in alkalinity of the seawater with a consequent DIC increase due to CO2 invasion, thus conﬁrming viability of the basic concept of enhanced silicate weathering. However, our experiments also identiﬁed several important challenges with respect to the detailed quantiﬁcation of the CO2 sequestration eﬃciency under ﬁeld conditions, which include nonstoichiometric dissolution, potential pore water saturation in the seabed, and the potential occurrence of secondary reactions. Before enhanced weathering of olivine in coastal environments can be considered an option for realizing negative CO2 emissions for climate mitigation purposes, these aspects need further experimental assessment.","container-title":"Environmental Science &amp; Technology","DOI":"10.1021/acs.est.6b05942","ISSN":"0013-936X, 1520-5851","issue":"7","journalAbbreviation":"Environ. Sci. Technol.","language":"en","license":"http://pubs.acs.org/page/policy/authorchoice_ccby_termsofuse.html","page":"3960-3972","source":"DOI.org (Crossref)","title":"Olivine dissolution in seawater: Implications for CO&lt;sub&gt;2&lt;/sub&gt; sequestration through enhanced weathering in coastal environments","title-short":"Olivine Dissolution in Seawater","URL":"https://pubs.acs.org/doi/10.1021/acs.est.6b05942","volume":"51","author":[{"family":"Montserrat","given":"Francesc"},{"family":"Renforth","given":"Phil"},{"family":"Hartmann","given":"Jens"},{"family":"Leermakers","given":"Martine"},{"family":"Knops","given":"Pol"},{"family":"Meysman","given":"Filip J. R."}],"accessed":{"date-parts":[["2025",3,12]]},"issued":{"date-parts":[["2017",4,4]]}}}],"schema":"https://github.com/citation-style-language/schema/raw/master/csl-citation.json"} </w:instrText>
      </w:r>
      <w:r w:rsidRPr="00022A5D">
        <w:rPr>
          <w:rFonts w:cs="Times New Roman"/>
        </w:rPr>
        <w:fldChar w:fldCharType="separate"/>
      </w:r>
      <w:r w:rsidRPr="00022A5D">
        <w:rPr>
          <w:rFonts w:cs="Times New Roman"/>
        </w:rPr>
        <w:t>(Montserrat et al. 2017)</w:t>
      </w:r>
      <w:r w:rsidRPr="00022A5D">
        <w:rPr>
          <w:rFonts w:cs="Times New Roman"/>
        </w:rPr>
        <w:fldChar w:fldCharType="end"/>
      </w:r>
      <w:r w:rsidRPr="00022A5D">
        <w:rPr>
          <w:rFonts w:cs="Times New Roman"/>
        </w:rPr>
        <w:t>. Higher dissolution also occurs at high levels of partial pressure of CO</w:t>
      </w:r>
      <w:r w:rsidRPr="00022A5D">
        <w:rPr>
          <w:rFonts w:cs="Times New Roman"/>
          <w:vertAlign w:val="subscript"/>
        </w:rPr>
        <w:t>2</w:t>
      </w:r>
      <w:r w:rsidRPr="00022A5D">
        <w:rPr>
          <w:rFonts w:cs="Times New Roman"/>
        </w:rPr>
        <w:t xml:space="preserve"> (pCO</w:t>
      </w:r>
      <w:r w:rsidRPr="00022A5D">
        <w:rPr>
          <w:rFonts w:cs="Times New Roman"/>
          <w:vertAlign w:val="subscript"/>
        </w:rPr>
        <w:t>2</w:t>
      </w:r>
      <w:r w:rsidRPr="00022A5D">
        <w:rPr>
          <w:rFonts w:cs="Times New Roman"/>
        </w:rPr>
        <w:t xml:space="preserve">) </w:t>
      </w:r>
      <w:r w:rsidRPr="00022A5D">
        <w:rPr>
          <w:rFonts w:cs="Times New Roman"/>
        </w:rPr>
        <w:fldChar w:fldCharType="begin"/>
      </w:r>
      <w:r>
        <w:rPr>
          <w:rFonts w:cs="Times New Roman"/>
        </w:rPr>
        <w:instrText xml:space="preserve"> ADDIN ZOTERO_ITEM CSL_CITATION {"citationID":"jND7aOWm","properties":{"formattedCitation":"(Pickett and Andersson 2015)","plainCitation":"(Pickett and Andersson 2015)","noteIndex":0},"citationItems":[{"id":25034,"uris":["http://zotero.org/users/12946250/items/KKF62X76"],"itemData":{"id":25034,"type":"article-journal","abstract":"The bulk dissolution rates of six biogenic carbonates (goose barnacle, benthic foraminifera, bryozoan, sea urchin, and two types of coralline algae) and a sample of mixed sediment from the Bermuda carbonate platform were measured in natural seawater at pCO2 values ranging from approximately 3000 to 5500 latm. This range of pCO2 values encompassed values regularly observed in porewaters at a depth of a few cm in carbonate sediments at shallow water depths (\\15 m) on the Bermuda carbonate platform. The biogenic carbonates included calcites of varying Mg content (2–17 mol%) and a range of speciﬁc surface areas (0.01–2.7 m2 g-1) as determined by BET gas adsorption. Measured rates of dissolution increased with increasing pCO2 treatment for all substrates and ranged from 2.5 to 18 lmol g-1 h-1. The highest rates of dissolution were observed for the bryozoans and the lowest rates for the goose barnacles. The relative ranking in dissolution rates between different substrates was consistent at all pCO2 levels, indicating that substrates dissolve sequentially and that some substrates will be more vulnerable than others to rising CO2 and ocean acidiﬁcation. Furthermore, dissolution rates were found to increase with increasing Mg content, though the relative dissolution rates were observed to be a function of both Mg content and microstructure (surface area).","container-title":"Aquatic Geochemistry","DOI":"10.1007/s10498-015-9261-3","ISSN":"1380-6165, 1573-1421","issue":"6","journalAbbreviation":"Aquat. Geochem.","language":"en","page":"459-485","source":"DOI.org (Crossref)","title":"Dissolution rates of biogenic carbonates in natural seawater at different pCO&lt;sub&gt;2&lt;/sub&gt; conditions: A laboratory study","title-short":"Dissolution Rates of Biogenic Carbonates in Natural Seawater at Different pCO2 Conditions","URL":"http://link.springer.com/10.1007/s10498-015-9261-3","volume":"21","author":[{"family":"Pickett","given":"Mallory"},{"family":"Andersson","given":"Andreas J."}],"accessed":{"date-parts":[["2025",3,18]]},"issued":{"date-parts":[["2015",11]]}}}],"schema":"https://github.com/citation-style-language/schema/raw/master/csl-citation.json"} </w:instrText>
      </w:r>
      <w:r w:rsidRPr="00022A5D">
        <w:rPr>
          <w:rFonts w:cs="Times New Roman"/>
        </w:rPr>
        <w:fldChar w:fldCharType="separate"/>
      </w:r>
      <w:r w:rsidRPr="00022A5D">
        <w:rPr>
          <w:rFonts w:cs="Times New Roman"/>
        </w:rPr>
        <w:t>(Pickett and Andersson 2015)</w:t>
      </w:r>
      <w:r w:rsidRPr="00022A5D">
        <w:rPr>
          <w:rFonts w:cs="Times New Roman"/>
        </w:rPr>
        <w:fldChar w:fldCharType="end"/>
      </w:r>
      <w:r>
        <w:rPr>
          <w:rFonts w:cs="Times New Roman"/>
        </w:rPr>
        <w:t xml:space="preserve">, </w:t>
      </w:r>
      <w:r w:rsidRPr="00022A5D">
        <w:rPr>
          <w:rFonts w:cs="Times New Roman"/>
        </w:rPr>
        <w:t xml:space="preserve">low levels of pH </w:t>
      </w:r>
      <w:r w:rsidRPr="00022A5D">
        <w:rPr>
          <w:rFonts w:cs="Times New Roman"/>
        </w:rPr>
        <w:fldChar w:fldCharType="begin"/>
      </w:r>
      <w:r>
        <w:rPr>
          <w:rFonts w:cs="Times New Roman"/>
        </w:rPr>
        <w:instrText xml:space="preserve"> ADDIN ZOTERO_ITEM CSL_CITATION {"citationID":"pvXbFpjU","properties":{"formattedCitation":"(Oelkers et al. 2018)","plainCitation":"(Oelkers et al. 2018)","noteIndex":0},"citationItems":[{"id":25016,"uris":["http://zotero.org/users/12946250/items/F3VATDP8"],"itemData":{"id":25016,"type":"article-journal","abstract":"The dissolution rates of olivine have been considered by a plethora of studies in part due to its potential to aid in carbon storage and the ease in obtaining pure samples for laboratory experiments. Due to the relative simplicity of its dissolution mechanism, most of these studies provide mutually consistent results such that a comparison of their rates can provide insight into the reactivity of silicate minerals as a whole. Olivine dissolution is controlled by the breaking of octahedral M2+-oxygen bonds at or near the surface, liberating adjoining SiO44− tetrahedra to the aqueous fluid. Aqueous species that adsorb to these bonds apparently accelerate their destruction. For example, the absorption of H+, H2O and, at some conditions, selected aqueous organic species will increase olivine dissolution rates. Nevertheless, other factors can slow olivine dissolution rates. Notably, olivine dissolution rates are slowed by lowering the surface area exposed to the reactive aqueous fluid, by for example the presence and/or growth on these surfaces of either microbes or secondary phases. The degree to which secondary phases decelerate rates depends on their ability to limit access of the reactive aqueous fluids to the olivine surface. It seems likely that these surface area limiting processes are very significant in natural systems, lowering olivine surface reactivity in many environments compared to rates measured on cleaned surfaces in the laboratory.","container-title":"Chemical Geology","DOI":"10.1016/j.chemgeo.2018.10.008","ISSN":"00092541","journalAbbreviation":"Chem. Geol.","language":"en","page":"1-19","source":"DOI.org (Crossref)","title":"Olivine dissolution rates: A critical review","title-short":"Olivine dissolution rates","URL":"https://linkinghub.elsevier.com/retrieve/pii/S0009254118305035","volume":"500","author":[{"family":"Oelkers","given":"Eric H."},{"family":"Declercq","given":"Julien"},{"family":"Saldi","given":"Giuseppe D."},{"family":"Gislason","given":"Sigurdur R."},{"family":"Schott","given":"Jacques"}],"accessed":{"date-parts":[["2025",3,14]]},"issued":{"date-parts":[["2018",11]]}}}],"schema":"https://github.com/citation-style-language/schema/raw/master/csl-citation.json"} </w:instrText>
      </w:r>
      <w:r w:rsidRPr="00022A5D">
        <w:rPr>
          <w:rFonts w:cs="Times New Roman"/>
        </w:rPr>
        <w:fldChar w:fldCharType="separate"/>
      </w:r>
      <w:r w:rsidRPr="00022A5D">
        <w:rPr>
          <w:rFonts w:cs="Times New Roman"/>
        </w:rPr>
        <w:t>(Oelkers et al. 2018)</w:t>
      </w:r>
      <w:r w:rsidRPr="00022A5D">
        <w:rPr>
          <w:rFonts w:cs="Times New Roman"/>
        </w:rPr>
        <w:fldChar w:fldCharType="end"/>
      </w:r>
      <w:r>
        <w:rPr>
          <w:rFonts w:cs="Times New Roman"/>
        </w:rPr>
        <w:t xml:space="preserve">, and </w:t>
      </w:r>
      <w:r w:rsidRPr="00022A5D">
        <w:rPr>
          <w:rFonts w:cs="Times New Roman"/>
        </w:rPr>
        <w:t xml:space="preserve">under high temperatures </w:t>
      </w:r>
      <w:r w:rsidRPr="000E2F22">
        <w:rPr>
          <w:rFonts w:cs="Times New Roman"/>
        </w:rPr>
        <w:fldChar w:fldCharType="begin"/>
      </w:r>
      <w:r>
        <w:rPr>
          <w:rFonts w:cs="Times New Roman"/>
        </w:rPr>
        <w:instrText xml:space="preserve"> ADDIN ZOTERO_ITEM CSL_CITATION {"citationID":"DMpkwzii","properties":{"formattedCitation":"(Rimstidt et al. 2012)","plainCitation":"(Rimstidt et al. 2012)","noteIndex":0},"citationItems":[{"id":26282,"uris":["http://zotero.org/users/12946250/items/TWU9EB3D"],"itemData":{"id":26282,"type":"article-journal","abstract":"This paper demonstrates a method for systematic analysis of published mineral dissolution rate data using forsterite dissolution as an example. The steps of the method are: (1) identify the data sources, (2) select the data, (3) tabulate the data, (4) analyze the data to produce a model, and (5) report the results. This method allows for a combination of critical selection of data, based on expert knowledge of theoretical expectations and experimental pitfalls, and meta-analysis of the data using statistical methods.","container-title":"Geochimica et Cosmochimica Acta","DOI":"10.1016/j.gca.2012.09.019","ISSN":"00167037","journalAbbreviation":"Geochim. Cosmochim. Acta","language":"en","license":"https://www.elsevier.com/tdm/userlicense/1.0/","page":"159-178","source":"DOI.org (Crossref)","title":"Systematic review of forsterite dissolution rate data","URL":"https://linkinghub.elsevier.com/retrieve/pii/S001670371200525X","volume":"99","author":[{"family":"Rimstidt","given":"J. Donald"},{"family":"Brantley","given":"Susan L."},{"family":"Olsen","given":"Amanda A."}],"accessed":{"date-parts":[["2025",8,5]]},"issued":{"date-parts":[["2012",12]]}}}],"schema":"https://github.com/citation-style-language/schema/raw/master/csl-citation.json"} </w:instrText>
      </w:r>
      <w:r w:rsidRPr="000E2F22">
        <w:rPr>
          <w:rFonts w:cs="Times New Roman"/>
        </w:rPr>
        <w:fldChar w:fldCharType="separate"/>
      </w:r>
      <w:r w:rsidRPr="000E2F22">
        <w:rPr>
          <w:rFonts w:cs="Times New Roman"/>
        </w:rPr>
        <w:t>(</w:t>
      </w:r>
      <w:proofErr w:type="spellStart"/>
      <w:r w:rsidRPr="000E2F22">
        <w:rPr>
          <w:rFonts w:cs="Times New Roman"/>
        </w:rPr>
        <w:t>Rimstidt</w:t>
      </w:r>
      <w:proofErr w:type="spellEnd"/>
      <w:r w:rsidRPr="000E2F22">
        <w:rPr>
          <w:rFonts w:cs="Times New Roman"/>
        </w:rPr>
        <w:t xml:space="preserve"> et al. 2012)</w:t>
      </w:r>
      <w:r w:rsidRPr="000E2F22">
        <w:rPr>
          <w:rFonts w:cs="Times New Roman"/>
        </w:rPr>
        <w:fldChar w:fldCharType="end"/>
      </w:r>
      <w:r w:rsidRPr="000E2F22">
        <w:rPr>
          <w:rFonts w:cs="Times New Roman"/>
        </w:rPr>
        <w:t xml:space="preserve">. </w:t>
      </w:r>
    </w:p>
    <w:p w14:paraId="4A2EEAFC" w14:textId="6ADF1DD9" w:rsidR="00160460" w:rsidRPr="00E65DD3" w:rsidRDefault="00644228" w:rsidP="004C3F1E">
      <w:pPr>
        <w:spacing w:line="480" w:lineRule="auto"/>
        <w:rPr>
          <w:rFonts w:cs="Times New Roman"/>
        </w:rPr>
      </w:pPr>
      <w:r w:rsidRPr="000E2F22">
        <w:rPr>
          <w:rFonts w:cs="Times New Roman"/>
        </w:rPr>
        <w:lastRenderedPageBreak/>
        <w:t xml:space="preserve">Lastly, we identified additional factors affecting dissolution for </w:t>
      </w:r>
      <w:r>
        <w:rPr>
          <w:rFonts w:cs="Times New Roman"/>
        </w:rPr>
        <w:t>enhanced benthic weathering (</w:t>
      </w:r>
      <w:r w:rsidRPr="000E2F22">
        <w:rPr>
          <w:rFonts w:cs="Times New Roman"/>
        </w:rPr>
        <w:t>EBW</w:t>
      </w:r>
      <w:r>
        <w:rPr>
          <w:rFonts w:cs="Times New Roman"/>
        </w:rPr>
        <w:t>)</w:t>
      </w:r>
      <w:r w:rsidRPr="000E2F22">
        <w:rPr>
          <w:rFonts w:cs="Times New Roman"/>
        </w:rPr>
        <w:t xml:space="preserve"> approaches specifically</w:t>
      </w:r>
      <w:r w:rsidR="004C3F1E">
        <w:rPr>
          <w:rFonts w:cs="Times New Roman"/>
        </w:rPr>
        <w:t xml:space="preserve">. </w:t>
      </w:r>
      <w:r w:rsidR="005B2E89">
        <w:rPr>
          <w:rFonts w:cs="Times New Roman"/>
        </w:rPr>
        <w:t>T</w:t>
      </w:r>
      <w:r w:rsidR="005B2E89" w:rsidRPr="00022A5D">
        <w:rPr>
          <w:rFonts w:cs="Times New Roman"/>
        </w:rPr>
        <w:t>he</w:t>
      </w:r>
      <w:r w:rsidR="005B2E89">
        <w:rPr>
          <w:rFonts w:cs="Times New Roman"/>
        </w:rPr>
        <w:t xml:space="preserve"> so-called</w:t>
      </w:r>
      <w:r w:rsidR="005B2E89" w:rsidRPr="00022A5D">
        <w:rPr>
          <w:rFonts w:cs="Times New Roman"/>
        </w:rPr>
        <w:t xml:space="preserve"> benthic weathering engine (BWE), a range of processes conducted by micro-organisms and invertebrate marine species that favour calcite dissolution in sediments</w:t>
      </w:r>
      <w:r w:rsidR="005B2E89">
        <w:rPr>
          <w:rFonts w:cs="Times New Roman"/>
        </w:rPr>
        <w:t>, especially in Baltic anoxic sediments</w:t>
      </w:r>
      <w:r w:rsidR="005B2E89" w:rsidRPr="00022A5D">
        <w:rPr>
          <w:rFonts w:cs="Times New Roman"/>
        </w:rPr>
        <w:t xml:space="preserve"> </w:t>
      </w:r>
      <w:r w:rsidR="005B2E89" w:rsidRPr="00022A5D">
        <w:rPr>
          <w:rFonts w:cs="Times New Roman"/>
        </w:rPr>
        <w:fldChar w:fldCharType="begin"/>
      </w:r>
      <w:r w:rsidR="005D445C">
        <w:rPr>
          <w:rFonts w:cs="Times New Roman"/>
        </w:rPr>
        <w:instrText xml:space="preserve"> ADDIN ZOTERO_ITEM CSL_CITATION {"citationID":"V6Uwe4YF","properties":{"formattedCitation":"(Meysman and Montserrat 2017; Fuhr et al. 2025; Ansch\\uc0\\u252{}tz et al. 2025)","plainCitation":"(Meysman and Montserrat 2017; Fuhr et al. 2025; Anschütz et al. 2025)","noteIndex":0},"citationItems":[{"id":24784,"uris":["http://zotero.org/users/12946250/items/7PCB8VYH"],"itemData":{"id":24784,"type":"article-journal","abstract":"To achieve carbon neutrality, ocean alkalinity enhancement (OAE) is currently being researched as a marine option for carbon dioxide removal (CDR). The approach of releasing calcite near the sediments and using the effect of enhanced mineral solubility in the pore water for more efficient dissolution may be promising in the Baltic Sea. The Baltic Sea is considered a potential application site for this method, as, in contrast to other seas, it is partly undersaturated in calcite even at shallow depths. However, the possible implications of this method, specifically if applied in coastal settings, are still poorly understood. Therefore, using a coupled hydrodynamic and biogeochemical ocean model of the Baltic Sea, we simulated the release of calcite near the sediment as a possible strategy for OAE. Simulations were run with and without enhanced solubility in the pore water for two release locations, one in shallow coastal water and one in a deep basin. While enhanced solubility by oxic mineralisation did not make a difference for the deep basin, it substantially changed the achievable calcite dissolution rates at the coastal site and therefore the potential CO\n              2\n              removal. Here, our simulations provide a lower and an upper limit of the effectiveness of calcite dissolution. The release locations differed considerably in magnitude and timescales of CO\n              2\n              uptake. As the saturation level of calcite appears to be the main limiting factor of the method, the CO\n              2\n              removal potential of a release location cannot be upscaled infinitely by adding more calcite. Our results demonstrate a potential for OAE using calcite in the Baltic Sea. We used the model results on average and maximum changes in alkalinity and pH to reflect on potential environmental impacts based on a review of the existing literature. However, safe and responsible deployment of this CDR method in the Baltic Sea requires further research on localized dissolution rates, the alkalinity budget of the Baltic Sea and the environmental implications of OAE using calcite.","container-title":"Frontiers in Climate","DOI":"10.3389/fclim.2025.1450468","ISSN":"2624-9553","journalAbbreviation":"Front. Clim.","language":"en","page":"1450468","source":"DOI.org (Crossref)","title":"Direct effects of ocean alkalinity enhancement in the Baltic Sea–results from in-silico experiments","URL":"https://www.frontiersin.org/articles/10.3389/fclim.2025.1450468/full","volume":"7","author":[{"family":"Anschütz","given":"Anna-Adriana"},{"family":"Lencina-Avila","given":"Jannine M."},{"family":"Rehder","given":"Gregor"},{"family":"Cahill","given":"Bronwyn"},{"family":"Neumann","given":"Thomas"},{"family":"Radtke","given":"Hagen"}],"accessed":{"date-parts":[["2025",3,11]]},"issued":{"date-parts":[["2025",3,10]]}}},{"id":24582,"uris":["http://zotero.org/users/12946250/items/E6CK4TMA"],"itemData":{"id":24582,"type":"article-journal","abstract":"Abstract\n            Recent studies have proposed calcite and dunite as possible alkaline materials for enhanced benthic weathering in shallow depocenters of the Baltic Sea as a marine carbon dioxide removal strategy. In this study, insights on calcite and dunite weathering from laboratory incubations and long-term benthocosm experiments are combined with a numerical box-model to assess the carbon dioxide uptake potential of mineral addition to organic-rich sediments in the southwest Baltic Sea. The results reveal that calcite has an up to 10-fold higher carbon dioxide uptake efficiency and is therefore the preferable material for enhanced benthic weathering as a marine carbon dioxide removal method, with costs per tonne of sequestered carbon dioxide ranging between 82 and 462 euro for calcite while reaching 558–1920 euro for dunite. These findings could be applicable to other areas in the Baltic Sea and also globally to sediments in the wider coastal shelf with similar geochemical properties.","container-title":"Communications Earth &amp; Environment","DOI":"10.1038/s43247-025-02079-6","ISSN":"2662-4435","issue":"1","journalAbbreviation":"Commun Earth Environ","language":"en","page":"106","source":"DOI.org (Crossref)","title":"Calcite is an efficient and low-cost material to enhance benthic weathering in shelf sediments of the Baltic Sea","URL":"https://www.nature.com/articles/s43247-025-02079-6","volume":"6","author":[{"family":"Fuhr","given":"Michael"},{"family":"Dale","given":"Andrew W."},{"family":"Wallmann","given":"Klaus"},{"family":"Bährle","given":"Rebecca"},{"family":"Kalapurakkal","given":"Habeeb Thanveer"},{"family":"Sommer","given":"Stefan"},{"family":"Spiegel","given":"Timo"},{"family":"Dobashi","given":"Ryo"},{"family":"Buchholz","given":"Björn"},{"family":"Schmidt","given":"Mark"},{"family":"Perner","given":"Mirjam"},{"family":"Geilert","given":"Sonja"}],"accessed":{"date-parts":[["2025",2,25]]},"issued":{"date-parts":[["2025",2,12]]}}},{"id":24921,"uris":["http://zotero.org/users/12946250/items/VUH7ENP5"],"itemData":{"id":24921,"type":"article-journal","abstract":"Negative emission technologies (NETs) target the removal of carbon dioxide (CO\n              2\n              ) from the atmosphere, and are being actively investigated as a strategy to limit global warming to within the 1.5–2°C targets of the 2015 UN climate agreement. Enhanced silicate weathering (ESW) proposes to exploit the natural process of mineral weathering for the removal of CO\n              2\n              from the atmosphere. Here, we discuss the potential of applying ESW in coastal environments as a climate change mitigation option. By deliberately introducing fast-weathering silicate minerals onto coastal sediments, alkalinity is released into the overlying waters, thus creating a coastal CO\n              2\n              sink. Compared with other NETs, coastal ESW has the advantage that it counteracts ocean acidification, does not interfere with terrestrial land use and can be directly integrated into existing coastal management programmes with existing (dredging) technology. Yet presently, the concept is still at an early stage, and so two major research challenges relate to the efficiency and environmental impact of ESW. Dedicated experiments are needed (i) to more precisely determine the weathering rate under\n              in situ\n              conditions within the seabed and (ii) to evaluate the ecosystem impacts—both positive and negative—from the released weathering products.","container-title":"Biology Letters","DOI":"10.1098/rsbl.2016.0905","ISSN":"1744-9561, 1744-957X","issue":"4","journalAbbreviation":"Biol. Lett.","language":"en","page":"20160905","source":"DOI.org (Crossref)","title":"Negative CO&lt;sub&gt;2&lt;/sub&gt; emissions via enhanced silicate weathering in coastal environments","URL":"https://royalsocietypublishing.org/doi/10.1098/rsbl.2016.0905","volume":"13","author":[{"family":"Meysman","given":"Filip J. R."},{"family":"Montserrat","given":"Francesc"}],"accessed":{"date-parts":[["2025",3,12]]},"issued":{"date-parts":[["2017",4]]}}}],"schema":"https://github.com/citation-style-language/schema/raw/master/csl-citation.json"} </w:instrText>
      </w:r>
      <w:r w:rsidR="005B2E89" w:rsidRPr="00022A5D">
        <w:rPr>
          <w:rFonts w:cs="Times New Roman"/>
        </w:rPr>
        <w:fldChar w:fldCharType="separate"/>
      </w:r>
      <w:r w:rsidR="005B2E89" w:rsidRPr="00022A5D">
        <w:rPr>
          <w:rFonts w:cs="Times New Roman"/>
          <w:kern w:val="0"/>
        </w:rPr>
        <w:t>(</w:t>
      </w:r>
      <w:proofErr w:type="spellStart"/>
      <w:r w:rsidR="005B2E89" w:rsidRPr="00022A5D">
        <w:rPr>
          <w:rFonts w:cs="Times New Roman"/>
          <w:kern w:val="0"/>
        </w:rPr>
        <w:t>Meysman</w:t>
      </w:r>
      <w:proofErr w:type="spellEnd"/>
      <w:r w:rsidR="005B2E89" w:rsidRPr="00022A5D">
        <w:rPr>
          <w:rFonts w:cs="Times New Roman"/>
          <w:kern w:val="0"/>
        </w:rPr>
        <w:t xml:space="preserve"> and Montserrat 2017; Fuhr et al. 2025; Anschütz et al. 2025)</w:t>
      </w:r>
      <w:r w:rsidR="005B2E89" w:rsidRPr="00022A5D">
        <w:rPr>
          <w:rFonts w:cs="Times New Roman"/>
        </w:rPr>
        <w:fldChar w:fldCharType="end"/>
      </w:r>
      <w:r w:rsidR="005B2E89" w:rsidRPr="00022A5D">
        <w:rPr>
          <w:rFonts w:cs="Times New Roman"/>
        </w:rPr>
        <w:t>. For instance, sediment-feeding organisms ingest and break down deposited alkaline material before releasing again, which favours dissolution. Bioturbation (i.e., the movement of sediments by organisms) enhances the penetration of alkaline material into sediments, where water is typically less supersaturated than overlying bottom waters. This can promote more effective dissolution of the alkaline material. Given that bioturbation depends on oxygen and bottom-water oxygen concentration fluctuates seasonally, both oxygen availability and seasonality</w:t>
      </w:r>
      <w:r w:rsidR="005B2E89" w:rsidRPr="00022A5D">
        <w:rPr>
          <w:rFonts w:cs="Times New Roman"/>
          <w:b/>
        </w:rPr>
        <w:t xml:space="preserve"> </w:t>
      </w:r>
      <w:r w:rsidR="005B2E89" w:rsidRPr="00022A5D">
        <w:rPr>
          <w:rFonts w:cs="Times New Roman"/>
        </w:rPr>
        <w:t xml:space="preserve">are critical factors for dissolution in EBW approaches </w:t>
      </w:r>
      <w:r w:rsidR="005B2E89" w:rsidRPr="00022A5D">
        <w:rPr>
          <w:rFonts w:cs="Times New Roman"/>
        </w:rPr>
        <w:fldChar w:fldCharType="begin"/>
      </w:r>
      <w:r w:rsidR="005D445C">
        <w:rPr>
          <w:rFonts w:cs="Times New Roman"/>
          <w:szCs w:val="20"/>
        </w:rPr>
        <w:instrText xml:space="preserve"> ADDIN ZOTERO_ITEM CSL_CITATION {"citationID":"MekQrEkO","properties":{"formattedCitation":"(Dale et al. 2024)","plainCitation":"(Dale et al. 2024)","noteIndex":0},"citationItems":[{"id":24709,"uris":["http://zotero.org/users/12946250/items/BRIHBZLS"],"itemData":{"id":24709,"type":"article-journal","abstract":"Abstract\n            \n              Carbon dioxide removal from the atmosphere and storage over long times scales in terrestrial and marine reservoirs is urgently needed to limit global warming and for sustainable management of the global carbon cycle. Ocean alkalinity enhancement by the artificial addition of carbonate minerals to the seafloor has been proposed as a method to sequester atmospheric CO\n              2\n              and store it in the ocean as dissolved bicarbonate. Here, a reaction-transport model is used to scrutinize the efficacy of calcite addition and dissolution at a well-studied site in the southwestern Baltic Sea – a brackish coastal water body in northern Europe. We find that most calcite is simply buried without dissolution under moderate addition rates. Applying the model to other sites in the Baltic Sea suggests that dissolution rates and efficiencies are higher in areas with low salinity and undersaturated bottom waters. A simple box model predicts a tentative net CO\n              2\n              uptake rate from the atmosphere of 3.2 megatonnes of carbon dioxide per year for the wider Baltic Sea after continually adding calcite to muddy sediments for 10 years. More robust estimates now require validation by field studies.","container-title":"Communications Earth &amp; Environment","DOI":"10.1038/s43247-024-01569-3","ISSN":"2662-4435","issue":"1","journalAbbreviation":"Commun Earth Environ","language":"en","page":"452","source":"DOI.org (Crossref)","title":"Seafloor alkalinity enhancement as a carbon dioxide removal strategy in the Baltic Sea","URL":"https://www.nature.com/articles/s43247-024-01569-3","volume":"5","author":[{"family":"Dale","given":"Andrew W."},{"family":"Geilert","given":"Sonja"},{"family":"Diercks","given":"Isabel"},{"family":"Fuhr","given":"Michael"},{"family":"Perner","given":"Mirjam"},{"family":"Scholz","given":"Florian"},{"family":"Wallmann","given":"Klaus"}],"accessed":{"date-parts":[["2025",2,28]]},"issued":{"date-parts":[["2024",8,21]]}}}],"schema":"https://github.com/citation-style-language/schema/raw/master/csl-citation.json"} </w:instrText>
      </w:r>
      <w:r w:rsidR="005B2E89" w:rsidRPr="00022A5D">
        <w:rPr>
          <w:rFonts w:cs="Times New Roman"/>
        </w:rPr>
        <w:fldChar w:fldCharType="separate"/>
      </w:r>
      <w:r w:rsidR="005B2E89" w:rsidRPr="00022A5D">
        <w:rPr>
          <w:rFonts w:cs="Times New Roman"/>
        </w:rPr>
        <w:t>(Dale et al. 2024)</w:t>
      </w:r>
      <w:r w:rsidR="005B2E89" w:rsidRPr="00022A5D">
        <w:rPr>
          <w:rFonts w:cs="Times New Roman"/>
        </w:rPr>
        <w:fldChar w:fldCharType="end"/>
      </w:r>
      <w:r w:rsidR="005B2E89" w:rsidRPr="00022A5D">
        <w:rPr>
          <w:rFonts w:cs="Times New Roman"/>
        </w:rPr>
        <w:t>. The role of oxygen levels in other OAE approaches has had less attention. Other potential factors include salinity, which</w:t>
      </w:r>
      <w:r w:rsidR="005B2E89" w:rsidRPr="00022A5D">
        <w:rPr>
          <w:rFonts w:cs="Times New Roman"/>
          <w:b/>
        </w:rPr>
        <w:t xml:space="preserve"> </w:t>
      </w:r>
      <w:r w:rsidR="005B2E89" w:rsidRPr="00022A5D">
        <w:rPr>
          <w:rFonts w:cs="Times New Roman"/>
        </w:rPr>
        <w:t xml:space="preserve">may favour dissolution for some minerals (e.g., carbonates and olivine) but not all </w:t>
      </w:r>
      <w:r w:rsidR="005B2E89" w:rsidRPr="00022A5D">
        <w:rPr>
          <w:rFonts w:cs="Times New Roman"/>
        </w:rPr>
        <w:fldChar w:fldCharType="begin"/>
      </w:r>
      <w:r w:rsidR="002D6163">
        <w:rPr>
          <w:rFonts w:cs="Times New Roman"/>
        </w:rPr>
        <w:instrText xml:space="preserve"> ADDIN ZOTERO_ITEM CSL_CITATION {"citationID":"xcJ9gwps","properties":{"formattedCitation":"(Moras et al. 2024; Dale et al. 2024; Geerts et al. 2025)","plainCitation":"(Moras et al. 2024; Dale et al. 2024; Geerts et al. 2025)","noteIndex":0},"citationItems":[{"id":25001,"uris":["http://zotero.org/users/12946250/items/ZAPDCDIU"],"itemData":{"id":25001,"type":"article-journal","abstract":"Understanding the impacts that mineral grain size and seawater salinity have on magnesium hydroxide (Mg(OH)2) dissolution and secondary calcium carbonate (CaCO3) precipitation is critical for the success of ocean alkalinity enhancement. We tested Mg(OH)2 dissolution kinetics in seawater using three Mg(OH)2 grain sizes (&lt; 63, 63–180 and &gt; 180 µm) at three salinities (</w:instrText>
      </w:r>
      <w:r w:rsidR="002D6163">
        <w:rPr>
          <w:rFonts w:ascii="Cambria Math" w:hAnsi="Cambria Math" w:cs="Cambria Math"/>
        </w:rPr>
        <w:instrText>∼</w:instrText>
      </w:r>
      <w:r w:rsidR="002D6163">
        <w:rPr>
          <w:rFonts w:cs="Times New Roman"/>
        </w:rPr>
        <w:instrText xml:space="preserve"> 36, </w:instrText>
      </w:r>
      <w:r w:rsidR="002D6163">
        <w:rPr>
          <w:rFonts w:ascii="Cambria Math" w:hAnsi="Cambria Math" w:cs="Cambria Math"/>
        </w:rPr>
        <w:instrText>∼</w:instrText>
      </w:r>
      <w:r w:rsidR="002D6163">
        <w:rPr>
          <w:rFonts w:cs="Times New Roman"/>
        </w:rPr>
        <w:instrText xml:space="preserve"> 28 and </w:instrText>
      </w:r>
      <w:r w:rsidR="002D6163">
        <w:rPr>
          <w:rFonts w:ascii="Cambria Math" w:hAnsi="Cambria Math" w:cs="Cambria Math"/>
        </w:rPr>
        <w:instrText>∼</w:instrText>
      </w:r>
      <w:r w:rsidR="002D6163">
        <w:rPr>
          <w:rFonts w:cs="Times New Roman"/>
        </w:rPr>
        <w:instrText xml:space="preserve"> 20). While Mg(OH)2 dissolution occurred more quickly the smaller the grain size, salinity did not signiﬁcantly impact measured rates. Our results also demonstrate that grain size can impact secondary CaCO3 precipitation, suggesting that an optimum grain size exists for ocean alkalinity enhancement (OAE) using solid Mg(OH)2. Of the three grain sizes tested, the medium grain size (63–180 µm) was optimal in terms of delaying secondary CaCO3 precipitation. We hypothesise that in the lowest-grain-size experiments, the higher surface area provided numerous CaCO3 precipitation nuclei, while the slower dissolution of bigger grain sizes maintained a higher alkalinity and pH at the surface of particles, increasing CaCO3 precipitation rates and making them observable much more quickly than for the intermediate grain size. Salinity also played a role in CaCO3 precipitation, where the decrease in magnesium (Mg) allowed secondary precipitation to occur more quickly, similar in effect size to another known inhibitor, i.e. dissolved organic carbon (DOC). In summary, our results suggest that OAE efﬁciency as inﬂuenced by CaCO3 precipitation depends not only on seawater composition but also on the physical properties of the alkaline feedstock used.","container-title":"Biogeosciences","DOI":"10.5194/bg-21-3463-2024","ISSN":"1726-4189","issue":"14","journalAbbreviation":"Biogeosciences","language":"en","license":"https://creativecommons.org/licenses/by/4.0/","page":"3463-3475","source":"DOI.org (Crossref)","title":"Effects of grain size and seawater salinity on magnesium hydroxide dissolution and secondary calcium carbonate precipitation kinetics: implications for ocean alkalinity enhancement","title-short":"Effects of grain size and seawater salinity on magnesium hydroxide dissolution and secondary calcium carbonate precipitation kinetics","URL":"https://bg.copernicus.org/articles/21/3463/2024/","volume":"21","author":[{"family":"Moras","given":"Charly A."},{"family":"Cyronak","given":"Tyler"},{"family":"Bach","given":"Lennart T."},{"family":"Joannes-Boyau","given":"Renaud"},{"family":"Schulz","given":"Kai G."}],"accessed":{"date-parts":[["2025",3,14]]},"issued":{"date-parts":[["2024",7,30]]}}},{"id":24709,"uris":["http://zotero.org/users/12946250/items/BRIHBZLS"],"itemData":{"id":24709,"type":"article-journal","abstract":"Abstract\n            \n              Carbon dioxide removal from the atmosphere and storage over long times scales in terrestrial and marine reservoirs is urgently needed to limit global warming and for sustainable management of the global carbon cycle. Ocean alkalinity enhancement by the artificial addition of carbonate minerals to the seafloor has been proposed as a method to sequester atmospheric CO\n              2\n              and store it in the ocean as dissolved bicarbonate. Here, a reaction-transport model is used to scrutinize the efficacy of calcite addition and dissolution at a well-studied site in the southwestern Baltic Sea – a brackish coastal water body in northern Europe. We find that most calcite is simply buried without dissolution under moderate addition rates. Applying the model to other sites in the Baltic Sea suggests that dissolution rates and efficiencies are higher in areas with low salinity and undersaturated bottom waters. A simple box model predicts a tentative net CO\n              2\n              uptake rate from the atmosphere of 3.2 megatonnes of carbon dioxide per year for the wider Baltic Sea after continually adding calcite to muddy sediments for 10 years. More robust estimates now require validation by field studies.","container-title":"Communications Earth &amp; Environment","DOI":"10.1038/s43247-024-01569-3","ISSN":"2662-4435","issue":"1","journalAbbreviation":"Commun Earth Environ","language":"en","page":"452","source":"DOI.org (Crossref)","title":"Seafloor alkalinity enhancement as a carbon dioxide removal strategy in the Baltic Sea","URL":"https://www.nature.com/articles/s43247-024-01569-3","volume":"5","author":[{"family":"Dale","given":"Andrew W."},{"family":"Geilert","given":"Sonja"},{"family":"Diercks","given":"Isabel"},{"family":"Fuhr","given":"Michael"},{"family":"Perner","given":"Mirjam"},{"family":"Scholz","given":"Florian"},{"family":"Wallmann","given":"Klaus"}],"accessed":{"date-parts":[["2025",2,28]]},"issued":{"date-parts":[["2024",8,21]]}}},{"id":26286,"uris":["http://zotero.org/users/12946250/items/S9VF56XJ"],"itemData":{"id":26286,"type":"article-journal","abstract":"Abstract. Marine enhanced rock weathering (mERW) is increasingly receiving attention as a marine-based carbon dioxide removal (CDR) technology. The method aims to achieve ocean alkalinity enhancement (OAE) by introducing fast-weathering rocks into coastal systems. The latter is envisioned to act as a large natural biogeochemical reactor, where ambient physical and biological processes can stimulate rock dissolution, thus generating a concomitant alkalinity release and increasing the seawater's capacity to sequester CO2. Olivine has been put forward as the prime candidate mineral for mERW, but at present, no peer-reviewed results are available from larger-scale field studies in coastal areas, so the information about olivine dissolution in marine systems is largely derived from laboratory experiments. As a result, key uncertainties remain concerning the efficiency, CO2 sequestration potential, and impact of olivine-based mERW under relevant field conditions. In this review, we summarize recent research advancements to bridge the gap between existing laboratory results and the real-world environment in which mERW is intended to take place. To this end, we identify the key parameters that govern the dissolution kinetics of olivine in coastal sediments and the associated CO2 sequestration potential, which enable us to identify a number of uncertainties that still remain with respect to the implementation and upscaling of olivine-based ERW, as well as monitoring, reporting, and verification (MRV). From our analysis, we conclude that the current knowledge base is not sufficient to predict the outcome of in situ mERW applications. Particularly, the impact of pore-water saturation on the olivine dissolution rate and the question of the additionality of alkalinity generation remain critical unknowns. To more confidently assess the potential and impact of olivine-based mERW, dedicated pilot studies under field conditions are needed, which should be conducted at a sufficiently large spatial scale and monitored for a long enough time with sufficient temporal resolution. Additionally, our analysis indicates that the specific sediment type of the application site (e.g., cohesive versus permeable) will be a critical factor for olivine-based mERW applications, as it will significantly impact the dissolution rate by influencing the ambient pore-water pH, saturation dynamics, and natural alkalinity generation. Therefore, future field studies should also target different coastal sediment types.","container-title":"Biogeosciences","DOI":"10.5194/bg-22-355-2025","ISSN":"1726-4189","issue":"2","journalAbbreviation":"Biogeosciences","language":"en","license":"https://creativecommons.org/licenses/by/4.0/","page":"355-384","source":"DOI.org (Crossref)","title":"Review and syntheses: Ocean alkalinity enhancement and carbon dioxide removal through marine enhanced rock weathering using olivine","title-short":"Review and syntheses","URL":"https://bg.copernicus.org/articles/22/355/2025/","volume":"22","author":[{"family":"Geerts","given":"Luna J. J."},{"family":"Hylén","given":"Astrid"},{"family":"Meysman","given":"Filip J. R."}],"accessed":{"date-parts":[["2025",8,5]]},"issued":{"date-parts":[["2025",1,21]]}}}],"schema":"https://github.com/citation-style-language/schema/raw/master/csl-citation.json"} </w:instrText>
      </w:r>
      <w:r w:rsidR="005B2E89" w:rsidRPr="00022A5D">
        <w:rPr>
          <w:rFonts w:cs="Times New Roman"/>
        </w:rPr>
        <w:fldChar w:fldCharType="separate"/>
      </w:r>
      <w:r w:rsidR="002D6163" w:rsidRPr="002D6163">
        <w:rPr>
          <w:rFonts w:cs="Times New Roman"/>
        </w:rPr>
        <w:t>(Moras et al. 2024; Dale et al. 2024; Geerts et al. 2025)</w:t>
      </w:r>
      <w:r w:rsidR="005B2E89" w:rsidRPr="00022A5D">
        <w:rPr>
          <w:rFonts w:cs="Times New Roman"/>
        </w:rPr>
        <w:fldChar w:fldCharType="end"/>
      </w:r>
      <w:r w:rsidR="005B2E89" w:rsidRPr="00022A5D">
        <w:rPr>
          <w:rFonts w:cs="Times New Roman"/>
        </w:rPr>
        <w:t xml:space="preserve"> Additionally, electrogenic sulphide oxidation by cable bacteria can lower calcite saturation in sediments, enhancing the dissolution of acid-sensitive minerals in</w:t>
      </w:r>
      <w:r w:rsidR="005B2E89">
        <w:rPr>
          <w:rFonts w:cs="Times New Roman"/>
        </w:rPr>
        <w:t xml:space="preserve"> </w:t>
      </w:r>
      <w:r w:rsidR="004B0B57">
        <w:rPr>
          <w:rFonts w:cs="Times New Roman"/>
        </w:rPr>
        <w:t>CEW</w:t>
      </w:r>
      <w:r w:rsidR="005B2E89" w:rsidRPr="00022A5D">
        <w:rPr>
          <w:rFonts w:cs="Times New Roman"/>
        </w:rPr>
        <w:t xml:space="preserve"> and EBW approaches </w:t>
      </w:r>
      <w:r w:rsidR="005B2E89" w:rsidRPr="00022A5D">
        <w:rPr>
          <w:rFonts w:cs="Times New Roman"/>
        </w:rPr>
        <w:fldChar w:fldCharType="begin"/>
      </w:r>
      <w:r w:rsidR="005D445C">
        <w:rPr>
          <w:rFonts w:cs="Times New Roman"/>
        </w:rPr>
        <w:instrText xml:space="preserve"> ADDIN ZOTERO_ITEM CSL_CITATION {"citationID":"u915swpn","properties":{"formattedCitation":"(Dale et al. 2024; Fuhr et al. 2025)","plainCitation":"(Dale et al. 2024; Fuhr et al. 2025)","noteIndex":0},"citationItems":[{"id":24709,"uris":["http://zotero.org/users/12946250/items/BRIHBZLS"],"itemData":{"id":24709,"type":"article-journal","abstract":"Abstract\n            \n              Carbon dioxide removal from the atmosphere and storage over long times scales in terrestrial and marine reservoirs is urgently needed to limit global warming and for sustainable management of the global carbon cycle. Ocean alkalinity enhancement by the artificial addition of carbonate minerals to the seafloor has been proposed as a method to sequester atmospheric CO\n              2\n              and store it in the ocean as dissolved bicarbonate. Here, a reaction-transport model is used to scrutinize the efficacy of calcite addition and dissolution at a well-studied site in the southwestern Baltic Sea – a brackish coastal water body in northern Europe. We find that most calcite is simply buried without dissolution under moderate addition rates. Applying the model to other sites in the Baltic Sea suggests that dissolution rates and efficiencies are higher in areas with low salinity and undersaturated bottom waters. A simple box model predicts a tentative net CO\n              2\n              uptake rate from the atmosphere of 3.2 megatonnes of carbon dioxide per year for the wider Baltic Sea after continually adding calcite to muddy sediments for 10 years. More robust estimates now require validation by field studies.","container-title":"Communications Earth &amp; Environment","DOI":"10.1038/s43247-024-01569-3","ISSN":"2662-4435","issue":"1","journalAbbreviation":"Commun Earth Environ","language":"en","page":"452","source":"DOI.org (Crossref)","title":"Seafloor alkalinity enhancement as a carbon dioxide removal strategy in the Baltic Sea","URL":"https://www.nature.com/articles/s43247-024-01569-3","volume":"5","author":[{"family":"Dale","given":"Andrew W."},{"family":"Geilert","given":"Sonja"},{"family":"Diercks","given":"Isabel"},{"family":"Fuhr","given":"Michael"},{"family":"Perner","given":"Mirjam"},{"family":"Scholz","given":"Florian"},{"family":"Wallmann","given":"Klaus"}],"accessed":{"date-parts":[["2025",2,28]]},"issued":{"date-parts":[["2024",8,21]]}}},{"id":24582,"uris":["http://zotero.org/users/12946250/items/E6CK4TMA"],"itemData":{"id":24582,"type":"article-journal","abstract":"Abstract\n            Recent studies have proposed calcite and dunite as possible alkaline materials for enhanced benthic weathering in shallow depocenters of the Baltic Sea as a marine carbon dioxide removal strategy. In this study, insights on calcite and dunite weathering from laboratory incubations and long-term benthocosm experiments are combined with a numerical box-model to assess the carbon dioxide uptake potential of mineral addition to organic-rich sediments in the southwest Baltic Sea. The results reveal that calcite has an up to 10-fold higher carbon dioxide uptake efficiency and is therefore the preferable material for enhanced benthic weathering as a marine carbon dioxide removal method, with costs per tonne of sequestered carbon dioxide ranging between 82 and 462 euro for calcite while reaching 558–1920 euro for dunite. These findings could be applicable to other areas in the Baltic Sea and also globally to sediments in the wider coastal shelf with similar geochemical properties.","container-title":"Communications Earth &amp; Environment","DOI":"10.1038/s43247-025-02079-6","ISSN":"2662-4435","issue":"1","journalAbbreviation":"Commun Earth Environ","language":"en","page":"106","source":"DOI.org (Crossref)","title":"Calcite is an efficient and low-cost material to enhance benthic weathering in shelf sediments of the Baltic Sea","URL":"https://www.nature.com/articles/s43247-025-02079-6","volume":"6","author":[{"family":"Fuhr","given":"Michael"},{"family":"Dale","given":"Andrew W."},{"family":"Wallmann","given":"Klaus"},{"family":"Bährle","given":"Rebecca"},{"family":"Kalapurakkal","given":"Habeeb Thanveer"},{"family":"Sommer","given":"Stefan"},{"family":"Spiegel","given":"Timo"},{"family":"Dobashi","given":"Ryo"},{"family":"Buchholz","given":"Björn"},{"family":"Schmidt","given":"Mark"},{"family":"Perner","given":"Mirjam"},{"family":"Geilert","given":"Sonja"}],"accessed":{"date-parts":[["2025",2,25]]},"issued":{"date-parts":[["2025",2,12]]}}}],"schema":"https://github.com/citation-style-language/schema/raw/master/csl-citation.json"} </w:instrText>
      </w:r>
      <w:r w:rsidR="005B2E89" w:rsidRPr="00022A5D">
        <w:rPr>
          <w:rFonts w:cs="Times New Roman"/>
        </w:rPr>
        <w:fldChar w:fldCharType="separate"/>
      </w:r>
      <w:r w:rsidR="005B2E89" w:rsidRPr="00022A5D">
        <w:rPr>
          <w:rFonts w:cs="Times New Roman"/>
        </w:rPr>
        <w:t>(Dale et al. 2024; Fuhr et al. 2025)</w:t>
      </w:r>
      <w:r w:rsidR="005B2E89" w:rsidRPr="00022A5D">
        <w:rPr>
          <w:rFonts w:cs="Times New Roman"/>
        </w:rPr>
        <w:fldChar w:fldCharType="end"/>
      </w:r>
      <w:r w:rsidR="005B2E89" w:rsidRPr="00022A5D">
        <w:rPr>
          <w:rFonts w:cs="Times New Roman"/>
        </w:rPr>
        <w:t xml:space="preserve">. However, more research is needed to understand these mechanisms </w:t>
      </w:r>
      <w:r w:rsidR="005B2E89" w:rsidRPr="00022A5D">
        <w:rPr>
          <w:rFonts w:cs="Times New Roman"/>
        </w:rPr>
        <w:fldChar w:fldCharType="begin"/>
      </w:r>
      <w:r w:rsidR="005D445C">
        <w:rPr>
          <w:rFonts w:cs="Times New Roman"/>
        </w:rPr>
        <w:instrText xml:space="preserve"> ADDIN ZOTERO_ITEM CSL_CITATION {"citationID":"OfgwynGG","properties":{"formattedCitation":"(Meysman and Montserrat 2017; Dale et al. 2024)","plainCitation":"(Meysman and Montserrat 2017; Dale et al. 2024)","noteIndex":0},"citationItems":[{"id":24709,"uris":["http://zotero.org/users/12946250/items/BRIHBZLS"],"itemData":{"id":24709,"type":"article-journal","abstract":"Abstract\n            \n              Carbon dioxide removal from the atmosphere and storage over long times scales in terrestrial and marine reservoirs is urgently needed to limit global warming and for sustainable management of the global carbon cycle. Ocean alkalinity enhancement by the artificial addition of carbonate minerals to the seafloor has been proposed as a method to sequester atmospheric CO\n              2\n              and store it in the ocean as dissolved bicarbonate. Here, a reaction-transport model is used to scrutinize the efficacy of calcite addition and dissolution at a well-studied site in the southwestern Baltic Sea – a brackish coastal water body in northern Europe. We find that most calcite is simply buried without dissolution under moderate addition rates. Applying the model to other sites in the Baltic Sea suggests that dissolution rates and efficiencies are higher in areas with low salinity and undersaturated bottom waters. A simple box model predicts a tentative net CO\n              2\n              uptake rate from the atmosphere of 3.2 megatonnes of carbon dioxide per year for the wider Baltic Sea after continually adding calcite to muddy sediments for 10 years. More robust estimates now require validation by field studies.","container-title":"Communications Earth &amp; Environment","DOI":"10.1038/s43247-024-01569-3","ISSN":"2662-4435","issue":"1","journalAbbreviation":"Commun Earth Environ","language":"en","page":"452","source":"DOI.org (Crossref)","title":"Seafloor alkalinity enhancement as a carbon dioxide removal strategy in the Baltic Sea","URL":"https://www.nature.com/articles/s43247-024-01569-3","volume":"5","author":[{"family":"Dale","given":"Andrew W."},{"family":"Geilert","given":"Sonja"},{"family":"Diercks","given":"Isabel"},{"family":"Fuhr","given":"Michael"},{"family":"Perner","given":"Mirjam"},{"family":"Scholz","given":"Florian"},{"family":"Wallmann","given":"Klaus"}],"accessed":{"date-parts":[["2025",2,28]]},"issued":{"date-parts":[["2024",8,21]]}}},{"id":24921,"uris":["http://zotero.org/users/12946250/items/VUH7ENP5"],"itemData":{"id":24921,"type":"article-journal","abstract":"Negative emission technologies (NETs) target the removal of carbon dioxide (CO\n              2\n              ) from the atmosphere, and are being actively investigated as a strategy to limit global warming to within the 1.5–2°C targets of the 2015 UN climate agreement. Enhanced silicate weathering (ESW) proposes to exploit the natural process of mineral weathering for the removal of CO\n              2\n              from the atmosphere. Here, we discuss the potential of applying ESW in coastal environments as a climate change mitigation option. By deliberately introducing fast-weathering silicate minerals onto coastal sediments, alkalinity is released into the overlying waters, thus creating a coastal CO\n              2\n              sink. Compared with other NETs, coastal ESW has the advantage that it counteracts ocean acidification, does not interfere with terrestrial land use and can be directly integrated into existing coastal management programmes with existing (dredging) technology. Yet presently, the concept is still at an early stage, and so two major research challenges relate to the efficiency and environmental impact of ESW. Dedicated experiments are needed (i) to more precisely determine the weathering rate under\n              in situ\n              conditions within the seabed and (ii) to evaluate the ecosystem impacts—both positive and negative—from the released weathering products.","container-title":"Biology Letters","DOI":"10.1098/rsbl.2016.0905","ISSN":"1744-9561, 1744-957X","issue":"4","journalAbbreviation":"Biol. Lett.","language":"en","page":"20160905","source":"DOI.org (Crossref)","title":"Negative CO&lt;sub&gt;2&lt;/sub&gt; emissions via enhanced silicate weathering in coastal environments","URL":"https://royalsocietypublishing.org/doi/10.1098/rsbl.2016.0905","volume":"13","author":[{"family":"Meysman","given":"Filip J. R."},{"family":"Montserrat","given":"Francesc"}],"accessed":{"date-parts":[["2025",3,12]]},"issued":{"date-parts":[["2017",4]]}}}],"schema":"https://github.com/citation-style-language/schema/raw/master/csl-citation.json"} </w:instrText>
      </w:r>
      <w:r w:rsidR="005B2E89" w:rsidRPr="00022A5D">
        <w:rPr>
          <w:rFonts w:cs="Times New Roman"/>
        </w:rPr>
        <w:fldChar w:fldCharType="separate"/>
      </w:r>
      <w:r w:rsidR="005B2E89" w:rsidRPr="00022A5D">
        <w:rPr>
          <w:rFonts w:cs="Times New Roman"/>
        </w:rPr>
        <w:t>(</w:t>
      </w:r>
      <w:proofErr w:type="spellStart"/>
      <w:r w:rsidR="005B2E89" w:rsidRPr="00022A5D">
        <w:rPr>
          <w:rFonts w:cs="Times New Roman"/>
        </w:rPr>
        <w:t>Meysman</w:t>
      </w:r>
      <w:proofErr w:type="spellEnd"/>
      <w:r w:rsidR="005B2E89" w:rsidRPr="00022A5D">
        <w:rPr>
          <w:rFonts w:cs="Times New Roman"/>
        </w:rPr>
        <w:t xml:space="preserve"> and Montserrat 2017; Dale et al. 2024)</w:t>
      </w:r>
      <w:r w:rsidR="005B2E89" w:rsidRPr="00022A5D">
        <w:rPr>
          <w:rFonts w:cs="Times New Roman"/>
        </w:rPr>
        <w:fldChar w:fldCharType="end"/>
      </w:r>
      <w:r w:rsidR="1228016A">
        <w:t>.</w:t>
      </w:r>
    </w:p>
    <w:p w14:paraId="04BC710A" w14:textId="651D2B90" w:rsidR="001A673E" w:rsidRPr="007F0537" w:rsidRDefault="00412621" w:rsidP="00412621">
      <w:pPr>
        <w:pStyle w:val="Heading1"/>
        <w:numPr>
          <w:ilvl w:val="0"/>
          <w:numId w:val="0"/>
        </w:numPr>
        <w:ind w:left="360" w:hanging="360"/>
      </w:pPr>
      <w:r>
        <w:lastRenderedPageBreak/>
        <w:t xml:space="preserve">D. </w:t>
      </w:r>
      <w:r w:rsidR="00A3566E">
        <w:t xml:space="preserve">Marine impact pathways of </w:t>
      </w:r>
      <w:r w:rsidR="004B0B57">
        <w:t>ocean alkalinity enhancement</w:t>
      </w:r>
      <w:r w:rsidR="00A3566E">
        <w:t>, per impact categories</w:t>
      </w:r>
    </w:p>
    <w:p w14:paraId="15451BDE" w14:textId="0409FF89" w:rsidR="00804DE6" w:rsidRPr="00473DA1" w:rsidRDefault="00FC1420" w:rsidP="00473DA1">
      <w:pPr>
        <w:spacing w:before="100" w:beforeAutospacing="1" w:after="100" w:afterAutospacing="1" w:line="240" w:lineRule="auto"/>
        <w:jc w:val="left"/>
        <w:rPr>
          <w:rFonts w:eastAsia="Times New Roman" w:cs="Times New Roman"/>
          <w:kern w:val="0"/>
          <w:sz w:val="24"/>
          <w:szCs w:val="24"/>
          <w:lang w:val="en-US"/>
          <w14:ligatures w14:val="none"/>
        </w:rPr>
      </w:pPr>
      <w:r w:rsidRPr="00FC1420">
        <w:rPr>
          <w:noProof/>
          <w:lang w:val="en-US"/>
        </w:rPr>
        <w:drawing>
          <wp:inline distT="0" distB="0" distL="0" distR="0" wp14:anchorId="09524AC8" wp14:editId="350B94BA">
            <wp:extent cx="5943600" cy="3173095"/>
            <wp:effectExtent l="0" t="0" r="0" b="8255"/>
            <wp:docPr id="522022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22122" name=""/>
                    <pic:cNvPicPr/>
                  </pic:nvPicPr>
                  <pic:blipFill>
                    <a:blip r:embed="rId12"/>
                    <a:stretch>
                      <a:fillRect/>
                    </a:stretch>
                  </pic:blipFill>
                  <pic:spPr>
                    <a:xfrm>
                      <a:off x="0" y="0"/>
                      <a:ext cx="5943600" cy="3173095"/>
                    </a:xfrm>
                    <a:prstGeom prst="rect">
                      <a:avLst/>
                    </a:prstGeom>
                  </pic:spPr>
                </pic:pic>
              </a:graphicData>
            </a:graphic>
          </wp:inline>
        </w:drawing>
      </w:r>
      <w:r w:rsidRPr="00FC1420">
        <w:rPr>
          <w:noProof/>
          <w:lang w:val="en-US"/>
        </w:rPr>
        <w:t xml:space="preserve"> </w:t>
      </w:r>
    </w:p>
    <w:p w14:paraId="174ACAB9" w14:textId="481956F7" w:rsidR="00804DE6" w:rsidRDefault="00804DE6" w:rsidP="00A3566E">
      <w:pPr>
        <w:pStyle w:val="Caption"/>
        <w:jc w:val="center"/>
      </w:pPr>
      <w:r>
        <w:rPr>
          <w:lang w:val="en-US"/>
        </w:rPr>
        <w:t xml:space="preserve">Marine impact pathways </w:t>
      </w:r>
      <w:r w:rsidR="00A46143">
        <w:rPr>
          <w:lang w:val="en-US"/>
        </w:rPr>
        <w:t xml:space="preserve">of ocean alkalinity enhancement (OAE) </w:t>
      </w:r>
      <w:r>
        <w:rPr>
          <w:lang w:val="en-US"/>
        </w:rPr>
        <w:t xml:space="preserve">for marine ecotoxicity, marine eutrophication, and ocean acidification. </w:t>
      </w:r>
      <w:r>
        <w:t>Solid arrows and outlines indicate established linkages and processes, while dotted arrows and outlines represent uncertain or currently under-researched connections and processes based on the present state of knowledge.</w:t>
      </w:r>
    </w:p>
    <w:p w14:paraId="19131C36" w14:textId="2E71D6BA" w:rsidR="00FB30CB" w:rsidRPr="00FB30CB" w:rsidRDefault="00412621" w:rsidP="00412621">
      <w:pPr>
        <w:pStyle w:val="Heading1"/>
        <w:numPr>
          <w:ilvl w:val="0"/>
          <w:numId w:val="0"/>
        </w:numPr>
        <w:ind w:left="360" w:hanging="360"/>
      </w:pPr>
      <w:r>
        <w:t xml:space="preserve">E. </w:t>
      </w:r>
      <w:r w:rsidR="00FB30CB">
        <w:t>Detailed overview of marine impact categories</w:t>
      </w:r>
      <w:r w:rsidR="00FB30CB" w:rsidRPr="007F0537">
        <w:t xml:space="preserve"> in</w:t>
      </w:r>
      <w:r w:rsidR="00FB30CB">
        <w:t xml:space="preserve"> </w:t>
      </w:r>
      <w:r w:rsidR="00CB7E06">
        <w:t>life cycle impact assessment</w:t>
      </w:r>
      <w:r w:rsidR="00FB30CB" w:rsidRPr="007F0537">
        <w:t xml:space="preserve"> models</w:t>
      </w:r>
    </w:p>
    <w:p w14:paraId="551C98B2" w14:textId="4872CDA2" w:rsidR="00F854A6" w:rsidRPr="008909AD" w:rsidRDefault="00412621" w:rsidP="00412621">
      <w:pPr>
        <w:pStyle w:val="Heading2"/>
        <w:rPr>
          <w:u w:val="single"/>
        </w:rPr>
      </w:pPr>
      <w:r w:rsidRPr="008909AD">
        <w:rPr>
          <w:u w:val="single"/>
        </w:rPr>
        <w:t xml:space="preserve">I. </w:t>
      </w:r>
      <w:r w:rsidR="00F854A6" w:rsidRPr="008909AD">
        <w:rPr>
          <w:u w:val="single"/>
        </w:rPr>
        <w:t>Marine ecotoxicity</w:t>
      </w:r>
    </w:p>
    <w:p w14:paraId="68E07752" w14:textId="731D504A" w:rsidR="006917B9" w:rsidRDefault="0008147F" w:rsidP="00E230F8">
      <w:pPr>
        <w:spacing w:line="480" w:lineRule="auto"/>
      </w:pPr>
      <w:r>
        <w:t>Marine ecotoxicity</w:t>
      </w:r>
      <w:r w:rsidR="00D20998">
        <w:t xml:space="preserve"> can be found in two</w:t>
      </w:r>
      <w:r w:rsidR="00CB7E06">
        <w:t xml:space="preserve"> life cycle impact assessment</w:t>
      </w:r>
      <w:r w:rsidR="00D20998">
        <w:t xml:space="preserve"> </w:t>
      </w:r>
      <w:r w:rsidR="00CB7E06">
        <w:t>(</w:t>
      </w:r>
      <w:r w:rsidR="00D20998">
        <w:t>LCIA</w:t>
      </w:r>
      <w:r w:rsidR="00CB7E06">
        <w:t>)</w:t>
      </w:r>
      <w:r w:rsidR="00D20998">
        <w:t xml:space="preserve"> </w:t>
      </w:r>
      <w:r w:rsidR="005F038B">
        <w:t>method</w:t>
      </w:r>
      <w:r w:rsidR="003F6292">
        <w:t xml:space="preserve"> familie</w:t>
      </w:r>
      <w:r w:rsidR="005F038B">
        <w:t>s</w:t>
      </w:r>
      <w:r w:rsidR="00FD172D">
        <w:t xml:space="preserve"> in </w:t>
      </w:r>
      <w:proofErr w:type="spellStart"/>
      <w:r w:rsidR="00FD172D">
        <w:t>ecoinvent</w:t>
      </w:r>
      <w:proofErr w:type="spellEnd"/>
      <w:r w:rsidR="00FB2FE2">
        <w:t xml:space="preserve">: </w:t>
      </w:r>
      <w:r w:rsidR="00D20998">
        <w:t xml:space="preserve">CML </w:t>
      </w:r>
      <w:r w:rsidR="00FB2FE2">
        <w:t>(</w:t>
      </w:r>
      <w:r w:rsidR="00D20998">
        <w:t>v4.8</w:t>
      </w:r>
      <w:r w:rsidR="00FB2FE2">
        <w:t xml:space="preserve">, </w:t>
      </w:r>
      <w:r w:rsidR="00D20998">
        <w:t>2016</w:t>
      </w:r>
      <w:r w:rsidR="00FB2FE2">
        <w:t>)</w:t>
      </w:r>
      <w:r w:rsidR="00D20998">
        <w:t xml:space="preserve"> </w:t>
      </w:r>
      <w:r w:rsidR="008E776B">
        <w:t xml:space="preserve">at the midpoint level </w:t>
      </w:r>
      <w:r w:rsidR="00D20998">
        <w:t xml:space="preserve">and </w:t>
      </w:r>
      <w:proofErr w:type="spellStart"/>
      <w:r w:rsidR="00D20998">
        <w:t>ReCiPe</w:t>
      </w:r>
      <w:proofErr w:type="spellEnd"/>
      <w:r w:rsidR="00D20998">
        <w:t xml:space="preserve"> </w:t>
      </w:r>
      <w:r w:rsidR="00FB2FE2">
        <w:t>(</w:t>
      </w:r>
      <w:r w:rsidR="00D20998">
        <w:t>v1.03</w:t>
      </w:r>
      <w:r w:rsidR="00FB2FE2">
        <w:t>, 2016</w:t>
      </w:r>
      <w:r w:rsidR="00D20998">
        <w:t>)</w:t>
      </w:r>
      <w:r w:rsidR="008E776B">
        <w:t xml:space="preserve"> at the </w:t>
      </w:r>
      <w:r w:rsidR="0012640B">
        <w:t xml:space="preserve">midpoint and </w:t>
      </w:r>
      <w:r w:rsidR="008E776B">
        <w:t>end</w:t>
      </w:r>
      <w:r w:rsidR="00C0041F">
        <w:t>point</w:t>
      </w:r>
      <w:r w:rsidR="00F06E79">
        <w:t xml:space="preserve"> level</w:t>
      </w:r>
      <w:r w:rsidR="00C62B22">
        <w:t>s</w:t>
      </w:r>
      <w:r w:rsidR="00D20998">
        <w:t xml:space="preserve">. </w:t>
      </w:r>
      <w:r w:rsidR="001E497F">
        <w:t>In the CML method</w:t>
      </w:r>
      <w:r w:rsidR="003F6292">
        <w:t xml:space="preserve"> family</w:t>
      </w:r>
      <w:r w:rsidR="001E497F">
        <w:t>, t</w:t>
      </w:r>
      <w:r w:rsidR="00D20998" w:rsidRPr="007A6D43">
        <w:t>h</w:t>
      </w:r>
      <w:r>
        <w:t xml:space="preserve">is </w:t>
      </w:r>
      <w:r w:rsidR="00D20998" w:rsidRPr="007A6D43">
        <w:t xml:space="preserve">impact category </w:t>
      </w:r>
      <w:r w:rsidR="00E5299D">
        <w:t>is based on</w:t>
      </w:r>
      <w:r w:rsidR="00EF15F8">
        <w:t xml:space="preserve"> </w:t>
      </w:r>
      <w:r w:rsidR="00D20998" w:rsidRPr="007A6D43">
        <w:t xml:space="preserve">the midpoint model USES-LCA </w:t>
      </w:r>
      <w:r w:rsidR="00D20998" w:rsidRPr="007A6D43">
        <w:fldChar w:fldCharType="begin"/>
      </w:r>
      <w:r w:rsidR="001653A5">
        <w:instrText xml:space="preserve"> ADDIN ZOTERO_ITEM CSL_CITATION {"citationID":"eLErZiAf","properties":{"formattedCitation":"(Huijbregts et al. 2000)","plainCitation":"(Huijbregts et al. 2000)","noteIndex":0},"citationItems":[{"id":28070,"uris":["http://zotero.org/users/12946250/items/S4B5IIVW"],"itemData":{"id":28070,"type":"article-journal","abstract":"Toxicity potentials are standard values used in life cycle assessment (LCA) to enable a comparison of toxic impacts between substances. In most cases, toxicity potentials are calculated with multi-media fate models. Until now, unrealistic system settings were used for these calculations. The present paper outlines an improved model to calculate toxicity potentials: the global nested multi-media fate, exposure and e ects model USES±LCA. 1 It is based on the Uniform System for the Evaluation of Substances 2.0 (USES 2.0). USES±LCA was used to calculate for 181 substances toxicity potentials for the six impact categories freshwater aquatic ecotoxicity, marine aquatic ecotoxicity, freshwater sediment ecotoxicity, marine sediment ecotoxicity, terrestrial ecotoxicity and human toxicity, after initial emission to the compartments air, freshwater, seawater, industrial soil and agricultural soil, respectively. Di erences of several orders of magnitude were found between the new toxicity potentials and those calculated previously. ” 2000 Elsevier Science Ltd. All rights reserved.","container-title":"Chemosphere","journalAbbreviation":"Chemosphere","language":"en","page":"541-573","source":"Zotero","title":"Priority assessment of toxic substances in life cycle assessment. Part I: Calculation of toxicity potentials for 181 substances with the nested multi-media fate, exposure and effects model USES±LCA","volume":"41","author":[{"family":"Huijbregts","given":"M A J"},{"family":"Thissen","given":"U"},{"family":"Guinee","given":"J B"},{"family":"Jager","given":"T"},{"family":"Kalf","given":"D"},{"family":"Meent","given":"D","non-dropping-particle":"van de"},{"family":"Ragas","given":"A M J"},{"family":"Sleeswijk","given":"A Wegener"},{"family":"Reijnders","given":"L"}],"issued":{"date-parts":[["2000"]]}}}],"schema":"https://github.com/citation-style-language/schema/raw/master/csl-citation.json"} </w:instrText>
      </w:r>
      <w:r w:rsidR="00D20998" w:rsidRPr="007A6D43">
        <w:fldChar w:fldCharType="separate"/>
      </w:r>
      <w:r w:rsidR="00D20998" w:rsidRPr="00BB11EC">
        <w:rPr>
          <w:rFonts w:cs="Times New Roman"/>
        </w:rPr>
        <w:t>(</w:t>
      </w:r>
      <w:proofErr w:type="spellStart"/>
      <w:r w:rsidR="00D20998" w:rsidRPr="00BB11EC">
        <w:rPr>
          <w:rFonts w:cs="Times New Roman"/>
        </w:rPr>
        <w:t>Huijbregts</w:t>
      </w:r>
      <w:proofErr w:type="spellEnd"/>
      <w:r w:rsidR="00D20998" w:rsidRPr="00BB11EC">
        <w:rPr>
          <w:rFonts w:cs="Times New Roman"/>
        </w:rPr>
        <w:t xml:space="preserve"> et al. 2000)</w:t>
      </w:r>
      <w:r w:rsidR="00D20998" w:rsidRPr="007A6D43">
        <w:fldChar w:fldCharType="end"/>
      </w:r>
      <w:r w:rsidR="00E5299D">
        <w:t xml:space="preserve">, which </w:t>
      </w:r>
      <w:r w:rsidR="00D20998" w:rsidRPr="007A6D43">
        <w:t xml:space="preserve">was the first characterisation model to distinguish </w:t>
      </w:r>
      <w:r>
        <w:t>marine ecotoxicity</w:t>
      </w:r>
      <w:r w:rsidR="00D20998" w:rsidRPr="007A6D43">
        <w:t xml:space="preserve"> from </w:t>
      </w:r>
      <w:r w:rsidR="00AF7811">
        <w:t xml:space="preserve">general </w:t>
      </w:r>
      <w:r w:rsidR="00D20998" w:rsidRPr="007A6D43">
        <w:t xml:space="preserve">aquatic ecotoxicity </w:t>
      </w:r>
      <w:r w:rsidR="00AC35AA">
        <w:t>and to</w:t>
      </w:r>
      <w:r w:rsidR="00D20998" w:rsidRPr="007A6D43">
        <w:t xml:space="preserve"> </w:t>
      </w:r>
      <w:r w:rsidR="00AF7811">
        <w:t>include</w:t>
      </w:r>
      <w:r w:rsidR="00D20998" w:rsidRPr="007A6D43">
        <w:t xml:space="preserve"> </w:t>
      </w:r>
      <w:r w:rsidR="00AF7811">
        <w:t xml:space="preserve">marine sediment </w:t>
      </w:r>
      <w:r w:rsidR="00D20998" w:rsidRPr="007A6D43">
        <w:t xml:space="preserve">ecotoxicity </w:t>
      </w:r>
      <w:r w:rsidR="00AF7811">
        <w:t>as a separate</w:t>
      </w:r>
      <w:r w:rsidR="00D20998" w:rsidRPr="007A6D43">
        <w:t xml:space="preserve"> impact category </w:t>
      </w:r>
      <w:r w:rsidR="00D20998" w:rsidRPr="007A6D43">
        <w:fldChar w:fldCharType="begin"/>
      </w:r>
      <w:r w:rsidR="005D445C">
        <w:instrText xml:space="preserve"> ADDIN ZOTERO_ITEM CSL_CITATION {"citationID":"iS85IUFX","properties":{"formattedCitation":"(Carvalho et al. 2024)","plainCitation":"(Carvalho et al. 2024)","noteIndex":0},"citationItems":[{"id":28035,"uris":["http://zotero.org/users/12946250/items/3XUYWVDP"],"itemData":{"id":28035,"type":"article-journal","abstract":"Purpose The marine ecotoxicity impact category is becoming increasingly important given the threats faced by marine ecosystems. This category still does not have a characterization model consensually accepted by the scientific community, which poses a challenge for LCA practitioners in selecting which method to apply. To date, this category has been assessed through general criteria that do not always consider the specificities of this environment. This study develops specific criteria to evaluate marine ecotoxicity characterization models.\nMethods The development of this research proceeded through the following steps: (a) identification of marine ecotoxicity characterization models through a systematic literature review; (b) formulation of exclusionary criteria to select models from the identified pool with sufficient applicability and operability to get included in the subsequent assessment; (c) development of evaluative criteria based on previous methodologies, enabling a comprehensive assessment of the selected models in terms of their ability to adequately represent ecotoxicological impacts on the marine environment and also the needs of the oil and gas industry sector; (d) application of the established criteria to the pre-selected models; and (e) application of the three best-ranked models in a case study for the oil industry, to illustrate and discuss differences in the obtained results.\nResults and discussion The application of four evaluative criteria to the six previously identified and selected characterization models revealed significant variability among them, concerning their spatial comprehensiveness, elementary flows, environmental relevance, and documentation quality. The best average performance of the models was in Criterion 3—Scientific Robustness and Transparency, while the worst performance was in Criterion 4, developed specifically to verify the suitability of the models for the oil sector. The model by Verones et al. (2020) demonstrated the best overall performance, followed by the models by Dong et al. (2016; 2018) and USES-LCA 2.0. Consensus results in relative terms were not reached when applying these models in the case study, highlighting the influence that the choice of the characterization model has on the final results.\nConclusions As the marine ecotoxicity impact category lacks a universally accepted characterization model, the application of at least two models and the use of their results in a complementary manner appears to be the most appropriate approach. Although all these models have limitations and associated uncertainties, their application is preferable to omitting results for the category. The selection presented should not be understood as a general rule, but rather as an alternative for guidance.","container-title":"The International Journal of Life Cycle Assessment","DOI":"10.1007/s11367-023-02277-4","ISSN":"0948-3349, 1614-7502","issue":"4","journalAbbreviation":"Int J Life Cycle Assess","language":"en","page":"706-732","source":"DOI.org (Crossref)","title":"Evaluation of LCIA characterization models for marine ecotoxicity","URL":"https://link.springer.com/10.1007/s11367-023-02277-4","volume":"29","author":[{"family":"Carvalho","given":"Bruna Cerati"},{"family":"De Souza Junior","given":"Henrique Rogerio Antunes"},{"family":"Soares","given":"Sebastião Roberto"}],"accessed":{"date-parts":[["2025",9,23]]},"issued":{"date-parts":[["2024",4]]}}}],"schema":"https://github.com/citation-style-language/schema/raw/master/csl-citation.json"} </w:instrText>
      </w:r>
      <w:r w:rsidR="00D20998" w:rsidRPr="007A6D43">
        <w:fldChar w:fldCharType="separate"/>
      </w:r>
      <w:r w:rsidR="00D20998" w:rsidRPr="00BB11EC">
        <w:rPr>
          <w:rFonts w:cs="Times New Roman"/>
        </w:rPr>
        <w:t>(Carvalho et al. 2024)</w:t>
      </w:r>
      <w:r w:rsidR="00D20998" w:rsidRPr="007A6D43">
        <w:fldChar w:fldCharType="end"/>
      </w:r>
      <w:r w:rsidR="00CE68C1">
        <w:t>. H</w:t>
      </w:r>
      <w:r w:rsidR="00D20998" w:rsidRPr="007A6D43">
        <w:t>owever,</w:t>
      </w:r>
      <w:r w:rsidR="003519A5">
        <w:t xml:space="preserve"> the</w:t>
      </w:r>
      <w:r w:rsidR="00D20998" w:rsidRPr="007A6D43">
        <w:t xml:space="preserve"> </w:t>
      </w:r>
      <w:r w:rsidR="00CE68C1">
        <w:t>marine sediment</w:t>
      </w:r>
      <w:r w:rsidR="00D20998" w:rsidRPr="007A6D43">
        <w:t xml:space="preserve"> </w:t>
      </w:r>
      <w:r w:rsidR="003519A5">
        <w:t xml:space="preserve">impact category </w:t>
      </w:r>
      <w:r w:rsidR="00AF7811">
        <w:t>was excluded from</w:t>
      </w:r>
      <w:r w:rsidR="00D20998" w:rsidRPr="007A6D43">
        <w:t xml:space="preserve"> the</w:t>
      </w:r>
      <w:r w:rsidR="003550B4">
        <w:t xml:space="preserve"> </w:t>
      </w:r>
      <w:r w:rsidR="00EC1A13">
        <w:t xml:space="preserve">CML </w:t>
      </w:r>
      <w:r w:rsidR="003550B4">
        <w:t xml:space="preserve">baseline </w:t>
      </w:r>
      <w:r w:rsidR="000D27DD">
        <w:t>due to criticism</w:t>
      </w:r>
      <w:r w:rsidR="00EC1A13">
        <w:t>s concerning the robustness</w:t>
      </w:r>
      <w:r w:rsidR="000D27DD">
        <w:t xml:space="preserve"> o</w:t>
      </w:r>
      <w:r w:rsidR="00EC1A13">
        <w:t>f</w:t>
      </w:r>
      <w:r w:rsidR="000D27DD">
        <w:t xml:space="preserve"> </w:t>
      </w:r>
      <w:r w:rsidR="00EC1A13">
        <w:t>its</w:t>
      </w:r>
      <w:r w:rsidR="000D27DD">
        <w:t xml:space="preserve"> modelling </w:t>
      </w:r>
      <w:r w:rsidR="00906A4E">
        <w:fldChar w:fldCharType="begin"/>
      </w:r>
      <w:r w:rsidR="000D210C">
        <w:instrText xml:space="preserve"> ADDIN ZOTERO_ITEM CSL_CITATION {"citationID":"AqU9Lqrj","properties":{"formattedCitation":"(Heijungs and de Koning 2004)","plainCitation":"(Heijungs and de Koning 2004)","noteIndex":0},"citationItems":[{"id":28985,"uris":["http://zotero.org/users/12946250/items/NGIC4XGZ"],"itemData":{"id":28985,"type":"report","abstract":"Toxic impacts from metals are treated in life cycle impact assessment (LCIA) in a way that has evoked quite some criticism. This document reviews the principles, the state-of-the-art and the current development of LCIA and contrasts it with the physical, chemical and biological aspects of metals in the environment and the progress that is being made to cast these aspects in models. The main issues addressed are: − Persistence; − Bio-availability; − Speciation; − Essentiality. Two types of conclusions are presented: 1. Guidelines for treating metal emissions in the present framework of LCIA are given for different levels of sophistication; 2. A research agenda is drafted to steer a more scientifically founded adoption and adaptation of the new and emerging metal-specific knowledge by the LCIA-modellers.","language":"en","publisher":"TNO Environment, Energy and Process Innovation","publisher-place":"Netherlands","source":"Zotero","title":"Improvement of LCA characterization factors and LCA practice for metals","author":[{"family":"Heijungs","given":"Reinout"},{"family":"Koning","given":"Arjan","non-dropping-particle":"de"}],"issued":{"date-parts":[["2004"]]}}}],"schema":"https://github.com/citation-style-language/schema/raw/master/csl-citation.json"} </w:instrText>
      </w:r>
      <w:r w:rsidR="00906A4E">
        <w:fldChar w:fldCharType="separate"/>
      </w:r>
      <w:r w:rsidR="006A3821" w:rsidRPr="006A3821">
        <w:rPr>
          <w:rFonts w:cs="Times New Roman"/>
        </w:rPr>
        <w:t>(Heijungs and de Koning 2004)</w:t>
      </w:r>
      <w:r w:rsidR="00906A4E">
        <w:fldChar w:fldCharType="end"/>
      </w:r>
      <w:r w:rsidR="00D20998" w:rsidRPr="007A6D43">
        <w:t>. An updated version</w:t>
      </w:r>
      <w:r w:rsidR="00D3019C">
        <w:t xml:space="preserve">, </w:t>
      </w:r>
      <w:r w:rsidR="00D20998" w:rsidRPr="007A6D43">
        <w:t xml:space="preserve">USES-LCA 2.0 </w:t>
      </w:r>
      <w:r w:rsidR="00D20998" w:rsidRPr="007A6D43">
        <w:fldChar w:fldCharType="begin"/>
      </w:r>
      <w:r w:rsidR="00DF7F34">
        <w:instrText xml:space="preserve"> ADDIN ZOTERO_ITEM CSL_CITATION {"citationID":"60yGsrHy","properties":{"formattedCitation":"(Van Zelm et al. 2009)","plainCitation":"(Van Zelm et al. 2009)","noteIndex":0},"citationItems":[{"id":28311,"uris":["http://zotero.org/users/12946250/items/66ISMI62"],"itemData":{"id":28311,"type":"article-journal","container-title":"The International Journal of Life Cycle Assessment","DOI":"10.1007/s11367-009-0066-8","ISSN":"0948-3349, 1614-7502","issue":"3","journalAbbreviation":"Int J Life Cycle Assess","language":"en","license":"http://www.springer.com/tdm","page":"282-284","source":"DOI.org (Crossref)","title":"USES-LCA 2.0—A global nested multi-media fate, exposure, and effects model","URL":"http://link.springer.com/10.1007/s11367-009-0066-8","volume":"14","author":[{"family":"Van Zelm","given":"Rosalie"},{"family":"Huijbregts","given":"Mark A. J."},{"family":"Van De Meent","given":"Dik"}],"accessed":{"date-parts":[["2025",9,23]]},"issued":{"date-parts":[["2009",5]]}}}],"schema":"https://github.com/citation-style-language/schema/raw/master/csl-citation.json"} </w:instrText>
      </w:r>
      <w:r w:rsidR="00D20998" w:rsidRPr="007A6D43">
        <w:fldChar w:fldCharType="separate"/>
      </w:r>
      <w:r w:rsidR="00D20998" w:rsidRPr="00BB11EC">
        <w:rPr>
          <w:rFonts w:cs="Times New Roman"/>
        </w:rPr>
        <w:t>(Van Zelm et al. 2009)</w:t>
      </w:r>
      <w:r w:rsidR="00D20998" w:rsidRPr="007A6D43">
        <w:fldChar w:fldCharType="end"/>
      </w:r>
      <w:r w:rsidR="00D20998" w:rsidRPr="007A6D43">
        <w:t xml:space="preserve">, </w:t>
      </w:r>
      <w:r w:rsidR="00D3019C">
        <w:t>is</w:t>
      </w:r>
      <w:r w:rsidR="00D20998" w:rsidRPr="007A6D43">
        <w:t xml:space="preserve"> used in the </w:t>
      </w:r>
      <w:proofErr w:type="spellStart"/>
      <w:r w:rsidR="00D20998" w:rsidRPr="007A6D43">
        <w:t>ReCiPe</w:t>
      </w:r>
      <w:proofErr w:type="spellEnd"/>
      <w:r w:rsidR="00D20998" w:rsidRPr="007A6D43">
        <w:t xml:space="preserve"> </w:t>
      </w:r>
      <w:r w:rsidR="00D3019C">
        <w:t>method</w:t>
      </w:r>
      <w:r w:rsidR="003F6292">
        <w:t xml:space="preserve"> family</w:t>
      </w:r>
      <w:r w:rsidR="00D20998">
        <w:t xml:space="preserve"> </w:t>
      </w:r>
      <w:r w:rsidR="00D20998">
        <w:fldChar w:fldCharType="begin"/>
      </w:r>
      <w:r w:rsidR="000D210C">
        <w:instrText xml:space="preserve"> ADDIN ZOTERO_ITEM CSL_CITATION {"citationID":"QvooCsP5","properties":{"formattedCitation":"(Huijbregts 2016)","plainCitation":"(Huijbregts 2016)","noteIndex":0},"citationItems":[{"id":23862,"uris":["http://zotero.org/users/12946250/items/G42PFJS5"],"itemData":{"id":23862,"type":"report","publisher":"RIVM","publisher-place":"Netherlands","title":"ReCiPe 2016 - A harmonized life cycle impact assessment method at midpoint and endpoint level - Report I: Characterization","author":[{"family":"Huijbregts","given":"M.A.J."}],"issued":{"date-parts":[["2016"]]}}}],"schema":"https://github.com/citation-style-language/schema/raw/master/csl-citation.json"} </w:instrText>
      </w:r>
      <w:r w:rsidR="00D20998">
        <w:fldChar w:fldCharType="separate"/>
      </w:r>
      <w:r w:rsidR="00D20998" w:rsidRPr="00BB11EC">
        <w:rPr>
          <w:rFonts w:cs="Times New Roman"/>
        </w:rPr>
        <w:t>(</w:t>
      </w:r>
      <w:proofErr w:type="spellStart"/>
      <w:r w:rsidR="00D20998" w:rsidRPr="00BB11EC">
        <w:rPr>
          <w:rFonts w:cs="Times New Roman"/>
        </w:rPr>
        <w:t>Huijbregts</w:t>
      </w:r>
      <w:proofErr w:type="spellEnd"/>
      <w:r w:rsidR="00D20998" w:rsidRPr="00BB11EC">
        <w:rPr>
          <w:rFonts w:cs="Times New Roman"/>
        </w:rPr>
        <w:t xml:space="preserve"> 2016)</w:t>
      </w:r>
      <w:r w:rsidR="00D20998">
        <w:fldChar w:fldCharType="end"/>
      </w:r>
      <w:r w:rsidR="00D20998">
        <w:t>. Th</w:t>
      </w:r>
      <w:r w:rsidR="00D3019C">
        <w:t xml:space="preserve">is </w:t>
      </w:r>
      <w:r w:rsidR="00D20998">
        <w:t xml:space="preserve">new version </w:t>
      </w:r>
      <w:r w:rsidR="00D3019C">
        <w:t>expands</w:t>
      </w:r>
      <w:r w:rsidR="00D20998">
        <w:t xml:space="preserve"> substance</w:t>
      </w:r>
      <w:r w:rsidR="00D3019C">
        <w:t xml:space="preserve"> coverage</w:t>
      </w:r>
      <w:r w:rsidR="00D20998">
        <w:t xml:space="preserve"> </w:t>
      </w:r>
      <w:r w:rsidR="009405DC">
        <w:t xml:space="preserve">(from 181 in USES-LCA to 3,396 in USES-LCA v2.0) </w:t>
      </w:r>
      <w:r w:rsidR="00D20998">
        <w:t xml:space="preserve">and </w:t>
      </w:r>
      <w:r w:rsidR="00702427">
        <w:t>enables</w:t>
      </w:r>
      <w:r w:rsidR="00D20998">
        <w:t xml:space="preserve"> endpoint</w:t>
      </w:r>
      <w:r w:rsidR="00702427">
        <w:t>-</w:t>
      </w:r>
      <w:r w:rsidR="00D20998">
        <w:t>level</w:t>
      </w:r>
      <w:r w:rsidR="00702427">
        <w:t xml:space="preserve"> assessments</w:t>
      </w:r>
      <w:r w:rsidR="00D20998">
        <w:t xml:space="preserve">. </w:t>
      </w:r>
    </w:p>
    <w:p w14:paraId="59A1320E" w14:textId="291D271C" w:rsidR="00D20998" w:rsidRDefault="14E6526B" w:rsidP="00E230F8">
      <w:pPr>
        <w:spacing w:line="480" w:lineRule="auto"/>
      </w:pPr>
      <w:r>
        <w:lastRenderedPageBreak/>
        <w:t>However</w:t>
      </w:r>
      <w:r w:rsidR="74727926">
        <w:t xml:space="preserve">, </w:t>
      </w:r>
      <w:r w:rsidR="62809B55">
        <w:t>both</w:t>
      </w:r>
      <w:r w:rsidR="7D163894">
        <w:t xml:space="preserve"> versions</w:t>
      </w:r>
      <w:r w:rsidR="74727926">
        <w:t xml:space="preserve"> are </w:t>
      </w:r>
      <w:r w:rsidR="62809B55">
        <w:t>considered</w:t>
      </w:r>
      <w:r w:rsidR="74727926">
        <w:t xml:space="preserve"> </w:t>
      </w:r>
      <w:r w:rsidR="62809B55">
        <w:t>sub</w:t>
      </w:r>
      <w:r w:rsidR="74727926">
        <w:t>optimal for assessing the ecotoxicity of metals</w:t>
      </w:r>
      <w:r w:rsidR="4F1BF364">
        <w:t>, as</w:t>
      </w:r>
      <w:r w:rsidR="74727926">
        <w:t xml:space="preserve"> they model metals similarly to organic compounds</w:t>
      </w:r>
      <w:r w:rsidR="4F1BF364">
        <w:t xml:space="preserve">, which </w:t>
      </w:r>
      <w:r w:rsidR="43F4DB25">
        <w:t>inaccurately capture their environmental behaviour</w:t>
      </w:r>
      <w:r w:rsidR="74727926">
        <w:t xml:space="preserve"> </w:t>
      </w:r>
      <w:r w:rsidR="00FF4E5B">
        <w:fldChar w:fldCharType="begin"/>
      </w:r>
      <w:r w:rsidR="001653A5">
        <w:instrText xml:space="preserve"> ADDIN ZOTERO_ITEM CSL_CITATION {"citationID":"URAXMoyr","properties":{"formattedCitation":"(Huijbregts et al. 2000; Carvalho et al. 2024)","plainCitation":"(Huijbregts et al. 2000; Carvalho et al. 2024)","noteIndex":0},"citationItems":[{"id":28070,"uris":["http://zotero.org/users/12946250/items/S4B5IIVW"],"itemData":{"id":28070,"type":"article-journal","abstract":"Toxicity potentials are standard values used in life cycle assessment (LCA) to enable a comparison of toxic impacts between substances. In most cases, toxicity potentials are calculated with multi-media fate models. Until now, unrealistic system settings were used for these calculations. The present paper outlines an improved model to calculate toxicity potentials: the global nested multi-media fate, exposure and e ects model USES±LCA. 1 It is based on the Uniform System for the Evaluation of Substances 2.0 (USES 2.0). USES±LCA was used to calculate for 181 substances toxicity potentials for the six impact categories freshwater aquatic ecotoxicity, marine aquatic ecotoxicity, freshwater sediment ecotoxicity, marine sediment ecotoxicity, terrestrial ecotoxicity and human toxicity, after initial emission to the compartments air, freshwater, seawater, industrial soil and agricultural soil, respectively. Di erences of several orders of magnitude were found between the new toxicity potentials and those calculated previously. ” 2000 Elsevier Science Ltd. All rights reserved.","container-title":"Chemosphere","journalAbbreviation":"Chemosphere","language":"en","page":"541-573","source":"Zotero","title":"Priority assessment of toxic substances in life cycle assessment. Part I: Calculation of toxicity potentials for 181 substances with the nested multi-media fate, exposure and effects model USES±LCA","volume":"41","author":[{"family":"Huijbregts","given":"M A J"},{"family":"Thissen","given":"U"},{"family":"Guinee","given":"J B"},{"family":"Jager","given":"T"},{"family":"Kalf","given":"D"},{"family":"Meent","given":"D","non-dropping-particle":"van de"},{"family":"Ragas","given":"A M J"},{"family":"Sleeswijk","given":"A Wegener"},{"family":"Reijnders","given":"L"}],"issued":{"date-parts":[["2000"]]}}},{"id":28035,"uris":["http://zotero.org/users/12946250/items/3XUYWVDP"],"itemData":{"id":28035,"type":"article-journal","abstract":"Purpose The marine ecotoxicity impact category is becoming increasingly important given the threats faced by marine ecosystems. This category still does not have a characterization model consensually accepted by the scientific community, which poses a challenge for LCA practitioners in selecting which method to apply. To date, this category has been assessed through general criteria that do not always consider the specificities of this environment. This study develops specific criteria to evaluate marine ecotoxicity characterization models.\nMethods The development of this research proceeded through the following steps: (a) identification of marine ecotoxicity characterization models through a systematic literature review; (b) formulation of exclusionary criteria to select models from the identified pool with sufficient applicability and operability to get included in the subsequent assessment; (c) development of evaluative criteria based on previous methodologies, enabling a comprehensive assessment of the selected models in terms of their ability to adequately represent ecotoxicological impacts on the marine environment and also the needs of the oil and gas industry sector; (d) application of the established criteria to the pre-selected models; and (e) application of the three best-ranked models in a case study for the oil industry, to illustrate and discuss differences in the obtained results.\nResults and discussion The application of four evaluative criteria to the six previously identified and selected characterization models revealed significant variability among them, concerning their spatial comprehensiveness, elementary flows, environmental relevance, and documentation quality. The best average performance of the models was in Criterion 3—Scientific Robustness and Transparency, while the worst performance was in Criterion 4, developed specifically to verify the suitability of the models for the oil sector. The model by Verones et al. (2020) demonstrated the best overall performance, followed by the models by Dong et al. (2016; 2018) and USES-LCA 2.0. Consensus results in relative terms were not reached when applying these models in the case study, highlighting the influence that the choice of the characterization model has on the final results.\nConclusions As the marine ecotoxicity impact category lacks a universally accepted characterization model, the application of at least two models and the use of their results in a complementary manner appears to be the most appropriate approach. Although all these models have limitations and associated uncertainties, their application is preferable to omitting results for the category. The selection presented should not be understood as a general rule, but rather as an alternative for guidance.","container-title":"The International Journal of Life Cycle Assessment","DOI":"10.1007/s11367-023-02277-4","ISSN":"0948-3349, 1614-7502","issue":"4","journalAbbreviation":"Int J Life Cycle Assess","language":"en","page":"706-732","source":"DOI.org (Crossref)","title":"Evaluation of LCIA characterization models for marine ecotoxicity","URL":"https://link.springer.com/10.1007/s11367-023-02277-4","volume":"29","author":[{"family":"Carvalho","given":"Bruna Cerati"},{"family":"De Souza Junior","given":"Henrique Rogerio Antunes"},{"family":"Soares","given":"Sebastião Roberto"}],"accessed":{"date-parts":[["2025",9,23]]},"issued":{"date-parts":[["2024",4]]}}}],"schema":"https://github.com/citation-style-language/schema/raw/master/csl-citation.json"} </w:instrText>
      </w:r>
      <w:r w:rsidR="00FF4E5B">
        <w:fldChar w:fldCharType="separate"/>
      </w:r>
      <w:r w:rsidR="74727926" w:rsidRPr="2C531CBE">
        <w:rPr>
          <w:rFonts w:cs="Times New Roman"/>
        </w:rPr>
        <w:t>(</w:t>
      </w:r>
      <w:proofErr w:type="spellStart"/>
      <w:r w:rsidR="74727926" w:rsidRPr="2C531CBE">
        <w:rPr>
          <w:rFonts w:cs="Times New Roman"/>
        </w:rPr>
        <w:t>Huijbregts</w:t>
      </w:r>
      <w:proofErr w:type="spellEnd"/>
      <w:r w:rsidR="74727926" w:rsidRPr="2C531CBE">
        <w:rPr>
          <w:rFonts w:cs="Times New Roman"/>
        </w:rPr>
        <w:t xml:space="preserve"> et al. 2000; Carvalho et al. 2024)</w:t>
      </w:r>
      <w:r w:rsidR="00FF4E5B">
        <w:fldChar w:fldCharType="end"/>
      </w:r>
      <w:r w:rsidR="74727926">
        <w:t xml:space="preserve">. </w:t>
      </w:r>
      <w:r w:rsidR="43F4DB25">
        <w:t>Moreover</w:t>
      </w:r>
      <w:r w:rsidR="74727926">
        <w:t>, th</w:t>
      </w:r>
      <w:r w:rsidR="43F4DB25">
        <w:t>e geographical applicability of these</w:t>
      </w:r>
      <w:r w:rsidR="74727926">
        <w:t xml:space="preserve"> model</w:t>
      </w:r>
      <w:r w:rsidR="43F4DB25">
        <w:t>s</w:t>
      </w:r>
      <w:r w:rsidR="5C76FF28">
        <w:t xml:space="preserve"> is limited, as their </w:t>
      </w:r>
      <w:r w:rsidR="00525522">
        <w:t>characterisation factors (</w:t>
      </w:r>
      <w:r w:rsidR="5C76FF28">
        <w:t>CFs</w:t>
      </w:r>
      <w:r w:rsidR="00525522">
        <w:t>)</w:t>
      </w:r>
      <w:r w:rsidR="5C76FF28">
        <w:t xml:space="preserve"> are calculated based on emissions</w:t>
      </w:r>
      <w:r w:rsidR="74727926">
        <w:t xml:space="preserve"> released in Western Europe.</w:t>
      </w:r>
      <w:r w:rsidR="24921845">
        <w:t xml:space="preserve"> </w:t>
      </w:r>
      <w:r w:rsidR="74727926">
        <w:t xml:space="preserve">Regarding </w:t>
      </w:r>
      <w:r w:rsidR="60C826AB">
        <w:t>spatial resolution</w:t>
      </w:r>
      <w:r w:rsidR="74727926">
        <w:t xml:space="preserve">, </w:t>
      </w:r>
      <w:r w:rsidR="4860C339">
        <w:t>both LCIA method</w:t>
      </w:r>
      <w:r w:rsidR="003F6292">
        <w:t xml:space="preserve"> familie</w:t>
      </w:r>
      <w:r w:rsidR="4860C339">
        <w:t xml:space="preserve">s </w:t>
      </w:r>
      <w:r w:rsidR="76587683">
        <w:t>divide</w:t>
      </w:r>
      <w:r w:rsidR="4860C339">
        <w:t xml:space="preserve"> </w:t>
      </w:r>
      <w:r w:rsidR="74727926">
        <w:t xml:space="preserve">the ocean </w:t>
      </w:r>
      <w:r w:rsidR="76587683">
        <w:t xml:space="preserve">into </w:t>
      </w:r>
      <w:r w:rsidR="18A9A860">
        <w:t>an arctic, moderate, and tropical climate zones</w:t>
      </w:r>
      <w:r w:rsidR="74727926">
        <w:t>.</w:t>
      </w:r>
    </w:p>
    <w:p w14:paraId="43366B16" w14:textId="13934362" w:rsidR="00E24EEE" w:rsidRDefault="00F46C93" w:rsidP="00E230F8">
      <w:pPr>
        <w:spacing w:line="480" w:lineRule="auto"/>
      </w:pPr>
      <w:r>
        <w:t>O</w:t>
      </w:r>
      <w:r w:rsidR="008F2ED3">
        <w:t xml:space="preserve">ther LCIA </w:t>
      </w:r>
      <w:r>
        <w:t>method</w:t>
      </w:r>
      <w:r w:rsidR="003F6292">
        <w:t xml:space="preserve"> familie</w:t>
      </w:r>
      <w:r>
        <w:t>s</w:t>
      </w:r>
      <w:r w:rsidR="008F2ED3">
        <w:t xml:space="preserve"> </w:t>
      </w:r>
      <w:r w:rsidR="0030601C">
        <w:t xml:space="preserve">in </w:t>
      </w:r>
      <w:proofErr w:type="spellStart"/>
      <w:r w:rsidR="0030601C">
        <w:t>ecoinvent</w:t>
      </w:r>
      <w:proofErr w:type="spellEnd"/>
      <w:r w:rsidR="0030601C">
        <w:t xml:space="preserve"> </w:t>
      </w:r>
      <w:r w:rsidR="00EB3E82">
        <w:t>lack a dedicated treatment of marine ecotoxicity</w:t>
      </w:r>
      <w:r w:rsidR="00FD0DC2">
        <w:t xml:space="preserve"> and have:</w:t>
      </w:r>
    </w:p>
    <w:p w14:paraId="699CB6D7" w14:textId="03D0FBE8" w:rsidR="00E24EEE" w:rsidRDefault="008F2ED3" w:rsidP="00E230F8">
      <w:pPr>
        <w:pStyle w:val="ListParagraph"/>
        <w:numPr>
          <w:ilvl w:val="0"/>
          <w:numId w:val="28"/>
        </w:numPr>
        <w:spacing w:line="480" w:lineRule="auto"/>
      </w:pPr>
      <w:r>
        <w:t>an aquatic ecotoxicity</w:t>
      </w:r>
      <w:r w:rsidR="005045A3">
        <w:t xml:space="preserve"> impact category</w:t>
      </w:r>
      <w:r>
        <w:t xml:space="preserve"> that</w:t>
      </w:r>
      <w:r w:rsidR="00E24EEE">
        <w:t xml:space="preserve"> </w:t>
      </w:r>
      <w:r>
        <w:t xml:space="preserve">does not differentiate between freshwater and marine ecotoxicity (EDIP </w:t>
      </w:r>
      <w:r w:rsidR="00F61221">
        <w:t>(</w:t>
      </w:r>
      <w:r>
        <w:t>2003</w:t>
      </w:r>
      <w:r w:rsidR="00F61221">
        <w:t>)</w:t>
      </w:r>
      <w:r>
        <w:t>)</w:t>
      </w:r>
      <w:r w:rsidR="00E24EEE">
        <w:t>.</w:t>
      </w:r>
    </w:p>
    <w:p w14:paraId="274EFE39" w14:textId="33F0B88C" w:rsidR="004A26D1" w:rsidRDefault="009D783C" w:rsidP="00E230F8">
      <w:pPr>
        <w:pStyle w:val="ListParagraph"/>
        <w:numPr>
          <w:ilvl w:val="0"/>
          <w:numId w:val="28"/>
        </w:numPr>
        <w:spacing w:line="480" w:lineRule="auto"/>
      </w:pPr>
      <w:r>
        <w:t>a</w:t>
      </w:r>
      <w:r w:rsidR="00FB2FE2">
        <w:t>n</w:t>
      </w:r>
      <w:r w:rsidR="007866C6">
        <w:t xml:space="preserve"> aquatic ecotoxicity</w:t>
      </w:r>
      <w:r w:rsidR="00FB2FE2">
        <w:t xml:space="preserve"> impact category </w:t>
      </w:r>
      <w:r w:rsidR="007866C6">
        <w:t>t</w:t>
      </w:r>
      <w:r w:rsidR="008F2ED3">
        <w:t xml:space="preserve">hat is specifically about freshwater ecotoxicity (IMPACT 2002+ (endpoint)). </w:t>
      </w:r>
    </w:p>
    <w:p w14:paraId="235251C1" w14:textId="03D10A7A" w:rsidR="004A26D1" w:rsidRDefault="009D783C" w:rsidP="00E230F8">
      <w:pPr>
        <w:pStyle w:val="ListParagraph"/>
        <w:numPr>
          <w:ilvl w:val="0"/>
          <w:numId w:val="28"/>
        </w:numPr>
        <w:spacing w:line="480" w:lineRule="auto"/>
      </w:pPr>
      <w:r>
        <w:t>o</w:t>
      </w:r>
      <w:r w:rsidR="008F2ED3">
        <w:t>nly</w:t>
      </w:r>
      <w:r w:rsidR="007866C6">
        <w:t xml:space="preserve"> a</w:t>
      </w:r>
      <w:r w:rsidR="008F2ED3">
        <w:t xml:space="preserve"> freshwater ecotoxicity </w:t>
      </w:r>
      <w:r w:rsidR="007866C6">
        <w:t xml:space="preserve">impact category </w:t>
      </w:r>
      <w:r w:rsidR="008F2ED3">
        <w:t xml:space="preserve">(EF </w:t>
      </w:r>
      <w:r w:rsidR="00F61221">
        <w:t>(</w:t>
      </w:r>
      <w:r w:rsidR="008F2ED3">
        <w:t>v3.1</w:t>
      </w:r>
      <w:r w:rsidR="00F61221">
        <w:t>)</w:t>
      </w:r>
      <w:r w:rsidR="00657237">
        <w:t>;</w:t>
      </w:r>
      <w:r w:rsidR="008F2ED3">
        <w:t xml:space="preserve"> TRACI </w:t>
      </w:r>
      <w:r w:rsidR="00F61221">
        <w:t>(</w:t>
      </w:r>
      <w:r w:rsidR="008F2ED3">
        <w:t>v2.1</w:t>
      </w:r>
      <w:r w:rsidR="00F61221">
        <w:t>)</w:t>
      </w:r>
      <w:r w:rsidR="00657237">
        <w:t>;</w:t>
      </w:r>
      <w:r w:rsidR="008F2ED3">
        <w:t xml:space="preserve"> </w:t>
      </w:r>
      <w:proofErr w:type="spellStart"/>
      <w:r w:rsidR="008F2ED3">
        <w:t>USEtox</w:t>
      </w:r>
      <w:proofErr w:type="spellEnd"/>
      <w:r w:rsidR="008F2ED3">
        <w:t xml:space="preserve"> </w:t>
      </w:r>
      <w:r w:rsidR="00F61221">
        <w:t>(</w:t>
      </w:r>
      <w:r w:rsidR="008F2ED3">
        <w:t>v2.13</w:t>
      </w:r>
      <w:r w:rsidR="00F61221">
        <w:t>)</w:t>
      </w:r>
      <w:r w:rsidR="008F2ED3">
        <w:t xml:space="preserve">). </w:t>
      </w:r>
    </w:p>
    <w:p w14:paraId="44F084B3" w14:textId="039FFF57" w:rsidR="00F854A6" w:rsidRDefault="005843C4" w:rsidP="00E230F8">
      <w:pPr>
        <w:pStyle w:val="ListParagraph"/>
        <w:numPr>
          <w:ilvl w:val="0"/>
          <w:numId w:val="28"/>
        </w:numPr>
        <w:spacing w:line="480" w:lineRule="auto"/>
      </w:pPr>
      <w:r>
        <w:t>only</w:t>
      </w:r>
      <w:r w:rsidR="008F2ED3">
        <w:t xml:space="preserve"> </w:t>
      </w:r>
      <w:r w:rsidR="007866C6">
        <w:t xml:space="preserve">a </w:t>
      </w:r>
      <w:r w:rsidR="008F2ED3">
        <w:t xml:space="preserve">freshwater ecotoxicity impact category </w:t>
      </w:r>
      <w:r w:rsidR="007866C6">
        <w:t xml:space="preserve">that </w:t>
      </w:r>
      <w:r w:rsidR="008F2ED3">
        <w:t xml:space="preserve">is aggregated with other impact categories (IMPACT World+ </w:t>
      </w:r>
      <w:r w:rsidR="00F61221">
        <w:t>(</w:t>
      </w:r>
      <w:r w:rsidR="008F2ED3">
        <w:t>v2.0.1</w:t>
      </w:r>
      <w:r w:rsidR="00F61221">
        <w:t xml:space="preserve">, </w:t>
      </w:r>
      <w:r w:rsidR="008F2ED3">
        <w:t>footprint version)).</w:t>
      </w:r>
    </w:p>
    <w:p w14:paraId="79020A34" w14:textId="1B9B8671" w:rsidR="00807E5E" w:rsidRDefault="5933199A" w:rsidP="00E230F8">
      <w:pPr>
        <w:spacing w:line="480" w:lineRule="auto"/>
      </w:pPr>
      <w:r>
        <w:t>Additional</w:t>
      </w:r>
      <w:r w:rsidR="3A91D2C8">
        <w:t xml:space="preserve"> models </w:t>
      </w:r>
      <w:r>
        <w:t>for assessing</w:t>
      </w:r>
      <w:r w:rsidR="3A91D2C8">
        <w:t xml:space="preserve"> </w:t>
      </w:r>
      <w:r w:rsidR="003F2C28">
        <w:t>marine ecotoxicity</w:t>
      </w:r>
      <w:r>
        <w:t xml:space="preserve"> exist</w:t>
      </w:r>
      <w:r w:rsidR="7CD04D0E">
        <w:t>,</w:t>
      </w:r>
      <w:r w:rsidR="3A91D2C8">
        <w:t xml:space="preserve"> but they are </w:t>
      </w:r>
      <w:r w:rsidR="7CD04D0E">
        <w:t xml:space="preserve">currently </w:t>
      </w:r>
      <w:r w:rsidR="3A91D2C8">
        <w:t xml:space="preserve">not </w:t>
      </w:r>
      <w:r w:rsidR="7CD04D0E">
        <w:t>integrated</w:t>
      </w:r>
      <w:r w:rsidR="3A91D2C8">
        <w:t xml:space="preserve"> in </w:t>
      </w:r>
      <w:r w:rsidR="77ED8D57">
        <w:t>LCIA method</w:t>
      </w:r>
      <w:r w:rsidR="003F6292">
        <w:t xml:space="preserve"> familie</w:t>
      </w:r>
      <w:r w:rsidR="77ED8D57">
        <w:t>s</w:t>
      </w:r>
      <w:r w:rsidR="0080044F">
        <w:t xml:space="preserve"> in </w:t>
      </w:r>
      <w:proofErr w:type="spellStart"/>
      <w:r w:rsidR="0080044F">
        <w:t>ecoinvent</w:t>
      </w:r>
      <w:proofErr w:type="spellEnd"/>
      <w:r w:rsidR="3A91D2C8">
        <w:t xml:space="preserve">. </w:t>
      </w:r>
      <w:r w:rsidR="00795A6E">
        <w:fldChar w:fldCharType="begin"/>
      </w:r>
      <w:r w:rsidR="005D445C">
        <w:instrText xml:space="preserve"> ADDIN ZOTERO_ITEM CSL_CITATION {"citationID":"CPXTtdsf","properties":{"custom":"Carvalho et al. (2024)","formattedCitation":"Carvalho et al. (2024)","plainCitation":"Carvalho et al. (2024)","noteIndex":0},"citationItems":[{"id":28035,"uris":["http://zotero.org/users/12946250/items/3XUYWVDP"],"itemData":{"id":28035,"type":"article-journal","abstract":"Purpose The marine ecotoxicity impact category is becoming increasingly important given the threats faced by marine ecosystems. This category still does not have a characterization model consensually accepted by the scientific community, which poses a challenge for LCA practitioners in selecting which method to apply. To date, this category has been assessed through general criteria that do not always consider the specificities of this environment. This study develops specific criteria to evaluate marine ecotoxicity characterization models.\nMethods The development of this research proceeded through the following steps: (a) identification of marine ecotoxicity characterization models through a systematic literature review; (b) formulation of exclusionary criteria to select models from the identified pool with sufficient applicability and operability to get included in the subsequent assessment; (c) development of evaluative criteria based on previous methodologies, enabling a comprehensive assessment of the selected models in terms of their ability to adequately represent ecotoxicological impacts on the marine environment and also the needs of the oil and gas industry sector; (d) application of the established criteria to the pre-selected models; and (e) application of the three best-ranked models in a case study for the oil industry, to illustrate and discuss differences in the obtained results.\nResults and discussion The application of four evaluative criteria to the six previously identified and selected characterization models revealed significant variability among them, concerning their spatial comprehensiveness, elementary flows, environmental relevance, and documentation quality. The best average performance of the models was in Criterion 3—Scientific Robustness and Transparency, while the worst performance was in Criterion 4, developed specifically to verify the suitability of the models for the oil sector. The model by Verones et al. (2020) demonstrated the best overall performance, followed by the models by Dong et al. (2016; 2018) and USES-LCA 2.0. Consensus results in relative terms were not reached when applying these models in the case study, highlighting the influence that the choice of the characterization model has on the final results.\nConclusions As the marine ecotoxicity impact category lacks a universally accepted characterization model, the application of at least two models and the use of their results in a complementary manner appears to be the most appropriate approach. Although all these models have limitations and associated uncertainties, their application is preferable to omitting results for the category. The selection presented should not be understood as a general rule, but rather as an alternative for guidance.","container-title":"The International Journal of Life Cycle Assessment","DOI":"10.1007/s11367-023-02277-4","ISSN":"0948-3349, 1614-7502","issue":"4","journalAbbreviation":"Int J Life Cycle Assess","language":"en","page":"706-732","source":"DOI.org (Crossref)","title":"Evaluation of LCIA characterization models for marine ecotoxicity","URL":"https://link.springer.com/10.1007/s11367-023-02277-4","volume":"29","author":[{"family":"Carvalho","given":"Bruna Cerati"},{"family":"De Souza Junior","given":"Henrique Rogerio Antunes"},{"family":"Soares","given":"Sebastião Roberto"}],"accessed":{"date-parts":[["2025",9,23]]},"issued":{"date-parts":[["2024",4]]}}}],"schema":"https://github.com/citation-style-language/schema/raw/master/csl-citation.json"} </w:instrText>
      </w:r>
      <w:r w:rsidR="00795A6E">
        <w:fldChar w:fldCharType="separate"/>
      </w:r>
      <w:r w:rsidR="3A91D2C8" w:rsidRPr="2C531CBE">
        <w:rPr>
          <w:rFonts w:cs="Times New Roman"/>
        </w:rPr>
        <w:t>Carvalho et al. (2024)</w:t>
      </w:r>
      <w:r w:rsidR="00795A6E">
        <w:fldChar w:fldCharType="end"/>
      </w:r>
      <w:r w:rsidR="3A91D2C8">
        <w:t xml:space="preserve"> conducted a systematic literature review of characterisation models </w:t>
      </w:r>
      <w:r w:rsidR="003F2C28">
        <w:t xml:space="preserve">for this impact category </w:t>
      </w:r>
      <w:r w:rsidR="3A91D2C8">
        <w:t xml:space="preserve">and identified five </w:t>
      </w:r>
      <w:r w:rsidR="07B44E9C">
        <w:t xml:space="preserve">alternatives </w:t>
      </w:r>
      <w:r w:rsidR="3A91D2C8">
        <w:t xml:space="preserve">to the USES-LCA models. </w:t>
      </w:r>
      <w:r w:rsidR="07B44E9C">
        <w:t>Among the m</w:t>
      </w:r>
      <w:r w:rsidR="3A91D2C8">
        <w:t>ore recent</w:t>
      </w:r>
      <w:r w:rsidR="07B44E9C">
        <w:t xml:space="preserve"> developments</w:t>
      </w:r>
      <w:r w:rsidR="3A91D2C8">
        <w:t xml:space="preserve"> </w:t>
      </w:r>
      <w:r w:rsidR="07B44E9C">
        <w:t>is</w:t>
      </w:r>
      <w:r w:rsidR="3A91D2C8">
        <w:t xml:space="preserve"> the</w:t>
      </w:r>
      <w:r w:rsidR="7E1AFD8F">
        <w:t xml:space="preserve"> midpoint</w:t>
      </w:r>
      <w:r w:rsidR="3A91D2C8">
        <w:t xml:space="preserve"> model by</w:t>
      </w:r>
      <w:r w:rsidR="3A91D2C8" w:rsidRPr="2C531CBE">
        <w:rPr>
          <w:b/>
          <w:bCs/>
        </w:rPr>
        <w:t xml:space="preserve"> </w:t>
      </w:r>
      <w:r w:rsidR="00795A6E" w:rsidRPr="2C531CBE">
        <w:rPr>
          <w:b/>
          <w:bCs/>
        </w:rPr>
        <w:fldChar w:fldCharType="begin"/>
      </w:r>
      <w:r w:rsidR="001653A5">
        <w:rPr>
          <w:b/>
          <w:bCs/>
        </w:rPr>
        <w:instrText xml:space="preserve"> ADDIN ZOTERO_ITEM CSL_CITATION {"citationID":"ZlBhSJre","properties":{"custom":"Dong et al. (2016, 2018)","formattedCitation":"Dong et al. (2016, 2018)","plainCitation":"Dong et al. (2016, 2018)","noteIndex":0},"citationItems":[{"id":28568,"uris":["http://zotero.org/users/12946250/items/TNGP763F"],"itemData":{"id":28568,"type":"article-journal","abstract":"This study is a ﬁrst attempt to develop globally applicable and spatially diﬀerentiated marine comparative toxicity potentials (CTPs) or ecotoxicity characterization factors for metals in coastal seawater for use in life cycle assessment. The toxicity potentials are based exclusively on marine ecotoxicity data and take account of metal speciation and bioavailability. CTPs were developed for nine cationic metals (Cd, Cr(III), Co, Cu(II), Fe(III), Mn, Ni, Pb, and Zn) in 64 large marine ecosystems (LMEs) covering all coastal waters in the world. The results showed that the CTP of a speciﬁc metal varies 3−4 orders of magnitude across LMEs, largely due to diﬀerent seawater residence times. Therefore, the highest toxicity potential for metals was found in the LMEs with the longest seawater residence times. Across metals, the highest CTPs were observed for Cd, Pb, and Zn. At the concentration levels occurring in coastal seawaters, Fe acts not as a toxic agent but as an essential nutrient and thus has CTPs of zero.","container-title":"Environmental Science &amp; Technology","DOI":"10.1021/acs.est.5b01625","ISSN":"0013-936X, 1520-5851","issue":"1","journalAbbreviation":"Environ. Sci. Technol.","language":"en","page":"269-278","source":"DOI.org (Crossref)","title":"Assessment of metal toxicity in marine ecosystems: Comparative toxicity potentials for nine cationic metals in coastal seawater","title-short":"Assessment of Metal Toxicity in Marine Ecosystems","URL":"https://pubs.acs.org/doi/10.1021/acs.est.5b01625","volume":"50","author":[{"family":"Dong","given":"Yan"},{"family":"Rosenbaum","given":"Ralph K."},{"family":"Hauschild","given":"Michael Z."}],"accessed":{"date-parts":[["2025",9,24]]},"issued":{"date-parts":[["2016",1,5]]}},"label":"page"},{"id":28571,"uris":["http://zotero.org/users/12946250/items/2Y9YG5VG"],"itemData":{"id":28571,"type":"article-journal","abstract":"Purpose The study develops site-dependent characterization factors (CFs) for marine ecotoxicity of metals emitted to freshwater, taking their passage of the estuary into account. To serve life cycle assessment (LCA) studies where emission location is often unknown, site-generic marine CFs were developed for metal emissions to freshwater and coastal seawater, respectively. The new CFs were applied to calculate endpoint impact scores for the same amount of metal emission to each compartment, to compare the relative ecotoxicity damages in freshwater and marine ecosystems in LCA.","container-title":"The International Journal of Life Cycle Assessment","DOI":"10.1007/s11367-017-1376-x","ISSN":"0948-3349, 1614-7502","issue":"8","journalAbbreviation":"Int J Life Cycle Assess","language":"en","page":"1641-1653","source":"DOI.org (Crossref)","title":"Metal toxicity characterization factors for marine ecosystems—considering the importance of the estuary for freshwater emissions","URL":"http://link.springer.com/10.1007/s11367-017-1376-x","volume":"23","author":[{"family":"Dong","given":"Yan"},{"family":"Rosenbaum","given":"Ralph K."},{"family":"Hauschild","given":"Michael Z."}],"accessed":{"date-parts":[["2025",9,24]]},"issued":{"date-parts":[["2018",8]]}},"label":"page"}],"schema":"https://github.com/citation-style-language/schema/raw/master/csl-citation.json"} </w:instrText>
      </w:r>
      <w:r w:rsidR="00795A6E" w:rsidRPr="2C531CBE">
        <w:rPr>
          <w:b/>
          <w:bCs/>
        </w:rPr>
        <w:fldChar w:fldCharType="separate"/>
      </w:r>
      <w:r w:rsidR="3A91D2C8" w:rsidRPr="2C531CBE">
        <w:rPr>
          <w:rFonts w:cs="Times New Roman"/>
        </w:rPr>
        <w:t>Dong et al. (2016, 2018)</w:t>
      </w:r>
      <w:r w:rsidR="00795A6E" w:rsidRPr="2C531CBE">
        <w:rPr>
          <w:b/>
          <w:bCs/>
        </w:rPr>
        <w:fldChar w:fldCharType="end"/>
      </w:r>
      <w:r w:rsidR="3A91D2C8">
        <w:t xml:space="preserve">, which </w:t>
      </w:r>
      <w:r w:rsidR="1995AAAF">
        <w:t xml:space="preserve">is unique in its </w:t>
      </w:r>
      <w:r w:rsidR="4C2F07F0">
        <w:t xml:space="preserve">accounting of metal speciation and spatial differentiation across </w:t>
      </w:r>
      <w:r w:rsidR="3A91D2C8">
        <w:t>64 Large Marine Ecosystems (LMEs). However,</w:t>
      </w:r>
      <w:r w:rsidR="6C94EDF2">
        <w:t xml:space="preserve"> these LMEs</w:t>
      </w:r>
      <w:r w:rsidR="3A91D2C8">
        <w:t xml:space="preserve"> </w:t>
      </w:r>
      <w:r w:rsidR="12E5C797">
        <w:t xml:space="preserve">are limited to coastal </w:t>
      </w:r>
      <w:r w:rsidR="58804EDC">
        <w:t>waters,</w:t>
      </w:r>
      <w:r w:rsidR="12E5C797">
        <w:t xml:space="preserve"> and the model</w:t>
      </w:r>
      <w:r w:rsidR="3A91D2C8">
        <w:t xml:space="preserve"> only </w:t>
      </w:r>
      <w:r w:rsidR="58804EDC">
        <w:t>includes</w:t>
      </w:r>
      <w:r w:rsidR="3A91D2C8">
        <w:t xml:space="preserve"> ecotoxicity </w:t>
      </w:r>
      <w:r w:rsidR="58804EDC">
        <w:t xml:space="preserve">CFs </w:t>
      </w:r>
      <w:r w:rsidR="3A91D2C8">
        <w:t>f</w:t>
      </w:r>
      <w:r w:rsidR="58804EDC">
        <w:t>or</w:t>
      </w:r>
      <w:r w:rsidR="3A91D2C8">
        <w:t xml:space="preserve"> nine metals (Cd, Co, Cr, Cu, Fe, Mn, Ni, Pb, and Zn)</w:t>
      </w:r>
      <w:r w:rsidR="2D68541D">
        <w:t>.</w:t>
      </w:r>
      <w:r w:rsidR="3A91D2C8">
        <w:t xml:space="preserve"> Another </w:t>
      </w:r>
      <w:r w:rsidR="452012B8">
        <w:t>notable</w:t>
      </w:r>
      <w:r w:rsidR="3A91D2C8">
        <w:t xml:space="preserve"> model is th</w:t>
      </w:r>
      <w:r w:rsidR="452012B8">
        <w:t>at</w:t>
      </w:r>
      <w:r w:rsidR="3A91D2C8">
        <w:t xml:space="preserve"> </w:t>
      </w:r>
      <w:r w:rsidR="452012B8">
        <w:t>of</w:t>
      </w:r>
      <w:r w:rsidR="3A91D2C8">
        <w:t xml:space="preserve"> </w:t>
      </w:r>
      <w:r w:rsidR="00795A6E">
        <w:fldChar w:fldCharType="begin"/>
      </w:r>
      <w:r w:rsidR="005D445C">
        <w:instrText xml:space="preserve"> ADDIN ZOTERO_ITEM CSL_CITATION {"citationID":"xehM3xDi","properties":{"custom":"Verones et al. (2020)","formattedCitation":"Verones et al. (2020)","plainCitation":"Verones et al. (2020)","noteIndex":0},"citationItems":[{"id":28566,"uris":["http://zotero.org/users/12946250/items/NPGKWPSA"],"itemData":{"id":28566,"type":"article-journal","abstract":"Life cycle impact assessment (LCIA) is a lively field of research, and data and models are continuously improved in terms of impact pathways covered, reliability, and spatial detail. However, many of these advancements are scattered throughout the scientific literature, making it difficult for practitioners to apply the new models. Here, we present the LC-IMPACT method that provides characterization factors at the damage level for 11 impact categories related to three areas of protection (human health, ecosystem quality, natural resources). Human health damage is quantified as disability adjusted life years, damage to ecosystem quality as global species extinction equivalents (based on potentially disappeared fraction of species), and damage to mineral resources as kilogram of extra ore extracted. Seven of the impact categories include spatial differentiation at various levels of spatial scale. The influence of value choices related to the time horizon and the level of scientific evidence of the impacts considered is quantified with four distinct sets of characterization factors. We demonstrate the applicability of the proposed method with an illustrative life cycle assessment example of different fuel options in Europe (petrol or biofuel). Differences between generic and regionalized impacts vary up to two orders of magnitude for some of the selected impact categories, highlighting the importance of spatial detail in LCIA. This article met the requirements for a Gold-Gold JIE data openness badge described at http://jie.click/badges.","container-title":"Journal of Industrial Ecology","DOI":"10.1111/jiec.13018","ISSN":"1088-1980, 1530-9290","issue":"6","journalAbbreviation":"J of Industrial Ecology","language":"en","page":"1201-1219","source":"DOI.org (Crossref)","title":"LC‐IMPACT: A regionalized life cycle damage assessment method","title-short":"LC‐IMPACT","URL":"https://onlinelibrary.wiley.com/doi/10.1111/jiec.13018","volume":"24","author":[{"family":"Verones","given":"Francesca"},{"family":"Hellweg","given":"Stefanie"},{"family":"Antón","given":"Assumpció"},{"family":"Azevedo","given":"Ligia B."},{"family":"Chaudhary","given":"Abhishek"},{"family":"Cosme","given":"Nuno"},{"family":"Cucurachi","given":"Stefano"},{"family":"De Baan","given":"Laura"},{"family":"Dong","given":"Yan"},{"family":"Fantke","given":"Peter"},{"family":"Golsteijn","given":"Laura"},{"family":"Hauschild","given":"Michael"},{"family":"Heijungs","given":"Reinout"},{"family":"Jolliet","given":"Olivier"},{"family":"Juraske","given":"Ronnie"},{"family":"Larsen","given":"Henrik"},{"family":"Laurent","given":"Alexis"},{"family":"Mutel","given":"Christopher L."},{"family":"Margni","given":"Manuele"},{"family":"Núñez","given":"Montserrat"},{"family":"Owsianiak","given":"Mikolaj"},{"family":"Pfister","given":"Stephan"},{"family":"Ponsioen","given":"Tommie"},{"family":"Preiss","given":"Philipp"},{"family":"Rosenbaum","given":"Ralph K."},{"family":"Roy","given":"Pierre‐Olivier"},{"family":"Sala","given":"Serenella"},{"family":"Steinmann","given":"Zoran"},{"family":"Van Zelm","given":"Rosalie"},{"family":"Van Dingenen","given":"Rita"},{"family":"Vieira","given":"Marisa"},{"family":"Huijbregts","given":"Mark A. J."}],"accessed":{"date-parts":[["2025",9,24]]},"issued":{"date-parts":[["2020",12]]}}}],"schema":"https://github.com/citation-style-language/schema/raw/master/csl-citation.json"} </w:instrText>
      </w:r>
      <w:r w:rsidR="00795A6E">
        <w:fldChar w:fldCharType="separate"/>
      </w:r>
      <w:proofErr w:type="spellStart"/>
      <w:r w:rsidR="3A91D2C8" w:rsidRPr="2C531CBE">
        <w:rPr>
          <w:rFonts w:cs="Times New Roman"/>
        </w:rPr>
        <w:t>Verones</w:t>
      </w:r>
      <w:proofErr w:type="spellEnd"/>
      <w:r w:rsidR="3A91D2C8" w:rsidRPr="2C531CBE">
        <w:rPr>
          <w:rFonts w:cs="Times New Roman"/>
        </w:rPr>
        <w:t xml:space="preserve"> et al. (2020)</w:t>
      </w:r>
      <w:r w:rsidR="00795A6E">
        <w:fldChar w:fldCharType="end"/>
      </w:r>
      <w:r w:rsidR="12A95CF6">
        <w:t>,</w:t>
      </w:r>
      <w:r w:rsidR="001A7512">
        <w:t xml:space="preserve"> implemented in the LC-IMPACT method family,</w:t>
      </w:r>
      <w:r w:rsidR="12A95CF6">
        <w:t xml:space="preserve"> which adopts</w:t>
      </w:r>
      <w:r w:rsidR="3A91D2C8">
        <w:t xml:space="preserve"> an endpoint approach. This model </w:t>
      </w:r>
      <w:r w:rsidR="77FB357D">
        <w:t>offers th</w:t>
      </w:r>
      <w:r w:rsidR="3A91D2C8">
        <w:t xml:space="preserve">e most </w:t>
      </w:r>
      <w:r w:rsidR="77FB357D">
        <w:t>extensive substance</w:t>
      </w:r>
      <w:r w:rsidR="3A91D2C8">
        <w:t xml:space="preserve"> coverage </w:t>
      </w:r>
      <w:r w:rsidR="77FB357D">
        <w:t>to date</w:t>
      </w:r>
      <w:r w:rsidR="3A91D2C8">
        <w:t xml:space="preserve"> (2,526 in total</w:t>
      </w:r>
      <w:r w:rsidR="42177D82">
        <w:t>)</w:t>
      </w:r>
      <w:r w:rsidR="2331B066">
        <w:t xml:space="preserve"> and divides </w:t>
      </w:r>
      <w:r w:rsidR="4A71EC83">
        <w:t xml:space="preserve">the </w:t>
      </w:r>
      <w:r w:rsidR="45D0637C">
        <w:t xml:space="preserve">marine environment into nine ocean regions and </w:t>
      </w:r>
      <w:r w:rsidR="3952A9FE">
        <w:t xml:space="preserve">33 coastal regions </w:t>
      </w:r>
      <w:r w:rsidR="00795A6E">
        <w:fldChar w:fldCharType="begin"/>
      </w:r>
      <w:r w:rsidR="006909C7">
        <w:instrText xml:space="preserve"> ADDIN ZOTERO_ITEM CSL_CITATION {"citationID":"ivj3odu6","properties":{"formattedCitation":"(Kounina et al. 2014; Carvalho et al. 2024)","plainCitation":"(Kounina et al. 2014; Carvalho et al. 2024)","noteIndex":0},"citationItems":[{"id":29168,"uris":["http://zotero.org/users/12946250/items/LGGTME9U"],"itemData":{"id":29168,"type":"article-journal","container-title":"Environment International","DOI":"10.1016/j.envint.2014.04.004","ISSN":"01604120","journalAbbreviation":"Environ. Int.","language":"en","page":"67-89","source":"DOI.org (Crossref)","title":"Spatial analysis of toxic emissions in LCA: A sub-continental nested USEtox model with freshwater archetypes","title-short":"Spatial analysis of toxic emissions in LCA","URL":"https://linkinghub.elsevier.com/retrieve/pii/S0160412014001159","volume":"69","author":[{"family":"Kounina","given":"Anna"},{"family":"Margni","given":"Manuele"},{"family":"Shaked","given":"Shanna"},{"family":"Bulle","given":"Cécile"},{"family":"Jolliet","given":"Olivier"}],"accessed":{"date-parts":[["2025",10,28]]},"issued":{"date-parts":[["2014",8]]}}},{"id":28035,"uris":["http://zotero.org/users/12946250/items/3XUYWVDP"],"itemData":{"id":28035,"type":"article-journal","abstract":"Purpose The marine ecotoxicity impact category is becoming increasingly important given the threats faced by marine ecosystems. This category still does not have a characterization model consensually accepted by the scientific community, which poses a challenge for LCA practitioners in selecting which method to apply. To date, this category has been assessed through general criteria that do not always consider the specificities of this environment. This study develops specific criteria to evaluate marine ecotoxicity characterization models.\nMethods The development of this research proceeded through the following steps: (a) identification of marine ecotoxicity characterization models through a systematic literature review; (b) formulation of exclusionary criteria to select models from the identified pool with sufficient applicability and operability to get included in the subsequent assessment; (c) development of evaluative criteria based on previous methodologies, enabling a comprehensive assessment of the selected models in terms of their ability to adequately represent ecotoxicological impacts on the marine environment and also the needs of the oil and gas industry sector; (d) application of the established criteria to the pre-selected models; and (e) application of the three best-ranked models in a case study for the oil industry, to illustrate and discuss differences in the obtained results.\nResults and discussion The application of four evaluative criteria to the six previously identified and selected characterization models revealed significant variability among them, concerning their spatial comprehensiveness, elementary flows, environmental relevance, and documentation quality. The best average performance of the models was in Criterion 3—Scientific Robustness and Transparency, while the worst performance was in Criterion 4, developed specifically to verify the suitability of the models for the oil sector. The model by Verones et al. (2020) demonstrated the best overall performance, followed by the models by Dong et al. (2016; 2018) and USES-LCA 2.0. Consensus results in relative terms were not reached when applying these models in the case study, highlighting the influence that the choice of the characterization model has on the final results.\nConclusions As the marine ecotoxicity impact category lacks a universally accepted characterization model, the application of at least two models and the use of their results in a complementary manner appears to be the most appropriate approach. Although all these models have limitations and associated uncertainties, their application is preferable to omitting results for the category. The selection presented should not be understood as a general rule, but rather as an alternative for guidance.","container-title":"The International Journal of Life Cycle Assessment","DOI":"10.1007/s11367-023-02277-4","ISSN":"0948-3349, 1614-7502","issue":"4","journalAbbreviation":"Int J Life Cycle Assess","language":"en","page":"706-732","source":"DOI.org (Crossref)","title":"Evaluation of LCIA characterization models for marine ecotoxicity","URL":"https://link.springer.com/10.1007/s11367-023-02277-4","volume":"29","author":[{"family":"Carvalho","given":"Bruna Cerati"},{"family":"De Souza Junior","given":"Henrique Rogerio Antunes"},{"family":"Soares","given":"Sebastião Roberto"}],"accessed":{"date-parts":[["2025",9,23]]},"issued":{"date-parts":[["2024",4]]}}}],"schema":"https://github.com/citation-style-language/schema/raw/master/csl-citation.json"} </w:instrText>
      </w:r>
      <w:r w:rsidR="00795A6E">
        <w:fldChar w:fldCharType="separate"/>
      </w:r>
      <w:r w:rsidR="614D4473" w:rsidRPr="2C531CBE">
        <w:rPr>
          <w:rFonts w:cs="Times New Roman"/>
        </w:rPr>
        <w:t>(</w:t>
      </w:r>
      <w:proofErr w:type="spellStart"/>
      <w:r w:rsidR="614D4473" w:rsidRPr="2C531CBE">
        <w:rPr>
          <w:rFonts w:cs="Times New Roman"/>
        </w:rPr>
        <w:t>Kounina</w:t>
      </w:r>
      <w:proofErr w:type="spellEnd"/>
      <w:r w:rsidR="614D4473" w:rsidRPr="2C531CBE">
        <w:rPr>
          <w:rFonts w:cs="Times New Roman"/>
        </w:rPr>
        <w:t xml:space="preserve"> et al. 2014; Carvalho et al. 2024)</w:t>
      </w:r>
      <w:r w:rsidR="00795A6E">
        <w:fldChar w:fldCharType="end"/>
      </w:r>
      <w:r w:rsidR="3A91D2C8">
        <w:t xml:space="preserve">. </w:t>
      </w:r>
      <w:r w:rsidR="6A1A0CE6">
        <w:t>Its</w:t>
      </w:r>
      <w:r w:rsidR="3A91D2C8">
        <w:t xml:space="preserve"> global </w:t>
      </w:r>
      <w:r w:rsidR="6A1A0CE6">
        <w:t xml:space="preserve">CFs </w:t>
      </w:r>
      <w:r w:rsidR="3A91D2C8">
        <w:t>(but not</w:t>
      </w:r>
      <w:r w:rsidR="6A1A0CE6">
        <w:t xml:space="preserve"> the</w:t>
      </w:r>
      <w:r w:rsidR="3A91D2C8">
        <w:t xml:space="preserve"> regionalised</w:t>
      </w:r>
      <w:r w:rsidR="6A1A0CE6">
        <w:t xml:space="preserve"> ones</w:t>
      </w:r>
      <w:r w:rsidR="3A91D2C8">
        <w:t xml:space="preserve">) are exclusively available </w:t>
      </w:r>
      <w:r w:rsidR="63F0C244">
        <w:t>on the</w:t>
      </w:r>
      <w:r w:rsidR="3A91D2C8">
        <w:t xml:space="preserve"> </w:t>
      </w:r>
      <w:proofErr w:type="spellStart"/>
      <w:r w:rsidR="3A91D2C8">
        <w:t>SimaPro</w:t>
      </w:r>
      <w:proofErr w:type="spellEnd"/>
      <w:r w:rsidR="3A91D2C8">
        <w:t xml:space="preserve"> software.</w:t>
      </w:r>
    </w:p>
    <w:p w14:paraId="38FD7389" w14:textId="5B7A7334" w:rsidR="001C1D6D" w:rsidRDefault="00807E5E" w:rsidP="00E230F8">
      <w:pPr>
        <w:spacing w:line="480" w:lineRule="auto"/>
      </w:pPr>
      <w:r>
        <w:t xml:space="preserve">Since the </w:t>
      </w:r>
      <w:r w:rsidR="00BD52F0">
        <w:t>publication</w:t>
      </w:r>
      <w:r>
        <w:t xml:space="preserve"> of </w:t>
      </w:r>
      <w:r>
        <w:fldChar w:fldCharType="begin"/>
      </w:r>
      <w:r w:rsidR="005D445C">
        <w:instrText xml:space="preserve"> ADDIN ZOTERO_ITEM CSL_CITATION {"citationID":"Lxp4hlaz","properties":{"custom":"Carvalho et al. (2024)","formattedCitation":"Carvalho et al. (2024)","plainCitation":"Carvalho et al. (2024)","noteIndex":0},"citationItems":[{"id":28035,"uris":["http://zotero.org/users/12946250/items/3XUYWVDP"],"itemData":{"id":28035,"type":"article-journal","abstract":"Purpose The marine ecotoxicity impact category is becoming increasingly important given the threats faced by marine ecosystems. This category still does not have a characterization model consensually accepted by the scientific community, which poses a challenge for LCA practitioners in selecting which method to apply. To date, this category has been assessed through general criteria that do not always consider the specificities of this environment. This study develops specific criteria to evaluate marine ecotoxicity characterization models.\nMethods The development of this research proceeded through the following steps: (a) identification of marine ecotoxicity characterization models through a systematic literature review; (b) formulation of exclusionary criteria to select models from the identified pool with sufficient applicability and operability to get included in the subsequent assessment; (c) development of evaluative criteria based on previous methodologies, enabling a comprehensive assessment of the selected models in terms of their ability to adequately represent ecotoxicological impacts on the marine environment and also the needs of the oil and gas industry sector; (d) application of the established criteria to the pre-selected models; and (e) application of the three best-ranked models in a case study for the oil industry, to illustrate and discuss differences in the obtained results.\nResults and discussion The application of four evaluative criteria to the six previously identified and selected characterization models revealed significant variability among them, concerning their spatial comprehensiveness, elementary flows, environmental relevance, and documentation quality. The best average performance of the models was in Criterion 3—Scientific Robustness and Transparency, while the worst performance was in Criterion 4, developed specifically to verify the suitability of the models for the oil sector. The model by Verones et al. (2020) demonstrated the best overall performance, followed by the models by Dong et al. (2016; 2018) and USES-LCA 2.0. Consensus results in relative terms were not reached when applying these models in the case study, highlighting the influence that the choice of the characterization model has on the final results.\nConclusions As the marine ecotoxicity impact category lacks a universally accepted characterization model, the application of at least two models and the use of their results in a complementary manner appears to be the most appropriate approach. Although all these models have limitations and associated uncertainties, their application is preferable to omitting results for the category. The selection presented should not be understood as a general rule, but rather as an alternative for guidance.","container-title":"The International Journal of Life Cycle Assessment","DOI":"10.1007/s11367-023-02277-4","ISSN":"0948-3349, 1614-7502","issue":"4","journalAbbreviation":"Int J Life Cycle Assess","language":"en","page":"706-732","source":"DOI.org (Crossref)","title":"Evaluation of LCIA characterization models for marine ecotoxicity","URL":"https://link.springer.com/10.1007/s11367-023-02277-4","volume":"29","author":[{"family":"Carvalho","given":"Bruna Cerati"},{"family":"De Souza Junior","given":"Henrique Rogerio Antunes"},{"family":"Soares","given":"Sebastião Roberto"}],"accessed":{"date-parts":[["2025",9,23]]},"issued":{"date-parts":[["2024",4]]}}}],"schema":"https://github.com/citation-style-language/schema/raw/master/csl-citation.json"} </w:instrText>
      </w:r>
      <w:r>
        <w:fldChar w:fldCharType="separate"/>
      </w:r>
      <w:r w:rsidRPr="00BB11EC">
        <w:rPr>
          <w:rFonts w:cs="Times New Roman"/>
        </w:rPr>
        <w:t>Carvalho et al. (2024)</w:t>
      </w:r>
      <w:r>
        <w:fldChar w:fldCharType="end"/>
      </w:r>
      <w:r>
        <w:t>,</w:t>
      </w:r>
      <w:r w:rsidR="00BD52F0">
        <w:t xml:space="preserve"> a new version of the</w:t>
      </w:r>
      <w:r>
        <w:t xml:space="preserve"> IMPACT World+</w:t>
      </w:r>
      <w:r w:rsidR="00BD52F0">
        <w:t xml:space="preserve"> method</w:t>
      </w:r>
      <w:r>
        <w:t xml:space="preserve"> </w:t>
      </w:r>
      <w:r w:rsidR="003F6292">
        <w:t xml:space="preserve">family </w:t>
      </w:r>
      <w:r w:rsidR="00932028">
        <w:t>(</w:t>
      </w:r>
      <w:r>
        <w:t>v2.1</w:t>
      </w:r>
      <w:r w:rsidR="00932028">
        <w:t xml:space="preserve">, </w:t>
      </w:r>
      <w:r>
        <w:t>expert version</w:t>
      </w:r>
      <w:r w:rsidR="00932028">
        <w:t>, 2024)</w:t>
      </w:r>
      <w:r>
        <w:t xml:space="preserve"> </w:t>
      </w:r>
      <w:r w:rsidR="00BD52F0">
        <w:t>h</w:t>
      </w:r>
      <w:r>
        <w:t>as</w:t>
      </w:r>
      <w:r w:rsidR="00BD52F0">
        <w:t xml:space="preserve"> been</w:t>
      </w:r>
      <w:r>
        <w:t xml:space="preserve"> released</w:t>
      </w:r>
      <w:r w:rsidR="00F668F9">
        <w:t>.</w:t>
      </w:r>
      <w:r>
        <w:t xml:space="preserve"> </w:t>
      </w:r>
      <w:r w:rsidR="00F668F9">
        <w:t xml:space="preserve">This </w:t>
      </w:r>
      <w:r w:rsidR="00AC6D10">
        <w:t>version</w:t>
      </w:r>
      <w:r>
        <w:t xml:space="preserve"> include</w:t>
      </w:r>
      <w:r w:rsidR="00F668F9">
        <w:t>s</w:t>
      </w:r>
      <w:r>
        <w:t xml:space="preserve"> a</w:t>
      </w:r>
      <w:r w:rsidR="00F668F9">
        <w:t xml:space="preserve">n </w:t>
      </w:r>
      <w:r>
        <w:t>impact category</w:t>
      </w:r>
      <w:r w:rsidR="001E4EF6">
        <w:t xml:space="preserve"> for marine ecotoxicity</w:t>
      </w:r>
      <w:r>
        <w:t xml:space="preserve"> at the endpoint level</w:t>
      </w:r>
      <w:r w:rsidR="009E660A">
        <w:t xml:space="preserve"> (</w:t>
      </w:r>
      <w:r w:rsidR="00A91C5D">
        <w:t>which</w:t>
      </w:r>
      <w:r w:rsidR="003A0D21">
        <w:t xml:space="preserve"> </w:t>
      </w:r>
      <w:r w:rsidR="00A47B24">
        <w:t xml:space="preserve">has </w:t>
      </w:r>
      <w:r w:rsidR="003A0D21">
        <w:t>as midpoint impact category freshwater ecotoxicity)</w:t>
      </w:r>
      <w:r w:rsidR="00AC6D10">
        <w:t>,</w:t>
      </w:r>
      <w:r>
        <w:t xml:space="preserve"> based on </w:t>
      </w:r>
      <w:proofErr w:type="spellStart"/>
      <w:r>
        <w:t>Usetox</w:t>
      </w:r>
      <w:proofErr w:type="spellEnd"/>
      <w:r>
        <w:t xml:space="preserve"> </w:t>
      </w:r>
      <w:r w:rsidR="00AC6D10">
        <w:t>(</w:t>
      </w:r>
      <w:r>
        <w:t>v2.02</w:t>
      </w:r>
      <w:r w:rsidR="00AC6D10">
        <w:t>)</w:t>
      </w:r>
      <w:r w:rsidR="003A0D21">
        <w:t xml:space="preserve"> </w:t>
      </w:r>
      <w:r w:rsidR="003A0D21">
        <w:fldChar w:fldCharType="begin"/>
      </w:r>
      <w:r w:rsidR="001653A5">
        <w:instrText xml:space="preserve"> ADDIN ZOTERO_ITEM CSL_CITATION {"citationID":"1TBCkh2R","properties":{"formattedCitation":"(Bulle et al. 2019)","plainCitation":"(Bulle et al. 2019)","noteIndex":0},"citationItems":[{"id":26111,"uris":["http://zotero.org/users/12946250/items/22GQXMGS"],"itemData":{"id":26111,"type":"article-journal","abstract":"Purpose This paper addresses the need for a globally regionalized method for life cycle impact assessment (LCIA), integrating multiple state-of-the-art developments as well as damages on water and carbon areas of concern within a consistent LCIA framework. This method, named IMPACT World+, is the update of the IMPACT 2002+, LUCAS, and EDIP methods. This paper first presents the IMPACT World+ novelties and results and then analyzes the spatial variability for each regionalized impact category.","container-title":"The International Journal of Life Cycle Assessment","DOI":"10.1007/s11367-019-01583-0","ISSN":"0948-3349, 1614-7502","issue":"9","journalAbbreviation":"Int J Life Cycle Assess","language":"en","page":"1653-1674","source":"DOI.org (Crossref)","title":"IMPACT World+: A globally regionalized life cycle impact assessment method","title-short":"IMPACT World+","URL":"http://link.springer.com/10.1007/s11367-019-01583-0","volume":"24","author":[{"family":"Bulle","given":"Cécile"},{"family":"Margni","given":"Manuele"},{"family":"Patouillard","given":"Laure"},{"family":"Boulay","given":"Anne-Marie"},{"family":"Bourgault","given":"Guillaume"},{"family":"De Bruille","given":"Vincent"},{"family":"Cao","given":"Viêt"},{"family":"Hauschild","given":"Michael"},{"family":"Henderson","given":"Andrew"},{"family":"Humbert","given":"Sebastien"},{"family":"Kashef-Haghighi","given":"Sormeh"},{"family":"Kounina","given":"Anna"},{"family":"Laurent","given":"Alexis"},{"family":"Levasseur","given":"Annie"},{"family":"Liard","given":"Gladys"},{"family":"Rosenbaum","given":"Ralph K."},{"family":"Roy","given":"Pierre-Olivier"},{"family":"Shaked","given":"Shanna"},{"family":"Fantke","given":"Peter"},{"family":"Jolliet","given":"Olivier"}],"accessed":{"date-parts":[["2025",7,4]]},"issued":{"date-parts":[["2019",9]]}}}],"schema":"https://github.com/citation-style-language/schema/raw/master/csl-citation.json"} </w:instrText>
      </w:r>
      <w:r w:rsidR="003A0D21">
        <w:fldChar w:fldCharType="separate"/>
      </w:r>
      <w:r w:rsidR="003A0D21" w:rsidRPr="003A0D21">
        <w:rPr>
          <w:rFonts w:cs="Times New Roman"/>
        </w:rPr>
        <w:t>(Bulle et al. 2019)</w:t>
      </w:r>
      <w:r w:rsidR="003A0D21">
        <w:fldChar w:fldCharType="end"/>
      </w:r>
      <w:r>
        <w:t>.</w:t>
      </w:r>
      <w:r w:rsidR="008A30A9">
        <w:t xml:space="preserve"> T</w:t>
      </w:r>
      <w:r>
        <w:t>h</w:t>
      </w:r>
      <w:r w:rsidR="007943F1">
        <w:t>is</w:t>
      </w:r>
      <w:r>
        <w:t xml:space="preserve"> </w:t>
      </w:r>
      <w:r w:rsidR="00B85801">
        <w:lastRenderedPageBreak/>
        <w:t xml:space="preserve">“expert” </w:t>
      </w:r>
      <w:r>
        <w:t xml:space="preserve">version is not available in </w:t>
      </w:r>
      <w:proofErr w:type="spellStart"/>
      <w:r w:rsidR="00A91C5D">
        <w:t>e</w:t>
      </w:r>
      <w:r>
        <w:t>coinvent</w:t>
      </w:r>
      <w:proofErr w:type="spellEnd"/>
      <w:r>
        <w:t xml:space="preserve">, as it is a global regionalised LCIA </w:t>
      </w:r>
      <w:r w:rsidR="003B433E">
        <w:t>model</w:t>
      </w:r>
      <w:r w:rsidR="009049F2">
        <w:t>,</w:t>
      </w:r>
      <w:r>
        <w:t xml:space="preserve"> and </w:t>
      </w:r>
      <w:proofErr w:type="spellStart"/>
      <w:r w:rsidR="00A038A1">
        <w:t>e</w:t>
      </w:r>
      <w:r>
        <w:t>coinvent</w:t>
      </w:r>
      <w:proofErr w:type="spellEnd"/>
      <w:r>
        <w:t xml:space="preserve"> does not yet provide regionalised inventories.</w:t>
      </w:r>
    </w:p>
    <w:p w14:paraId="02CCF618" w14:textId="0DD8D4D0" w:rsidR="00A73545" w:rsidRDefault="00807E5E" w:rsidP="00E230F8">
      <w:pPr>
        <w:spacing w:line="480" w:lineRule="auto"/>
      </w:pPr>
      <w:r>
        <w:t>Despite its</w:t>
      </w:r>
      <w:r w:rsidR="009049F2">
        <w:t xml:space="preserve"> increasing</w:t>
      </w:r>
      <w:r>
        <w:t xml:space="preserve"> integration in</w:t>
      </w:r>
      <w:r w:rsidR="009049F2">
        <w:t>to</w:t>
      </w:r>
      <w:r>
        <w:t xml:space="preserve"> </w:t>
      </w:r>
      <w:r w:rsidR="003D1C6A">
        <w:t>life cycle assessment (</w:t>
      </w:r>
      <w:r>
        <w:t>LCA</w:t>
      </w:r>
      <w:r w:rsidR="003D1C6A">
        <w:t>)</w:t>
      </w:r>
      <w:r w:rsidR="009049F2">
        <w:t xml:space="preserve"> practice</w:t>
      </w:r>
      <w:r w:rsidRPr="00DC1C8C">
        <w:t xml:space="preserve">, </w:t>
      </w:r>
      <w:r>
        <w:t xml:space="preserve">the modelling of </w:t>
      </w:r>
      <w:r w:rsidR="001E4EF6">
        <w:t xml:space="preserve">marine ecotoxicity </w:t>
      </w:r>
      <w:r>
        <w:t>remains</w:t>
      </w:r>
      <w:r w:rsidRPr="00DC1C8C">
        <w:t xml:space="preserve"> </w:t>
      </w:r>
      <w:r>
        <w:t>debated</w:t>
      </w:r>
      <w:r w:rsidRPr="00DC1C8C">
        <w:t xml:space="preserve"> </w:t>
      </w:r>
      <w:r w:rsidR="00CC66E9">
        <w:t>among</w:t>
      </w:r>
      <w:r>
        <w:t xml:space="preserve"> LCA experts </w:t>
      </w:r>
      <w:r>
        <w:fldChar w:fldCharType="begin"/>
      </w:r>
      <w:r w:rsidR="005D445C">
        <w:instrText xml:space="preserve"> ADDIN ZOTERO_ITEM CSL_CITATION {"citationID":"g1bkutbT","properties":{"formattedCitation":"(Carvalho et al. 2024)","plainCitation":"(Carvalho et al. 2024)","noteIndex":0},"citationItems":[{"id":28035,"uris":["http://zotero.org/users/12946250/items/3XUYWVDP"],"itemData":{"id":28035,"type":"article-journal","abstract":"Purpose The marine ecotoxicity impact category is becoming increasingly important given the threats faced by marine ecosystems. This category still does not have a characterization model consensually accepted by the scientific community, which poses a challenge for LCA practitioners in selecting which method to apply. To date, this category has been assessed through general criteria that do not always consider the specificities of this environment. This study develops specific criteria to evaluate marine ecotoxicity characterization models.\nMethods The development of this research proceeded through the following steps: (a) identification of marine ecotoxicity characterization models through a systematic literature review; (b) formulation of exclusionary criteria to select models from the identified pool with sufficient applicability and operability to get included in the subsequent assessment; (c) development of evaluative criteria based on previous methodologies, enabling a comprehensive assessment of the selected models in terms of their ability to adequately represent ecotoxicological impacts on the marine environment and also the needs of the oil and gas industry sector; (d) application of the established criteria to the pre-selected models; and (e) application of the three best-ranked models in a case study for the oil industry, to illustrate and discuss differences in the obtained results.\nResults and discussion The application of four evaluative criteria to the six previously identified and selected characterization models revealed significant variability among them, concerning their spatial comprehensiveness, elementary flows, environmental relevance, and documentation quality. The best average performance of the models was in Criterion 3—Scientific Robustness and Transparency, while the worst performance was in Criterion 4, developed specifically to verify the suitability of the models for the oil sector. The model by Verones et al. (2020) demonstrated the best overall performance, followed by the models by Dong et al. (2016; 2018) and USES-LCA 2.0. Consensus results in relative terms were not reached when applying these models in the case study, highlighting the influence that the choice of the characterization model has on the final results.\nConclusions As the marine ecotoxicity impact category lacks a universally accepted characterization model, the application of at least two models and the use of their results in a complementary manner appears to be the most appropriate approach. Although all these models have limitations and associated uncertainties, their application is preferable to omitting results for the category. The selection presented should not be understood as a general rule, but rather as an alternative for guidance.","container-title":"The International Journal of Life Cycle Assessment","DOI":"10.1007/s11367-023-02277-4","ISSN":"0948-3349, 1614-7502","issue":"4","journalAbbreviation":"Int J Life Cycle Assess","language":"en","page":"706-732","source":"DOI.org (Crossref)","title":"Evaluation of LCIA characterization models for marine ecotoxicity","URL":"https://link.springer.com/10.1007/s11367-023-02277-4","volume":"29","author":[{"family":"Carvalho","given":"Bruna Cerati"},{"family":"De Souza Junior","given":"Henrique Rogerio Antunes"},{"family":"Soares","given":"Sebastião Roberto"}],"accessed":{"date-parts":[["2025",9,23]]},"issued":{"date-parts":[["2024",4]]}}}],"schema":"https://github.com/citation-style-language/schema/raw/master/csl-citation.json"} </w:instrText>
      </w:r>
      <w:r>
        <w:fldChar w:fldCharType="separate"/>
      </w:r>
      <w:r w:rsidRPr="00BB11EC">
        <w:rPr>
          <w:rFonts w:cs="Times New Roman"/>
        </w:rPr>
        <w:t>(Carvalho et al. 2024)</w:t>
      </w:r>
      <w:r>
        <w:fldChar w:fldCharType="end"/>
      </w:r>
      <w:r>
        <w:t xml:space="preserve">. The site-dependent </w:t>
      </w:r>
      <w:r w:rsidR="00CC66E9">
        <w:t>nature of these impacts</w:t>
      </w:r>
      <w:r>
        <w:t xml:space="preserve"> </w:t>
      </w:r>
      <w:r w:rsidR="007E75A7">
        <w:t>complicates the development of</w:t>
      </w:r>
      <w:r>
        <w:t xml:space="preserve"> characterisation equations for </w:t>
      </w:r>
      <w:r w:rsidR="001E4EF6">
        <w:t xml:space="preserve">marine ecotoxicity </w:t>
      </w:r>
      <w:r>
        <w:fldChar w:fldCharType="begin"/>
      </w:r>
      <w:r w:rsidR="005D445C">
        <w:instrText xml:space="preserve"> ADDIN ZOTERO_ITEM CSL_CITATION {"citationID":"HKpjgl0l","properties":{"formattedCitation":"(Hauschild et al. 2013)","plainCitation":"(Hauschild et al. 2013)","noteIndex":0},"citationItems":[{"id":28577,"uris":["http://zotero.org/users/12946250/items/25Y536WZ"],"itemData":{"id":28577,"type":"article-journal","abstract":"Purpose Life cycle impact assessment (LCIA) is a field of active development. The last decade has seen prolific publication of new impact assessment methods covering many different impact categories and providing characterization factors that often deviate from each other for the same substance and impact. The LCA standard ISO 14044 is rather general and unspecific in its requirements and offers little help to the LCA practitioner who needs to make a choice. With the aim to identify the best among existing characterization models and provide recommendations to the LCA practitioner, a study was performed for the Joint Research Centre of the European Commission (JRC).","container-title":"The International Journal of Life Cycle Assessment","DOI":"10.1007/s11367-012-0489-5","ISSN":"0948-3349, 1614-7502","issue":"3","journalAbbreviation":"Int J Life Cycle Assess","language":"en","license":"http://www.springer.com/tdm","page":"683-697","source":"DOI.org (Crossref)","title":"Identifying best existing practice for characterization modeling in life cycle impact assessment","URL":"http://link.springer.com/10.1007/s11367-012-0489-5","volume":"18","author":[{"family":"Hauschild","given":"Michael Z."},{"family":"Goedkoop","given":"Mark"},{"family":"Guinée","given":"Jeroen"},{"family":"Heijungs","given":"Reinout"},{"family":"Huijbregts","given":"Mark"},{"family":"Jolliet","given":"Olivier"},{"family":"Margni","given":"Manuele"},{"family":"De Schryver","given":"An"},{"family":"Humbert","given":"Sebastien"},{"family":"Laurent","given":"Alexis"},{"family":"Sala","given":"Serenella"},{"family":"Pant","given":"Rana"}],"accessed":{"date-parts":[["2025",9,24]]},"issued":{"date-parts":[["2013",3]]}}}],"schema":"https://github.com/citation-style-language/schema/raw/master/csl-citation.json"} </w:instrText>
      </w:r>
      <w:r>
        <w:fldChar w:fldCharType="separate"/>
      </w:r>
      <w:r w:rsidRPr="00BB11EC">
        <w:rPr>
          <w:rFonts w:cs="Times New Roman"/>
        </w:rPr>
        <w:t>(Hauschild et al. 2013)</w:t>
      </w:r>
      <w:r>
        <w:fldChar w:fldCharType="end"/>
      </w:r>
      <w:r w:rsidR="00F65893">
        <w:t>. Moreover,</w:t>
      </w:r>
      <w:r>
        <w:t xml:space="preserve"> the </w:t>
      </w:r>
      <w:r w:rsidR="00F65893">
        <w:t>limited availability of marine toxicity data</w:t>
      </w:r>
      <w:r w:rsidR="00DD215D">
        <w:t>, particularly across multiple</w:t>
      </w:r>
      <w:r>
        <w:t xml:space="preserve"> trophic</w:t>
      </w:r>
      <w:r w:rsidR="00DD215D">
        <w:t xml:space="preserve"> levels</w:t>
      </w:r>
      <w:r>
        <w:t xml:space="preserve"> and </w:t>
      </w:r>
      <w:r w:rsidR="00506D17">
        <w:t>a broad range of</w:t>
      </w:r>
      <w:r>
        <w:t xml:space="preserve"> substances</w:t>
      </w:r>
      <w:r w:rsidR="00506D17">
        <w:t xml:space="preserve">, often necessitates </w:t>
      </w:r>
      <w:r>
        <w:t>extrapolations from freshwater species</w:t>
      </w:r>
      <w:r w:rsidR="00506D17">
        <w:t xml:space="preserve"> data</w:t>
      </w:r>
      <w:r>
        <w:t xml:space="preserve"> </w:t>
      </w:r>
      <w:r>
        <w:fldChar w:fldCharType="begin"/>
      </w:r>
      <w:r w:rsidR="003E2087">
        <w:instrText xml:space="preserve"> ADDIN ZOTERO_ITEM CSL_CITATION {"citationID":"nsEkvLsL","properties":{"formattedCitation":"(Fantke et al. 2018)","plainCitation":"(Fantke et al. 2018)","noteIndex":0},"citationItems":[{"id":28574,"uris":["http://zotero.org/users/12946250/items/DCS8IIER"],"itemData":{"id":28574,"type":"article-journal","abstract":"Abstract\n            \n               \n              Ecosystem quality is an important area of protection in life cycle impact assessment (LCIA). Chemical pollution has adverse impacts on ecosystems on a global scale. To improve methods for assessing ecosystem impacts, the Life Cycle Initiative hosted by the United Nations Environment Programme established a task force to evaluate the state-of-the-science in modeling chemical exposure of organisms and the resulting ecotoxicological effects for use in LCIA. The outcome of the task force work will be global guidance and harmonization by recommending changes to the existing practice of exposure and effect modeling in ecotoxicity characterization. These changes will reflect the current science and ensure the stability of recommended practice. Recommendations must work within the needs of LCIA in terms of 1) operating on information from any inventory reporting chemical emissions with limited spatiotemporal information, 2) applying best estimates rather than conservative assumptions to ensure unbiased comparison with results for other impact categories, and 3) yielding results that are additive across substances and life cycle stages and that will allow a quantitative expression of damage to the exposed ecosystem. We describe the current framework and discuss research questions identified in a roadmap. Primary research questions relate to the approach toward ecotoxicological effect assessment, the need to clarify the method's scope and interpretation of its results, the need to consider additional environmental compartments and impact pathways, and the relevance of effect metrics other than the currently applied geometric mean of toxicity effect data across species. Because they often dominate ecotoxicity results in LCIA, we give metals a special focus, including consideration of their possible essentiality and changes in environmental bioavailability. We conclude with a summary of key questions along with preliminary recommendations to address them as well as open questions that require additional research efforts. Environ Toxicol Chem 2018;37:2955–2971. © 2018 SETAC\n              Abstract\n              Refinements are proposed for the current ecotoxicological effect characterization in life cycle impact assessment.","container-title":"Environmental Toxicology and Chemistry","DOI":"10.1002/etc.4261","ISSN":"0730-7268, 1552-8618","issue":"12","journalAbbreviation":"Environ. Toxicol. Chem.","language":"en","license":"https://academic.oup.com/pages/standard-publication-reuse-rights","page":"2955-2971","source":"DOI.org (Crossref)","title":"Toward harmonizing ecotoxicity characterization in life cycle impact assessment","URL":"https://academic.oup.com/etc/article/37/12/2955/7739266","volume":"37","author":[{"family":"Fantke","given":"Peter"},{"family":"Aurisano","given":"Nicoló"},{"family":"Bare","given":"Jane"},{"family":"Backhaus","given":"Thomas"},{"family":"Bulle","given":"Cécile"},{"family":"Chapman","given":"Peter M."},{"family":"De Zwart","given":"Dick"},{"family":"Dwyer","given":"Robert"},{"family":"Ernstoff","given":"Alexi"},{"family":"Golsteijn","given":"Laura"},{"family":"Holmquist","given":"Hanna"},{"family":"Jolliet","given":"Olivier"},{"family":"McKone","given":"Thomas E."},{"family":"Owsianiak","given":"Mikołaj"},{"family":"Peijnenburg","given":"Willie"},{"family":"Posthuma","given":"Leo"},{"family":"Roos","given":"Sandra"},{"family":"Saouter","given":"Erwan"},{"family":"Schowanek","given":"Diederik"},{"family":"Van Straalen","given":"Nico M."},{"family":"Vijver","given":"Martina G."},{"family":"Hauschild","given":"Michael"}],"accessed":{"date-parts":[["2025",9,24]]},"issued":{"date-parts":[["2018",9,3]]}}}],"schema":"https://github.com/citation-style-language/schema/raw/master/csl-citation.json"} </w:instrText>
      </w:r>
      <w:r>
        <w:fldChar w:fldCharType="separate"/>
      </w:r>
      <w:r w:rsidRPr="00BB11EC">
        <w:rPr>
          <w:rFonts w:cs="Times New Roman"/>
        </w:rPr>
        <w:t>(</w:t>
      </w:r>
      <w:proofErr w:type="spellStart"/>
      <w:r w:rsidRPr="00BB11EC">
        <w:rPr>
          <w:rFonts w:cs="Times New Roman"/>
        </w:rPr>
        <w:t>Fantke</w:t>
      </w:r>
      <w:proofErr w:type="spellEnd"/>
      <w:r w:rsidRPr="00BB11EC">
        <w:rPr>
          <w:rFonts w:cs="Times New Roman"/>
        </w:rPr>
        <w:t xml:space="preserve"> et al. 2018)</w:t>
      </w:r>
      <w:r>
        <w:fldChar w:fldCharType="end"/>
      </w:r>
      <w:r w:rsidRPr="00DC1C8C">
        <w:t>.</w:t>
      </w:r>
      <w:r>
        <w:t xml:space="preserve"> </w:t>
      </w:r>
      <w:r w:rsidR="00CC7573">
        <w:t>As a result</w:t>
      </w:r>
      <w:r>
        <w:t xml:space="preserve">, </w:t>
      </w:r>
      <w:r w:rsidR="001E4EF6">
        <w:t xml:space="preserve">marine ecotoxicity </w:t>
      </w:r>
      <w:r>
        <w:t xml:space="preserve">characterisation models </w:t>
      </w:r>
      <w:r w:rsidR="00CC7573">
        <w:t>differ</w:t>
      </w:r>
      <w:r>
        <w:t xml:space="preserve"> importantly in their scope</w:t>
      </w:r>
      <w:r w:rsidR="00A73545">
        <w:t>,</w:t>
      </w:r>
      <w:r>
        <w:t xml:space="preserve"> assumptions</w:t>
      </w:r>
      <w:r w:rsidR="00A73545">
        <w:t>, and methodological approaches</w:t>
      </w:r>
      <w:r>
        <w:t xml:space="preserve"> </w:t>
      </w:r>
      <w:r>
        <w:fldChar w:fldCharType="begin"/>
      </w:r>
      <w:r w:rsidR="005D445C">
        <w:instrText xml:space="preserve"> ADDIN ZOTERO_ITEM CSL_CITATION {"citationID":"wobz2Dpy","properties":{"formattedCitation":"(Carvalho et al. 2024)","plainCitation":"(Carvalho et al. 2024)","noteIndex":0},"citationItems":[{"id":28035,"uris":["http://zotero.org/users/12946250/items/3XUYWVDP"],"itemData":{"id":28035,"type":"article-journal","abstract":"Purpose The marine ecotoxicity impact category is becoming increasingly important given the threats faced by marine ecosystems. This category still does not have a characterization model consensually accepted by the scientific community, which poses a challenge for LCA practitioners in selecting which method to apply. To date, this category has been assessed through general criteria that do not always consider the specificities of this environment. This study develops specific criteria to evaluate marine ecotoxicity characterization models.\nMethods The development of this research proceeded through the following steps: (a) identification of marine ecotoxicity characterization models through a systematic literature review; (b) formulation of exclusionary criteria to select models from the identified pool with sufficient applicability and operability to get included in the subsequent assessment; (c) development of evaluative criteria based on previous methodologies, enabling a comprehensive assessment of the selected models in terms of their ability to adequately represent ecotoxicological impacts on the marine environment and also the needs of the oil and gas industry sector; (d) application of the established criteria to the pre-selected models; and (e) application of the three best-ranked models in a case study for the oil industry, to illustrate and discuss differences in the obtained results.\nResults and discussion The application of four evaluative criteria to the six previously identified and selected characterization models revealed significant variability among them, concerning their spatial comprehensiveness, elementary flows, environmental relevance, and documentation quality. The best average performance of the models was in Criterion 3—Scientific Robustness and Transparency, while the worst performance was in Criterion 4, developed specifically to verify the suitability of the models for the oil sector. The model by Verones et al. (2020) demonstrated the best overall performance, followed by the models by Dong et al. (2016; 2018) and USES-LCA 2.0. Consensus results in relative terms were not reached when applying these models in the case study, highlighting the influence that the choice of the characterization model has on the final results.\nConclusions As the marine ecotoxicity impact category lacks a universally accepted characterization model, the application of at least two models and the use of their results in a complementary manner appears to be the most appropriate approach. Although all these models have limitations and associated uncertainties, their application is preferable to omitting results for the category. The selection presented should not be understood as a general rule, but rather as an alternative for guidance.","container-title":"The International Journal of Life Cycle Assessment","DOI":"10.1007/s11367-023-02277-4","ISSN":"0948-3349, 1614-7502","issue":"4","journalAbbreviation":"Int J Life Cycle Assess","language":"en","page":"706-732","source":"DOI.org (Crossref)","title":"Evaluation of LCIA characterization models for marine ecotoxicity","URL":"https://link.springer.com/10.1007/s11367-023-02277-4","volume":"29","author":[{"family":"Carvalho","given":"Bruna Cerati"},{"family":"De Souza Junior","given":"Henrique Rogerio Antunes"},{"family":"Soares","given":"Sebastião Roberto"}],"accessed":{"date-parts":[["2025",9,23]]},"issued":{"date-parts":[["2024",4]]}}}],"schema":"https://github.com/citation-style-language/schema/raw/master/csl-citation.json"} </w:instrText>
      </w:r>
      <w:r>
        <w:fldChar w:fldCharType="separate"/>
      </w:r>
      <w:r w:rsidRPr="00BB11EC">
        <w:rPr>
          <w:rFonts w:cs="Times New Roman"/>
        </w:rPr>
        <w:t>(Carvalho et al. 2024)</w:t>
      </w:r>
      <w:r>
        <w:fldChar w:fldCharType="end"/>
      </w:r>
      <w:r>
        <w:t>.</w:t>
      </w:r>
    </w:p>
    <w:p w14:paraId="11A5792D" w14:textId="533A53B2" w:rsidR="0038158B" w:rsidRPr="008909AD" w:rsidRDefault="007043A2" w:rsidP="00412621">
      <w:pPr>
        <w:pStyle w:val="Heading2"/>
        <w:rPr>
          <w:u w:val="single"/>
        </w:rPr>
      </w:pPr>
      <w:r w:rsidRPr="008909AD">
        <w:rPr>
          <w:u w:val="single"/>
        </w:rPr>
        <w:t xml:space="preserve">II. </w:t>
      </w:r>
      <w:r w:rsidR="0038158B" w:rsidRPr="008909AD">
        <w:rPr>
          <w:u w:val="single"/>
        </w:rPr>
        <w:t>Marine eutrophication</w:t>
      </w:r>
    </w:p>
    <w:p w14:paraId="7DFDBDE3" w14:textId="3683278E" w:rsidR="004C558B" w:rsidRDefault="006C7D7D" w:rsidP="00E230F8">
      <w:pPr>
        <w:spacing w:line="480" w:lineRule="auto"/>
      </w:pPr>
      <w:r>
        <w:t>I</w:t>
      </w:r>
      <w:r w:rsidR="00D16EC9">
        <w:t>n the LCA field</w:t>
      </w:r>
      <w:r>
        <w:t xml:space="preserve">, </w:t>
      </w:r>
      <w:r w:rsidR="00344CBB">
        <w:t xml:space="preserve">marine eutrophication </w:t>
      </w:r>
      <w:r w:rsidR="00F03C19">
        <w:t xml:space="preserve">is generally </w:t>
      </w:r>
      <w:r w:rsidR="00D16EC9">
        <w:t xml:space="preserve">defined as the marine </w:t>
      </w:r>
      <w:r w:rsidR="00D16EC9" w:rsidRPr="00927039">
        <w:t xml:space="preserve">ecosystem response to excess </w:t>
      </w:r>
      <w:r w:rsidR="00D16EC9">
        <w:fldChar w:fldCharType="begin"/>
      </w:r>
      <w:r w:rsidR="000D210C">
        <w:instrText xml:space="preserve"> ADDIN ZOTERO_ITEM CSL_CITATION {"citationID":"lQr4ezTm","properties":{"formattedCitation":"(EC-JRC 2010; Henryson et al. 2018; Vea et al. 2024)","plainCitation":"(EC-JRC 2010; Henryson et al. 2018; Vea et al. 2024)","noteIndex":0},"citationItems":[{"id":11285,"uris":["http://zotero.org/users/12946250/items/YMDD3UTQ"],"itemData":{"id":11285,"type":"report","publisher":"European Commission, Joint Research Centre, Institute for Environment and Sustainability","publisher-place":"Luxembourg","title":"International Reference Life Cycle Data System (ILCD) Handbook. General Guide for Life Cycle Assessment: Detailed Guidance","author":[{"literal":"EC-JRC"}],"issued":{"date-parts":[["2010"]]}}},{"id":28999,"uris":["http://zotero.org/users/12946250/items/MZMJ8IXY"],"itemData":{"id":28999,"type":"article-journal","abstract":"Purpose In life cycle assessment (LCA), eutrophication is commonly assessed using site-generic characterisation factors, despite being a site-dependent environmental impact. The purpose of this study was to improve the environmental relevance of marine eutrophication impact assessment in LCA, particularly regarding the impact assessment of waterborne nutrient emissions from Swedish agriculture.","container-title":"The International Journal of Life Cycle Assessment","DOI":"10.1007/s11367-017-1298-7","ISSN":"0948-3349, 1614-7502","issue":"1","journalAbbreviation":"Int J Life Cycle Assess","language":"en","page":"70-81","source":"DOI.org (Crossref)","title":"Spatially differentiated midpoint indicator for marine eutrophication of waterborne emissions in Sweden","URL":"http://link.springer.com/10.1007/s11367-017-1298-7","volume":"23","author":[{"family":"Henryson","given":"Kajsa"},{"family":"Hansson","given":"Per-Anders"},{"family":"Sundberg","given":"Cecilia"}],"accessed":{"date-parts":[["2025",10,23]]},"issued":{"date-parts":[["2018",1]]}}},{"id":11363,"uris":["http://zotero.org/users/12946250/items/QU8SF422"],"itemData":{"id":11363,"type":"article-journal","abstract":"Purpose  Nitrogen emissions from human activities are contributing to elevated levels of eutrophication in coastal ecosystems. Mechanisms involved in marine eutrophication show strong geographical variation. Existing life cycle impact assessment (LCIA) and absolute environmental sustainability assessment (AESA) methods for marine eutrophication do not adequately represent this variability, do not have a full global coverage, and suffer from other limitations, such as poor estimation of coastal residence times. This study aims to advance LCIA and AESA for marine eutrophication.\nMethods  We aligned and combined recent advancements in marine eutrophication LCIA and AESA methods into one method. By re-running models underlying the combined methods and incorporating additional data sources, we included marine regions missing in previous methods and improved fate modeling, with the inclusion of denitrification and plant uptake in the air emission-terrestrial deposition pathway. To demonstrate and validate our method, we applied it in a case study.\nResults  The developed method allows the assessment of marine eutrophication impacts from emissions to soil, freshwater, and air at high resolution (0.083° and 2° × 2.5° for inland and air emissions, respectively) and spatial coverage (all ice-free global continents). In the case study, we demonstrate the added value of our method by showing that the now quantified spatial variability within spatial units, e.g., river basins, can be large and have a strong influence on the modeled marine eutrophication from the case study. Compared to existing methods, our method identifies larger occupations of safe operating space for marine eutrophication, mainly due to the high resolution of the coastal compartment, reflecting a more realistic areal extent of marine eutrophication impacts.\nConclusions  Although limited by factors such as simulations based on a single reference year for modeling inland and air fate, our method is readily applicable to assess the marine eutrophication impact of nitrogen emitted to any environmental compartment and relate it to the safe operating space. With substantial advancement of existing approaches, our method improves the basis for decision-making for managing nitrogen and reducing emissions to levels within the safe operating space.","container-title":"The International Journal of Life Cycle Assessment","DOI":"10.1007/s11367-024-02311-z","ISSN":"0948-3349, 1614-7502","journalAbbreviation":"Int. J. Life Cycle Assess.","language":"en","page":"1738-1755","source":"DOI.org (Crossref)","title":"Enabling comprehensive assessment of marine eutrophication impacts and their evaluation against regional safe operating space","URL":"https://link.springer.com/10.1007/s11367-024-02311-z","volume":"29","author":[{"family":"Vea","given":"Eldbjørg Blikra"},{"family":"Jwaideh","given":"Mark"},{"family":"Richardson","given":"Katherine"},{"family":"Ryberg","given":"Morten"},{"family":"Bjørn","given":"Anders"},{"family":"Hauschild","given":"Michael"}],"accessed":{"date-parts":[["2024",5,7]]},"issued":{"date-parts":[["2024",5,4]]}}}],"schema":"https://github.com/citation-style-language/schema/raw/master/csl-citation.json"} </w:instrText>
      </w:r>
      <w:r w:rsidR="00D16EC9">
        <w:fldChar w:fldCharType="separate"/>
      </w:r>
      <w:r w:rsidR="00D16EC9" w:rsidRPr="00275BEB">
        <w:rPr>
          <w:rFonts w:cs="Times New Roman"/>
        </w:rPr>
        <w:t>(EC-JRC 2010; Henryson et al. 2018; Vea et al. 2024)</w:t>
      </w:r>
      <w:r w:rsidR="00D16EC9">
        <w:fldChar w:fldCharType="end"/>
      </w:r>
      <w:r w:rsidR="00D16EC9" w:rsidRPr="00927039">
        <w:t xml:space="preserve"> </w:t>
      </w:r>
      <w:r w:rsidR="00D16EC9">
        <w:t>or limiting nutrient</w:t>
      </w:r>
      <w:r w:rsidR="00441FE6">
        <w:t xml:space="preserve"> inputs</w:t>
      </w:r>
      <w:r w:rsidR="00D16EC9">
        <w:t xml:space="preserve"> </w:t>
      </w:r>
      <w:r w:rsidR="00D16EC9">
        <w:fldChar w:fldCharType="begin"/>
      </w:r>
      <w:r w:rsidR="005D445C">
        <w:instrText xml:space="preserve"> ADDIN ZOTERO_ITEM CSL_CITATION {"citationID":"vOUoINpz","properties":{"formattedCitation":"(Verones et al. 2020)","plainCitation":"(Verones et al. 2020)","noteIndex":0},"citationItems":[{"id":28566,"uris":["http://zotero.org/users/12946250/items/NPGKWPSA"],"itemData":{"id":28566,"type":"article-journal","abstract":"Life cycle impact assessment (LCIA) is a lively field of research, and data and models are continuously improved in terms of impact pathways covered, reliability, and spatial detail. However, many of these advancements are scattered throughout the scientific literature, making it difficult for practitioners to apply the new models. Here, we present the LC-IMPACT method that provides characterization factors at the damage level for 11 impact categories related to three areas of protection (human health, ecosystem quality, natural resources). Human health damage is quantified as disability adjusted life years, damage to ecosystem quality as global species extinction equivalents (based on potentially disappeared fraction of species), and damage to mineral resources as kilogram of extra ore extracted. Seven of the impact categories include spatial differentiation at various levels of spatial scale. The influence of value choices related to the time horizon and the level of scientific evidence of the impacts considered is quantified with four distinct sets of characterization factors. We demonstrate the applicability of the proposed method with an illustrative life cycle assessment example of different fuel options in Europe (petrol or biofuel). Differences between generic and regionalized impacts vary up to two orders of magnitude for some of the selected impact categories, highlighting the importance of spatial detail in LCIA. This article met the requirements for a Gold-Gold JIE data openness badge described at http://jie.click/badges.","container-title":"Journal of Industrial Ecology","DOI":"10.1111/jiec.13018","ISSN":"1088-1980, 1530-9290","issue":"6","journalAbbreviation":"J of Industrial Ecology","language":"en","page":"1201-1219","source":"DOI.org (Crossref)","title":"LC‐IMPACT: A regionalized life cycle damage assessment method","title-short":"LC‐IMPACT","URL":"https://onlinelibrary.wiley.com/doi/10.1111/jiec.13018","volume":"24","author":[{"family":"Verones","given":"Francesca"},{"family":"Hellweg","given":"Stefanie"},{"family":"Antón","given":"Assumpció"},{"family":"Azevedo","given":"Ligia B."},{"family":"Chaudhary","given":"Abhishek"},{"family":"Cosme","given":"Nuno"},{"family":"Cucurachi","given":"Stefano"},{"family":"De Baan","given":"Laura"},{"family":"Dong","given":"Yan"},{"family":"Fantke","given":"Peter"},{"family":"Golsteijn","given":"Laura"},{"family":"Hauschild","given":"Michael"},{"family":"Heijungs","given":"Reinout"},{"family":"Jolliet","given":"Olivier"},{"family":"Juraske","given":"Ronnie"},{"family":"Larsen","given":"Henrik"},{"family":"Laurent","given":"Alexis"},{"family":"Mutel","given":"Christopher L."},{"family":"Margni","given":"Manuele"},{"family":"Núñez","given":"Montserrat"},{"family":"Owsianiak","given":"Mikolaj"},{"family":"Pfister","given":"Stephan"},{"family":"Ponsioen","given":"Tommie"},{"family":"Preiss","given":"Philipp"},{"family":"Rosenbaum","given":"Ralph K."},{"family":"Roy","given":"Pierre‐Olivier"},{"family":"Sala","given":"Serenella"},{"family":"Steinmann","given":"Zoran"},{"family":"Van Zelm","given":"Rosalie"},{"family":"Van Dingenen","given":"Rita"},{"family":"Vieira","given":"Marisa"},{"family":"Huijbregts","given":"Mark A. J."}],"accessed":{"date-parts":[["2025",9,24]]},"issued":{"date-parts":[["2020",12]]}}}],"schema":"https://github.com/citation-style-language/schema/raw/master/csl-citation.json"} </w:instrText>
      </w:r>
      <w:r w:rsidR="00D16EC9">
        <w:fldChar w:fldCharType="separate"/>
      </w:r>
      <w:r w:rsidR="00D16EC9" w:rsidRPr="00061DCF">
        <w:rPr>
          <w:rFonts w:cs="Times New Roman"/>
        </w:rPr>
        <w:t>(</w:t>
      </w:r>
      <w:proofErr w:type="spellStart"/>
      <w:r w:rsidR="00D16EC9" w:rsidRPr="00061DCF">
        <w:rPr>
          <w:rFonts w:cs="Times New Roman"/>
        </w:rPr>
        <w:t>Verones</w:t>
      </w:r>
      <w:proofErr w:type="spellEnd"/>
      <w:r w:rsidR="00D16EC9" w:rsidRPr="00061DCF">
        <w:rPr>
          <w:rFonts w:cs="Times New Roman"/>
        </w:rPr>
        <w:t xml:space="preserve"> et al. 2020)</w:t>
      </w:r>
      <w:r w:rsidR="00D16EC9">
        <w:fldChar w:fldCharType="end"/>
      </w:r>
      <w:r w:rsidR="00A4033F">
        <w:t xml:space="preserve">. These nutrients, primarily nitrogen (N) and phosphorus (P) </w:t>
      </w:r>
      <w:r w:rsidR="00A4033F">
        <w:fldChar w:fldCharType="begin"/>
      </w:r>
      <w:r w:rsidR="005D445C">
        <w:instrText xml:space="preserve"> ADDIN ZOTERO_ITEM CSL_CITATION {"citationID":"B69jeIfx","properties":{"formattedCitation":"(Henryson et al. 2018)","plainCitation":"(Henryson et al. 2018)","noteIndex":0},"citationItems":[{"id":28999,"uris":["http://zotero.org/users/12946250/items/MZMJ8IXY"],"itemData":{"id":28999,"type":"article-journal","abstract":"Purpose In life cycle assessment (LCA), eutrophication is commonly assessed using site-generic characterisation factors, despite being a site-dependent environmental impact. The purpose of this study was to improve the environmental relevance of marine eutrophication impact assessment in LCA, particularly regarding the impact assessment of waterborne nutrient emissions from Swedish agriculture.","container-title":"The International Journal of Life Cycle Assessment","DOI":"10.1007/s11367-017-1298-7","ISSN":"0948-3349, 1614-7502","issue":"1","journalAbbreviation":"Int J Life Cycle Assess","language":"en","page":"70-81","source":"DOI.org (Crossref)","title":"Spatially differentiated midpoint indicator for marine eutrophication of waterborne emissions in Sweden","URL":"http://link.springer.com/10.1007/s11367-017-1298-7","volume":"23","author":[{"family":"Henryson","given":"Kajsa"},{"family":"Hansson","given":"Per-Anders"},{"family":"Sundberg","given":"Cecilia"}],"accessed":{"date-parts":[["2025",10,23]]},"issued":{"date-parts":[["2018",1]]}}}],"schema":"https://github.com/citation-style-language/schema/raw/master/csl-citation.json"} </w:instrText>
      </w:r>
      <w:r w:rsidR="00A4033F">
        <w:fldChar w:fldCharType="separate"/>
      </w:r>
      <w:r w:rsidR="00A4033F" w:rsidRPr="005C48D8">
        <w:rPr>
          <w:rFonts w:cs="Times New Roman"/>
        </w:rPr>
        <w:t>(Henryson et al. 2018)</w:t>
      </w:r>
      <w:r w:rsidR="00A4033F">
        <w:fldChar w:fldCharType="end"/>
      </w:r>
      <w:r w:rsidR="00A4033F">
        <w:t xml:space="preserve">, </w:t>
      </w:r>
      <w:r w:rsidR="003F16DA">
        <w:t xml:space="preserve">are typically introduced </w:t>
      </w:r>
      <w:r w:rsidR="00756E36">
        <w:t>in</w:t>
      </w:r>
      <w:r w:rsidR="00FD6099">
        <w:t>to</w:t>
      </w:r>
      <w:r w:rsidR="00D16EC9" w:rsidRPr="00927039">
        <w:t xml:space="preserve"> coastal water</w:t>
      </w:r>
      <w:r w:rsidR="00756E36">
        <w:t>s</w:t>
      </w:r>
      <w:r w:rsidR="00D16EC9">
        <w:t xml:space="preserve"> </w:t>
      </w:r>
      <w:r w:rsidR="00D16EC9">
        <w:fldChar w:fldCharType="begin"/>
      </w:r>
      <w:r w:rsidR="000D210C">
        <w:instrText xml:space="preserve"> ADDIN ZOTERO_ITEM CSL_CITATION {"citationID":"96iApAhV","properties":{"formattedCitation":"(EC-JRC 2010; Vea et al. 2024)","plainCitation":"(EC-JRC 2010; Vea et al. 2024)","noteIndex":0},"citationItems":[{"id":11285,"uris":["http://zotero.org/users/12946250/items/YMDD3UTQ"],"itemData":{"id":11285,"type":"report","publisher":"European Commission, Joint Research Centre, Institute for Environment and Sustainability","publisher-place":"Luxembourg","title":"International Reference Life Cycle Data System (ILCD) Handbook. General Guide for Life Cycle Assessment: Detailed Guidance","author":[{"literal":"EC-JRC"}],"issued":{"date-parts":[["2010"]]}}},{"id":11363,"uris":["http://zotero.org/users/12946250/items/QU8SF422"],"itemData":{"id":11363,"type":"article-journal","abstract":"Purpose  Nitrogen emissions from human activities are contributing to elevated levels of eutrophication in coastal ecosystems. Mechanisms involved in marine eutrophication show strong geographical variation. Existing life cycle impact assessment (LCIA) and absolute environmental sustainability assessment (AESA) methods for marine eutrophication do not adequately represent this variability, do not have a full global coverage, and suffer from other limitations, such as poor estimation of coastal residence times. This study aims to advance LCIA and AESA for marine eutrophication.\nMethods  We aligned and combined recent advancements in marine eutrophication LCIA and AESA methods into one method. By re-running models underlying the combined methods and incorporating additional data sources, we included marine regions missing in previous methods and improved fate modeling, with the inclusion of denitrification and plant uptake in the air emission-terrestrial deposition pathway. To demonstrate and validate our method, we applied it in a case study.\nResults  The developed method allows the assessment of marine eutrophication impacts from emissions to soil, freshwater, and air at high resolution (0.083° and 2° × 2.5° for inland and air emissions, respectively) and spatial coverage (all ice-free global continents). In the case study, we demonstrate the added value of our method by showing that the now quantified spatial variability within spatial units, e.g., river basins, can be large and have a strong influence on the modeled marine eutrophication from the case study. Compared to existing methods, our method identifies larger occupations of safe operating space for marine eutrophication, mainly due to the high resolution of the coastal compartment, reflecting a more realistic areal extent of marine eutrophication impacts.\nConclusions  Although limited by factors such as simulations based on a single reference year for modeling inland and air fate, our method is readily applicable to assess the marine eutrophication impact of nitrogen emitted to any environmental compartment and relate it to the safe operating space. With substantial advancement of existing approaches, our method improves the basis for decision-making for managing nitrogen and reducing emissions to levels within the safe operating space.","container-title":"The International Journal of Life Cycle Assessment","DOI":"10.1007/s11367-024-02311-z","ISSN":"0948-3349, 1614-7502","journalAbbreviation":"Int. J. Life Cycle Assess.","language":"en","page":"1738-1755","source":"DOI.org (Crossref)","title":"Enabling comprehensive assessment of marine eutrophication impacts and their evaluation against regional safe operating space","URL":"https://link.springer.com/10.1007/s11367-024-02311-z","volume":"29","author":[{"family":"Vea","given":"Eldbjørg Blikra"},{"family":"Jwaideh","given":"Mark"},{"family":"Richardson","given":"Katherine"},{"family":"Ryberg","given":"Morten"},{"family":"Bjørn","given":"Anders"},{"family":"Hauschild","given":"Michael"}],"accessed":{"date-parts":[["2024",5,7]]},"issued":{"date-parts":[["2024",5,4]]}}}],"schema":"https://github.com/citation-style-language/schema/raw/master/csl-citation.json"} </w:instrText>
      </w:r>
      <w:r w:rsidR="00D16EC9">
        <w:fldChar w:fldCharType="separate"/>
      </w:r>
      <w:r w:rsidR="00D16EC9" w:rsidRPr="00002FE7">
        <w:rPr>
          <w:rFonts w:cs="Times New Roman"/>
        </w:rPr>
        <w:t>(EC-JRC 2010; Vea et al. 2024)</w:t>
      </w:r>
      <w:r w:rsidR="00D16EC9">
        <w:fldChar w:fldCharType="end"/>
      </w:r>
      <w:r w:rsidR="00D16EC9">
        <w:t xml:space="preserve">, </w:t>
      </w:r>
      <w:r w:rsidR="00FD6099">
        <w:t xml:space="preserve">through agricultural runoff and </w:t>
      </w:r>
      <w:r w:rsidR="004A7461">
        <w:t xml:space="preserve">atmospheric deposition </w:t>
      </w:r>
      <w:r w:rsidR="00634E5A">
        <w:t xml:space="preserve">originating from </w:t>
      </w:r>
      <w:r w:rsidR="00FD6099">
        <w:t xml:space="preserve">fossil fuel combustion </w:t>
      </w:r>
      <w:r w:rsidR="00FD6099">
        <w:fldChar w:fldCharType="begin"/>
      </w:r>
      <w:r w:rsidR="005D445C">
        <w:instrText xml:space="preserve"> ADDIN ZOTERO_ITEM CSL_CITATION {"citationID":"7Js88bB2","properties":{"formattedCitation":"(Verones et al. 2020)","plainCitation":"(Verones et al. 2020)","noteIndex":0},"citationItems":[{"id":28566,"uris":["http://zotero.org/users/12946250/items/NPGKWPSA"],"itemData":{"id":28566,"type":"article-journal","abstract":"Life cycle impact assessment (LCIA) is a lively field of research, and data and models are continuously improved in terms of impact pathways covered, reliability, and spatial detail. However, many of these advancements are scattered throughout the scientific literature, making it difficult for practitioners to apply the new models. Here, we present the LC-IMPACT method that provides characterization factors at the damage level for 11 impact categories related to three areas of protection (human health, ecosystem quality, natural resources). Human health damage is quantified as disability adjusted life years, damage to ecosystem quality as global species extinction equivalents (based on potentially disappeared fraction of species), and damage to mineral resources as kilogram of extra ore extracted. Seven of the impact categories include spatial differentiation at various levels of spatial scale. The influence of value choices related to the time horizon and the level of scientific evidence of the impacts considered is quantified with four distinct sets of characterization factors. We demonstrate the applicability of the proposed method with an illustrative life cycle assessment example of different fuel options in Europe (petrol or biofuel). Differences between generic and regionalized impacts vary up to two orders of magnitude for some of the selected impact categories, highlighting the importance of spatial detail in LCIA. This article met the requirements for a Gold-Gold JIE data openness badge described at http://jie.click/badges.","container-title":"Journal of Industrial Ecology","DOI":"10.1111/jiec.13018","ISSN":"1088-1980, 1530-9290","issue":"6","journalAbbreviation":"J of Industrial Ecology","language":"en","page":"1201-1219","source":"DOI.org (Crossref)","title":"LC‐IMPACT: A regionalized life cycle damage assessment method","title-short":"LC‐IMPACT","URL":"https://onlinelibrary.wiley.com/doi/10.1111/jiec.13018","volume":"24","author":[{"family":"Verones","given":"Francesca"},{"family":"Hellweg","given":"Stefanie"},{"family":"Antón","given":"Assumpció"},{"family":"Azevedo","given":"Ligia B."},{"family":"Chaudhary","given":"Abhishek"},{"family":"Cosme","given":"Nuno"},{"family":"Cucurachi","given":"Stefano"},{"family":"De Baan","given":"Laura"},{"family":"Dong","given":"Yan"},{"family":"Fantke","given":"Peter"},{"family":"Golsteijn","given":"Laura"},{"family":"Hauschild","given":"Michael"},{"family":"Heijungs","given":"Reinout"},{"family":"Jolliet","given":"Olivier"},{"family":"Juraske","given":"Ronnie"},{"family":"Larsen","given":"Henrik"},{"family":"Laurent","given":"Alexis"},{"family":"Mutel","given":"Christopher L."},{"family":"Margni","given":"Manuele"},{"family":"Núñez","given":"Montserrat"},{"family":"Owsianiak","given":"Mikolaj"},{"family":"Pfister","given":"Stephan"},{"family":"Ponsioen","given":"Tommie"},{"family":"Preiss","given":"Philipp"},{"family":"Rosenbaum","given":"Ralph K."},{"family":"Roy","given":"Pierre‐Olivier"},{"family":"Sala","given":"Serenella"},{"family":"Steinmann","given":"Zoran"},{"family":"Van Zelm","given":"Rosalie"},{"family":"Van Dingenen","given":"Rita"},{"family":"Vieira","given":"Marisa"},{"family":"Huijbregts","given":"Mark A. J."}],"accessed":{"date-parts":[["2025",9,24]]},"issued":{"date-parts":[["2020",12]]}}}],"schema":"https://github.com/citation-style-language/schema/raw/master/csl-citation.json"} </w:instrText>
      </w:r>
      <w:r w:rsidR="00FD6099">
        <w:fldChar w:fldCharType="separate"/>
      </w:r>
      <w:r w:rsidR="00FD6099" w:rsidRPr="003B0691">
        <w:rPr>
          <w:rFonts w:cs="Times New Roman"/>
        </w:rPr>
        <w:t>(</w:t>
      </w:r>
      <w:proofErr w:type="spellStart"/>
      <w:r w:rsidR="00FD6099" w:rsidRPr="003B0691">
        <w:rPr>
          <w:rFonts w:cs="Times New Roman"/>
        </w:rPr>
        <w:t>Verones</w:t>
      </w:r>
      <w:proofErr w:type="spellEnd"/>
      <w:r w:rsidR="00FD6099" w:rsidRPr="003B0691">
        <w:rPr>
          <w:rFonts w:cs="Times New Roman"/>
        </w:rPr>
        <w:t xml:space="preserve"> et al. 2020)</w:t>
      </w:r>
      <w:r w:rsidR="00FD6099">
        <w:fldChar w:fldCharType="end"/>
      </w:r>
      <w:r w:rsidR="00543DBE">
        <w:t>. Their accumulation can lead to</w:t>
      </w:r>
      <w:r w:rsidR="00752496">
        <w:t xml:space="preserve"> a</w:t>
      </w:r>
      <w:r w:rsidR="0012412F">
        <w:t>n</w:t>
      </w:r>
      <w:r w:rsidR="00752496">
        <w:t xml:space="preserve"> oxygen </w:t>
      </w:r>
      <w:r w:rsidR="00EC7BF2">
        <w:t>depletion</w:t>
      </w:r>
      <w:r w:rsidR="00752496">
        <w:t xml:space="preserve"> in </w:t>
      </w:r>
      <w:r w:rsidR="00EC7BF2">
        <w:t>b</w:t>
      </w:r>
      <w:r w:rsidR="00752496">
        <w:t>enthic environment</w:t>
      </w:r>
      <w:r w:rsidR="00EC7BF2">
        <w:t>s</w:t>
      </w:r>
      <w:r w:rsidR="00D16EC9">
        <w:t xml:space="preserve"> </w:t>
      </w:r>
      <w:r w:rsidR="00D16EC9">
        <w:fldChar w:fldCharType="begin"/>
      </w:r>
      <w:r w:rsidR="000D210C">
        <w:instrText xml:space="preserve"> ADDIN ZOTERO_ITEM CSL_CITATION {"citationID":"fQIYOkkp","properties":{"formattedCitation":"(EC-JRC 2010; Vea et al. 2024)","plainCitation":"(EC-JRC 2010; Vea et al. 2024)","noteIndex":0},"citationItems":[{"id":11285,"uris":["http://zotero.org/users/12946250/items/YMDD3UTQ"],"itemData":{"id":11285,"type":"report","publisher":"European Commission, Joint Research Centre, Institute for Environment and Sustainability","publisher-place":"Luxembourg","title":"International Reference Life Cycle Data System (ILCD) Handbook. General Guide for Life Cycle Assessment: Detailed Guidance","author":[{"literal":"EC-JRC"}],"issued":{"date-parts":[["2010"]]}}},{"id":11363,"uris":["http://zotero.org/users/12946250/items/QU8SF422"],"itemData":{"id":11363,"type":"article-journal","abstract":"Purpose  Nitrogen emissions from human activities are contributing to elevated levels of eutrophication in coastal ecosystems. Mechanisms involved in marine eutrophication show strong geographical variation. Existing life cycle impact assessment (LCIA) and absolute environmental sustainability assessment (AESA) methods for marine eutrophication do not adequately represent this variability, do not have a full global coverage, and suffer from other limitations, such as poor estimation of coastal residence times. This study aims to advance LCIA and AESA for marine eutrophication.\nMethods  We aligned and combined recent advancements in marine eutrophication LCIA and AESA methods into one method. By re-running models underlying the combined methods and incorporating additional data sources, we included marine regions missing in previous methods and improved fate modeling, with the inclusion of denitrification and plant uptake in the air emission-terrestrial deposition pathway. To demonstrate and validate our method, we applied it in a case study.\nResults  The developed method allows the assessment of marine eutrophication impacts from emissions to soil, freshwater, and air at high resolution (0.083° and 2° × 2.5° for inland and air emissions, respectively) and spatial coverage (all ice-free global continents). In the case study, we demonstrate the added value of our method by showing that the now quantified spatial variability within spatial units, e.g., river basins, can be large and have a strong influence on the modeled marine eutrophication from the case study. Compared to existing methods, our method identifies larger occupations of safe operating space for marine eutrophication, mainly due to the high resolution of the coastal compartment, reflecting a more realistic areal extent of marine eutrophication impacts.\nConclusions  Although limited by factors such as simulations based on a single reference year for modeling inland and air fate, our method is readily applicable to assess the marine eutrophication impact of nitrogen emitted to any environmental compartment and relate it to the safe operating space. With substantial advancement of existing approaches, our method improves the basis for decision-making for managing nitrogen and reducing emissions to levels within the safe operating space.","container-title":"The International Journal of Life Cycle Assessment","DOI":"10.1007/s11367-024-02311-z","ISSN":"0948-3349, 1614-7502","journalAbbreviation":"Int. J. Life Cycle Assess.","language":"en","page":"1738-1755","source":"DOI.org (Crossref)","title":"Enabling comprehensive assessment of marine eutrophication impacts and their evaluation against regional safe operating space","URL":"https://link.springer.com/10.1007/s11367-024-02311-z","volume":"29","author":[{"family":"Vea","given":"Eldbjørg Blikra"},{"family":"Jwaideh","given":"Mark"},{"family":"Richardson","given":"Katherine"},{"family":"Ryberg","given":"Morten"},{"family":"Bjørn","given":"Anders"},{"family":"Hauschild","given":"Michael"}],"accessed":{"date-parts":[["2024",5,7]]},"issued":{"date-parts":[["2024",5,4]]}}}],"schema":"https://github.com/citation-style-language/schema/raw/master/csl-citation.json"} </w:instrText>
      </w:r>
      <w:r w:rsidR="00D16EC9">
        <w:fldChar w:fldCharType="separate"/>
      </w:r>
      <w:r w:rsidR="00D16EC9" w:rsidRPr="00002FE7">
        <w:rPr>
          <w:rFonts w:cs="Times New Roman"/>
        </w:rPr>
        <w:t>(EC-JRC 2010; Vea et al. 2024)</w:t>
      </w:r>
      <w:r w:rsidR="00D16EC9">
        <w:fldChar w:fldCharType="end"/>
      </w:r>
      <w:r w:rsidR="00EC7BF2">
        <w:t>,</w:t>
      </w:r>
      <w:r w:rsidR="00291BE8">
        <w:t xml:space="preserve"> </w:t>
      </w:r>
      <w:r w:rsidR="00D16EC9" w:rsidRPr="00927039">
        <w:t>ultimately</w:t>
      </w:r>
      <w:r w:rsidR="00291BE8">
        <w:t xml:space="preserve"> </w:t>
      </w:r>
      <w:r w:rsidR="004C558B">
        <w:t>disrupting</w:t>
      </w:r>
      <w:r w:rsidR="00D16EC9" w:rsidRPr="00927039">
        <w:t xml:space="preserve"> ecosystem </w:t>
      </w:r>
      <w:r w:rsidR="00291BE8">
        <w:t>equilibrium</w:t>
      </w:r>
      <w:r w:rsidR="00D16EC9">
        <w:t xml:space="preserve"> </w:t>
      </w:r>
      <w:r w:rsidR="00D16EC9">
        <w:fldChar w:fldCharType="begin"/>
      </w:r>
      <w:r w:rsidR="000D210C">
        <w:instrText xml:space="preserve"> ADDIN ZOTERO_ITEM CSL_CITATION {"citationID":"x7MPRWXu","properties":{"formattedCitation":"(EC-JRC 2010; Henryson et al. 2018; Vea et al. 2024)","plainCitation":"(EC-JRC 2010; Henryson et al. 2018; Vea et al. 2024)","noteIndex":0},"citationItems":[{"id":11285,"uris":["http://zotero.org/users/12946250/items/YMDD3UTQ"],"itemData":{"id":11285,"type":"report","publisher":"European Commission, Joint Research Centre, Institute for Environment and Sustainability","publisher-place":"Luxembourg","title":"International Reference Life Cycle Data System (ILCD) Handbook. General Guide for Life Cycle Assessment: Detailed Guidance","author":[{"literal":"EC-JRC"}],"issued":{"date-parts":[["2010"]]}}},{"id":28999,"uris":["http://zotero.org/users/12946250/items/MZMJ8IXY"],"itemData":{"id":28999,"type":"article-journal","abstract":"Purpose In life cycle assessment (LCA), eutrophication is commonly assessed using site-generic characterisation factors, despite being a site-dependent environmental impact. The purpose of this study was to improve the environmental relevance of marine eutrophication impact assessment in LCA, particularly regarding the impact assessment of waterborne nutrient emissions from Swedish agriculture.","container-title":"The International Journal of Life Cycle Assessment","DOI":"10.1007/s11367-017-1298-7","ISSN":"0948-3349, 1614-7502","issue":"1","journalAbbreviation":"Int J Life Cycle Assess","language":"en","page":"70-81","source":"DOI.org (Crossref)","title":"Spatially differentiated midpoint indicator for marine eutrophication of waterborne emissions in Sweden","URL":"http://link.springer.com/10.1007/s11367-017-1298-7","volume":"23","author":[{"family":"Henryson","given":"Kajsa"},{"family":"Hansson","given":"Per-Anders"},{"family":"Sundberg","given":"Cecilia"}],"accessed":{"date-parts":[["2025",10,23]]},"issued":{"date-parts":[["2018",1]]}}},{"id":11363,"uris":["http://zotero.org/users/12946250/items/QU8SF422"],"itemData":{"id":11363,"type":"article-journal","abstract":"Purpose  Nitrogen emissions from human activities are contributing to elevated levels of eutrophication in coastal ecosystems. Mechanisms involved in marine eutrophication show strong geographical variation. Existing life cycle impact assessment (LCIA) and absolute environmental sustainability assessment (AESA) methods for marine eutrophication do not adequately represent this variability, do not have a full global coverage, and suffer from other limitations, such as poor estimation of coastal residence times. This study aims to advance LCIA and AESA for marine eutrophication.\nMethods  We aligned and combined recent advancements in marine eutrophication LCIA and AESA methods into one method. By re-running models underlying the combined methods and incorporating additional data sources, we included marine regions missing in previous methods and improved fate modeling, with the inclusion of denitrification and plant uptake in the air emission-terrestrial deposition pathway. To demonstrate and validate our method, we applied it in a case study.\nResults  The developed method allows the assessment of marine eutrophication impacts from emissions to soil, freshwater, and air at high resolution (0.083° and 2° × 2.5° for inland and air emissions, respectively) and spatial coverage (all ice-free global continents). In the case study, we demonstrate the added value of our method by showing that the now quantified spatial variability within spatial units, e.g., river basins, can be large and have a strong influence on the modeled marine eutrophication from the case study. Compared to existing methods, our method identifies larger occupations of safe operating space for marine eutrophication, mainly due to the high resolution of the coastal compartment, reflecting a more realistic areal extent of marine eutrophication impacts.\nConclusions  Although limited by factors such as simulations based on a single reference year for modeling inland and air fate, our method is readily applicable to assess the marine eutrophication impact of nitrogen emitted to any environmental compartment and relate it to the safe operating space. With substantial advancement of existing approaches, our method improves the basis for decision-making for managing nitrogen and reducing emissions to levels within the safe operating space.","container-title":"The International Journal of Life Cycle Assessment","DOI":"10.1007/s11367-024-02311-z","ISSN":"0948-3349, 1614-7502","journalAbbreviation":"Int. J. Life Cycle Assess.","language":"en","page":"1738-1755","source":"DOI.org (Crossref)","title":"Enabling comprehensive assessment of marine eutrophication impacts and their evaluation against regional safe operating space","URL":"https://link.springer.com/10.1007/s11367-024-02311-z","volume":"29","author":[{"family":"Vea","given":"Eldbjørg Blikra"},{"family":"Jwaideh","given":"Mark"},{"family":"Richardson","given":"Katherine"},{"family":"Ryberg","given":"Morten"},{"family":"Bjørn","given":"Anders"},{"family":"Hauschild","given":"Michael"}],"accessed":{"date-parts":[["2024",5,7]]},"issued":{"date-parts":[["2024",5,4]]}}}],"schema":"https://github.com/citation-style-language/schema/raw/master/csl-citation.json"} </w:instrText>
      </w:r>
      <w:r w:rsidR="00D16EC9">
        <w:fldChar w:fldCharType="separate"/>
      </w:r>
      <w:r w:rsidR="00D16EC9" w:rsidRPr="00275BEB">
        <w:rPr>
          <w:rFonts w:cs="Times New Roman"/>
        </w:rPr>
        <w:t>(EC-JRC 2010; Henryson et al. 2018; Vea et al. 2024)</w:t>
      </w:r>
      <w:r w:rsidR="00D16EC9">
        <w:fldChar w:fldCharType="end"/>
      </w:r>
      <w:r w:rsidR="00D16EC9">
        <w:t xml:space="preserve">. </w:t>
      </w:r>
    </w:p>
    <w:p w14:paraId="5F50A73A" w14:textId="6ABF9DA7" w:rsidR="00D16EC9" w:rsidRPr="00927039" w:rsidRDefault="4C30038A" w:rsidP="00E230F8">
      <w:pPr>
        <w:spacing w:line="480" w:lineRule="auto"/>
      </w:pPr>
      <w:r>
        <w:t xml:space="preserve">Although this pathway </w:t>
      </w:r>
      <w:r w:rsidR="0D19DBDD">
        <w:t>dominates human-induced</w:t>
      </w:r>
      <w:r>
        <w:t xml:space="preserve"> </w:t>
      </w:r>
      <w:r w:rsidR="00344CBB">
        <w:t>marine eutrophication</w:t>
      </w:r>
      <w:r w:rsidR="13D3F88A">
        <w:t xml:space="preserve">, </w:t>
      </w:r>
      <w:r w:rsidR="7D6589A5">
        <w:t>other substanc</w:t>
      </w:r>
      <w:r w:rsidR="22F9B181">
        <w:t xml:space="preserve">es </w:t>
      </w:r>
      <w:r w:rsidR="5D973236">
        <w:t>beyond</w:t>
      </w:r>
      <w:r w:rsidR="4DF5DEF7">
        <w:t xml:space="preserve"> </w:t>
      </w:r>
      <w:r w:rsidR="5941B792">
        <w:t xml:space="preserve">N and P </w:t>
      </w:r>
      <w:r w:rsidR="5D973236">
        <w:t>may also contribute</w:t>
      </w:r>
      <w:r w:rsidR="4AFA2A6E">
        <w:t>, such as</w:t>
      </w:r>
      <w:r w:rsidR="00341ED8">
        <w:t xml:space="preserve"> dissolved</w:t>
      </w:r>
      <w:r w:rsidR="4AFA2A6E">
        <w:t xml:space="preserve"> </w:t>
      </w:r>
      <w:r w:rsidR="239B101A">
        <w:t>silica</w:t>
      </w:r>
      <w:r w:rsidR="00341ED8">
        <w:t>te</w:t>
      </w:r>
      <w:r w:rsidR="239B101A">
        <w:t xml:space="preserve"> (</w:t>
      </w:r>
      <w:r w:rsidR="00341ED8">
        <w:t>D</w:t>
      </w:r>
      <w:r w:rsidR="239B101A">
        <w:t>Si)</w:t>
      </w:r>
      <w:r w:rsidR="00B403E7">
        <w:t xml:space="preserve"> or iron (Fe)</w:t>
      </w:r>
      <w:r w:rsidR="5C32565E">
        <w:t xml:space="preserve">, </w:t>
      </w:r>
      <w:r w:rsidR="28B0255B">
        <w:t>and co-limitation can take place</w:t>
      </w:r>
      <w:r w:rsidR="5941B792">
        <w:t xml:space="preserve"> </w:t>
      </w:r>
      <w:r w:rsidR="00D16EC9">
        <w:fldChar w:fldCharType="begin"/>
      </w:r>
      <w:r w:rsidR="005D445C">
        <w:instrText xml:space="preserve"> ADDIN ZOTERO_ITEM CSL_CITATION {"citationID":"1EmsPeIK","properties":{"formattedCitation":"(Cosme et al. 2018)","plainCitation":"(Cosme et al. 2018)","noteIndex":0},"citationItems":[{"id":28678,"uris":["http://zotero.org/users/12946250/items/BITWEHFI"],"itemData":{"id":28678,"type":"article-journal","abstract":"Purpose Marine eutrophication impacts due to waterborne nitrogen (N) emissions may vary significantly with their type and location. The environmental fate of dissolved inorganic nitrogen (DIN) forms is essential to understand the impacts they may trigger in receiving coastal waters. Current life cycle impact assessment (LCIA) methods apply fate factors (FFs) with limited specificity of DIN emission routes, and often lack spatial differentiation and global applicability. This paper describes a newly developed method to estimate spatially explicit FFs for marine eutrophication at a global scale and river basin resolution. Methods The FFs modelling work includes DIN removal processes in both inland (soil and river) and marine compartments. Model input parameters are the removal coefficients extracted from the Global NEWS 2-DIN model and residence time of receiving coastal waters. The resulting FFs express the persistence of the fraction of the original DIN emission in the receiving coastal large marine ecosystems (LMEs). The method further discriminates three DIN emission routes, i.e. diffuse emission from soils, and direct point emissions to fresh- or marine waters. Based on modelling of individual river basins, regionally aggregated FFs are calculated as emission-weighted averages. Results and discussion Among 5772 river basins of the world, the calculated FFs show 5 orders of magnitude variation for the soil-related emission route, 3 for the river-related, and 2 for emissions to marine water. Spatial aggregation of the FFs at the continental level decreases this variation to 1 order of magnitude or less for all routes. Coastal water residence time was found to show inconsistency and scarcity of literature sources. Improvement of data quality for this parameter is suggested.","container-title":"The International Journal of Life Cycle Assessment","DOI":"10.1007/s11367-017-1349-0","ISSN":"0948-3349, 1614-7502","issue":"6","journalAbbreviation":"Int J Life Cycle Assess","language":"en","page":"1286-1296","source":"DOI.org (Crossref)","title":"Spatially explicit fate factors of waterborne nitrogen emissions at the global scale","URL":"http://link.springer.com/10.1007/s11367-017-1349-0","volume":"23","author":[{"family":"Cosme","given":"Nuno"},{"family":"Mayorga","given":"Emilio"},{"family":"Hauschild","given":"Michael Z."}],"accessed":{"date-parts":[["2025",10,2]]},"issued":{"date-parts":[["2018",6]]}}}],"schema":"https://github.com/citation-style-language/schema/raw/master/csl-citation.json"} </w:instrText>
      </w:r>
      <w:r w:rsidR="00D16EC9">
        <w:fldChar w:fldCharType="separate"/>
      </w:r>
      <w:r w:rsidR="28B0255B" w:rsidRPr="2C531CBE">
        <w:rPr>
          <w:rFonts w:cs="Times New Roman"/>
        </w:rPr>
        <w:t>(Cosme et al. 2018)</w:t>
      </w:r>
      <w:r w:rsidR="00D16EC9">
        <w:fldChar w:fldCharType="end"/>
      </w:r>
      <w:r w:rsidR="3D177D60">
        <w:t>. Moreover,</w:t>
      </w:r>
      <w:r w:rsidR="1F749656">
        <w:t xml:space="preserve"> </w:t>
      </w:r>
      <w:r w:rsidR="67CE5143">
        <w:t xml:space="preserve">marine activities introduce additional anthropogenic pressures that may </w:t>
      </w:r>
      <w:r w:rsidR="7FB7B2D6">
        <w:t>influence</w:t>
      </w:r>
      <w:r w:rsidR="01C62A99">
        <w:t xml:space="preserve"> </w:t>
      </w:r>
      <w:r w:rsidR="7FB7B2D6">
        <w:t>eutrophication processes.</w:t>
      </w:r>
      <w:r w:rsidR="01C62A99">
        <w:t xml:space="preserve"> </w:t>
      </w:r>
      <w:r w:rsidR="7FB7B2D6">
        <w:t>To capture this</w:t>
      </w:r>
      <w:r w:rsidR="6BA6641A">
        <w:t xml:space="preserve"> </w:t>
      </w:r>
      <w:r w:rsidR="21888D8E">
        <w:t xml:space="preserve">broader </w:t>
      </w:r>
      <w:r w:rsidR="7FB7B2D6">
        <w:t>scope</w:t>
      </w:r>
      <w:r w:rsidR="77242D4C">
        <w:t xml:space="preserve">, we adopt the </w:t>
      </w:r>
      <w:r w:rsidR="6BA6641A">
        <w:t xml:space="preserve">definition </w:t>
      </w:r>
      <w:r w:rsidR="77242D4C">
        <w:t>by</w:t>
      </w:r>
      <w:r w:rsidR="6BA6641A">
        <w:t xml:space="preserve"> </w:t>
      </w:r>
      <w:r w:rsidR="00D16EC9">
        <w:fldChar w:fldCharType="begin"/>
      </w:r>
      <w:r w:rsidR="005D445C">
        <w:instrText xml:space="preserve"> ADDIN ZOTERO_ITEM CSL_CITATION {"citationID":"Z7xrtAUB","properties":{"custom":"Cosme and Hauschild (2017)","formattedCitation":"Cosme and Hauschild (2017)","plainCitation":"Cosme and Hauschild (2017)","noteIndex":0},"citationItems":[{"id":28996,"uris":["http://zotero.org/users/12946250/items/AMEWAEZU"],"itemData":{"id":28996,"type":"article-journal","abstract":"Purpose Current life cycle impact assessment (LCIA) methods lack a consistent and globally applicable characterization model relating nitrogen (N, as dissolved inorganic nitrogen, DIN) enrichment of coastal waters to the marine eutrophication impacts at the endpoint level. This paper introduces a method to calculate spatially explicit characterization factors (CFs) at endpoint and damage to ecosystems levels, for waterborne nitrogen emissions, reflecting their hypoxiarelated marine eutrophication impacts, modelled for 5772 river basins of the world.","container-title":"The International Journal of Life Cycle Assessment","DOI":"10.1007/s11367-017-1271-5","ISSN":"0948-3349, 1614-7502","issue":"10","journalAbbreviation":"Int J Life Cycle Assess","language":"en","page":"1558-1570","source":"DOI.org (Crossref)","title":"Characterization of waterborne nitrogen emissions for marine eutrophication modelling in life cycle impact assessment at the damage level and global scale","URL":"http://link.springer.com/10.1007/s11367-017-1271-5","volume":"22","author":[{"family":"Cosme","given":"Nuno"},{"family":"Hauschild","given":"Michael Z."}],"accessed":{"date-parts":[["2025",10,23]]},"issued":{"date-parts":[["2017",10]]}}}],"schema":"https://github.com/citation-style-language/schema/raw/master/csl-citation.json"} </w:instrText>
      </w:r>
      <w:r w:rsidR="00D16EC9">
        <w:fldChar w:fldCharType="separate"/>
      </w:r>
      <w:r w:rsidR="21888D8E" w:rsidRPr="2C531CBE">
        <w:rPr>
          <w:rFonts w:cs="Times New Roman"/>
        </w:rPr>
        <w:t>Cosme and Hauschild (2017)</w:t>
      </w:r>
      <w:r w:rsidR="00D16EC9">
        <w:fldChar w:fldCharType="end"/>
      </w:r>
      <w:r w:rsidR="66B00A60">
        <w:t xml:space="preserve">, who </w:t>
      </w:r>
      <w:r w:rsidR="419B1776">
        <w:t>de</w:t>
      </w:r>
      <w:r w:rsidR="77242D4C">
        <w:t>scribe</w:t>
      </w:r>
      <w:r w:rsidR="419B1776">
        <w:t xml:space="preserve"> </w:t>
      </w:r>
      <w:r w:rsidR="00344CBB">
        <w:t xml:space="preserve">marine eutrophication </w:t>
      </w:r>
      <w:r w:rsidR="419B1776">
        <w:t>as the marine ecosystem response to increased</w:t>
      </w:r>
      <w:r w:rsidR="76218C39">
        <w:t xml:space="preserve"> inputs of</w:t>
      </w:r>
      <w:r w:rsidR="419B1776">
        <w:t xml:space="preserve"> nutrients </w:t>
      </w:r>
      <w:r w:rsidR="01EC8B4F">
        <w:t>or</w:t>
      </w:r>
      <w:r w:rsidR="419B1776">
        <w:t xml:space="preserve"> organic matter</w:t>
      </w:r>
      <w:r w:rsidR="76218C39">
        <w:t xml:space="preserve"> from any a</w:t>
      </w:r>
      <w:r w:rsidR="3F4375F2">
        <w:t xml:space="preserve">nthropogenic </w:t>
      </w:r>
      <w:r w:rsidR="76218C39">
        <w:t>source</w:t>
      </w:r>
      <w:r w:rsidR="56E53691">
        <w:t>.</w:t>
      </w:r>
      <w:r w:rsidR="35BD2377">
        <w:t xml:space="preserve"> This</w:t>
      </w:r>
      <w:r w:rsidR="5BC39FEB">
        <w:t xml:space="preserve"> definition encompasses all</w:t>
      </w:r>
      <w:r w:rsidR="35BD2377">
        <w:t xml:space="preserve"> cascading </w:t>
      </w:r>
      <w:r w:rsidR="5BC39FEB">
        <w:t xml:space="preserve">ecological </w:t>
      </w:r>
      <w:r w:rsidR="35BD2377">
        <w:t xml:space="preserve">effects </w:t>
      </w:r>
      <w:r w:rsidR="5BC39FEB">
        <w:t>of such an enrichment</w:t>
      </w:r>
      <w:r w:rsidR="5344FF47">
        <w:t xml:space="preserve">, </w:t>
      </w:r>
      <w:r w:rsidR="3518E8D3">
        <w:t xml:space="preserve">with </w:t>
      </w:r>
      <w:r w:rsidR="5344FF47">
        <w:t xml:space="preserve">benthic oxygen </w:t>
      </w:r>
      <w:r w:rsidR="3518E8D3">
        <w:t>depletion being a major outcome</w:t>
      </w:r>
      <w:r w:rsidR="5344FF47">
        <w:t>.</w:t>
      </w:r>
      <w:r w:rsidR="159B12C0">
        <w:t xml:space="preserve"> </w:t>
      </w:r>
      <w:r w:rsidR="3518E8D3">
        <w:t>Similar broad conceptualisations are also used by</w:t>
      </w:r>
      <w:r w:rsidR="159B12C0">
        <w:t xml:space="preserve"> </w:t>
      </w:r>
      <w:r w:rsidR="00D16EC9">
        <w:fldChar w:fldCharType="begin"/>
      </w:r>
      <w:r w:rsidR="000D210C">
        <w:instrText xml:space="preserve"> ADDIN ZOTERO_ITEM CSL_CITATION {"citationID":"nXHuPoK5","properties":{"custom":"Struijs et al. (2009)","formattedCitation":"Struijs et al. (2009)","plainCitation":"Struijs et al. (2009)","noteIndex":0},"citationItems":[{"id":28679,"uris":["http://zotero.org/users/12946250/items/BFAAFTHB"],"itemData":{"id":28679,"type":"chapter","container-title":"ReCiPe 2008 - A life cycle impact assessment method which comprises harmonised category indicators at the midpoint and the endpoint level","edition":"First edition","page":"59-67","publisher-place":"Netherlands","title":"Chapter 6: Aquatic eutrophication","author":[{"family":"Struijs","given":"J"},{"family":"Beusen","given":"A"},{"family":"Jaarsveld","given":"H","non-dropping-particle":"van"},{"family":"Huijbregts","given":"MAJ"}],"issued":{"date-parts":[["2009"]]}}}],"schema":"https://github.com/citation-style-language/schema/raw/master/csl-citation.json"} </w:instrText>
      </w:r>
      <w:r w:rsidR="00D16EC9">
        <w:fldChar w:fldCharType="separate"/>
      </w:r>
      <w:proofErr w:type="spellStart"/>
      <w:r w:rsidR="7B5251FB" w:rsidRPr="2C531CBE">
        <w:rPr>
          <w:rFonts w:cs="Times New Roman"/>
        </w:rPr>
        <w:t>Struijs</w:t>
      </w:r>
      <w:proofErr w:type="spellEnd"/>
      <w:r w:rsidR="7B5251FB" w:rsidRPr="2C531CBE">
        <w:rPr>
          <w:rFonts w:cs="Times New Roman"/>
        </w:rPr>
        <w:t xml:space="preserve"> et al. (2009)</w:t>
      </w:r>
      <w:r w:rsidR="00D16EC9">
        <w:fldChar w:fldCharType="end"/>
      </w:r>
      <w:r w:rsidR="113E5DD6">
        <w:t xml:space="preserve"> and </w:t>
      </w:r>
      <w:r w:rsidR="00D16EC9">
        <w:fldChar w:fldCharType="begin"/>
      </w:r>
      <w:r w:rsidR="000D210C">
        <w:instrText xml:space="preserve"> ADDIN ZOTERO_ITEM CSL_CITATION {"citationID":"ydvpcSmX","properties":{"custom":"Huijbregts et al. (2017)","formattedCitation":"Huijbregts et al. (2017)","plainCitation":"Huijbregts et al. (2017)","noteIndex":0},"citationItems":[{"id":29041,"uris":["http://zotero.org/users/12946250/items/8RRA2WBG"],"itemData":{"id":29041,"type":"report","publisher":"RIVM","publisher-place":"Netherlands","title":"ReCiPe 2016 v1.1: A harmonized life cycle impact assessment method at midpoint and endpoint level Report I: Characterization","author":[{"family":"Huijbregts","given":"M.A.J."},{"family":"Steinmann","given":"Z.J.N."},{"family":"Elshout","given":"P.M.F."},{"family":"Stam","given":"G."},{"family":"Verones","given":"F."},{"family":"Vieira","given":"M.D.M."},{"family":"Hollander","given":"A."},{"family":"Zijp","given":"M."},{"family":"Zelm","given":"R.","non-dropping-particle":"van"}],"issued":{"date-parts":[["2017"]]}}}],"schema":"https://github.com/citation-style-language/schema/raw/master/csl-citation.json"} </w:instrText>
      </w:r>
      <w:r w:rsidR="00D16EC9">
        <w:fldChar w:fldCharType="separate"/>
      </w:r>
      <w:proofErr w:type="spellStart"/>
      <w:r w:rsidR="40F0EB21" w:rsidRPr="2C531CBE">
        <w:rPr>
          <w:rFonts w:cs="Times New Roman"/>
        </w:rPr>
        <w:t>Huijbregts</w:t>
      </w:r>
      <w:proofErr w:type="spellEnd"/>
      <w:r w:rsidR="40F0EB21" w:rsidRPr="2C531CBE">
        <w:rPr>
          <w:rFonts w:cs="Times New Roman"/>
        </w:rPr>
        <w:t xml:space="preserve"> et al. (2017)</w:t>
      </w:r>
      <w:r w:rsidR="00D16EC9">
        <w:fldChar w:fldCharType="end"/>
      </w:r>
      <w:r w:rsidR="45EF35E1">
        <w:t>.</w:t>
      </w:r>
    </w:p>
    <w:p w14:paraId="1D3C825C" w14:textId="2A771188" w:rsidR="004A4DF0" w:rsidRDefault="004A4DF0" w:rsidP="00E230F8">
      <w:pPr>
        <w:spacing w:line="480" w:lineRule="auto"/>
      </w:pPr>
      <w:r>
        <w:t>T</w:t>
      </w:r>
      <w:r w:rsidR="00A922D9">
        <w:t>wo LCIA method</w:t>
      </w:r>
      <w:r w:rsidR="003F6292">
        <w:t xml:space="preserve"> familie</w:t>
      </w:r>
      <w:r w:rsidR="00A922D9">
        <w:t>s</w:t>
      </w:r>
      <w:r w:rsidR="0080044F">
        <w:t xml:space="preserve"> available in </w:t>
      </w:r>
      <w:proofErr w:type="spellStart"/>
      <w:r w:rsidR="0080044F">
        <w:t>ecoinvent</w:t>
      </w:r>
      <w:proofErr w:type="spellEnd"/>
      <w:r w:rsidR="00A922D9">
        <w:t xml:space="preserve"> </w:t>
      </w:r>
      <w:r w:rsidR="00080AC7">
        <w:t>treat</w:t>
      </w:r>
      <w:r w:rsidR="00A922D9" w:rsidRPr="009F61A8">
        <w:t xml:space="preserve"> </w:t>
      </w:r>
      <w:r w:rsidR="00344CBB">
        <w:t xml:space="preserve">marine eutrophication </w:t>
      </w:r>
      <w:r>
        <w:t xml:space="preserve">as a distinct impact category: </w:t>
      </w:r>
      <w:r w:rsidR="009F61A8" w:rsidRPr="009F61A8">
        <w:t>EF (v3.1)</w:t>
      </w:r>
      <w:r w:rsidR="005169BB">
        <w:t xml:space="preserve"> at</w:t>
      </w:r>
      <w:r w:rsidR="005E0511">
        <w:t xml:space="preserve"> the</w:t>
      </w:r>
      <w:r w:rsidR="005169BB">
        <w:t xml:space="preserve"> midpoint</w:t>
      </w:r>
      <w:r w:rsidR="005E0511">
        <w:t xml:space="preserve"> level</w:t>
      </w:r>
      <w:r w:rsidR="009F61A8" w:rsidRPr="009F61A8">
        <w:t xml:space="preserve"> and </w:t>
      </w:r>
      <w:proofErr w:type="spellStart"/>
      <w:r w:rsidR="009F61A8" w:rsidRPr="009F61A8">
        <w:t>ReCiPe</w:t>
      </w:r>
      <w:proofErr w:type="spellEnd"/>
      <w:r w:rsidR="009F61A8" w:rsidRPr="009F61A8">
        <w:t xml:space="preserve"> (v1.03)</w:t>
      </w:r>
      <w:r w:rsidR="005E0511">
        <w:t xml:space="preserve"> at the </w:t>
      </w:r>
      <w:r w:rsidR="002369F5">
        <w:t xml:space="preserve">midpoint and </w:t>
      </w:r>
      <w:r w:rsidR="005E0511">
        <w:t>endpoint level</w:t>
      </w:r>
      <w:r w:rsidR="00C62B22">
        <w:t>s</w:t>
      </w:r>
      <w:r>
        <w:t xml:space="preserve">. In </w:t>
      </w:r>
      <w:r w:rsidR="00AF72D4">
        <w:t xml:space="preserve">the </w:t>
      </w:r>
      <w:r>
        <w:t>EF</w:t>
      </w:r>
      <w:r w:rsidR="00AF72D4">
        <w:t xml:space="preserve"> method</w:t>
      </w:r>
      <w:r w:rsidR="003F6292">
        <w:t xml:space="preserve"> family</w:t>
      </w:r>
      <w:r>
        <w:t xml:space="preserve">, </w:t>
      </w:r>
      <w:r w:rsidR="009A4F9A">
        <w:t>CFs for</w:t>
      </w:r>
      <w:r w:rsidR="00E404E2">
        <w:t xml:space="preserve"> </w:t>
      </w:r>
      <w:r w:rsidR="00344CBB">
        <w:t xml:space="preserve">marine eutrophication </w:t>
      </w:r>
      <w:r w:rsidR="00E404E2">
        <w:t xml:space="preserve">are </w:t>
      </w:r>
      <w:r w:rsidR="00245813">
        <w:t>derived</w:t>
      </w:r>
      <w:r w:rsidR="00E404E2">
        <w:t xml:space="preserve"> from</w:t>
      </w:r>
      <w:r w:rsidR="00F26580">
        <w:t xml:space="preserve"> the </w:t>
      </w:r>
      <w:proofErr w:type="spellStart"/>
      <w:r w:rsidR="00F26580">
        <w:t>ReCiPe</w:t>
      </w:r>
      <w:proofErr w:type="spellEnd"/>
      <w:r w:rsidR="00F26580">
        <w:t xml:space="preserve"> (2008) </w:t>
      </w:r>
      <w:r w:rsidR="002A56B4">
        <w:t xml:space="preserve">midpoint </w:t>
      </w:r>
      <w:r w:rsidR="004B6193">
        <w:t>model</w:t>
      </w:r>
      <w:r w:rsidR="00894882">
        <w:t xml:space="preserve"> </w:t>
      </w:r>
      <w:r w:rsidR="00894882">
        <w:fldChar w:fldCharType="begin"/>
      </w:r>
      <w:r w:rsidR="000D210C">
        <w:instrText xml:space="preserve"> ADDIN ZOTERO_ITEM CSL_CITATION {"citationID":"1Mltfol6","properties":{"formattedCitation":"(EC-JRC 2012)","plainCitation":"(EC-JRC 2012)","noteIndex":0},"citationItems":[{"id":29010,"uris":["http://zotero.org/users/12946250/items/CGZVGEFR"],"itemData":{"id":29010,"type":"report","publisher":"European Commission, Joint Research Centre, Institute for Environment and Sustainability","publisher-place":"Luxembourg","title":"Characterisation factors of the ILCD recommended life cycle impact assessment methods. Database and supporting information","author":[{"literal":"EC-JRC"}],"issued":{"date-parts":[["2012"]]}}}],"schema":"https://github.com/citation-style-language/schema/raw/master/csl-citation.json"} </w:instrText>
      </w:r>
      <w:r w:rsidR="00894882">
        <w:fldChar w:fldCharType="separate"/>
      </w:r>
      <w:r w:rsidR="00894882" w:rsidRPr="00C046C6">
        <w:rPr>
          <w:rFonts w:cs="Times New Roman"/>
        </w:rPr>
        <w:t>(EC-JRC 2012)</w:t>
      </w:r>
      <w:r w:rsidR="00894882">
        <w:fldChar w:fldCharType="end"/>
      </w:r>
      <w:r w:rsidR="00F26580">
        <w:t xml:space="preserve">, which </w:t>
      </w:r>
      <w:r w:rsidR="00245813">
        <w:t>integrates</w:t>
      </w:r>
      <w:r w:rsidR="000853CF">
        <w:t xml:space="preserve"> the</w:t>
      </w:r>
      <w:r w:rsidR="002E4CE6">
        <w:t xml:space="preserve"> EUTREND </w:t>
      </w:r>
      <w:r w:rsidR="002E4CE6">
        <w:lastRenderedPageBreak/>
        <w:t>model</w:t>
      </w:r>
      <w:r w:rsidR="00536C42">
        <w:t xml:space="preserve"> for </w:t>
      </w:r>
      <w:r w:rsidR="00AE7229">
        <w:t xml:space="preserve">airborne </w:t>
      </w:r>
      <w:r w:rsidR="00AE7229" w:rsidRPr="00B541F8">
        <w:t>emissions</w:t>
      </w:r>
      <w:r w:rsidR="002E4CE6" w:rsidRPr="00B541F8">
        <w:t xml:space="preserve"> </w:t>
      </w:r>
      <w:r w:rsidR="000853CF" w:rsidRPr="00B541F8">
        <w:t xml:space="preserve">and </w:t>
      </w:r>
      <w:r w:rsidR="007F07E2" w:rsidRPr="00B541F8">
        <w:t>the CARMEN</w:t>
      </w:r>
      <w:r w:rsidR="00E179F1" w:rsidRPr="00B541F8">
        <w:t xml:space="preserve"> model</w:t>
      </w:r>
      <w:r w:rsidR="00281BAE" w:rsidRPr="00B541F8">
        <w:t xml:space="preserve"> </w:t>
      </w:r>
      <w:r w:rsidR="00AE7229" w:rsidRPr="00B541F8">
        <w:t xml:space="preserve">for waterborne emissions </w:t>
      </w:r>
      <w:r w:rsidR="00E127E7" w:rsidRPr="00B541F8">
        <w:t xml:space="preserve">to </w:t>
      </w:r>
      <w:r w:rsidR="00E179F1" w:rsidRPr="00B541F8">
        <w:t>estimate</w:t>
      </w:r>
      <w:r w:rsidR="00E127E7" w:rsidRPr="00B541F8">
        <w:t xml:space="preserve"> fate factors</w:t>
      </w:r>
      <w:r w:rsidR="009705DC" w:rsidRPr="00B541F8">
        <w:t xml:space="preserve"> </w:t>
      </w:r>
      <w:r w:rsidR="009705DC" w:rsidRPr="00B541F8">
        <w:fldChar w:fldCharType="begin"/>
      </w:r>
      <w:r w:rsidR="000D210C">
        <w:instrText xml:space="preserve"> ADDIN ZOTERO_ITEM CSL_CITATION {"citationID":"jFTU8THp","properties":{"formattedCitation":"(Struijs et al. 2009)","plainCitation":"(Struijs et al. 2009)","noteIndex":0},"citationItems":[{"id":28679,"uris":["http://zotero.org/users/12946250/items/BFAAFTHB"],"itemData":{"id":28679,"type":"chapter","container-title":"ReCiPe 2008 - A life cycle impact assessment method which comprises harmonised category indicators at the midpoint and the endpoint level","edition":"First edition","page":"59-67","publisher-place":"Netherlands","title":"Chapter 6: Aquatic eutrophication","author":[{"family":"Struijs","given":"J"},{"family":"Beusen","given":"A"},{"family":"Jaarsveld","given":"H","non-dropping-particle":"van"},{"family":"Huijbregts","given":"MAJ"}],"issued":{"date-parts":[["2009"]]}}}],"schema":"https://github.com/citation-style-language/schema/raw/master/csl-citation.json"} </w:instrText>
      </w:r>
      <w:r w:rsidR="009705DC" w:rsidRPr="00B541F8">
        <w:fldChar w:fldCharType="separate"/>
      </w:r>
      <w:r w:rsidR="009705DC" w:rsidRPr="00B541F8">
        <w:rPr>
          <w:rFonts w:cs="Times New Roman"/>
        </w:rPr>
        <w:t>(</w:t>
      </w:r>
      <w:proofErr w:type="spellStart"/>
      <w:r w:rsidR="009705DC" w:rsidRPr="00B541F8">
        <w:rPr>
          <w:rFonts w:cs="Times New Roman"/>
        </w:rPr>
        <w:t>Struijs</w:t>
      </w:r>
      <w:proofErr w:type="spellEnd"/>
      <w:r w:rsidR="009705DC" w:rsidRPr="00B541F8">
        <w:rPr>
          <w:rFonts w:cs="Times New Roman"/>
        </w:rPr>
        <w:t xml:space="preserve"> et al. 2009)</w:t>
      </w:r>
      <w:r w:rsidR="009705DC" w:rsidRPr="00B541F8">
        <w:fldChar w:fldCharType="end"/>
      </w:r>
      <w:r w:rsidR="009705DC" w:rsidRPr="00B541F8">
        <w:t>.</w:t>
      </w:r>
      <w:r w:rsidR="007E4A68" w:rsidRPr="00B541F8">
        <w:t xml:space="preserve"> </w:t>
      </w:r>
      <w:r w:rsidR="004F5C54" w:rsidRPr="00B541F8">
        <w:t xml:space="preserve">Nutrient fate is modelled as released from agricultural activities and reaching </w:t>
      </w:r>
      <w:r w:rsidR="00653F70" w:rsidRPr="00B541F8">
        <w:t xml:space="preserve">coastal </w:t>
      </w:r>
      <w:r w:rsidR="004F5C54" w:rsidRPr="00B541F8">
        <w:t xml:space="preserve">marine environments </w:t>
      </w:r>
      <w:r w:rsidR="00653F70" w:rsidRPr="00B541F8">
        <w:t xml:space="preserve">via soil surface and inland </w:t>
      </w:r>
      <w:r w:rsidR="00E92FA4" w:rsidRPr="00B541F8">
        <w:t>waters or via soil surface and atmosph</w:t>
      </w:r>
      <w:r w:rsidR="00E92FA4" w:rsidRPr="009F63A3">
        <w:t>eric emissions.</w:t>
      </w:r>
      <w:r w:rsidR="00600879" w:rsidRPr="009F63A3">
        <w:t xml:space="preserve"> </w:t>
      </w:r>
      <w:r w:rsidR="00577BF1" w:rsidRPr="00D74F6D">
        <w:t xml:space="preserve">The model </w:t>
      </w:r>
      <w:r w:rsidR="00DA01C4" w:rsidRPr="00D74F6D">
        <w:t xml:space="preserve">in </w:t>
      </w:r>
      <w:proofErr w:type="spellStart"/>
      <w:r w:rsidR="00DA01C4" w:rsidRPr="00D74F6D">
        <w:t>ReCiPe</w:t>
      </w:r>
      <w:proofErr w:type="spellEnd"/>
      <w:r w:rsidR="00DA01C4" w:rsidRPr="00D74F6D">
        <w:t xml:space="preserve"> </w:t>
      </w:r>
      <w:r w:rsidR="00577BF1" w:rsidRPr="00D74F6D">
        <w:t xml:space="preserve">simulates </w:t>
      </w:r>
      <w:r w:rsidR="00127819">
        <w:t xml:space="preserve">waterborne </w:t>
      </w:r>
      <w:r w:rsidR="00577BF1" w:rsidRPr="00D74F6D">
        <w:t xml:space="preserve">nutrient transport to marine coastal waters via </w:t>
      </w:r>
      <w:r w:rsidR="00132257">
        <w:t xml:space="preserve">multiple </w:t>
      </w:r>
      <w:r w:rsidR="00BB2444">
        <w:t xml:space="preserve">emission routes, including </w:t>
      </w:r>
      <w:r w:rsidR="00D74F6D" w:rsidRPr="00D74F6D">
        <w:t xml:space="preserve">direct </w:t>
      </w:r>
      <w:r w:rsidR="00BB2444">
        <w:t>discharge</w:t>
      </w:r>
      <w:r w:rsidR="00D74F6D" w:rsidRPr="00D74F6D">
        <w:t xml:space="preserve"> to marine coastal waters</w:t>
      </w:r>
      <w:r w:rsidR="00565B09">
        <w:t xml:space="preserve"> </w:t>
      </w:r>
      <w:r w:rsidR="00565B09">
        <w:fldChar w:fldCharType="begin"/>
      </w:r>
      <w:r w:rsidR="00565B09">
        <w:instrText xml:space="preserve"> ADDIN ZOTERO_ITEM CSL_CITATION {"citationID":"0o6E8K6r","properties":{"unsorted":false,"formattedCitation":"(Cosme et al. 2018)","plainCitation":"(Cosme et al. 2018)","noteIndex":0},"citationItems":[{"id":28678,"uris":["http://zotero.org/users/12946250/items/BITWEHFI"],"itemData":{"id":28678,"type":"article-journal","abstract":"Purpose Marine eutrophication impacts due to waterborne nitrogen (N) emissions may vary significantly with their type and location. The environmental fate of dissolved inorganic nitrogen (DIN) forms is essential to understand the impacts they may trigger in receiving coastal waters. Current life cycle impact assessment (LCIA) methods apply fate factors (FFs) with limited specificity of DIN emission routes, and often lack spatial differentiation and global applicability. This paper describes a newly developed method to estimate spatially explicit FFs for marine eutrophication at a global scale and river basin resolution. Methods The FFs modelling work includes DIN removal processes in both inland (soil and river) and marine compartments. Model input parameters are the removal coefficients extracted from the Global NEWS 2-DIN model and residence time of receiving coastal waters. The resulting FFs express the persistence of the fraction of the original DIN emission in the receiving coastal large marine ecosystems (LMEs). The method further discriminates three DIN emission routes, i.e. diffuse emission from soils, and direct point emissions to fresh- or marine waters. Based on modelling of individual river basins, regionally aggregated FFs are calculated as emission-weighted averages. Results and discussion Among 5772 river basins of the world, the calculated FFs show 5 orders of magnitude variation for the soil-related emission route, 3 for the river-related, and 2 for emissions to marine water. Spatial aggregation of the FFs at the continental level decreases this variation to 1 order of magnitude or less for all routes. Coastal water residence time was found to show inconsistency and scarcity of literature sources. Improvement of data quality for this parameter is suggested.","container-title":"The International Journal of Life Cycle Assessment","DOI":"10.1007/s11367-017-1349-0","ISSN":"0948-3349, 1614-7502","issue":"6","journalAbbreviation":"Int J Life Cycle Assess","language":"en","page":"1286-1296","source":"DOI.org (Crossref)","title":"Spatially explicit fate factors of waterborne nitrogen emissions at the global scale","URL":"http://link.springer.com/10.1007/s11367-017-1349-0","volume":"23","author":[{"family":"Cosme","given":"Nuno"},{"family":"Mayorga","given":"Emilio"},{"family":"Hauschild","given":"Michael Z."}],"accessed":{"date-parts":[["2025",10,2]]},"issued":{"date-parts":[["2018",6]]}}}],"schema":"https://github.com/citation-style-language/schema/raw/master/csl-citation.json"} </w:instrText>
      </w:r>
      <w:r w:rsidR="00565B09">
        <w:fldChar w:fldCharType="separate"/>
      </w:r>
      <w:r w:rsidR="00565B09" w:rsidRPr="00565B09">
        <w:rPr>
          <w:rFonts w:cs="Times New Roman"/>
        </w:rPr>
        <w:t>(Cosme et al. 2018)</w:t>
      </w:r>
      <w:r w:rsidR="00565B09">
        <w:fldChar w:fldCharType="end"/>
      </w:r>
      <w:r w:rsidR="00577BF1" w:rsidRPr="00D74F6D">
        <w:t>.</w:t>
      </w:r>
      <w:r w:rsidR="005C537A">
        <w:t xml:space="preserve"> </w:t>
      </w:r>
      <w:r w:rsidR="00B43EBB">
        <w:t>Distribution of sensitivity thresholds to hypo</w:t>
      </w:r>
      <w:r w:rsidR="00EE1801">
        <w:t xml:space="preserve">xia from marine species (fish, crustaceans, molluscs, echinoderms, annelids, and cnidarians) </w:t>
      </w:r>
      <w:r w:rsidR="00A47F9F">
        <w:t>is</w:t>
      </w:r>
      <w:r w:rsidR="00EE1801">
        <w:t xml:space="preserve"> used </w:t>
      </w:r>
      <w:r w:rsidR="00523CC0">
        <w:t>to derive the effect factors.</w:t>
      </w:r>
    </w:p>
    <w:p w14:paraId="367F5C05" w14:textId="5D150E91" w:rsidR="00F4089A" w:rsidRDefault="003D4372" w:rsidP="00E230F8">
      <w:pPr>
        <w:spacing w:line="480" w:lineRule="auto"/>
      </w:pPr>
      <w:r>
        <w:t>In b</w:t>
      </w:r>
      <w:r w:rsidR="004A4DF0">
        <w:t xml:space="preserve">oth </w:t>
      </w:r>
      <w:r w:rsidR="004B6193">
        <w:t>models</w:t>
      </w:r>
      <w:r w:rsidR="00FE6B74">
        <w:t>,</w:t>
      </w:r>
      <w:r w:rsidR="004A4DF0">
        <w:t xml:space="preserve"> </w:t>
      </w:r>
      <w:r w:rsidR="00FE6B74">
        <w:t>only</w:t>
      </w:r>
      <w:r w:rsidR="004A4DF0">
        <w:t xml:space="preserve"> N compounds are included as environmental flows,</w:t>
      </w:r>
      <w:r w:rsidR="000162FA">
        <w:t xml:space="preserve"> reflecting the assum</w:t>
      </w:r>
      <w:r w:rsidR="00895B53">
        <w:t>ption that marine waters are generally N-limited</w:t>
      </w:r>
      <w:r w:rsidR="004A4DF0">
        <w:t xml:space="preserve"> </w:t>
      </w:r>
      <w:r w:rsidR="004A4DF0">
        <w:fldChar w:fldCharType="begin"/>
      </w:r>
      <w:r w:rsidR="000D210C">
        <w:instrText xml:space="preserve"> ADDIN ZOTERO_ITEM CSL_CITATION {"citationID":"u1EpY1Qo","properties":{"formattedCitation":"(EC-JRC 2012)","plainCitation":"(EC-JRC 2012)","noteIndex":0},"citationItems":[{"id":29010,"uris":["http://zotero.org/users/12946250/items/CGZVGEFR"],"itemData":{"id":29010,"type":"report","publisher":"European Commission, Joint Research Centre, Institute for Environment and Sustainability","publisher-place":"Luxembourg","title":"Characterisation factors of the ILCD recommended life cycle impact assessment methods. Database and supporting information","author":[{"literal":"EC-JRC"}],"issued":{"date-parts":[["2012"]]}}}],"schema":"https://github.com/citation-style-language/schema/raw/master/csl-citation.json"} </w:instrText>
      </w:r>
      <w:r w:rsidR="004A4DF0">
        <w:fldChar w:fldCharType="separate"/>
      </w:r>
      <w:r w:rsidR="004A4DF0" w:rsidRPr="00C046C6">
        <w:rPr>
          <w:rFonts w:cs="Times New Roman"/>
        </w:rPr>
        <w:t>(EC-JRC 2012)</w:t>
      </w:r>
      <w:r w:rsidR="004A4DF0">
        <w:fldChar w:fldCharType="end"/>
      </w:r>
      <w:r w:rsidR="00895B53">
        <w:t>.</w:t>
      </w:r>
      <w:r w:rsidR="004A4DF0">
        <w:t xml:space="preserve"> </w:t>
      </w:r>
      <w:r w:rsidR="00895B53">
        <w:t>Accordingly, model develo</w:t>
      </w:r>
      <w:r w:rsidR="009B44F6">
        <w:t xml:space="preserve">pers have assumed </w:t>
      </w:r>
      <w:r w:rsidR="004A4DF0">
        <w:t xml:space="preserve">all coastal waters to be </w:t>
      </w:r>
      <w:r w:rsidR="009B44F6">
        <w:t>N-</w:t>
      </w:r>
      <w:r w:rsidR="004A4DF0">
        <w:t>li</w:t>
      </w:r>
      <w:r w:rsidR="009B44F6">
        <w:t>mited</w:t>
      </w:r>
      <w:r w:rsidR="004A4DF0">
        <w:t xml:space="preserve"> </w:t>
      </w:r>
      <w:r w:rsidR="004A4DF0">
        <w:fldChar w:fldCharType="begin"/>
      </w:r>
      <w:r w:rsidR="000D210C">
        <w:instrText xml:space="preserve"> ADDIN ZOTERO_ITEM CSL_CITATION {"citationID":"FId6U3TI","properties":{"formattedCitation":"(Struijs et al. 2009; Cosme et al. 2015; Huijbregts et al. 2017)","plainCitation":"(Struijs et al. 2009; Cosme et al. 2015; Huijbregts et al. 2017)","noteIndex":0},"citationItems":[{"id":28679,"uris":["http://zotero.org/users/12946250/items/BFAAFTHB"],"itemData":{"id":28679,"type":"chapter","container-title":"ReCiPe 2008 - A life cycle impact assessment method which comprises harmonised category indicators at the midpoint and the endpoint level","edition":"First edition","page":"59-67","publisher-place":"Netherlands","title":"Chapter 6: Aquatic eutrophication","author":[{"family":"Struijs","given":"J"},{"family":"Beusen","given":"A"},{"family":"Jaarsveld","given":"H","non-dropping-particle":"van"},{"family":"Huijbregts","given":"MAJ"}],"issued":{"date-parts":[["2009"]]}}},{"id":29059,"uris":["http://zotero.org/users/12946250/items/S8F4Y39M"],"itemData":{"id":29059,"type":"article-journal","abstract":"Emissions of nitrogen (N) from anthropogenic sources enrich marine waters and promote planktonic growth. This newly synthesised organic carbon is eventually exported to benthic waters where aerobic respiration by heterotrophic bacteria results in the consumption of dissolved oxygen (DO). This pathway is typical of marine eutrophication. A model is proposed to mechanistically estimate the response of coastal marine ecosystems to N inputs. It addresses the biological processes of nutrient-limited primary production (PP), metazoan consumption, and bacterial degradation, in four distinct sinking routes from primary (cell aggregates) and secondary producers (faecal pellets, carcasses, and active vertical transport). Carbon export production (PE) and ecosystems eXposure Factors (XF), which represents a nitrogen-to-oxygen ‘conversion’ potential, were estimated at a spatial resolution of 66 large marine ecosystem (LME), ﬁve climate zones, and site-generic. The XFs obtained range from 0.45 (Central Arctic Ocean) to 15.9 kg O2 kg N−1 (Baltic Sea). While LME resolution is recommended, aggregated PE or XF per climate zone can be adopted, but not global aggregation due to high variability. The XF is essential to estimate a marine eutrophication impacts indicator in Life Cycle Impact Assessment (LCIA) of anthropogenic-N emissions. Every relevant process was modelled and the uncertainty of the driving parameters considered low suggesting valid applicability in characterisation modelling in LCIA.","container-title":"Ecological Modelling","DOI":"10.1016/j.ecolmodel.2015.09.005","ISSN":"03043800","journalAbbreviation":"Ecological Modelling","language":"en","page":"50-63","source":"DOI.org (Crossref)","title":"Exposure factors for marine eutrophication impacts assessment based on a mechanistic biological model","URL":"https://linkinghub.elsevier.com/retrieve/pii/S0304380015004123","volume":"317","author":[{"family":"Cosme","given":"Nuno"},{"family":"Koski","given":"Marja"},{"family":"Hauschild","given":"Michael Z."}],"accessed":{"date-parts":[["2025",10,23]]},"issued":{"date-parts":[["2015",12]]}}},{"id":29041,"uris":["http://zotero.org/users/12946250/items/8RRA2WBG"],"itemData":{"id":29041,"type":"report","publisher":"RIVM","publisher-place":"Netherlands","title":"ReCiPe 2016 v1.1: A harmonized life cycle impact assessment method at midpoint and endpoint level Report I: Characterization","author":[{"family":"Huijbregts","given":"M.A.J."},{"family":"Steinmann","given":"Z.J.N."},{"family":"Elshout","given":"P.M.F."},{"family":"Stam","given":"G."},{"family":"Verones","given":"F."},{"family":"Vieira","given":"M.D.M."},{"family":"Hollander","given":"A."},{"family":"Zijp","given":"M."},{"family":"Zelm","given":"R.","non-dropping-particle":"van"}],"issued":{"date-parts":[["2017"]]}}}],"schema":"https://github.com/citation-style-language/schema/raw/master/csl-citation.json"} </w:instrText>
      </w:r>
      <w:r w:rsidR="004A4DF0">
        <w:fldChar w:fldCharType="separate"/>
      </w:r>
      <w:r w:rsidR="00A34E49" w:rsidRPr="00A34E49">
        <w:rPr>
          <w:rFonts w:cs="Times New Roman"/>
        </w:rPr>
        <w:t>(</w:t>
      </w:r>
      <w:proofErr w:type="spellStart"/>
      <w:r w:rsidR="00A34E49" w:rsidRPr="00A34E49">
        <w:rPr>
          <w:rFonts w:cs="Times New Roman"/>
        </w:rPr>
        <w:t>Struijs</w:t>
      </w:r>
      <w:proofErr w:type="spellEnd"/>
      <w:r w:rsidR="00A34E49" w:rsidRPr="00A34E49">
        <w:rPr>
          <w:rFonts w:cs="Times New Roman"/>
        </w:rPr>
        <w:t xml:space="preserve"> et al. 2009; Cosme et al. 2015; </w:t>
      </w:r>
      <w:proofErr w:type="spellStart"/>
      <w:r w:rsidR="00A34E49" w:rsidRPr="00A34E49">
        <w:rPr>
          <w:rFonts w:cs="Times New Roman"/>
        </w:rPr>
        <w:t>Huijbregts</w:t>
      </w:r>
      <w:proofErr w:type="spellEnd"/>
      <w:r w:rsidR="00A34E49" w:rsidRPr="00A34E49">
        <w:rPr>
          <w:rFonts w:cs="Times New Roman"/>
        </w:rPr>
        <w:t xml:space="preserve"> et al. 2017)</w:t>
      </w:r>
      <w:r w:rsidR="004A4DF0">
        <w:fldChar w:fldCharType="end"/>
      </w:r>
      <w:r w:rsidR="00A63B54">
        <w:t xml:space="preserve">. However, it is recognised that other nutrients, such as </w:t>
      </w:r>
      <w:r w:rsidR="00873F76">
        <w:t>P</w:t>
      </w:r>
      <w:r w:rsidR="00F07EBD">
        <w:t xml:space="preserve"> or </w:t>
      </w:r>
      <w:r w:rsidR="00890504">
        <w:t>D</w:t>
      </w:r>
      <w:r w:rsidR="007A7C0A">
        <w:t>Si</w:t>
      </w:r>
      <w:r w:rsidR="00F07EBD">
        <w:t>,</w:t>
      </w:r>
      <w:r w:rsidR="007A7C0A">
        <w:t xml:space="preserve"> may also exert limiting effects</w:t>
      </w:r>
      <w:r w:rsidR="00B039B5">
        <w:t>, and that co-limitation mechanisms c</w:t>
      </w:r>
      <w:r w:rsidR="007A7C0A">
        <w:t xml:space="preserve">an </w:t>
      </w:r>
      <w:r w:rsidR="00B039B5">
        <w:t>occur</w:t>
      </w:r>
      <w:r w:rsidR="00F82D5E">
        <w:t xml:space="preserve"> in marine environments</w:t>
      </w:r>
      <w:r w:rsidR="00B039B5">
        <w:t xml:space="preserve"> </w:t>
      </w:r>
      <w:r w:rsidR="00B039B5">
        <w:fldChar w:fldCharType="begin"/>
      </w:r>
      <w:r w:rsidR="005D445C">
        <w:instrText xml:space="preserve"> ADDIN ZOTERO_ITEM CSL_CITATION {"citationID":"qi7GnYiy","properties":{"formattedCitation":"(Verones et al. 2020)","plainCitation":"(Verones et al. 2020)","noteIndex":0},"citationItems":[{"id":28566,"uris":["http://zotero.org/users/12946250/items/NPGKWPSA"],"itemData":{"id":28566,"type":"article-journal","abstract":"Life cycle impact assessment (LCIA) is a lively field of research, and data and models are continuously improved in terms of impact pathways covered, reliability, and spatial detail. However, many of these advancements are scattered throughout the scientific literature, making it difficult for practitioners to apply the new models. Here, we present the LC-IMPACT method that provides characterization factors at the damage level for 11 impact categories related to three areas of protection (human health, ecosystem quality, natural resources). Human health damage is quantified as disability adjusted life years, damage to ecosystem quality as global species extinction equivalents (based on potentially disappeared fraction of species), and damage to mineral resources as kilogram of extra ore extracted. Seven of the impact categories include spatial differentiation at various levels of spatial scale. The influence of value choices related to the time horizon and the level of scientific evidence of the impacts considered is quantified with four distinct sets of characterization factors. We demonstrate the applicability of the proposed method with an illustrative life cycle assessment example of different fuel options in Europe (petrol or biofuel). Differences between generic and regionalized impacts vary up to two orders of magnitude for some of the selected impact categories, highlighting the importance of spatial detail in LCIA. This article met the requirements for a Gold-Gold JIE data openness badge described at http://jie.click/badges.","container-title":"Journal of Industrial Ecology","DOI":"10.1111/jiec.13018","ISSN":"1088-1980, 1530-9290","issue":"6","journalAbbreviation":"J of Industrial Ecology","language":"en","page":"1201-1219","source":"DOI.org (Crossref)","title":"LC‐IMPACT: A regionalized life cycle damage assessment method","title-short":"LC‐IMPACT","URL":"https://onlinelibrary.wiley.com/doi/10.1111/jiec.13018","volume":"24","author":[{"family":"Verones","given":"Francesca"},{"family":"Hellweg","given":"Stefanie"},{"family":"Antón","given":"Assumpció"},{"family":"Azevedo","given":"Ligia B."},{"family":"Chaudhary","given":"Abhishek"},{"family":"Cosme","given":"Nuno"},{"family":"Cucurachi","given":"Stefano"},{"family":"De Baan","given":"Laura"},{"family":"Dong","given":"Yan"},{"family":"Fantke","given":"Peter"},{"family":"Golsteijn","given":"Laura"},{"family":"Hauschild","given":"Michael"},{"family":"Heijungs","given":"Reinout"},{"family":"Jolliet","given":"Olivier"},{"family":"Juraske","given":"Ronnie"},{"family":"Larsen","given":"Henrik"},{"family":"Laurent","given":"Alexis"},{"family":"Mutel","given":"Christopher L."},{"family":"Margni","given":"Manuele"},{"family":"Núñez","given":"Montserrat"},{"family":"Owsianiak","given":"Mikolaj"},{"family":"Pfister","given":"Stephan"},{"family":"Ponsioen","given":"Tommie"},{"family":"Preiss","given":"Philipp"},{"family":"Rosenbaum","given":"Ralph K."},{"family":"Roy","given":"Pierre‐Olivier"},{"family":"Sala","given":"Serenella"},{"family":"Steinmann","given":"Zoran"},{"family":"Van Zelm","given":"Rosalie"},{"family":"Van Dingenen","given":"Rita"},{"family":"Vieira","given":"Marisa"},{"family":"Huijbregts","given":"Mark A. J."}],"accessed":{"date-parts":[["2025",9,24]]},"issued":{"date-parts":[["2020",12]]}}}],"schema":"https://github.com/citation-style-language/schema/raw/master/csl-citation.json"} </w:instrText>
      </w:r>
      <w:r w:rsidR="00B039B5">
        <w:fldChar w:fldCharType="separate"/>
      </w:r>
      <w:r w:rsidR="00B039B5" w:rsidRPr="00B039B5">
        <w:rPr>
          <w:rFonts w:cs="Times New Roman"/>
        </w:rPr>
        <w:t>(</w:t>
      </w:r>
      <w:proofErr w:type="spellStart"/>
      <w:r w:rsidR="00B039B5" w:rsidRPr="00B039B5">
        <w:rPr>
          <w:rFonts w:cs="Times New Roman"/>
        </w:rPr>
        <w:t>Verones</w:t>
      </w:r>
      <w:proofErr w:type="spellEnd"/>
      <w:r w:rsidR="00B039B5" w:rsidRPr="00B039B5">
        <w:rPr>
          <w:rFonts w:cs="Times New Roman"/>
        </w:rPr>
        <w:t xml:space="preserve"> et al. 2020)</w:t>
      </w:r>
      <w:r w:rsidR="00B039B5">
        <w:fldChar w:fldCharType="end"/>
      </w:r>
      <w:r w:rsidR="004A4DF0">
        <w:t>.</w:t>
      </w:r>
      <w:r w:rsidR="008B6BE5">
        <w:t xml:space="preserve"> </w:t>
      </w:r>
    </w:p>
    <w:p w14:paraId="0A249E3D" w14:textId="35916AEA" w:rsidR="00FB7D8B" w:rsidRDefault="00F82D5E" w:rsidP="00E230F8">
      <w:pPr>
        <w:spacing w:line="480" w:lineRule="auto"/>
      </w:pPr>
      <w:r>
        <w:t>In terms of</w:t>
      </w:r>
      <w:r w:rsidR="00116F8C">
        <w:t xml:space="preserve"> geographical scope, </w:t>
      </w:r>
      <w:r>
        <w:t xml:space="preserve">the EF </w:t>
      </w:r>
      <w:r w:rsidR="007E0CEC">
        <w:t>model</w:t>
      </w:r>
      <w:r>
        <w:t xml:space="preserve"> relies on</w:t>
      </w:r>
      <w:r w:rsidR="00F4089A">
        <w:t xml:space="preserve"> </w:t>
      </w:r>
      <w:r>
        <w:t>a</w:t>
      </w:r>
      <w:r w:rsidR="00F4089A">
        <w:t xml:space="preserve"> European-centred fate modelling approach </w:t>
      </w:r>
      <w:r w:rsidR="00F4089A">
        <w:fldChar w:fldCharType="begin"/>
      </w:r>
      <w:r w:rsidR="000D210C">
        <w:instrText xml:space="preserve"> ADDIN ZOTERO_ITEM CSL_CITATION {"citationID":"YI7wt0V9","properties":{"formattedCitation":"(Struijs et al. 2009)","plainCitation":"(Struijs et al. 2009)","noteIndex":0},"citationItems":[{"id":28679,"uris":["http://zotero.org/users/12946250/items/BFAAFTHB"],"itemData":{"id":28679,"type":"chapter","container-title":"ReCiPe 2008 - A life cycle impact assessment method which comprises harmonised category indicators at the midpoint and the endpoint level","edition":"First edition","page":"59-67","publisher-place":"Netherlands","title":"Chapter 6: Aquatic eutrophication","author":[{"family":"Struijs","given":"J"},{"family":"Beusen","given":"A"},{"family":"Jaarsveld","given":"H","non-dropping-particle":"van"},{"family":"Huijbregts","given":"MAJ"}],"issued":{"date-parts":[["2009"]]}}}],"schema":"https://github.com/citation-style-language/schema/raw/master/csl-citation.json"} </w:instrText>
      </w:r>
      <w:r w:rsidR="00F4089A">
        <w:fldChar w:fldCharType="separate"/>
      </w:r>
      <w:r w:rsidR="00F4089A" w:rsidRPr="009705DC">
        <w:rPr>
          <w:rFonts w:cs="Times New Roman"/>
        </w:rPr>
        <w:t>(</w:t>
      </w:r>
      <w:proofErr w:type="spellStart"/>
      <w:r w:rsidR="00F4089A" w:rsidRPr="009705DC">
        <w:rPr>
          <w:rFonts w:cs="Times New Roman"/>
        </w:rPr>
        <w:t>Struijs</w:t>
      </w:r>
      <w:proofErr w:type="spellEnd"/>
      <w:r w:rsidR="00F4089A" w:rsidRPr="009705DC">
        <w:rPr>
          <w:rFonts w:cs="Times New Roman"/>
        </w:rPr>
        <w:t xml:space="preserve"> et al. 2009)</w:t>
      </w:r>
      <w:r w:rsidR="00F4089A">
        <w:fldChar w:fldCharType="end"/>
      </w:r>
      <w:r w:rsidR="00F4089A">
        <w:t>,</w:t>
      </w:r>
      <w:r>
        <w:t xml:space="preserve"> whereas</w:t>
      </w:r>
      <w:r w:rsidR="00F4089A">
        <w:t xml:space="preserve"> the </w:t>
      </w:r>
      <w:proofErr w:type="spellStart"/>
      <w:r w:rsidR="00F4089A">
        <w:t>ReCiPe</w:t>
      </w:r>
      <w:proofErr w:type="spellEnd"/>
      <w:r w:rsidR="00F4089A">
        <w:t xml:space="preserve"> characterisation model </w:t>
      </w:r>
      <w:r w:rsidR="00480968">
        <w:t xml:space="preserve">adopts </w:t>
      </w:r>
      <w:r w:rsidR="00F4089A">
        <w:t xml:space="preserve">a global </w:t>
      </w:r>
      <w:r w:rsidR="00480968">
        <w:t>framework</w:t>
      </w:r>
      <w:r w:rsidR="00F4089A">
        <w:t xml:space="preserve">, providing both global and continent-specific CFs </w:t>
      </w:r>
      <w:r w:rsidR="00F4089A">
        <w:fldChar w:fldCharType="begin"/>
      </w:r>
      <w:r w:rsidR="000D210C">
        <w:instrText xml:space="preserve"> ADDIN ZOTERO_ITEM CSL_CITATION {"citationID":"ibo9Xkpr","properties":{"formattedCitation":"(Huijbregts et al. 2017; Cosme and Hauschild 2017; Cosme et al. 2018)","plainCitation":"(Huijbregts et al. 2017; Cosme and Hauschild 2017; Cosme et al. 2018)","noteIndex":0},"citationItems":[{"id":29041,"uris":["http://zotero.org/users/12946250/items/8RRA2WBG"],"itemData":{"id":29041,"type":"report","publisher":"RIVM","publisher-place":"Netherlands","title":"ReCiPe 2016 v1.1: A harmonized life cycle impact assessment method at midpoint and endpoint level Report I: Characterization","author":[{"family":"Huijbregts","given":"M.A.J."},{"family":"Steinmann","given":"Z.J.N."},{"family":"Elshout","given":"P.M.F."},{"family":"Stam","given":"G."},{"family":"Verones","given":"F."},{"family":"Vieira","given":"M.D.M."},{"family":"Hollander","given":"A."},{"family":"Zijp","given":"M."},{"family":"Zelm","given":"R.","non-dropping-particle":"van"}],"issued":{"date-parts":[["2017"]]}}},{"id":28996,"uris":["http://zotero.org/users/12946250/items/AMEWAEZU"],"itemData":{"id":28996,"type":"article-journal","abstract":"Purpose Current life cycle impact assessment (LCIA) methods lack a consistent and globally applicable characterization model relating nitrogen (N, as dissolved inorganic nitrogen, DIN) enrichment of coastal waters to the marine eutrophication impacts at the endpoint level. This paper introduces a method to calculate spatially explicit characterization factors (CFs) at endpoint and damage to ecosystems levels, for waterborne nitrogen emissions, reflecting their hypoxiarelated marine eutrophication impacts, modelled for 5772 river basins of the world.","container-title":"The International Journal of Life Cycle Assessment","DOI":"10.1007/s11367-017-1271-5","ISSN":"0948-3349, 1614-7502","issue":"10","journalAbbreviation":"Int J Life Cycle Assess","language":"en","page":"1558-1570","source":"DOI.org (Crossref)","title":"Characterization of waterborne nitrogen emissions for marine eutrophication modelling in life cycle impact assessment at the damage level and global scale","URL":"http://link.springer.com/10.1007/s11367-017-1271-5","volume":"22","author":[{"family":"Cosme","given":"Nuno"},{"family":"Hauschild","given":"Michael Z."}],"accessed":{"date-parts":[["2025",10,23]]},"issued":{"date-parts":[["2017",10]]}}},{"id":28678,"uris":["http://zotero.org/users/12946250/items/BITWEHFI"],"itemData":{"id":28678,"type":"article-journal","abstract":"Purpose Marine eutrophication impacts due to waterborne nitrogen (N) emissions may vary significantly with their type and location. The environmental fate of dissolved inorganic nitrogen (DIN) forms is essential to understand the impacts they may trigger in receiving coastal waters. Current life cycle impact assessment (LCIA) methods apply fate factors (FFs) with limited specificity of DIN emission routes, and often lack spatial differentiation and global applicability. This paper describes a newly developed method to estimate spatially explicit FFs for marine eutrophication at a global scale and river basin resolution. Methods The FFs modelling work includes DIN removal processes in both inland (soil and river) and marine compartments. Model input parameters are the removal coefficients extracted from the Global NEWS 2-DIN model and residence time of receiving coastal waters. The resulting FFs express the persistence of the fraction of the original DIN emission in the receiving coastal large marine ecosystems (LMEs). The method further discriminates three DIN emission routes, i.e. diffuse emission from soils, and direct point emissions to fresh- or marine waters. Based on modelling of individual river basins, regionally aggregated FFs are calculated as emission-weighted averages. Results and discussion Among 5772 river basins of the world, the calculated FFs show 5 orders of magnitude variation for the soil-related emission route, 3 for the river-related, and 2 for emissions to marine water. Spatial aggregation of the FFs at the continental level decreases this variation to 1 order of magnitude or less for all routes. Coastal water residence time was found to show inconsistency and scarcity of literature sources. Improvement of data quality for this parameter is suggested.","container-title":"The International Journal of Life Cycle Assessment","DOI":"10.1007/s11367-017-1349-0","ISSN":"0948-3349, 1614-7502","issue":"6","journalAbbreviation":"Int J Life Cycle Assess","language":"en","page":"1286-1296","source":"DOI.org (Crossref)","title":"Spatially explicit fate factors of waterborne nitrogen emissions at the global scale","URL":"http://link.springer.com/10.1007/s11367-017-1349-0","volume":"23","author":[{"family":"Cosme","given":"Nuno"},{"family":"Mayorga","given":"Emilio"},{"family":"Hauschild","given":"Michael Z."}],"accessed":{"date-parts":[["2025",10,2]]},"issued":{"date-parts":[["2018",6]]}}}],"schema":"https://github.com/citation-style-language/schema/raw/master/csl-citation.json"} </w:instrText>
      </w:r>
      <w:r w:rsidR="00F4089A">
        <w:fldChar w:fldCharType="separate"/>
      </w:r>
      <w:r w:rsidR="00F4089A" w:rsidRPr="00974FF7">
        <w:rPr>
          <w:rFonts w:cs="Times New Roman"/>
        </w:rPr>
        <w:t>(</w:t>
      </w:r>
      <w:proofErr w:type="spellStart"/>
      <w:r w:rsidR="00F4089A" w:rsidRPr="00974FF7">
        <w:rPr>
          <w:rFonts w:cs="Times New Roman"/>
        </w:rPr>
        <w:t>Huijbregts</w:t>
      </w:r>
      <w:proofErr w:type="spellEnd"/>
      <w:r w:rsidR="00F4089A" w:rsidRPr="00974FF7">
        <w:rPr>
          <w:rFonts w:cs="Times New Roman"/>
        </w:rPr>
        <w:t xml:space="preserve"> et al. 2017; Cosme and Hauschild 2017; Cosme et al. 2018)</w:t>
      </w:r>
      <w:r w:rsidR="00F4089A">
        <w:fldChar w:fldCharType="end"/>
      </w:r>
      <w:r w:rsidR="00F4089A">
        <w:t>.</w:t>
      </w:r>
      <w:r w:rsidR="00116F8C">
        <w:t xml:space="preserve"> Regarding spatial resolution </w:t>
      </w:r>
      <w:r w:rsidR="00856C56">
        <w:t>within</w:t>
      </w:r>
      <w:r w:rsidR="00116F8C">
        <w:t xml:space="preserve"> the marine environment, the</w:t>
      </w:r>
      <w:r w:rsidR="000A2537">
        <w:t xml:space="preserve"> EF</w:t>
      </w:r>
      <w:r w:rsidR="00116F8C">
        <w:t xml:space="preserve"> fate model </w:t>
      </w:r>
      <w:r w:rsidR="000A2537">
        <w:t>distinguishes</w:t>
      </w:r>
      <w:r w:rsidR="00116F8C">
        <w:t xml:space="preserve"> 41 coastal seas </w:t>
      </w:r>
      <w:r w:rsidR="00116F8C">
        <w:fldChar w:fldCharType="begin"/>
      </w:r>
      <w:r w:rsidR="000D210C">
        <w:instrText xml:space="preserve"> ADDIN ZOTERO_ITEM CSL_CITATION {"citationID":"APz2D9EH","properties":{"formattedCitation":"(Struijs et al. 2009)","plainCitation":"(Struijs et al. 2009)","noteIndex":0},"citationItems":[{"id":28679,"uris":["http://zotero.org/users/12946250/items/BFAAFTHB"],"itemData":{"id":28679,"type":"chapter","container-title":"ReCiPe 2008 - A life cycle impact assessment method which comprises harmonised category indicators at the midpoint and the endpoint level","edition":"First edition","page":"59-67","publisher-place":"Netherlands","title":"Chapter 6: Aquatic eutrophication","author":[{"family":"Struijs","given":"J"},{"family":"Beusen","given":"A"},{"family":"Jaarsveld","given":"H","non-dropping-particle":"van"},{"family":"Huijbregts","given":"MAJ"}],"issued":{"date-parts":[["2009"]]}}}],"schema":"https://github.com/citation-style-language/schema/raw/master/csl-citation.json"} </w:instrText>
      </w:r>
      <w:r w:rsidR="00116F8C">
        <w:fldChar w:fldCharType="separate"/>
      </w:r>
      <w:r w:rsidR="00116F8C" w:rsidRPr="009705DC">
        <w:rPr>
          <w:rFonts w:cs="Times New Roman"/>
        </w:rPr>
        <w:t>(</w:t>
      </w:r>
      <w:proofErr w:type="spellStart"/>
      <w:r w:rsidR="00116F8C" w:rsidRPr="009705DC">
        <w:rPr>
          <w:rFonts w:cs="Times New Roman"/>
        </w:rPr>
        <w:t>Struijs</w:t>
      </w:r>
      <w:proofErr w:type="spellEnd"/>
      <w:r w:rsidR="00116F8C" w:rsidRPr="009705DC">
        <w:rPr>
          <w:rFonts w:cs="Times New Roman"/>
        </w:rPr>
        <w:t xml:space="preserve"> et al. 2009)</w:t>
      </w:r>
      <w:r w:rsidR="00116F8C">
        <w:fldChar w:fldCharType="end"/>
      </w:r>
      <w:r w:rsidR="00DA7481">
        <w:t>, wh</w:t>
      </w:r>
      <w:r w:rsidR="000A2537">
        <w:t>ile</w:t>
      </w:r>
      <w:r w:rsidR="00197D9A">
        <w:t xml:space="preserve"> the</w:t>
      </w:r>
      <w:r w:rsidR="002D4CD0">
        <w:t xml:space="preserve"> </w:t>
      </w:r>
      <w:proofErr w:type="spellStart"/>
      <w:r w:rsidR="002D4CD0">
        <w:t>ReCiPe</w:t>
      </w:r>
      <w:proofErr w:type="spellEnd"/>
      <w:r w:rsidR="002D4CD0">
        <w:t xml:space="preserve"> </w:t>
      </w:r>
      <w:r w:rsidR="00197D9A">
        <w:t xml:space="preserve">model subdivides </w:t>
      </w:r>
      <w:r w:rsidR="002D4CD0">
        <w:t xml:space="preserve">the </w:t>
      </w:r>
      <w:r w:rsidR="00735043">
        <w:t xml:space="preserve">(coastal) </w:t>
      </w:r>
      <w:r w:rsidR="002D4CD0">
        <w:t xml:space="preserve">marine environment into 66 LMEs </w:t>
      </w:r>
      <w:r w:rsidR="002D4CD0">
        <w:fldChar w:fldCharType="begin"/>
      </w:r>
      <w:r w:rsidR="005D445C">
        <w:instrText xml:space="preserve"> ADDIN ZOTERO_ITEM CSL_CITATION {"citationID":"aQsiEzd7","properties":{"formattedCitation":"(Cosme and Hauschild 2017)","plainCitation":"(Cosme and Hauschild 2017)","noteIndex":0},"citationItems":[{"id":28996,"uris":["http://zotero.org/users/12946250/items/AMEWAEZU"],"itemData":{"id":28996,"type":"article-journal","abstract":"Purpose Current life cycle impact assessment (LCIA) methods lack a consistent and globally applicable characterization model relating nitrogen (N, as dissolved inorganic nitrogen, DIN) enrichment of coastal waters to the marine eutrophication impacts at the endpoint level. This paper introduces a method to calculate spatially explicit characterization factors (CFs) at endpoint and damage to ecosystems levels, for waterborne nitrogen emissions, reflecting their hypoxiarelated marine eutrophication impacts, modelled for 5772 river basins of the world.","container-title":"The International Journal of Life Cycle Assessment","DOI":"10.1007/s11367-017-1271-5","ISSN":"0948-3349, 1614-7502","issue":"10","journalAbbreviation":"Int J Life Cycle Assess","language":"en","page":"1558-1570","source":"DOI.org (Crossref)","title":"Characterization of waterborne nitrogen emissions for marine eutrophication modelling in life cycle impact assessment at the damage level and global scale","URL":"http://link.springer.com/10.1007/s11367-017-1271-5","volume":"22","author":[{"family":"Cosme","given":"Nuno"},{"family":"Hauschild","given":"Michael Z."}],"accessed":{"date-parts":[["2025",10,23]]},"issued":{"date-parts":[["2017",10]]}}}],"schema":"https://github.com/citation-style-language/schema/raw/master/csl-citation.json"} </w:instrText>
      </w:r>
      <w:r w:rsidR="002D4CD0">
        <w:fldChar w:fldCharType="separate"/>
      </w:r>
      <w:r w:rsidR="002D4CD0" w:rsidRPr="002D4CD0">
        <w:rPr>
          <w:rFonts w:cs="Times New Roman"/>
        </w:rPr>
        <w:t>(Cosme and Hauschild 2017)</w:t>
      </w:r>
      <w:r w:rsidR="002D4CD0">
        <w:fldChar w:fldCharType="end"/>
      </w:r>
      <w:r w:rsidR="00116F8C">
        <w:t>.</w:t>
      </w:r>
    </w:p>
    <w:p w14:paraId="6D9F03BA" w14:textId="6F4D5BC5" w:rsidR="007B76B6" w:rsidRDefault="00FB7D8B" w:rsidP="00E230F8">
      <w:pPr>
        <w:spacing w:line="480" w:lineRule="auto"/>
      </w:pPr>
      <w:r>
        <w:t>Other LCIA</w:t>
      </w:r>
      <w:r w:rsidR="0038158B">
        <w:t xml:space="preserve"> </w:t>
      </w:r>
      <w:r>
        <w:t>method</w:t>
      </w:r>
      <w:r w:rsidR="00206076">
        <w:t xml:space="preserve"> familie</w:t>
      </w:r>
      <w:r>
        <w:t>s</w:t>
      </w:r>
      <w:r w:rsidR="0038158B">
        <w:t xml:space="preserve"> </w:t>
      </w:r>
      <w:r w:rsidR="0080044F">
        <w:t xml:space="preserve">in </w:t>
      </w:r>
      <w:proofErr w:type="spellStart"/>
      <w:r w:rsidR="0080044F">
        <w:t>ecoinvent</w:t>
      </w:r>
      <w:proofErr w:type="spellEnd"/>
      <w:r w:rsidR="0080044F">
        <w:t xml:space="preserve"> </w:t>
      </w:r>
      <w:r w:rsidR="00095A0A">
        <w:t xml:space="preserve">address </w:t>
      </w:r>
      <w:r w:rsidR="00344CBB">
        <w:t xml:space="preserve">marine eutrophication </w:t>
      </w:r>
      <w:r w:rsidR="00095A0A">
        <w:t>in different ways and have</w:t>
      </w:r>
      <w:r w:rsidR="007B76B6">
        <w:t>:</w:t>
      </w:r>
    </w:p>
    <w:p w14:paraId="172BCCC8" w14:textId="36BD2CA4" w:rsidR="003C082B" w:rsidRDefault="003C082B" w:rsidP="00E230F8">
      <w:pPr>
        <w:pStyle w:val="ListParagraph"/>
        <w:numPr>
          <w:ilvl w:val="0"/>
          <w:numId w:val="28"/>
        </w:numPr>
        <w:spacing w:line="480" w:lineRule="auto"/>
      </w:pPr>
      <w:r>
        <w:t xml:space="preserve">a </w:t>
      </w:r>
      <w:r w:rsidR="0038158B">
        <w:t xml:space="preserve">marine eutrophication impact category </w:t>
      </w:r>
      <w:r>
        <w:t xml:space="preserve">that </w:t>
      </w:r>
      <w:r w:rsidR="0038158B">
        <w:t>is aggregated with other impact categor</w:t>
      </w:r>
      <w:r w:rsidR="000644C0">
        <w:t>ies</w:t>
      </w:r>
      <w:r w:rsidR="0038158B">
        <w:t xml:space="preserve"> (IMPACT World+ </w:t>
      </w:r>
      <w:r>
        <w:t>(</w:t>
      </w:r>
      <w:r w:rsidR="0038158B">
        <w:t>v2.1, footprint version</w:t>
      </w:r>
      <w:r>
        <w:t>)</w:t>
      </w:r>
      <w:r w:rsidR="0038158B">
        <w:t xml:space="preserve">). </w:t>
      </w:r>
    </w:p>
    <w:p w14:paraId="4B01FD28" w14:textId="73FAF0CC" w:rsidR="0038158B" w:rsidRDefault="0038158B" w:rsidP="00E230F8">
      <w:pPr>
        <w:pStyle w:val="ListParagraph"/>
        <w:numPr>
          <w:ilvl w:val="0"/>
          <w:numId w:val="28"/>
        </w:numPr>
        <w:spacing w:line="480" w:lineRule="auto"/>
      </w:pPr>
      <w:r>
        <w:t xml:space="preserve">aquatic eutrophication </w:t>
      </w:r>
      <w:r w:rsidR="003C082B">
        <w:t xml:space="preserve">as an impact category </w:t>
      </w:r>
      <w:r>
        <w:t xml:space="preserve">at midpoint </w:t>
      </w:r>
      <w:r w:rsidR="00B30F68">
        <w:t>level</w:t>
      </w:r>
      <w:r w:rsidR="004C0B21">
        <w:t xml:space="preserve">, focusing specifically on </w:t>
      </w:r>
      <w:r w:rsidR="00B30F68">
        <w:t>freshwater eutrophication</w:t>
      </w:r>
      <w:r>
        <w:t xml:space="preserve"> (IMPACT 2002+).</w:t>
      </w:r>
    </w:p>
    <w:p w14:paraId="575D7B78" w14:textId="6365F497" w:rsidR="000644C0" w:rsidRDefault="000644C0" w:rsidP="00E230F8">
      <w:pPr>
        <w:pStyle w:val="ListParagraph"/>
        <w:numPr>
          <w:ilvl w:val="0"/>
          <w:numId w:val="28"/>
        </w:numPr>
        <w:spacing w:line="480" w:lineRule="auto"/>
      </w:pPr>
      <w:r>
        <w:t>eutrophication as a generic impact category (CML (v4.8)</w:t>
      </w:r>
      <w:r w:rsidR="004B4F14">
        <w:t>;</w:t>
      </w:r>
      <w:r>
        <w:t xml:space="preserve"> TRACI (v2.1)</w:t>
      </w:r>
      <w:r w:rsidR="004B4F14">
        <w:t>;</w:t>
      </w:r>
      <w:r>
        <w:t xml:space="preserve"> EDIP (2003)).</w:t>
      </w:r>
    </w:p>
    <w:p w14:paraId="52738F43" w14:textId="28F1E4D1" w:rsidR="00FB2621" w:rsidRDefault="00CE3F63" w:rsidP="00E230F8">
      <w:pPr>
        <w:spacing w:line="480" w:lineRule="auto"/>
      </w:pPr>
      <w:r>
        <w:t xml:space="preserve">Three </w:t>
      </w:r>
      <w:r w:rsidR="00F71304" w:rsidRPr="00AD2DF5">
        <w:t>additional</w:t>
      </w:r>
      <w:r w:rsidR="0068102A" w:rsidRPr="00AD2DF5">
        <w:t xml:space="preserve"> </w:t>
      </w:r>
      <w:r w:rsidR="00025C40">
        <w:t>method</w:t>
      </w:r>
      <w:r w:rsidR="00206076">
        <w:t xml:space="preserve"> familie</w:t>
      </w:r>
      <w:r w:rsidR="00025C40">
        <w:t>s</w:t>
      </w:r>
      <w:r w:rsidR="0068102A" w:rsidRPr="00AD2DF5">
        <w:t xml:space="preserve"> </w:t>
      </w:r>
      <w:r w:rsidR="00F71304" w:rsidRPr="00AD2DF5">
        <w:t>not</w:t>
      </w:r>
      <w:r w:rsidR="00C14DA2">
        <w:t xml:space="preserve"> </w:t>
      </w:r>
      <w:r w:rsidR="00F71304" w:rsidRPr="00AD2DF5">
        <w:t>integrated in</w:t>
      </w:r>
      <w:r w:rsidR="00C14DA2">
        <w:t>to</w:t>
      </w:r>
      <w:r w:rsidR="00F71304" w:rsidRPr="00AD2DF5">
        <w:t xml:space="preserve"> </w:t>
      </w:r>
      <w:proofErr w:type="spellStart"/>
      <w:r w:rsidR="00A038A1">
        <w:t>e</w:t>
      </w:r>
      <w:r w:rsidR="00025C40">
        <w:t>coi</w:t>
      </w:r>
      <w:r w:rsidR="002071A8">
        <w:t>n</w:t>
      </w:r>
      <w:r w:rsidR="00025C40">
        <w:t>vent</w:t>
      </w:r>
      <w:proofErr w:type="spellEnd"/>
      <w:r w:rsidR="00721FD0">
        <w:t xml:space="preserve"> also</w:t>
      </w:r>
      <w:r w:rsidR="00F71304" w:rsidRPr="00AD2DF5">
        <w:t xml:space="preserve"> </w:t>
      </w:r>
      <w:r w:rsidR="0068102A" w:rsidRPr="00AD2DF5">
        <w:t>a</w:t>
      </w:r>
      <w:r w:rsidR="00721FD0">
        <w:t>ddres</w:t>
      </w:r>
      <w:r w:rsidR="0068102A" w:rsidRPr="00AD2DF5">
        <w:t xml:space="preserve">s </w:t>
      </w:r>
      <w:r w:rsidR="00344CBB">
        <w:t>marine eutrophication</w:t>
      </w:r>
      <w:r w:rsidR="005D3D47" w:rsidRPr="00AD2DF5">
        <w:t>:</w:t>
      </w:r>
      <w:r w:rsidR="0068102A" w:rsidRPr="00AD2DF5">
        <w:t xml:space="preserve"> </w:t>
      </w:r>
      <w:r w:rsidR="00F72278" w:rsidRPr="00AD2DF5">
        <w:t xml:space="preserve">IMPACT World+ </w:t>
      </w:r>
      <w:r w:rsidR="005D3D47" w:rsidRPr="00AD2DF5">
        <w:t>(</w:t>
      </w:r>
      <w:r w:rsidR="00F72278" w:rsidRPr="00AD2DF5">
        <w:t>v2.1</w:t>
      </w:r>
      <w:r w:rsidR="005D3D47" w:rsidRPr="00AD2DF5">
        <w:t xml:space="preserve">, </w:t>
      </w:r>
      <w:r w:rsidR="00F72278" w:rsidRPr="00AD2DF5">
        <w:t>expert version)</w:t>
      </w:r>
      <w:r w:rsidR="00114D8C">
        <w:t xml:space="preserve"> at the midpoint and endpoint level</w:t>
      </w:r>
      <w:r w:rsidR="00355824">
        <w:t>s</w:t>
      </w:r>
      <w:r w:rsidR="00114D8C">
        <w:t xml:space="preserve">, </w:t>
      </w:r>
      <w:r w:rsidR="00F72278" w:rsidRPr="00AD2DF5">
        <w:t>LC-IMPAC</w:t>
      </w:r>
      <w:r w:rsidR="00F72278" w:rsidRPr="008B079B">
        <w:t>T</w:t>
      </w:r>
      <w:r w:rsidR="007478A3" w:rsidRPr="008B079B">
        <w:t xml:space="preserve"> </w:t>
      </w:r>
      <w:r w:rsidR="00AD2DF5" w:rsidRPr="008B079B">
        <w:t xml:space="preserve">at the </w:t>
      </w:r>
      <w:r w:rsidR="003837B6" w:rsidRPr="008B079B">
        <w:t>endpoint</w:t>
      </w:r>
      <w:r w:rsidR="00AD2DF5" w:rsidRPr="008B079B">
        <w:t xml:space="preserve"> level</w:t>
      </w:r>
      <w:r w:rsidR="007478A3" w:rsidRPr="008B079B">
        <w:t>, and TRACI (v2.2) at the midpoint level</w:t>
      </w:r>
      <w:r w:rsidR="00F72278" w:rsidRPr="008B079B">
        <w:t>.</w:t>
      </w:r>
      <w:r w:rsidR="009D0C56" w:rsidRPr="008B079B">
        <w:t xml:space="preserve"> I</w:t>
      </w:r>
      <w:r w:rsidR="00B72640" w:rsidRPr="008B079B">
        <w:t xml:space="preserve">n </w:t>
      </w:r>
      <w:r w:rsidR="005D3D47" w:rsidRPr="008B079B">
        <w:t>IMPACT World</w:t>
      </w:r>
      <w:r w:rsidR="009D0C56" w:rsidRPr="008B079B">
        <w:t xml:space="preserve">+, </w:t>
      </w:r>
      <w:r w:rsidR="00344CBB">
        <w:t xml:space="preserve">marine eutrophication </w:t>
      </w:r>
      <w:r w:rsidR="00F15D12" w:rsidRPr="008B079B">
        <w:t>is</w:t>
      </w:r>
      <w:r w:rsidR="00292ABD" w:rsidRPr="008B079B">
        <w:t xml:space="preserve"> treated as</w:t>
      </w:r>
      <w:r w:rsidR="00F15D12" w:rsidRPr="008B079B">
        <w:t xml:space="preserve"> </w:t>
      </w:r>
      <w:r w:rsidR="00153444" w:rsidRPr="008B079B">
        <w:t xml:space="preserve">a </w:t>
      </w:r>
      <w:r w:rsidR="004132D0">
        <w:t>partially</w:t>
      </w:r>
      <w:r w:rsidR="004132D0" w:rsidRPr="008B079B">
        <w:t xml:space="preserve"> </w:t>
      </w:r>
      <w:r w:rsidR="00F15D12" w:rsidRPr="008B079B">
        <w:t>regionalised</w:t>
      </w:r>
      <w:r w:rsidR="00153444" w:rsidRPr="008B079B">
        <w:t xml:space="preserve"> impact category </w:t>
      </w:r>
      <w:r w:rsidR="00153444" w:rsidRPr="008B079B">
        <w:fldChar w:fldCharType="begin"/>
      </w:r>
      <w:r w:rsidR="001653A5">
        <w:instrText xml:space="preserve"> ADDIN ZOTERO_ITEM CSL_CITATION {"citationID":"AOOavjwr","properties":{"formattedCitation":"(Bulle et al. 2019)","plainCitation":"(Bulle et al. 2019)","noteIndex":0},"citationItems":[{"id":26111,"uris":["http://zotero.org/users/12946250/items/22GQXMGS"],"itemData":{"id":26111,"type":"article-journal","abstract":"Purpose This paper addresses the need for a globally regionalized method for life cycle impact assessment (LCIA), integrating multiple state-of-the-art developments as well as damages on water and carbon areas of concern within a consistent LCIA framework. This method, named IMPACT World+, is the update of the IMPACT 2002+, LUCAS, and EDIP methods. This paper first presents the IMPACT World+ novelties and results and then analyzes the spatial variability for each regionalized impact category.","container-title":"The International Journal of Life Cycle Assessment","DOI":"10.1007/s11367-019-01583-0","ISSN":"0948-3349, 1614-7502","issue":"9","journalAbbreviation":"Int J Life Cycle Assess","language":"en","page":"1653-1674","source":"DOI.org (Crossref)","title":"IMPACT World+: A globally regionalized life cycle impact assessment method","title-short":"IMPACT World+","URL":"http://link.springer.com/10.1007/s11367-019-01583-0","volume":"24","author":[{"family":"Bulle","given":"Cécile"},{"family":"Margni","given":"Manuele"},{"family":"Patouillard","given":"Laure"},{"family":"Boulay","given":"Anne-Marie"},{"family":"Bourgault","given":"Guillaume"},{"family":"De Bruille","given":"Vincent"},{"family":"Cao","given":"Viêt"},{"family":"Hauschild","given":"Michael"},{"family":"Henderson","given":"Andrew"},{"family":"Humbert","given":"Sebastien"},{"family":"Kashef-Haghighi","given":"Sormeh"},{"family":"Kounina","given":"Anna"},{"family":"Laurent","given":"Alexis"},{"family":"Levasseur","given":"Annie"},{"family":"Liard","given":"Gladys"},{"family":"Rosenbaum","given":"Ralph K."},{"family":"Roy","given":"Pierre-Olivier"},{"family":"Shaked","given":"Shanna"},{"family":"Fantke","given":"Peter"},{"family":"Jolliet","given":"Olivier"}],"accessed":{"date-parts":[["2025",7,4]]},"issued":{"date-parts":[["2019",9]]}}}],"schema":"https://github.com/citation-style-language/schema/raw/master/csl-citation.json"} </w:instrText>
      </w:r>
      <w:r w:rsidR="00153444" w:rsidRPr="008B079B">
        <w:fldChar w:fldCharType="separate"/>
      </w:r>
      <w:r w:rsidR="00153444" w:rsidRPr="008B079B">
        <w:rPr>
          <w:rFonts w:cs="Times New Roman"/>
        </w:rPr>
        <w:t>(Bulle et al. 2019)</w:t>
      </w:r>
      <w:r w:rsidR="00153444" w:rsidRPr="008B079B">
        <w:fldChar w:fldCharType="end"/>
      </w:r>
      <w:r w:rsidR="00633AA4" w:rsidRPr="008B079B">
        <w:t xml:space="preserve">, </w:t>
      </w:r>
      <w:r w:rsidR="00297E94" w:rsidRPr="008B079B">
        <w:t>relying</w:t>
      </w:r>
      <w:r w:rsidR="004F70B1">
        <w:t xml:space="preserve"> both</w:t>
      </w:r>
      <w:r w:rsidR="00297E94" w:rsidRPr="008B079B">
        <w:t xml:space="preserve"> </w:t>
      </w:r>
      <w:r w:rsidR="00633AA4" w:rsidRPr="008B079B">
        <w:t xml:space="preserve">on the </w:t>
      </w:r>
      <w:r w:rsidR="00513FFD" w:rsidRPr="008B079B">
        <w:t xml:space="preserve">fate </w:t>
      </w:r>
      <w:r w:rsidR="00633AA4" w:rsidRPr="008B079B">
        <w:t>model</w:t>
      </w:r>
      <w:r w:rsidR="00297E94" w:rsidRPr="008B079B">
        <w:t xml:space="preserve"> developed</w:t>
      </w:r>
      <w:r w:rsidR="00633AA4" w:rsidRPr="008B079B">
        <w:t xml:space="preserve"> by </w:t>
      </w:r>
      <w:r w:rsidR="003A1E86" w:rsidRPr="008B079B">
        <w:fldChar w:fldCharType="begin"/>
      </w:r>
      <w:r w:rsidR="00DF7F34">
        <w:instrText xml:space="preserve"> ADDIN ZOTERO_ITEM CSL_CITATION {"citationID":"WE1fjvi4","properties":{"custom":"Roy et al. (2012)","formattedCitation":"Roy et al. (2012)","plainCitation":"Roy et al. (2012)","noteIndex":0},"citationItems":[{"id":29062,"uris":["http://zotero.org/users/12946250/items/TJRX5H5S"],"itemData":{"id":29062,"type":"article-journal","abstract":"This paper aims to advance regional worldwide sourceereceptor relationships, providing fate factors for acidifying and eutrophying air emissions (NOx, HNO3, SO2, SO4 and NH3) to be used within life cycle impact assessment. A simulation for the reference year 2005 of the three-dimensional global scale tropospheric GEOS-Chem model was used as the basis of a novel methodological approach to derive sourceereceptor matrices (SRMs) whose elements are fate factors at a global 2 2.5 grid. This new approach makes it possible to assess the impact of transboundary emissions while maintaining regional scale emission differentiation. These 2 2.5 grid resolution fate factors were later aggregated at continental and country resolutions using emission weighting. Continental fate factor results showed that 50e70% of nitrogen oxides (NOx, HNO3) and sulfur oxides (SO2, SO4) and approximately 80% of ammonia (NH3) emissions will deposit on the same continent. Results showed that the developed fate factor derivation approach was within a 10% agreement with GEOS-Chem simulations in which fate factors were determined by withdrawing the regional emission inventory over Canada and in 50% agreement with current state-of-the-art LCIA fate factors (calculated with the European Monitoring and Evaluation Programme (EMEP) model). The SRMs outlined in this paper facilitate further modeling developments without having to run the underlying tropospheric model, thus opening the door to the assessment of the regional life cycle inventories of a global economy.","container-title":"Atmospheric Environment","DOI":"10.1016/j.atmosenv.2012.07.069","ISSN":"13522310","journalAbbreviation":"Atmos. Environ.","language":"en","license":"https://www.elsevier.com/tdm/userlicense/1.0/","page":"74-81","source":"DOI.org (Crossref)","title":"Spatially-differentiated atmospheric source–receptor relationships for nitrogen oxides, sulfur oxides and ammonia emissions at the global scale for life cycle impact assessment","URL":"https://linkinghub.elsevier.com/retrieve/pii/S1352231012007558","volume":"62","author":[{"family":"Roy","given":"Pierre-Olivier"},{"family":"Huijbregts","given":"Mark"},{"family":"Deschênes","given":"Louise"},{"family":"Margni","given":"Manuele"}],"accessed":{"date-parts":[["2025",10,24]]},"issued":{"date-parts":[["2012",12]]}}}],"schema":"https://github.com/citation-style-language/schema/raw/master/csl-citation.json"} </w:instrText>
      </w:r>
      <w:r w:rsidR="003A1E86" w:rsidRPr="008B079B">
        <w:fldChar w:fldCharType="separate"/>
      </w:r>
      <w:r w:rsidR="003A1E86" w:rsidRPr="008B079B">
        <w:rPr>
          <w:rFonts w:cs="Times New Roman"/>
        </w:rPr>
        <w:t>Roy et al. (2012)</w:t>
      </w:r>
      <w:r w:rsidR="003A1E86" w:rsidRPr="008B079B">
        <w:fldChar w:fldCharType="end"/>
      </w:r>
      <w:r w:rsidR="00834FA4" w:rsidRPr="008B079B">
        <w:t xml:space="preserve"> in which nutrients released from </w:t>
      </w:r>
      <w:r w:rsidR="00834FA4" w:rsidRPr="008B079B">
        <w:lastRenderedPageBreak/>
        <w:t xml:space="preserve">anthropogenic activities reaches </w:t>
      </w:r>
      <w:r w:rsidR="000A4CE8" w:rsidRPr="008B079B">
        <w:t>marine waters as air emissions</w:t>
      </w:r>
      <w:r w:rsidR="004F70B1">
        <w:t xml:space="preserve">, and on </w:t>
      </w:r>
      <w:r w:rsidR="00363AE8">
        <w:t xml:space="preserve">a simplified waterborne fate model in which 70% of N inputs to surface freshwater ecosystems are assumed to reach </w:t>
      </w:r>
      <w:r w:rsidR="007B1B57">
        <w:t>marine coastal waters. There is no explicit direct emission route to marine waters</w:t>
      </w:r>
      <w:r w:rsidR="00F15D12" w:rsidRPr="008B079B">
        <w:t xml:space="preserve">. </w:t>
      </w:r>
      <w:r w:rsidR="00F26C7D" w:rsidRPr="008B079B">
        <w:t>I</w:t>
      </w:r>
      <w:r w:rsidR="00B3649F" w:rsidRPr="008B079B">
        <w:t xml:space="preserve">n </w:t>
      </w:r>
      <w:r w:rsidR="00AD2DF5" w:rsidRPr="008B079B">
        <w:t>LC-IMPACT</w:t>
      </w:r>
      <w:r w:rsidR="00F14C03">
        <w:t>,</w:t>
      </w:r>
      <w:r w:rsidR="00F26C7D">
        <w:t xml:space="preserve"> </w:t>
      </w:r>
      <w:r w:rsidR="00344CBB">
        <w:t xml:space="preserve">marine eutrophication </w:t>
      </w:r>
      <w:r w:rsidR="00F26C7D">
        <w:t>is based</w:t>
      </w:r>
      <w:r w:rsidR="00F14C03">
        <w:t xml:space="preserve"> on the endpoint model </w:t>
      </w:r>
      <w:r w:rsidR="008455B3">
        <w:t>by</w:t>
      </w:r>
      <w:r w:rsidR="00F14C03">
        <w:t xml:space="preserve"> </w:t>
      </w:r>
      <w:r w:rsidR="00F14C03">
        <w:fldChar w:fldCharType="begin"/>
      </w:r>
      <w:r w:rsidR="005D445C">
        <w:instrText xml:space="preserve"> ADDIN ZOTERO_ITEM CSL_CITATION {"citationID":"z8jEGtIF","properties":{"custom":"Cosme and Hauschild (2017)","formattedCitation":"Cosme and Hauschild (2017)","plainCitation":"Cosme and Hauschild (2017)","noteIndex":0},"citationItems":[{"id":28996,"uris":["http://zotero.org/users/12946250/items/AMEWAEZU"],"itemData":{"id":28996,"type":"article-journal","abstract":"Purpose Current life cycle impact assessment (LCIA) methods lack a consistent and globally applicable characterization model relating nitrogen (N, as dissolved inorganic nitrogen, DIN) enrichment of coastal waters to the marine eutrophication impacts at the endpoint level. This paper introduces a method to calculate spatially explicit characterization factors (CFs) at endpoint and damage to ecosystems levels, for waterborne nitrogen emissions, reflecting their hypoxiarelated marine eutrophication impacts, modelled for 5772 river basins of the world.","container-title":"The International Journal of Life Cycle Assessment","DOI":"10.1007/s11367-017-1271-5","ISSN":"0948-3349, 1614-7502","issue":"10","journalAbbreviation":"Int J Life Cycle Assess","language":"en","page":"1558-1570","source":"DOI.org (Crossref)","title":"Characterization of waterborne nitrogen emissions for marine eutrophication modelling in life cycle impact assessment at the damage level and global scale","URL":"http://link.springer.com/10.1007/s11367-017-1271-5","volume":"22","author":[{"family":"Cosme","given":"Nuno"},{"family":"Hauschild","given":"Michael Z."}],"accessed":{"date-parts":[["2025",10,23]]},"issued":{"date-parts":[["2017",10]]}}}],"schema":"https://github.com/citation-style-language/schema/raw/master/csl-citation.json"} </w:instrText>
      </w:r>
      <w:r w:rsidR="00F14C03">
        <w:fldChar w:fldCharType="separate"/>
      </w:r>
      <w:r w:rsidR="00F14C03" w:rsidRPr="00106A14">
        <w:rPr>
          <w:rFonts w:cs="Times New Roman"/>
        </w:rPr>
        <w:t>Cosme and Hauschild (2017)</w:t>
      </w:r>
      <w:r w:rsidR="00F14C03">
        <w:fldChar w:fldCharType="end"/>
      </w:r>
      <w:r w:rsidR="003C0500">
        <w:t xml:space="preserve">, </w:t>
      </w:r>
      <w:r w:rsidR="008455B3">
        <w:t>sub</w:t>
      </w:r>
      <w:r w:rsidR="00712BE3">
        <w:t>divides the marine compartment in</w:t>
      </w:r>
      <w:r w:rsidR="008455B3">
        <w:t>to</w:t>
      </w:r>
      <w:r w:rsidR="00712BE3">
        <w:t xml:space="preserve"> LMEs </w:t>
      </w:r>
      <w:r w:rsidR="00786732">
        <w:fldChar w:fldCharType="begin"/>
      </w:r>
      <w:r w:rsidR="005D445C">
        <w:instrText xml:space="preserve"> ADDIN ZOTERO_ITEM CSL_CITATION {"citationID":"S7jOaB5L","properties":{"formattedCitation":"(Verones et al. 2020)","plainCitation":"(Verones et al. 2020)","noteIndex":0},"citationItems":[{"id":28566,"uris":["http://zotero.org/users/12946250/items/NPGKWPSA"],"itemData":{"id":28566,"type":"article-journal","abstract":"Life cycle impact assessment (LCIA) is a lively field of research, and data and models are continuously improved in terms of impact pathways covered, reliability, and spatial detail. However, many of these advancements are scattered throughout the scientific literature, making it difficult for practitioners to apply the new models. Here, we present the LC-IMPACT method that provides characterization factors at the damage level for 11 impact categories related to three areas of protection (human health, ecosystem quality, natural resources). Human health damage is quantified as disability adjusted life years, damage to ecosystem quality as global species extinction equivalents (based on potentially disappeared fraction of species), and damage to mineral resources as kilogram of extra ore extracted. Seven of the impact categories include spatial differentiation at various levels of spatial scale. The influence of value choices related to the time horizon and the level of scientific evidence of the impacts considered is quantified with four distinct sets of characterization factors. We demonstrate the applicability of the proposed method with an illustrative life cycle assessment example of different fuel options in Europe (petrol or biofuel). Differences between generic and regionalized impacts vary up to two orders of magnitude for some of the selected impact categories, highlighting the importance of spatial detail in LCIA. This article met the requirements for a Gold-Gold JIE data openness badge described at http://jie.click/badges.","container-title":"Journal of Industrial Ecology","DOI":"10.1111/jiec.13018","ISSN":"1088-1980, 1530-9290","issue":"6","journalAbbreviation":"J of Industrial Ecology","language":"en","page":"1201-1219","source":"DOI.org (Crossref)","title":"LC‐IMPACT: A regionalized life cycle damage assessment method","title-short":"LC‐IMPACT","URL":"https://onlinelibrary.wiley.com/doi/10.1111/jiec.13018","volume":"24","author":[{"family":"Verones","given":"Francesca"},{"family":"Hellweg","given":"Stefanie"},{"family":"Antón","given":"Assumpció"},{"family":"Azevedo","given":"Ligia B."},{"family":"Chaudhary","given":"Abhishek"},{"family":"Cosme","given":"Nuno"},{"family":"Cucurachi","given":"Stefano"},{"family":"De Baan","given":"Laura"},{"family":"Dong","given":"Yan"},{"family":"Fantke","given":"Peter"},{"family":"Golsteijn","given":"Laura"},{"family":"Hauschild","given":"Michael"},{"family":"Heijungs","given":"Reinout"},{"family":"Jolliet","given":"Olivier"},{"family":"Juraske","given":"Ronnie"},{"family":"Larsen","given":"Henrik"},{"family":"Laurent","given":"Alexis"},{"family":"Mutel","given":"Christopher L."},{"family":"Margni","given":"Manuele"},{"family":"Núñez","given":"Montserrat"},{"family":"Owsianiak","given":"Mikolaj"},{"family":"Pfister","given":"Stephan"},{"family":"Ponsioen","given":"Tommie"},{"family":"Preiss","given":"Philipp"},{"family":"Rosenbaum","given":"Ralph K."},{"family":"Roy","given":"Pierre‐Olivier"},{"family":"Sala","given":"Serenella"},{"family":"Steinmann","given":"Zoran"},{"family":"Van Zelm","given":"Rosalie"},{"family":"Van Dingenen","given":"Rita"},{"family":"Vieira","given":"Marisa"},{"family":"Huijbregts","given":"Mark A. J."}],"accessed":{"date-parts":[["2025",9,24]]},"issued":{"date-parts":[["2020",12]]}}}],"schema":"https://github.com/citation-style-language/schema/raw/master/csl-citation.json"} </w:instrText>
      </w:r>
      <w:r w:rsidR="00786732">
        <w:fldChar w:fldCharType="separate"/>
      </w:r>
      <w:r w:rsidR="00786732" w:rsidRPr="00786732">
        <w:rPr>
          <w:rFonts w:cs="Times New Roman"/>
        </w:rPr>
        <w:t>(</w:t>
      </w:r>
      <w:proofErr w:type="spellStart"/>
      <w:r w:rsidR="00786732" w:rsidRPr="00786732">
        <w:rPr>
          <w:rFonts w:cs="Times New Roman"/>
        </w:rPr>
        <w:t>Verones</w:t>
      </w:r>
      <w:proofErr w:type="spellEnd"/>
      <w:r w:rsidR="00786732" w:rsidRPr="00786732">
        <w:rPr>
          <w:rFonts w:cs="Times New Roman"/>
        </w:rPr>
        <w:t xml:space="preserve"> et al. 2020)</w:t>
      </w:r>
      <w:r w:rsidR="00786732">
        <w:fldChar w:fldCharType="end"/>
      </w:r>
      <w:r w:rsidR="003C0500">
        <w:t xml:space="preserve">, and </w:t>
      </w:r>
      <w:r w:rsidR="004D27DD">
        <w:t>covers three emission routes: N to soil, N to surface freshwater, and direct N to coastal marine waters</w:t>
      </w:r>
      <w:r w:rsidR="00712BE3">
        <w:t>.</w:t>
      </w:r>
      <w:r w:rsidR="00BD0DA0">
        <w:t xml:space="preserve"> </w:t>
      </w:r>
      <w:r w:rsidR="008455B3">
        <w:t>I</w:t>
      </w:r>
      <w:r w:rsidR="00A232C7">
        <w:t>n TRACI</w:t>
      </w:r>
      <w:r w:rsidR="008455B3">
        <w:t xml:space="preserve">, </w:t>
      </w:r>
      <w:r w:rsidR="00344CBB">
        <w:t xml:space="preserve">marine eutrophication </w:t>
      </w:r>
      <w:r w:rsidR="00A232C7">
        <w:t xml:space="preserve">is </w:t>
      </w:r>
      <w:r w:rsidR="008455B3">
        <w:t>derived from the</w:t>
      </w:r>
      <w:r w:rsidR="00A232C7">
        <w:t xml:space="preserve"> midpoint characterisation model of </w:t>
      </w:r>
      <w:r w:rsidR="00C4559B">
        <w:fldChar w:fldCharType="begin"/>
      </w:r>
      <w:r w:rsidR="005D445C">
        <w:instrText xml:space="preserve"> ADDIN ZOTERO_ITEM CSL_CITATION {"citationID":"9xA9WOII","properties":{"custom":"Henderson et al. (2021)","formattedCitation":"Henderson et al. (2021)","plainCitation":"Henderson et al. (2021)","noteIndex":0},"citationItems":[{"id":29002,"uris":["http://zotero.org/users/12946250/items/FVGEA3V8"],"itemData":{"id":29002,"type":"article-journal","abstract":"Purpose Prior versions of the Tool for Reduction and Assessment of Chemical and other environmental Impacts (TRACI) have recognized the need for spatial variability when characterizing eutrophication. However, the method’s underlying environmental models had not been updated to reflect the latest science. This new research provides the ability to differentiate locations with a high level of detail within the USA and provides global values at the country level.\nMethods In previous research (Morelli et al. 2018), the authors reviewed a broad range of domain-specific models and life cycle assessment methods for characterization of eutrophication and ranked these by levels of importance to the field and readiness for further development. The current research is rooted in the decision outcome of Morelli et al. (2018) to separate freshwater and marine eutrophication to allow for the most tailored characterization of each category individually. The current research also assumes that freshwater systems are limited by phosphorus and marine systems are limited by nitrogen. Using a combination of spatial modeling methods for soil, air, and water, we calculate midpoint characterization factors for freshwater and marine eutrophication categories and evaluate the results through a US-based case application.\nResults and discussion Maps of the nutrient inventories, characterization factors, and overall impacts of the case application illustrate the spatial variation and patterns in the results. The importance of variation in geographic location is demonstrated using nutrient-based activity likelihood categories of agricultural (rural fertilizer), non-agricultural (urban fertilizer), and general (human waste processing). Proximity to large bodies of water, as well as individual hydraulic residence times, was shown to affect the comparative values of characterization factors across the USA.\nConclusions In this paper, we have calculated and applied finely resolved freshwater and marine eutrophication characterization factors for the USA and country-level factors for the rest of the globe. Additional research is needed to provide similarly resolved characterization factors for the entire globe, which would require expansion of publicly available data and further development of applicable fate and transport models. Further scientific advances may also be considered as computing capabilities become more sophisticated and widely accessible.","container-title":"The International Journal of Life Cycle Assessment","DOI":"10.1007/s11367-021-01956-4","ISSN":"0948-3349, 1614-7502","issue":"9","journalAbbreviation":"Int J Life Cycle Assess","language":"en","page":"1832-1846","source":"DOI.org (Crossref)","title":"Modeling spatially resolved characterization factors for eutrophication potential in life cycle assessment","URL":"https://link.springer.com/10.1007/s11367-021-01956-4","volume":"26","author":[{"family":"Henderson","given":"Andrew D."},{"family":"Niblick","given":"Briana"},{"family":"Golden","given":"Heather E."},{"family":"Bare","given":"Jane C."}],"accessed":{"date-parts":[["2025",10,23]]},"issued":{"date-parts":[["2021",9]]}}}],"schema":"https://github.com/citation-style-language/schema/raw/master/csl-citation.json"} </w:instrText>
      </w:r>
      <w:r w:rsidR="00C4559B">
        <w:fldChar w:fldCharType="separate"/>
      </w:r>
      <w:r w:rsidR="00C4559B" w:rsidRPr="00C4559B">
        <w:rPr>
          <w:rFonts w:cs="Times New Roman"/>
        </w:rPr>
        <w:t>Henderson et al. (2021)</w:t>
      </w:r>
      <w:r w:rsidR="00C4559B">
        <w:fldChar w:fldCharType="end"/>
      </w:r>
      <w:r w:rsidR="00A232C7">
        <w:t>, an</w:t>
      </w:r>
      <w:r w:rsidR="00C4559B">
        <w:t xml:space="preserve">d </w:t>
      </w:r>
      <w:r w:rsidR="007E12E5">
        <w:t>provides</w:t>
      </w:r>
      <w:r w:rsidR="00C4559B">
        <w:t xml:space="preserve"> </w:t>
      </w:r>
      <w:r w:rsidR="00E630AC">
        <w:t>regionalised</w:t>
      </w:r>
      <w:r w:rsidR="00C4559B">
        <w:t xml:space="preserve"> CFs for th</w:t>
      </w:r>
      <w:r w:rsidR="003E2CBA">
        <w:t xml:space="preserve">e </w:t>
      </w:r>
      <w:r w:rsidR="00C4559B">
        <w:t>Unite</w:t>
      </w:r>
      <w:r w:rsidR="00207E44">
        <w:t>d</w:t>
      </w:r>
      <w:r w:rsidR="00C4559B">
        <w:t xml:space="preserve"> States</w:t>
      </w:r>
      <w:r w:rsidR="007E12E5">
        <w:t xml:space="preserve"> (</w:t>
      </w:r>
      <w:r w:rsidR="00E05714">
        <w:t>at state and county level</w:t>
      </w:r>
      <w:r w:rsidR="007E12E5">
        <w:t>s)</w:t>
      </w:r>
      <w:r w:rsidR="006D37EA">
        <w:t xml:space="preserve"> </w:t>
      </w:r>
      <w:r w:rsidR="00C4559B">
        <w:t>a</w:t>
      </w:r>
      <w:r w:rsidR="007E12E5">
        <w:t xml:space="preserve">s well as for </w:t>
      </w:r>
      <w:r w:rsidR="00C4559B">
        <w:t>world countries</w:t>
      </w:r>
      <w:r w:rsidR="007E12E5">
        <w:t xml:space="preserve"> (</w:t>
      </w:r>
      <w:r w:rsidR="00E05714">
        <w:t>at the country level</w:t>
      </w:r>
      <w:r w:rsidR="007E12E5">
        <w:t>)</w:t>
      </w:r>
      <w:r w:rsidR="006D37EA">
        <w:t xml:space="preserve"> </w:t>
      </w:r>
      <w:r w:rsidR="006D37EA">
        <w:fldChar w:fldCharType="begin"/>
      </w:r>
      <w:r w:rsidR="000D210C">
        <w:instrText xml:space="preserve"> ADDIN ZOTERO_ITEM CSL_CITATION {"citationID":"ikfBogj4","properties":{"formattedCitation":"(Serafini and Ciroth 2024)","plainCitation":"(Serafini and Ciroth 2024)","noteIndex":0},"citationItems":[{"id":29159,"uris":["http://zotero.org/users/12946250/items/E5IKWWJX"],"itemData":{"id":29159,"type":"report","publisher":"GreenDelta GmbH","publisher-place":"Berlin","title":"TRACI 2.2 method documentation","author":[{"family":"Serafini","given":"S."},{"family":"Ciroth","given":"A."}],"issued":{"date-parts":[["2024"]]}}}],"schema":"https://github.com/citation-style-language/schema/raw/master/csl-citation.json"} </w:instrText>
      </w:r>
      <w:r w:rsidR="006D37EA">
        <w:fldChar w:fldCharType="separate"/>
      </w:r>
      <w:r w:rsidR="006D37EA" w:rsidRPr="006D37EA">
        <w:rPr>
          <w:rFonts w:cs="Times New Roman"/>
        </w:rPr>
        <w:t xml:space="preserve">(Serafini and </w:t>
      </w:r>
      <w:proofErr w:type="spellStart"/>
      <w:r w:rsidR="006D37EA" w:rsidRPr="006D37EA">
        <w:rPr>
          <w:rFonts w:cs="Times New Roman"/>
        </w:rPr>
        <w:t>Ciroth</w:t>
      </w:r>
      <w:proofErr w:type="spellEnd"/>
      <w:r w:rsidR="006D37EA" w:rsidRPr="006D37EA">
        <w:rPr>
          <w:rFonts w:cs="Times New Roman"/>
        </w:rPr>
        <w:t xml:space="preserve"> 2024)</w:t>
      </w:r>
      <w:r w:rsidR="006D37EA">
        <w:fldChar w:fldCharType="end"/>
      </w:r>
      <w:r w:rsidR="00C4559B">
        <w:t>.</w:t>
      </w:r>
      <w:r w:rsidR="000A4CE8">
        <w:t xml:space="preserve"> </w:t>
      </w:r>
      <w:r w:rsidR="006E4CCD">
        <w:t xml:space="preserve">The fate model </w:t>
      </w:r>
      <w:r w:rsidR="00F12678">
        <w:t>accounts for</w:t>
      </w:r>
      <w:r w:rsidR="00722618">
        <w:t xml:space="preserve"> four emission routes </w:t>
      </w:r>
      <w:r w:rsidR="00D41B94">
        <w:t>by which</w:t>
      </w:r>
      <w:r w:rsidR="006E4CCD">
        <w:t xml:space="preserve"> nutrients</w:t>
      </w:r>
      <w:r w:rsidR="00F12678">
        <w:t xml:space="preserve"> from </w:t>
      </w:r>
      <w:r w:rsidR="006E4CCD">
        <w:t xml:space="preserve">human activities reach </w:t>
      </w:r>
      <w:r w:rsidR="00D41B94">
        <w:t xml:space="preserve">coastal </w:t>
      </w:r>
      <w:r w:rsidR="006E4CCD">
        <w:t>marine water</w:t>
      </w:r>
      <w:r w:rsidR="00F12678">
        <w:t>s</w:t>
      </w:r>
      <w:r w:rsidR="006E4CCD">
        <w:t xml:space="preserve"> </w:t>
      </w:r>
      <w:r w:rsidR="00F60AA3">
        <w:t>(LMEs)</w:t>
      </w:r>
      <w:r w:rsidR="00400A63">
        <w:t>:</w:t>
      </w:r>
      <w:r w:rsidR="00F60AA3">
        <w:t xml:space="preserve"> </w:t>
      </w:r>
      <w:r w:rsidR="006E4CCD">
        <w:t xml:space="preserve">either </w:t>
      </w:r>
      <w:r w:rsidR="00F12678">
        <w:t>through</w:t>
      </w:r>
      <w:r w:rsidR="001B6FE6">
        <w:t xml:space="preserve"> direct</w:t>
      </w:r>
      <w:r w:rsidR="006E4CCD">
        <w:t xml:space="preserve"> emission to </w:t>
      </w:r>
      <w:r w:rsidR="00F12678">
        <w:t>the marine environment</w:t>
      </w:r>
      <w:r w:rsidR="001B6FE6">
        <w:t xml:space="preserve"> </w:t>
      </w:r>
      <w:r w:rsidR="008C0138">
        <w:t>or indirectly</w:t>
      </w:r>
      <w:r w:rsidR="006B27BB">
        <w:t>,</w:t>
      </w:r>
      <w:r w:rsidR="008C0138">
        <w:t xml:space="preserve"> </w:t>
      </w:r>
      <w:r w:rsidR="006B27BB">
        <w:t>through</w:t>
      </w:r>
      <w:r w:rsidR="008C0138">
        <w:t xml:space="preserve"> emissions to air</w:t>
      </w:r>
      <w:r w:rsidR="006B27BB">
        <w:t xml:space="preserve"> that subsequently</w:t>
      </w:r>
      <w:r w:rsidR="002F198D">
        <w:t xml:space="preserve"> reaches marine waters or first</w:t>
      </w:r>
      <w:r w:rsidR="006B27BB">
        <w:t xml:space="preserve"> deposit on soil o</w:t>
      </w:r>
      <w:r w:rsidR="00545BB2">
        <w:t>r</w:t>
      </w:r>
      <w:r w:rsidR="006B27BB">
        <w:t xml:space="preserve"> freshwater </w:t>
      </w:r>
      <w:r w:rsidR="002F198D">
        <w:t>before ultimately entering marine waters</w:t>
      </w:r>
      <w:r w:rsidR="003F5431">
        <w:t xml:space="preserve">. </w:t>
      </w:r>
      <w:r w:rsidR="00AA01E4">
        <w:t xml:space="preserve">These </w:t>
      </w:r>
      <w:r w:rsidR="00AC6DCE">
        <w:t>three</w:t>
      </w:r>
      <w:r w:rsidR="00AA01E4">
        <w:t xml:space="preserve"> </w:t>
      </w:r>
      <w:r w:rsidR="00490F4F">
        <w:t>method families</w:t>
      </w:r>
      <w:r w:rsidR="00490F4F" w:rsidRPr="00AD2DF5">
        <w:t xml:space="preserve"> </w:t>
      </w:r>
      <w:r w:rsidR="00AA01E4">
        <w:t>only include N compounds as environmental flows</w:t>
      </w:r>
      <w:r w:rsidR="002E783F">
        <w:t>.</w:t>
      </w:r>
      <w:r w:rsidR="00BC5BC3">
        <w:t xml:space="preserve"> </w:t>
      </w:r>
    </w:p>
    <w:p w14:paraId="59F10094" w14:textId="296BDF92" w:rsidR="005705F1" w:rsidRPr="00D3766D" w:rsidRDefault="00BC5BC3" w:rsidP="00567DE4">
      <w:pPr>
        <w:spacing w:line="480" w:lineRule="auto"/>
        <w:rPr>
          <w:lang w:val="fr-FR"/>
        </w:rPr>
      </w:pPr>
      <w:r>
        <w:t xml:space="preserve">Additionally, </w:t>
      </w:r>
      <w:r w:rsidR="00FB2621">
        <w:t>a</w:t>
      </w:r>
      <w:r>
        <w:t xml:space="preserve"> </w:t>
      </w:r>
      <w:r w:rsidR="006F12E7">
        <w:t xml:space="preserve">characterisation </w:t>
      </w:r>
      <w:r>
        <w:t xml:space="preserve">model for </w:t>
      </w:r>
      <w:r w:rsidR="00344CBB">
        <w:t xml:space="preserve">marine eutrophication </w:t>
      </w:r>
      <w:r w:rsidR="00FB2621">
        <w:t xml:space="preserve">has been developed </w:t>
      </w:r>
      <w:r w:rsidR="00D3766D">
        <w:t>for Sweden</w:t>
      </w:r>
      <w:r w:rsidR="00567DE4">
        <w:t xml:space="preserve">, representing </w:t>
      </w:r>
      <w:r w:rsidR="00567DE4" w:rsidRPr="00567DE4">
        <w:rPr>
          <w:lang w:val="en-US"/>
        </w:rPr>
        <w:t xml:space="preserve">the only midpoint-level model that accounts for both N and P inputs; however, it has not yet been integrated into any LCIA method family </w:t>
      </w:r>
      <w:r w:rsidR="00567DE4">
        <w:rPr>
          <w:lang w:val="en-US"/>
        </w:rPr>
        <w:fldChar w:fldCharType="begin"/>
      </w:r>
      <w:r w:rsidR="00567DE4">
        <w:rPr>
          <w:lang w:val="en-US"/>
        </w:rPr>
        <w:instrText xml:space="preserve"> ADDIN ZOTERO_ITEM CSL_CITATION {"citationID":"ftPkTLtT","properties":{"formattedCitation":"(Henryson et al. 2018)","plainCitation":"(Henryson et al. 2018)","noteIndex":0},"citationItems":[{"id":28999,"uris":["http://zotero.org/users/12946250/items/MZMJ8IXY"],"itemData":{"id":28999,"type":"article-journal","abstract":"Purpose In life cycle assessment (LCA), eutrophication is commonly assessed using site-generic characterisation factors, despite being a site-dependent environmental impact. The purpose of this study was to improve the environmental relevance of marine eutrophication impact assessment in LCA, particularly regarding the impact assessment of waterborne nutrient emissions from Swedish agriculture.","container-title":"The International Journal of Life Cycle Assessment","DOI":"10.1007/s11367-017-1298-7","ISSN":"0948-3349, 1614-7502","issue":"1","journalAbbreviation":"Int J Life Cycle Assess","language":"en","page":"70-81","source":"DOI.org (Crossref)","title":"Spatially differentiated midpoint indicator for marine eutrophication of waterborne emissions in Sweden","URL":"http://link.springer.com/10.1007/s11367-017-1298-7","volume":"23","author":[{"family":"Henryson","given":"Kajsa"},{"family":"Hansson","given":"Per-Anders"},{"family":"Sundberg","given":"Cecilia"}],"accessed":{"date-parts":[["2025",10,23]]},"issued":{"date-parts":[["2018",1]]}}}],"schema":"https://github.com/citation-style-language/schema/raw/master/csl-citation.json"} </w:instrText>
      </w:r>
      <w:r w:rsidR="00567DE4">
        <w:rPr>
          <w:lang w:val="en-US"/>
        </w:rPr>
        <w:fldChar w:fldCharType="separate"/>
      </w:r>
      <w:r w:rsidR="00567DE4" w:rsidRPr="00567DE4">
        <w:rPr>
          <w:rFonts w:cs="Times New Roman"/>
        </w:rPr>
        <w:t>(Henryson et al. 2018)</w:t>
      </w:r>
      <w:r w:rsidR="00567DE4">
        <w:rPr>
          <w:lang w:val="en-US"/>
        </w:rPr>
        <w:fldChar w:fldCharType="end"/>
      </w:r>
      <w:r w:rsidR="00116962">
        <w:t xml:space="preserve">. </w:t>
      </w:r>
      <w:r w:rsidR="00120D9D">
        <w:t>In this model, n</w:t>
      </w:r>
      <w:r w:rsidR="00116962">
        <w:t xml:space="preserve">utrients are modelled </w:t>
      </w:r>
      <w:r w:rsidR="00700D7C">
        <w:t xml:space="preserve">to reach marine environments directly from agricultural leaching or indirectly </w:t>
      </w:r>
      <w:r w:rsidR="00120D9D">
        <w:t>through terrestrial and freshwater pathway</w:t>
      </w:r>
      <w:r w:rsidR="00232CD2">
        <w:t>s</w:t>
      </w:r>
      <w:r w:rsidR="006F12E7">
        <w:t>.</w:t>
      </w:r>
      <w:r w:rsidR="00913F76">
        <w:t xml:space="preserve"> </w:t>
      </w:r>
      <w:r w:rsidR="003F3A50">
        <w:t xml:space="preserve">For </w:t>
      </w:r>
      <w:r w:rsidR="00F96762">
        <w:t xml:space="preserve">more information of </w:t>
      </w:r>
      <w:r w:rsidR="004F3044">
        <w:t>eutrophication</w:t>
      </w:r>
      <w:r w:rsidR="00F96762">
        <w:t>-related modelling approaches,</w:t>
      </w:r>
      <w:r w:rsidR="003F3A50">
        <w:t xml:space="preserve"> </w:t>
      </w:r>
      <w:r w:rsidR="003F3A50">
        <w:fldChar w:fldCharType="begin"/>
      </w:r>
      <w:r w:rsidR="00045DD3">
        <w:instrText xml:space="preserve"> ADDIN ZOTERO_ITEM CSL_CITATION {"citationID":"TxcaMSYi","properties":{"custom":"Morelli et al. (2018)","formattedCitation":"Morelli et al. (2018)","plainCitation":"Morelli et al. (2018)","noteIndex":0},"citationItems":[{"id":28990,"uris":["http://zotero.org/users/12946250/items/ABEG6LB6"],"itemData":{"id":28990,"type":"article-journal","abstract":"This paper evaluates the current state of life cycle impact assessment (LCIA) methods used to estimate potential eutrophication impacts in freshwater and marine ecosystems and presents a critical review of the underlying surface water quality, watershed, marine, and air fate and transport (F&amp;T) models. Using a criteria rubric, we assess the potential of each method and model to contribute to further reﬁnements of life cycle assessment (LCA) eutrophication mechanisms and nutrient transformation processes as well as model structure, availability, geographic scope, and spatial and temporal resolution. We describe recent advances in LCIA modeling and provide guidance on the best available sources of fate and exposure factors, with a focus on midpoint indicators. The critical review identiﬁes gaps in LCIA characterization modeling regarding the availability and spatial resolution of fate factors in the soil compartment and identiﬁes strategies to characterize emissions from soil. Additional opportunities are identiﬁed to leverage detailed F&amp;T models that strengthen existing approaches to LCIA or that have the potential to link LCIA modeling more closely with the spatial and temporal realities of the eﬀects of eutrophication.","container-title":"Environmental Science &amp; Technology","DOI":"10.1021/acs.est.8b00967","ISSN":"0013-936X, 1520-5851","issue":"17","journalAbbreviation":"Environ. Sci. Technol.","language":"en","page":"9562-9578","source":"DOI.org (Crossref)","title":"Critical review of eutrophication models for life cycle assessment","URL":"https://pubs.acs.org/doi/10.1021/acs.est.8b00967","volume":"52","author":[{"family":"Morelli","given":"Ben"},{"family":"Hawkins","given":"Troy R."},{"family":"Niblick","given":"Briana"},{"family":"Henderson","given":"Andrew D."},{"family":"Golden","given":"Heather E."},{"family":"Compton","given":"Jana E."},{"family":"Cooter","given":"Ellen J."},{"family":"Bare","given":"Jane C."}],"accessed":{"date-parts":[["2025",10,23]]},"issued":{"date-parts":[["2018",9,4]]}}}],"schema":"https://github.com/citation-style-language/schema/raw/master/csl-citation.json"} </w:instrText>
      </w:r>
      <w:r w:rsidR="003F3A50">
        <w:fldChar w:fldCharType="separate"/>
      </w:r>
      <w:r w:rsidR="003F3A50" w:rsidRPr="003F3A50">
        <w:rPr>
          <w:rFonts w:cs="Times New Roman"/>
        </w:rPr>
        <w:t>Morelli et al. (2018)</w:t>
      </w:r>
      <w:r w:rsidR="003F3A50">
        <w:fldChar w:fldCharType="end"/>
      </w:r>
      <w:r w:rsidR="003F3A50">
        <w:t xml:space="preserve"> </w:t>
      </w:r>
      <w:r w:rsidR="00F96762">
        <w:t>conduct</w:t>
      </w:r>
      <w:r w:rsidR="003F3A50">
        <w:t>ed a critical review o</w:t>
      </w:r>
      <w:r w:rsidR="00637F22">
        <w:t xml:space="preserve">f </w:t>
      </w:r>
      <w:r w:rsidR="00A06D9A">
        <w:t>15</w:t>
      </w:r>
      <w:r w:rsidR="0063495A">
        <w:t xml:space="preserve"> </w:t>
      </w:r>
      <w:r w:rsidR="00A06D9A">
        <w:t>nutrient fate and transport models</w:t>
      </w:r>
      <w:r w:rsidR="00637F22">
        <w:t xml:space="preserve"> </w:t>
      </w:r>
      <w:r w:rsidR="004F3044">
        <w:t>relevant to</w:t>
      </w:r>
      <w:r w:rsidR="00637F22">
        <w:t xml:space="preserve"> eutrophication</w:t>
      </w:r>
      <w:r w:rsidR="004F3044">
        <w:t>, along with</w:t>
      </w:r>
      <w:r w:rsidR="0048463F">
        <w:t xml:space="preserve"> five LCIA eutrophication </w:t>
      </w:r>
      <w:r w:rsidR="007E0CEC">
        <w:t>models</w:t>
      </w:r>
      <w:r w:rsidR="00637F22">
        <w:t>.</w:t>
      </w:r>
      <w:r w:rsidR="0006129B">
        <w:t xml:space="preserve"> </w:t>
      </w:r>
      <w:r w:rsidR="002C08CB">
        <w:t>However, t</w:t>
      </w:r>
      <w:r w:rsidR="0048463F">
        <w:t>h</w:t>
      </w:r>
      <w:r w:rsidR="002C08CB">
        <w:t xml:space="preserve">is </w:t>
      </w:r>
      <w:r w:rsidR="0048463F">
        <w:t xml:space="preserve">review is not specific to </w:t>
      </w:r>
      <w:r w:rsidR="00344CBB">
        <w:t>marine eutrophication</w:t>
      </w:r>
      <w:r w:rsidR="002C08CB">
        <w:t xml:space="preserve">, </w:t>
      </w:r>
      <w:r w:rsidR="0048463F">
        <w:t xml:space="preserve">as it also </w:t>
      </w:r>
      <w:r w:rsidR="002C08CB">
        <w:t>encompasses freshwater</w:t>
      </w:r>
      <w:r w:rsidR="0048463F">
        <w:t xml:space="preserve"> eutrophication</w:t>
      </w:r>
      <w:r w:rsidR="0006129B">
        <w:t>.</w:t>
      </w:r>
    </w:p>
    <w:p w14:paraId="52FE777B" w14:textId="3BC10953" w:rsidR="003A6913" w:rsidRDefault="005705F1" w:rsidP="00E230F8">
      <w:pPr>
        <w:spacing w:line="480" w:lineRule="auto"/>
      </w:pPr>
      <w:r>
        <w:t>To address</w:t>
      </w:r>
      <w:r w:rsidR="00EF0016">
        <w:t xml:space="preserve"> </w:t>
      </w:r>
      <w:r w:rsidR="00344CBB">
        <w:t xml:space="preserve">marine eutrophication </w:t>
      </w:r>
      <w:r>
        <w:t xml:space="preserve">more directly, </w:t>
      </w:r>
      <w:r w:rsidR="0090195B">
        <w:fldChar w:fldCharType="begin"/>
      </w:r>
      <w:r w:rsidR="005D53B6">
        <w:instrText xml:space="preserve"> ADDIN ZOTERO_ITEM CSL_CITATION {"citationID":"XiaJdVNV","properties":{"custom":"Henryson et al. (2020)","formattedCitation":"Henryson et al. (2020)","plainCitation":"Henryson et al. (2020)","noteIndex":0},"citationItems":[{"id":28993,"uris":["http://zotero.org/users/12946250/items/PRMBHQZK"],"itemData":{"id":28993,"type":"article-journal","container-title":"Science of The Total Environment","DOI":"10.1016/j.scitotenv.2020.138332","ISSN":"00489697","journalAbbreviation":"Sci. Total Environ.","language":"en","page":"138332","source":"DOI.org (Crossref)","title":"Soil N2O emissions, N leaching and marine eutrophication in life cycle assessment – A comparison of modelling approaches","URL":"https://linkinghub.elsevier.com/retrieve/pii/S0048969720318453","volume":"725","author":[{"family":"Henryson","given":"Kajsa"},{"family":"Kätterer","given":"Thomas"},{"family":"Tidåker","given":"Pernilla"},{"family":"Sundberg","given":"Cecilia"}],"accessed":{"date-parts":[["2025",10,23]]},"issued":{"date-parts":[["2020",7]]}}}],"schema":"https://github.com/citation-style-language/schema/raw/master/csl-citation.json"} </w:instrText>
      </w:r>
      <w:r w:rsidR="0090195B">
        <w:fldChar w:fldCharType="separate"/>
      </w:r>
      <w:r w:rsidR="0007549C" w:rsidRPr="0007549C">
        <w:rPr>
          <w:rFonts w:cs="Times New Roman"/>
        </w:rPr>
        <w:t>Henryson et al. (2020)</w:t>
      </w:r>
      <w:r w:rsidR="0090195B">
        <w:fldChar w:fldCharType="end"/>
      </w:r>
      <w:r>
        <w:t xml:space="preserve"> has compared</w:t>
      </w:r>
      <w:r w:rsidR="00201A52">
        <w:t xml:space="preserve"> five characterisation models</w:t>
      </w:r>
      <w:r w:rsidR="009448E9">
        <w:t xml:space="preserve"> (</w:t>
      </w:r>
      <w:proofErr w:type="spellStart"/>
      <w:r w:rsidR="00247E4F">
        <w:fldChar w:fldCharType="begin"/>
      </w:r>
      <w:r w:rsidR="000D210C">
        <w:instrText xml:space="preserve"> ADDIN ZOTERO_ITEM CSL_CITATION {"citationID":"ZZmoaLhW","properties":{"custom":"Struijs et al. (2009)","formattedCitation":"Struijs et al. (2009)","plainCitation":"Struijs et al. (2009)","noteIndex":0},"citationItems":[{"id":28679,"uris":["http://zotero.org/users/12946250/items/BFAAFTHB"],"itemData":{"id":28679,"type":"chapter","container-title":"ReCiPe 2008 - A life cycle impact assessment method which comprises harmonised category indicators at the midpoint and the endpoint level","edition":"First edition","page":"59-67","publisher-place":"Netherlands","title":"Chapter 6: Aquatic eutrophication","author":[{"family":"Struijs","given":"J"},{"family":"Beusen","given":"A"},{"family":"Jaarsveld","given":"H","non-dropping-particle":"van"},{"family":"Huijbregts","given":"MAJ"}],"issued":{"date-parts":[["2009"]]}}}],"schema":"https://github.com/citation-style-language/schema/raw/master/csl-citation.json"} </w:instrText>
      </w:r>
      <w:r w:rsidR="00247E4F">
        <w:fldChar w:fldCharType="separate"/>
      </w:r>
      <w:r w:rsidR="008A7EBA" w:rsidRPr="008A7EBA">
        <w:rPr>
          <w:rFonts w:cs="Times New Roman"/>
        </w:rPr>
        <w:t>Struijs</w:t>
      </w:r>
      <w:proofErr w:type="spellEnd"/>
      <w:r w:rsidR="008A7EBA" w:rsidRPr="008A7EBA">
        <w:rPr>
          <w:rFonts w:cs="Times New Roman"/>
        </w:rPr>
        <w:t xml:space="preserve"> et al. (2009)</w:t>
      </w:r>
      <w:r w:rsidR="00247E4F">
        <w:fldChar w:fldCharType="end"/>
      </w:r>
      <w:r w:rsidR="00247E4F">
        <w:t xml:space="preserve">, </w:t>
      </w:r>
      <w:r w:rsidR="00247E4F">
        <w:fldChar w:fldCharType="begin"/>
      </w:r>
      <w:r w:rsidR="005D445C">
        <w:instrText xml:space="preserve"> ADDIN ZOTERO_ITEM CSL_CITATION {"citationID":"HEJPpHB9","properties":{"custom":"Cosme and Hauschild (2017)","formattedCitation":"Cosme and Hauschild (2017)","plainCitation":"Cosme and Hauschild (2017)","noteIndex":0},"citationItems":[{"id":28996,"uris":["http://zotero.org/users/12946250/items/AMEWAEZU"],"itemData":{"id":28996,"type":"article-journal","abstract":"Purpose Current life cycle impact assessment (LCIA) methods lack a consistent and globally applicable characterization model relating nitrogen (N, as dissolved inorganic nitrogen, DIN) enrichment of coastal waters to the marine eutrophication impacts at the endpoint level. This paper introduces a method to calculate spatially explicit characterization factors (CFs) at endpoint and damage to ecosystems levels, for waterborne nitrogen emissions, reflecting their hypoxiarelated marine eutrophication impacts, modelled for 5772 river basins of the world.","container-title":"The International Journal of Life Cycle Assessment","DOI":"10.1007/s11367-017-1271-5","ISSN":"0948-3349, 1614-7502","issue":"10","journalAbbreviation":"Int J Life Cycle Assess","language":"en","page":"1558-1570","source":"DOI.org (Crossref)","title":"Characterization of waterborne nitrogen emissions for marine eutrophication modelling in life cycle impact assessment at the damage level and global scale","URL":"http://link.springer.com/10.1007/s11367-017-1271-5","volume":"22","author":[{"family":"Cosme","given":"Nuno"},{"family":"Hauschild","given":"Michael Z."}],"accessed":{"date-parts":[["2025",10,23]]},"issued":{"date-parts":[["2017",10]]}}}],"schema":"https://github.com/citation-style-language/schema/raw/master/csl-citation.json"} </w:instrText>
      </w:r>
      <w:r w:rsidR="00247E4F">
        <w:fldChar w:fldCharType="separate"/>
      </w:r>
      <w:r w:rsidR="00247E4F" w:rsidRPr="00106A14">
        <w:rPr>
          <w:rFonts w:cs="Times New Roman"/>
        </w:rPr>
        <w:t>Cosme and Hauschild (2017)</w:t>
      </w:r>
      <w:r w:rsidR="00247E4F">
        <w:fldChar w:fldCharType="end"/>
      </w:r>
      <w:r w:rsidR="008A7EBA">
        <w:t>,</w:t>
      </w:r>
      <w:r w:rsidR="00F54EFB">
        <w:t xml:space="preserve"> </w:t>
      </w:r>
      <w:r w:rsidR="003B061A">
        <w:fldChar w:fldCharType="begin"/>
      </w:r>
      <w:r w:rsidR="003B061A">
        <w:instrText xml:space="preserve"> ADDIN ZOTERO_ITEM CSL_CITATION {"citationID":"ZO2H6AVb","properties":{"custom":"Henryson et al. (2018)","formattedCitation":"Henryson et al. (2018)","plainCitation":"Henryson et al. (2018)","noteIndex":0},"citationItems":[{"id":28999,"uris":["http://zotero.org/users/12946250/items/MZMJ8IXY"],"itemData":{"id":28999,"type":"article-journal","abstract":"Purpose In life cycle assessment (LCA), eutrophication is commonly assessed using site-generic characterisation factors, despite being a site-dependent environmental impact. The purpose of this study was to improve the environmental relevance of marine eutrophication impact assessment in LCA, particularly regarding the impact assessment of waterborne nutrient emissions from Swedish agriculture.","container-title":"The International Journal of Life Cycle Assessment","DOI":"10.1007/s11367-017-1298-7","ISSN":"0948-3349, 1614-7502","issue":"1","journalAbbreviation":"Int J Life Cycle Assess","language":"en","page":"70-81","source":"DOI.org (Crossref)","title":"Spatially differentiated midpoint indicator for marine eutrophication of waterborne emissions in Sweden","URL":"http://link.springer.com/10.1007/s11367-017-1298-7","volume":"23","author":[{"family":"Henryson","given":"Kajsa"},{"family":"Hansson","given":"Per-Anders"},{"family":"Sundberg","given":"Cecilia"}],"accessed":{"date-parts":[["2025",10,23]]},"issued":{"date-parts":[["2018",1]]}}}],"schema":"https://github.com/citation-style-language/schema/raw/master/csl-citation.json"} </w:instrText>
      </w:r>
      <w:r w:rsidR="003B061A">
        <w:fldChar w:fldCharType="separate"/>
      </w:r>
      <w:r w:rsidR="003B061A" w:rsidRPr="00C72E74">
        <w:rPr>
          <w:rFonts w:cs="Times New Roman"/>
        </w:rPr>
        <w:t>Henryson et al. (2018)</w:t>
      </w:r>
      <w:r w:rsidR="003B061A">
        <w:fldChar w:fldCharType="end"/>
      </w:r>
      <w:r w:rsidR="003B061A">
        <w:t xml:space="preserve">, </w:t>
      </w:r>
      <w:r w:rsidR="00F54EFB">
        <w:t xml:space="preserve">the model implemented in </w:t>
      </w:r>
      <w:r w:rsidR="00802019">
        <w:t xml:space="preserve">the 2008 version of </w:t>
      </w:r>
      <w:proofErr w:type="spellStart"/>
      <w:r w:rsidR="00802019">
        <w:t>ReCiPe</w:t>
      </w:r>
      <w:proofErr w:type="spellEnd"/>
      <w:r w:rsidR="00802019">
        <w:t xml:space="preserve"> </w:t>
      </w:r>
      <w:r w:rsidR="00802019">
        <w:fldChar w:fldCharType="begin"/>
      </w:r>
      <w:r w:rsidR="000D210C">
        <w:instrText xml:space="preserve"> ADDIN ZOTERO_ITEM CSL_CITATION {"citationID":"kKtS9q2j","properties":{"formattedCitation":"(Huijbregts et al. 2017)","plainCitation":"(Huijbregts et al. 2017)","noteIndex":0},"citationItems":[{"id":29041,"uris":["http://zotero.org/users/12946250/items/8RRA2WBG"],"itemData":{"id":29041,"type":"report","publisher":"RIVM","publisher-place":"Netherlands","title":"ReCiPe 2016 v1.1: A harmonized life cycle impact assessment method at midpoint and endpoint level Report I: Characterization","author":[{"family":"Huijbregts","given":"M.A.J."},{"family":"Steinmann","given":"Z.J.N."},{"family":"Elshout","given":"P.M.F."},{"family":"Stam","given":"G."},{"family":"Verones","given":"F."},{"family":"Vieira","given":"M.D.M."},{"family":"Hollander","given":"A."},{"family":"Zijp","given":"M."},{"family":"Zelm","given":"R.","non-dropping-particle":"van"}],"issued":{"date-parts":[["2017"]]}}}],"schema":"https://github.com/citation-style-language/schema/raw/master/csl-citation.json"} </w:instrText>
      </w:r>
      <w:r w:rsidR="00802019">
        <w:fldChar w:fldCharType="separate"/>
      </w:r>
      <w:r w:rsidR="00802019" w:rsidRPr="00802019">
        <w:rPr>
          <w:rFonts w:cs="Times New Roman"/>
        </w:rPr>
        <w:t>(</w:t>
      </w:r>
      <w:proofErr w:type="spellStart"/>
      <w:r w:rsidR="00802019" w:rsidRPr="00802019">
        <w:rPr>
          <w:rFonts w:cs="Times New Roman"/>
        </w:rPr>
        <w:t>Huijbregts</w:t>
      </w:r>
      <w:proofErr w:type="spellEnd"/>
      <w:r w:rsidR="00802019" w:rsidRPr="00802019">
        <w:rPr>
          <w:rFonts w:cs="Times New Roman"/>
        </w:rPr>
        <w:t xml:space="preserve"> et al. 2017)</w:t>
      </w:r>
      <w:r w:rsidR="00802019">
        <w:fldChar w:fldCharType="end"/>
      </w:r>
      <w:r w:rsidR="002F76FF">
        <w:t xml:space="preserve">, and the </w:t>
      </w:r>
      <w:r w:rsidR="00355824">
        <w:t xml:space="preserve">midpoint </w:t>
      </w:r>
      <w:r w:rsidR="002F76FF">
        <w:t>model implemented in the CML method</w:t>
      </w:r>
      <w:r w:rsidR="0062319D">
        <w:t xml:space="preserve"> family</w:t>
      </w:r>
      <w:r w:rsidR="002F76FF">
        <w:t xml:space="preserve"> </w:t>
      </w:r>
      <w:r w:rsidR="002F76FF">
        <w:fldChar w:fldCharType="begin"/>
      </w:r>
      <w:r w:rsidR="002F76FF">
        <w:instrText xml:space="preserve"> ADDIN ZOTERO_ITEM CSL_CITATION {"citationID":"qwyZO771","properties":{"formattedCitation":"(Guin\\uc0\\u233{}e 2002)","plainCitation":"(Guinée 2002)","noteIndex":0},"citationItems":[{"id":9347,"uris":["http://zotero.org/users/12946250/items/GJ5MKBDB"],"itemData":{"id":9347,"type":"book","number-of-pages":"692","publisher":"Springer Science &amp; Business Media","title":"Handbook on Life Cycle Assessment: Operational guide to the ISO standards","volume":"7","author":[{"family":"Guinée","given":"Jeroen"}],"issued":{"date-parts":[["2002"]]}}}],"schema":"https://github.com/citation-style-language/schema/raw/master/csl-citation.json"} </w:instrText>
      </w:r>
      <w:r w:rsidR="002F76FF">
        <w:fldChar w:fldCharType="separate"/>
      </w:r>
      <w:r w:rsidR="002F76FF" w:rsidRPr="00247E4F">
        <w:rPr>
          <w:rFonts w:cs="Times New Roman"/>
          <w:kern w:val="0"/>
        </w:rPr>
        <w:t>(</w:t>
      </w:r>
      <w:proofErr w:type="spellStart"/>
      <w:r w:rsidR="002F76FF" w:rsidRPr="00247E4F">
        <w:rPr>
          <w:rFonts w:cs="Times New Roman"/>
          <w:kern w:val="0"/>
        </w:rPr>
        <w:t>Guinée</w:t>
      </w:r>
      <w:proofErr w:type="spellEnd"/>
      <w:r w:rsidR="002F76FF" w:rsidRPr="00247E4F">
        <w:rPr>
          <w:rFonts w:cs="Times New Roman"/>
          <w:kern w:val="0"/>
        </w:rPr>
        <w:t xml:space="preserve"> 2002)</w:t>
      </w:r>
      <w:r w:rsidR="002F76FF">
        <w:fldChar w:fldCharType="end"/>
      </w:r>
      <w:r w:rsidR="00201A52">
        <w:t>)</w:t>
      </w:r>
      <w:r w:rsidR="00263F25">
        <w:t>. Their</w:t>
      </w:r>
      <w:r w:rsidR="006239C3">
        <w:t xml:space="preserve"> case</w:t>
      </w:r>
      <w:r w:rsidR="00263F25">
        <w:t xml:space="preserve"> study shows that</w:t>
      </w:r>
      <w:r w:rsidR="00E152FA">
        <w:t xml:space="preserve"> </w:t>
      </w:r>
      <w:r w:rsidR="00344CBB">
        <w:t xml:space="preserve">marine eutrophication </w:t>
      </w:r>
      <w:r w:rsidR="00263F25">
        <w:t>results</w:t>
      </w:r>
      <w:r w:rsidR="00E152FA">
        <w:t xml:space="preserve"> can</w:t>
      </w:r>
      <w:r w:rsidR="00263F25">
        <w:t xml:space="preserve"> </w:t>
      </w:r>
      <w:r w:rsidR="001537B2">
        <w:t>vary</w:t>
      </w:r>
      <w:r w:rsidR="00263F25">
        <w:t xml:space="preserve"> </w:t>
      </w:r>
      <w:r w:rsidR="00E152FA">
        <w:t>up to</w:t>
      </w:r>
      <w:r w:rsidR="00263F25">
        <w:t xml:space="preserve"> an order of magnitude</w:t>
      </w:r>
      <w:r w:rsidR="00E152FA">
        <w:t>,</w:t>
      </w:r>
      <w:r w:rsidR="00263F25">
        <w:t xml:space="preserve"> depending on the model chosen</w:t>
      </w:r>
      <w:r w:rsidR="00E152FA">
        <w:t xml:space="preserve">. </w:t>
      </w:r>
      <w:r w:rsidR="00EB53EA">
        <w:t xml:space="preserve">This variability stems from </w:t>
      </w:r>
      <w:r w:rsidR="00F976D8">
        <w:t xml:space="preserve">a trade-off </w:t>
      </w:r>
      <w:r w:rsidR="00EB53EA">
        <w:t>between</w:t>
      </w:r>
      <w:r w:rsidR="00F976D8">
        <w:t xml:space="preserve"> </w:t>
      </w:r>
      <w:r w:rsidR="00EB53EA">
        <w:t>wide</w:t>
      </w:r>
      <w:r w:rsidR="001A3865">
        <w:t xml:space="preserve"> geographical coverage and accurate representation of </w:t>
      </w:r>
      <w:r w:rsidR="00DE12F7">
        <w:t>local</w:t>
      </w:r>
      <w:r w:rsidR="003A6913">
        <w:t xml:space="preserve"> environment</w:t>
      </w:r>
      <w:r w:rsidR="00DE12F7">
        <w:t xml:space="preserve"> conditions</w:t>
      </w:r>
      <w:r w:rsidR="003A6913">
        <w:t xml:space="preserve"> within the models</w:t>
      </w:r>
      <w:r w:rsidR="00263F25">
        <w:t>.</w:t>
      </w:r>
      <w:r w:rsidR="00EF0016">
        <w:t xml:space="preserve"> </w:t>
      </w:r>
    </w:p>
    <w:p w14:paraId="6830468D" w14:textId="6E7A66C9" w:rsidR="00383A4E" w:rsidRDefault="003A6913" w:rsidP="00E230F8">
      <w:pPr>
        <w:spacing w:line="480" w:lineRule="auto"/>
      </w:pPr>
      <w:r>
        <w:t>More recentl</w:t>
      </w:r>
      <w:r w:rsidR="0031795F">
        <w:t xml:space="preserve">y, </w:t>
      </w:r>
      <w:r w:rsidR="0031795F">
        <w:fldChar w:fldCharType="begin"/>
      </w:r>
      <w:r w:rsidR="00DF7F34">
        <w:instrText xml:space="preserve"> ADDIN ZOTERO_ITEM CSL_CITATION {"citationID":"O475VVdB","properties":{"custom":"Vea et al. (2024)","formattedCitation":"Vea et al. (2024)","plainCitation":"Vea et al. (2024)","noteIndex":0},"citationItems":[{"id":11363,"uris":["http://zotero.org/users/12946250/items/QU8SF422"],"itemData":{"id":11363,"type":"article-journal","abstract":"Purpose  Nitrogen emissions from human activities are contributing to elevated levels of eutrophication in coastal ecosystems. Mechanisms involved in marine eutrophication show strong geographical variation. Existing life cycle impact assessment (LCIA) and absolute environmental sustainability assessment (AESA) methods for marine eutrophication do not adequately represent this variability, do not have a full global coverage, and suffer from other limitations, such as poor estimation of coastal residence times. This study aims to advance LCIA and AESA for marine eutrophication.\nMethods  We aligned and combined recent advancements in marine eutrophication LCIA and AESA methods into one method. By re-running models underlying the combined methods and incorporating additional data sources, we included marine regions missing in previous methods and improved fate modeling, with the inclusion of denitrification and plant uptake in the air emission-terrestrial deposition pathway. To demonstrate and validate our method, we applied it in a case study.\nResults  The developed method allows the assessment of marine eutrophication impacts from emissions to soil, freshwater, and air at high resolution (0.083° and 2° × 2.5° for inland and air emissions, respectively) and spatial coverage (all ice-free global continents). In the case study, we demonstrate the added value of our method by showing that the now quantified spatial variability within spatial units, e.g., river basins, can be large and have a strong influence on the modeled marine eutrophication from the case study. Compared to existing methods, our method identifies larger occupations of safe operating space for marine eutrophication, mainly due to the high resolution of the coastal compartment, reflecting a more realistic areal extent of marine eutrophication impacts.\nConclusions  Although limited by factors such as simulations based on a single reference year for modeling inland and air fate, our method is readily applicable to assess the marine eutrophication impact of nitrogen emitted to any environmental compartment and relate it to the safe operating space. With substantial advancement of existing approaches, our method improves the basis for decision-making for managing nitrogen and reducing emissions to levels within the safe operating space.","container-title":"The International Journal of Life Cycle Assessment","DOI":"10.1007/s11367-024-02311-z","ISSN":"0948-3349, 1614-7502","journalAbbreviation":"Int. J. Life Cycle Assess.","language":"en","page":"1738-1755","source":"DOI.org (Crossref)","title":"Enabling comprehensive assessment of marine eutrophication impacts and their evaluation against regional safe operating space","URL":"https://link.springer.com/10.1007/s11367-024-02311-z","volume":"29","author":[{"family":"Vea","given":"Eldbjørg Blikra"},{"family":"Jwaideh","given":"Mark"},{"family":"Richardson","given":"Katherine"},{"family":"Ryberg","given":"Morten"},{"family":"Bjørn","given":"Anders"},{"family":"Hauschild","given":"Michael"}],"accessed":{"date-parts":[["2024",5,7]]},"issued":{"date-parts":[["2024",5,4]]}}}],"schema":"https://github.com/citation-style-language/schema/raw/master/csl-citation.json"} </w:instrText>
      </w:r>
      <w:r w:rsidR="0031795F">
        <w:fldChar w:fldCharType="separate"/>
      </w:r>
      <w:r w:rsidR="0031795F" w:rsidRPr="0031795F">
        <w:rPr>
          <w:rFonts w:cs="Times New Roman"/>
        </w:rPr>
        <w:t>Vea et al. (2024)</w:t>
      </w:r>
      <w:r w:rsidR="0031795F">
        <w:fldChar w:fldCharType="end"/>
      </w:r>
      <w:r w:rsidR="00037731">
        <w:t xml:space="preserve"> </w:t>
      </w:r>
      <w:r w:rsidR="00FE0397">
        <w:t>integrat</w:t>
      </w:r>
      <w:r w:rsidR="00037731">
        <w:t xml:space="preserve">ed the latest </w:t>
      </w:r>
      <w:r w:rsidR="00FE0397">
        <w:t>advances</w:t>
      </w:r>
      <w:r w:rsidR="00037731">
        <w:t xml:space="preserve"> in both </w:t>
      </w:r>
      <w:r w:rsidR="00221805">
        <w:t xml:space="preserve">LCIA and absolute environmental sustainability assessment </w:t>
      </w:r>
      <w:r w:rsidR="00FE0397">
        <w:t>frameworks</w:t>
      </w:r>
      <w:r w:rsidR="00221805">
        <w:t xml:space="preserve"> into a </w:t>
      </w:r>
      <w:r w:rsidR="00FE0397" w:rsidRPr="00A3391E">
        <w:t>unified</w:t>
      </w:r>
      <w:r w:rsidR="00221805" w:rsidRPr="00A3391E">
        <w:t xml:space="preserve"> method.</w:t>
      </w:r>
      <w:r w:rsidR="00E3577A" w:rsidRPr="00A3391E">
        <w:t xml:space="preserve"> Th</w:t>
      </w:r>
      <w:r w:rsidR="00A62894" w:rsidRPr="00A3391E">
        <w:t>is</w:t>
      </w:r>
      <w:r w:rsidR="00E3577A" w:rsidRPr="00A3391E">
        <w:t xml:space="preserve"> </w:t>
      </w:r>
      <w:r w:rsidR="0010676D" w:rsidRPr="00A3391E">
        <w:t>new approach</w:t>
      </w:r>
      <w:r w:rsidR="00E3577A" w:rsidRPr="00A3391E">
        <w:t xml:space="preserve"> </w:t>
      </w:r>
      <w:r w:rsidR="0010676D" w:rsidRPr="00A3391E">
        <w:t>improves</w:t>
      </w:r>
      <w:r w:rsidR="003E4896" w:rsidRPr="00A3391E">
        <w:t xml:space="preserve"> the spatial resolution of the marine (coastal) compartment by incorporating previously </w:t>
      </w:r>
      <w:r w:rsidR="008D0ED7" w:rsidRPr="00A3391E">
        <w:t>omitted marine regions</w:t>
      </w:r>
      <w:r w:rsidR="00E3577A" w:rsidRPr="00A3391E">
        <w:t xml:space="preserve"> and </w:t>
      </w:r>
      <w:r w:rsidR="008D0ED7" w:rsidRPr="00A3391E">
        <w:t>enhances</w:t>
      </w:r>
      <w:r w:rsidR="00E3577A" w:rsidRPr="00A3391E">
        <w:t xml:space="preserve"> the fate model by including</w:t>
      </w:r>
      <w:r w:rsidR="00A90A4F" w:rsidRPr="00A3391E">
        <w:t xml:space="preserve"> </w:t>
      </w:r>
      <w:r w:rsidR="00A90A4F" w:rsidRPr="00A3391E">
        <w:lastRenderedPageBreak/>
        <w:t>denitrification and plant uptake mechanisms</w:t>
      </w:r>
      <w:r w:rsidR="00E3577A" w:rsidRPr="00A3391E">
        <w:t xml:space="preserve"> in the pathway </w:t>
      </w:r>
      <w:r w:rsidR="00A90A4F" w:rsidRPr="00A3391E">
        <w:t xml:space="preserve">from atmospheric </w:t>
      </w:r>
      <w:r w:rsidR="00E3577A" w:rsidRPr="00A3391E">
        <w:t>emission to terrestrial deposition.</w:t>
      </w:r>
      <w:r w:rsidR="00773AA0" w:rsidRPr="00A3391E">
        <w:t xml:space="preserve"> However, the</w:t>
      </w:r>
      <w:r w:rsidR="005D1F91" w:rsidRPr="00A3391E">
        <w:t xml:space="preserve"> </w:t>
      </w:r>
      <w:r w:rsidR="00773AA0" w:rsidRPr="00A3391E">
        <w:t xml:space="preserve">method is </w:t>
      </w:r>
      <w:r w:rsidR="005D1F91" w:rsidRPr="00A3391E">
        <w:t xml:space="preserve">designed </w:t>
      </w:r>
      <w:r w:rsidR="00773AA0" w:rsidRPr="00A3391E">
        <w:t xml:space="preserve">for assessing </w:t>
      </w:r>
      <w:r w:rsidR="00344CBB">
        <w:t xml:space="preserve">marine eutrophication </w:t>
      </w:r>
      <w:r w:rsidR="00773AA0" w:rsidRPr="00A3391E">
        <w:t>arising from emissions to soils, freshwater, and air,</w:t>
      </w:r>
      <w:r w:rsidR="005D1F91" w:rsidRPr="00A3391E">
        <w:t xml:space="preserve"> and is therefore unsuitable</w:t>
      </w:r>
      <w:r w:rsidR="0056197C" w:rsidRPr="00A3391E">
        <w:t xml:space="preserve"> for evaluating direct ocean emissions. Furthermore</w:t>
      </w:r>
      <w:r w:rsidR="00773AA0" w:rsidRPr="00A3391E">
        <w:t>, it is still limited to N compounds</w:t>
      </w:r>
      <w:r w:rsidR="00542BF2" w:rsidRPr="00A3391E">
        <w:t>.</w:t>
      </w:r>
    </w:p>
    <w:p w14:paraId="7DED44D5" w14:textId="3174D659" w:rsidR="00217217" w:rsidRPr="008909AD" w:rsidRDefault="007043A2" w:rsidP="00412621">
      <w:pPr>
        <w:pStyle w:val="Heading2"/>
        <w:rPr>
          <w:u w:val="single"/>
        </w:rPr>
      </w:pPr>
      <w:r w:rsidRPr="008909AD">
        <w:rPr>
          <w:u w:val="single"/>
        </w:rPr>
        <w:t xml:space="preserve">III. </w:t>
      </w:r>
      <w:r w:rsidR="00217217" w:rsidRPr="008909AD">
        <w:rPr>
          <w:u w:val="single"/>
        </w:rPr>
        <w:t>Ocean acidification</w:t>
      </w:r>
    </w:p>
    <w:p w14:paraId="7BBC735F" w14:textId="29567AF6" w:rsidR="00A13D47" w:rsidRDefault="00385CEF" w:rsidP="00E230F8">
      <w:pPr>
        <w:spacing w:line="480" w:lineRule="auto"/>
      </w:pPr>
      <w:r>
        <w:t xml:space="preserve">The </w:t>
      </w:r>
      <w:r w:rsidR="00352863">
        <w:t xml:space="preserve">ocean acidification </w:t>
      </w:r>
      <w:r>
        <w:t xml:space="preserve">impact category </w:t>
      </w:r>
      <w:r w:rsidR="006D0B4A">
        <w:t>is not yet</w:t>
      </w:r>
      <w:r>
        <w:t xml:space="preserve"> included in LCIA method</w:t>
      </w:r>
      <w:r w:rsidR="0062319D">
        <w:t xml:space="preserve"> familie</w:t>
      </w:r>
      <w:r>
        <w:t>s</w:t>
      </w:r>
      <w:r w:rsidR="00062CB1">
        <w:t xml:space="preserve"> found in </w:t>
      </w:r>
      <w:proofErr w:type="spellStart"/>
      <w:r w:rsidR="00062CB1">
        <w:t>ecoinvent</w:t>
      </w:r>
      <w:proofErr w:type="spellEnd"/>
      <w:r w:rsidR="00F92EC2">
        <w:t xml:space="preserve">. </w:t>
      </w:r>
      <w:r>
        <w:t>T</w:t>
      </w:r>
      <w:r w:rsidR="00A13D47">
        <w:t>o address acidification, t</w:t>
      </w:r>
      <w:r>
        <w:t xml:space="preserve">hese </w:t>
      </w:r>
      <w:r w:rsidR="00F05D26">
        <w:t>method</w:t>
      </w:r>
      <w:r w:rsidR="0062319D">
        <w:t xml:space="preserve"> familie</w:t>
      </w:r>
      <w:r w:rsidR="00F05D26">
        <w:t>s</w:t>
      </w:r>
      <w:r>
        <w:t xml:space="preserve"> either have</w:t>
      </w:r>
      <w:r w:rsidR="00A13D47">
        <w:t>:</w:t>
      </w:r>
    </w:p>
    <w:p w14:paraId="0F6A8F4B" w14:textId="3BCA73F6" w:rsidR="00DD7C05" w:rsidRDefault="00443FE1" w:rsidP="00E230F8">
      <w:pPr>
        <w:pStyle w:val="ListParagraph"/>
        <w:numPr>
          <w:ilvl w:val="0"/>
          <w:numId w:val="24"/>
        </w:numPr>
        <w:spacing w:line="480" w:lineRule="auto"/>
      </w:pPr>
      <w:r>
        <w:t xml:space="preserve">aquatic acidification as </w:t>
      </w:r>
      <w:r w:rsidR="00516464">
        <w:t>an impact category</w:t>
      </w:r>
      <w:r w:rsidR="00785530">
        <w:t>,</w:t>
      </w:r>
      <w:r>
        <w:t xml:space="preserve"> </w:t>
      </w:r>
      <w:r w:rsidR="00446024">
        <w:t>but</w:t>
      </w:r>
      <w:r w:rsidR="00785530">
        <w:t xml:space="preserve"> it is</w:t>
      </w:r>
      <w:r w:rsidR="00446024">
        <w:t xml:space="preserve"> limited to</w:t>
      </w:r>
      <w:r>
        <w:t xml:space="preserve"> freshwater acidification (IMPACT 2002+ (midpoint))</w:t>
      </w:r>
      <w:r w:rsidR="00785530">
        <w:t>.</w:t>
      </w:r>
    </w:p>
    <w:p w14:paraId="358C0F16" w14:textId="1F168269" w:rsidR="00DD7C05" w:rsidRDefault="00516464" w:rsidP="00E230F8">
      <w:pPr>
        <w:pStyle w:val="ListParagraph"/>
        <w:numPr>
          <w:ilvl w:val="0"/>
          <w:numId w:val="24"/>
        </w:numPr>
        <w:spacing w:line="480" w:lineRule="auto"/>
      </w:pPr>
      <w:r>
        <w:t>only terrestrial acidification</w:t>
      </w:r>
      <w:r w:rsidR="00EF3B18">
        <w:t xml:space="preserve"> as an impact category</w:t>
      </w:r>
      <w:r>
        <w:t xml:space="preserve"> (IMPACT 2002+ (endpoint)</w:t>
      </w:r>
      <w:r w:rsidR="0057232E">
        <w:t>;</w:t>
      </w:r>
      <w:r>
        <w:t xml:space="preserve"> LC-IMPACT</w:t>
      </w:r>
      <w:r w:rsidR="0057232E">
        <w:t xml:space="preserve">; </w:t>
      </w:r>
      <w:proofErr w:type="spellStart"/>
      <w:r>
        <w:t>ReCiPe</w:t>
      </w:r>
      <w:proofErr w:type="spellEnd"/>
      <w:r>
        <w:t xml:space="preserve"> </w:t>
      </w:r>
      <w:r w:rsidR="00F61221">
        <w:t>(</w:t>
      </w:r>
      <w:r>
        <w:t>v1.03</w:t>
      </w:r>
      <w:r w:rsidR="00F61221">
        <w:t>)</w:t>
      </w:r>
      <w:r>
        <w:t>)</w:t>
      </w:r>
      <w:r w:rsidR="00785530">
        <w:t>.</w:t>
      </w:r>
    </w:p>
    <w:p w14:paraId="17364D28" w14:textId="7FED0E7C" w:rsidR="00DD7C05" w:rsidRDefault="00A372B9" w:rsidP="00E230F8">
      <w:pPr>
        <w:pStyle w:val="ListParagraph"/>
        <w:numPr>
          <w:ilvl w:val="0"/>
          <w:numId w:val="24"/>
        </w:numPr>
        <w:spacing w:line="480" w:lineRule="auto"/>
      </w:pPr>
      <w:r>
        <w:t xml:space="preserve">a generic </w:t>
      </w:r>
      <w:r w:rsidR="00385CEF">
        <w:t>acidification</w:t>
      </w:r>
      <w:r>
        <w:t xml:space="preserve"> impact category that does not differentiate between </w:t>
      </w:r>
      <w:r w:rsidR="007E336C">
        <w:t>compartments</w:t>
      </w:r>
      <w:r w:rsidR="00385CEF">
        <w:t xml:space="preserve"> (CML </w:t>
      </w:r>
      <w:r w:rsidR="00F61221">
        <w:t>(</w:t>
      </w:r>
      <w:r w:rsidR="00385CEF">
        <w:t>v4.8</w:t>
      </w:r>
      <w:r w:rsidR="00F61221">
        <w:t>)</w:t>
      </w:r>
      <w:r w:rsidR="00B823E0">
        <w:t>;</w:t>
      </w:r>
      <w:r w:rsidR="00385CEF">
        <w:t xml:space="preserve"> EDIP </w:t>
      </w:r>
      <w:r w:rsidR="00F61221">
        <w:t>(</w:t>
      </w:r>
      <w:r w:rsidR="00385CEF">
        <w:t>2003</w:t>
      </w:r>
      <w:r w:rsidR="00F61221">
        <w:t>)</w:t>
      </w:r>
      <w:r w:rsidR="00B823E0">
        <w:t>;</w:t>
      </w:r>
      <w:r w:rsidR="00385CEF">
        <w:t xml:space="preserve"> EF </w:t>
      </w:r>
      <w:r w:rsidR="00F61221">
        <w:t>(</w:t>
      </w:r>
      <w:r w:rsidR="00385CEF">
        <w:t>v3.1</w:t>
      </w:r>
      <w:r w:rsidR="00F61221">
        <w:t>)</w:t>
      </w:r>
      <w:r w:rsidR="00B823E0">
        <w:t xml:space="preserve">; </w:t>
      </w:r>
      <w:r w:rsidR="00385CEF">
        <w:t xml:space="preserve">TRACI </w:t>
      </w:r>
      <w:r w:rsidR="00F61221">
        <w:t>(</w:t>
      </w:r>
      <w:r w:rsidR="00385CEF">
        <w:t>v2.1</w:t>
      </w:r>
      <w:r w:rsidR="00F61221">
        <w:t>)</w:t>
      </w:r>
      <w:r w:rsidR="00385CEF">
        <w:t>)</w:t>
      </w:r>
      <w:r w:rsidR="00785530">
        <w:t>.</w:t>
      </w:r>
    </w:p>
    <w:p w14:paraId="1F9692E0" w14:textId="6E28D237" w:rsidR="00DD7C05" w:rsidRDefault="00385CEF" w:rsidP="00E230F8">
      <w:pPr>
        <w:pStyle w:val="ListParagraph"/>
        <w:numPr>
          <w:ilvl w:val="0"/>
          <w:numId w:val="24"/>
        </w:numPr>
        <w:spacing w:line="480" w:lineRule="auto"/>
      </w:pPr>
      <w:r>
        <w:t xml:space="preserve">no </w:t>
      </w:r>
      <w:r w:rsidR="00DD5A64">
        <w:t>dedicated</w:t>
      </w:r>
      <w:r>
        <w:t xml:space="preserve"> acidification impact category (IMPACT World+ </w:t>
      </w:r>
      <w:r w:rsidR="00F61221">
        <w:t>(</w:t>
      </w:r>
      <w:r>
        <w:t>v2.0.1</w:t>
      </w:r>
      <w:r w:rsidR="00F61221">
        <w:t xml:space="preserve">, </w:t>
      </w:r>
      <w:r>
        <w:t xml:space="preserve">footprint version)). </w:t>
      </w:r>
    </w:p>
    <w:p w14:paraId="549DCBD0" w14:textId="34A528A9" w:rsidR="00FE7655" w:rsidRDefault="00EF3B18" w:rsidP="00E230F8">
      <w:pPr>
        <w:spacing w:line="480" w:lineRule="auto"/>
      </w:pPr>
      <w:r w:rsidRPr="007F0537">
        <w:t>Additionally</w:t>
      </w:r>
      <w:r w:rsidR="00F710B6" w:rsidRPr="007F0537">
        <w:t xml:space="preserve">, in </w:t>
      </w:r>
      <w:r w:rsidR="00432F18" w:rsidRPr="007F0537">
        <w:t>all</w:t>
      </w:r>
      <w:r w:rsidR="007F0537">
        <w:t xml:space="preserve"> </w:t>
      </w:r>
      <w:r w:rsidR="00F710B6" w:rsidRPr="007F0537">
        <w:t>these</w:t>
      </w:r>
      <w:r w:rsidR="007F0537">
        <w:t xml:space="preserve"> </w:t>
      </w:r>
      <w:r w:rsidR="00432F18">
        <w:t>m</w:t>
      </w:r>
      <w:r w:rsidR="004A1170">
        <w:t>odel</w:t>
      </w:r>
      <w:r w:rsidR="00432F18">
        <w:t>s</w:t>
      </w:r>
      <w:r w:rsidR="00385CEF">
        <w:t xml:space="preserve">, </w:t>
      </w:r>
      <w:r w:rsidR="00F710B6">
        <w:t>acidifying emissions</w:t>
      </w:r>
      <w:r w:rsidR="00385CEF">
        <w:t xml:space="preserve"> are</w:t>
      </w:r>
      <w:r w:rsidR="00F710B6">
        <w:t xml:space="preserve"> modelled as being</w:t>
      </w:r>
      <w:r w:rsidR="00385CEF">
        <w:t xml:space="preserve"> released to the </w:t>
      </w:r>
      <w:r w:rsidR="00F710B6">
        <w:t>atmos</w:t>
      </w:r>
      <w:r w:rsidR="005468F6">
        <w:t>p</w:t>
      </w:r>
      <w:r w:rsidR="00F710B6">
        <w:t>here</w:t>
      </w:r>
      <w:r w:rsidR="00834E21">
        <w:t xml:space="preserve">. In contrast, </w:t>
      </w:r>
      <w:r w:rsidR="0031252B">
        <w:t xml:space="preserve">the impact pathway </w:t>
      </w:r>
      <w:r w:rsidR="00834E21">
        <w:t>addressed in</w:t>
      </w:r>
      <w:r w:rsidR="0031252B">
        <w:t xml:space="preserve"> </w:t>
      </w:r>
      <w:r w:rsidR="00834E21">
        <w:t>our</w:t>
      </w:r>
      <w:r w:rsidR="0031252B">
        <w:t xml:space="preserve"> </w:t>
      </w:r>
      <w:r w:rsidR="00834E21">
        <w:t>study involves the release of</w:t>
      </w:r>
      <w:r w:rsidR="0031252B">
        <w:t xml:space="preserve"> alkaline mineral </w:t>
      </w:r>
      <w:r w:rsidR="00F105B8">
        <w:t xml:space="preserve">directly into the ocean, which contributes to counteracting </w:t>
      </w:r>
      <w:r w:rsidR="003C67AF">
        <w:t>ocean acidification</w:t>
      </w:r>
      <w:r w:rsidR="00FE7655">
        <w:t>.</w:t>
      </w:r>
      <w:r w:rsidR="00562C78">
        <w:t xml:space="preserve"> </w:t>
      </w:r>
    </w:p>
    <w:p w14:paraId="34F51207" w14:textId="10EC6E5D" w:rsidR="00FE3543" w:rsidRDefault="00E418C0" w:rsidP="00E230F8">
      <w:pPr>
        <w:spacing w:line="480" w:lineRule="auto"/>
      </w:pPr>
      <w:r>
        <w:t>While</w:t>
      </w:r>
      <w:r w:rsidR="00BB6C33">
        <w:t xml:space="preserve"> </w:t>
      </w:r>
      <w:r w:rsidR="003C67AF">
        <w:t xml:space="preserve">ocean acidification </w:t>
      </w:r>
      <w:r w:rsidR="00EA2003">
        <w:t xml:space="preserve">is not </w:t>
      </w:r>
      <w:r>
        <w:t>represented as an impact category</w:t>
      </w:r>
      <w:r w:rsidR="00EA2003">
        <w:t xml:space="preserve"> in these</w:t>
      </w:r>
      <w:r w:rsidR="00BB6C33" w:rsidRPr="0012579B">
        <w:t xml:space="preserve"> method</w:t>
      </w:r>
      <w:r w:rsidR="003B6EDF">
        <w:t xml:space="preserve"> familie</w:t>
      </w:r>
      <w:r w:rsidR="00BB6C33" w:rsidRPr="0012579B">
        <w:t>s, s</w:t>
      </w:r>
      <w:r>
        <w:t>everal s</w:t>
      </w:r>
      <w:r w:rsidR="00BB6C33" w:rsidRPr="0012579B">
        <w:t xml:space="preserve">cientific efforts </w:t>
      </w:r>
      <w:r w:rsidR="00D63D35">
        <w:t>over the past decade</w:t>
      </w:r>
      <w:r w:rsidR="00BB6C33" w:rsidRPr="0012579B">
        <w:t xml:space="preserve"> </w:t>
      </w:r>
      <w:r w:rsidR="00D63D35">
        <w:t xml:space="preserve">have </w:t>
      </w:r>
      <w:r w:rsidR="00BB6C33" w:rsidRPr="0012579B">
        <w:t>been made</w:t>
      </w:r>
      <w:r w:rsidR="00D63D35">
        <w:t xml:space="preserve"> to </w:t>
      </w:r>
      <w:r w:rsidR="00B6209D">
        <w:t>model it in LCIA</w:t>
      </w:r>
      <w:r w:rsidR="00BB6C33" w:rsidRPr="0012579B">
        <w:t>.</w:t>
      </w:r>
      <w:r w:rsidR="00BB6C33">
        <w:t xml:space="preserve"> </w:t>
      </w:r>
      <w:r w:rsidR="00B6209D">
        <w:t>IMPACT World+  introduced a</w:t>
      </w:r>
      <w:r w:rsidR="00F27D34">
        <w:t xml:space="preserve"> marine acidification</w:t>
      </w:r>
      <w:r w:rsidR="00381F36">
        <w:t xml:space="preserve"> (i.e., </w:t>
      </w:r>
      <w:r w:rsidR="003C67AF">
        <w:t>ocean acidification</w:t>
      </w:r>
      <w:r w:rsidR="00381F36">
        <w:t>)</w:t>
      </w:r>
      <w:r w:rsidR="00F27D34">
        <w:t xml:space="preserve"> endpoint impact category</w:t>
      </w:r>
      <w:r w:rsidR="0098477B">
        <w:t xml:space="preserve">, though this is </w:t>
      </w:r>
      <w:r w:rsidR="00F27D34">
        <w:t>only</w:t>
      </w:r>
      <w:r w:rsidR="0098477B">
        <w:t xml:space="preserve"> available</w:t>
      </w:r>
      <w:r w:rsidR="00F27D34">
        <w:t xml:space="preserve"> in the expert version </w:t>
      </w:r>
      <w:r w:rsidR="0001068F">
        <w:t>which</w:t>
      </w:r>
      <w:r w:rsidR="00F27D34">
        <w:t xml:space="preserve"> is not available in </w:t>
      </w:r>
      <w:proofErr w:type="spellStart"/>
      <w:r w:rsidR="00A038A1">
        <w:t>e</w:t>
      </w:r>
      <w:r w:rsidR="00F27D34">
        <w:t>coinvent</w:t>
      </w:r>
      <w:proofErr w:type="spellEnd"/>
      <w:r w:rsidR="0001068F">
        <w:t xml:space="preserve"> due to its reliance on </w:t>
      </w:r>
      <w:r w:rsidR="00F27D34">
        <w:t>regionalised inventories</w:t>
      </w:r>
      <w:r w:rsidR="006652CF">
        <w:t xml:space="preserve"> </w:t>
      </w:r>
      <w:r w:rsidR="006652CF">
        <w:fldChar w:fldCharType="begin"/>
      </w:r>
      <w:r w:rsidR="001653A5">
        <w:instrText xml:space="preserve"> ADDIN ZOTERO_ITEM CSL_CITATION {"citationID":"ef8fvMDf","properties":{"formattedCitation":"(Bulle et al. 2019)","plainCitation":"(Bulle et al. 2019)","noteIndex":0},"citationItems":[{"id":26111,"uris":["http://zotero.org/users/12946250/items/22GQXMGS"],"itemData":{"id":26111,"type":"article-journal","abstract":"Purpose This paper addresses the need for a globally regionalized method for life cycle impact assessment (LCIA), integrating multiple state-of-the-art developments as well as damages on water and carbon areas of concern within a consistent LCIA framework. This method, named IMPACT World+, is the update of the IMPACT 2002+, LUCAS, and EDIP methods. This paper first presents the IMPACT World+ novelties and results and then analyzes the spatial variability for each regionalized impact category.","container-title":"The International Journal of Life Cycle Assessment","DOI":"10.1007/s11367-019-01583-0","ISSN":"0948-3349, 1614-7502","issue":"9","journalAbbreviation":"Int J Life Cycle Assess","language":"en","page":"1653-1674","source":"DOI.org (Crossref)","title":"IMPACT World+: A globally regionalized life cycle impact assessment method","title-short":"IMPACT World+","URL":"http://link.springer.com/10.1007/s11367-019-01583-0","volume":"24","author":[{"family":"Bulle","given":"Cécile"},{"family":"Margni","given":"Manuele"},{"family":"Patouillard","given":"Laure"},{"family":"Boulay","given":"Anne-Marie"},{"family":"Bourgault","given":"Guillaume"},{"family":"De Bruille","given":"Vincent"},{"family":"Cao","given":"Viêt"},{"family":"Hauschild","given":"Michael"},{"family":"Henderson","given":"Andrew"},{"family":"Humbert","given":"Sebastien"},{"family":"Kashef-Haghighi","given":"Sormeh"},{"family":"Kounina","given":"Anna"},{"family":"Laurent","given":"Alexis"},{"family":"Levasseur","given":"Annie"},{"family":"Liard","given":"Gladys"},{"family":"Rosenbaum","given":"Ralph K."},{"family":"Roy","given":"Pierre-Olivier"},{"family":"Shaked","given":"Shanna"},{"family":"Fantke","given":"Peter"},{"family":"Jolliet","given":"Olivier"}],"accessed":{"date-parts":[["2025",7,4]]},"issued":{"date-parts":[["2019",9]]}}}],"schema":"https://github.com/citation-style-language/schema/raw/master/csl-citation.json"} </w:instrText>
      </w:r>
      <w:r w:rsidR="006652CF">
        <w:fldChar w:fldCharType="separate"/>
      </w:r>
      <w:r w:rsidR="006652CF" w:rsidRPr="00BB11EC">
        <w:rPr>
          <w:rFonts w:cs="Times New Roman"/>
        </w:rPr>
        <w:t>(Bulle et al. 2019)</w:t>
      </w:r>
      <w:r w:rsidR="006652CF">
        <w:fldChar w:fldCharType="end"/>
      </w:r>
      <w:r w:rsidR="00F27D34">
        <w:t>.</w:t>
      </w:r>
      <w:r w:rsidR="00BB6C33">
        <w:t xml:space="preserve"> </w:t>
      </w:r>
      <w:r w:rsidR="00491C26">
        <w:t>This</w:t>
      </w:r>
      <w:r w:rsidR="000B23E1">
        <w:t xml:space="preserve"> </w:t>
      </w:r>
      <w:r w:rsidR="003C67AF">
        <w:t xml:space="preserve">ocean acidification </w:t>
      </w:r>
      <w:r w:rsidR="000B23E1">
        <w:t>impact</w:t>
      </w:r>
      <w:r w:rsidR="00491C26">
        <w:t xml:space="preserve"> category in</w:t>
      </w:r>
      <w:r w:rsidR="00A218D8">
        <w:t xml:space="preserve"> IMPACT World+</w:t>
      </w:r>
      <w:r w:rsidR="00491C26">
        <w:t xml:space="preserve"> is </w:t>
      </w:r>
      <w:r w:rsidR="000B23E1">
        <w:t>built</w:t>
      </w:r>
      <w:r w:rsidR="00491C26">
        <w:t xml:space="preserve"> on the same fate model </w:t>
      </w:r>
      <w:r w:rsidR="00D148A1">
        <w:t xml:space="preserve">used for </w:t>
      </w:r>
      <w:r w:rsidR="00491C26">
        <w:t xml:space="preserve">the climate change impact category and </w:t>
      </w:r>
      <w:r w:rsidR="00D148A1">
        <w:t>incorporates</w:t>
      </w:r>
      <w:r w:rsidR="00491C26">
        <w:t xml:space="preserve"> species sensitivity distributions (SSDs) developed by </w:t>
      </w:r>
      <w:r w:rsidR="00491C26">
        <w:fldChar w:fldCharType="begin"/>
      </w:r>
      <w:r w:rsidR="001653A5">
        <w:instrText xml:space="preserve"> ADDIN ZOTERO_ITEM CSL_CITATION {"citationID":"O7OpYkDR","properties":{"custom":"Azevedo et al. (2015)","formattedCitation":"Azevedo et al. (2015)","plainCitation":"Azevedo et al. (2015)","noteIndex":0},"citationItems":[{"id":27606,"uris":["http://zotero.org/users/12946250/items/AU9STJ4P"],"itemData":{"id":27606,"type":"article-journal","abstract":"Increasing CO2 atmospheric levels lead to increasing ocean acidification, thereby enhancing calcium carbonate dissolution of calcifying species. We gathered peer-reviewed experimental data on the effects of acidified seawater on calcifying species growth, reproduction, and survival. The data were used to derive species-specific median effective concentrations, i.e., pH50, and pH10, via logistic regression. Subsequently, we developed species sensitivity distributions (SSDs) to assess the potentially affected fraction (PAF) of species exposed to pH declines. Effects on species growth were observed at higher pH than those on species reproduction (mean pH10 was 7.73 vs 7.63 and mean pH50 was 7.28 vs 7.11 for the two life processes, respectively) and the variability in the sensitivity of species increased with increasing number of species available for the PAF (pH10 standard deviation was 0.20, 0.21, and 0.33 for survival, reproduction, and growth, respectively). The SSDs were then applied to two climate change scenarios to estimate the increase in PAF (ΔPAF) by future ocean acidification. In a high CO2 emission scenario, ΔPAF was 3 to 10% (for pH50) and 21 to 32% (for pH10). In a low emission scenario, ΔPAF was 1 to 4% (for pH50) and 7 to 12% (for pH10). Our SSDs developed for the effect of decreasing ocean pH on calcifying marine species assemblages can also be used for comparison with other environmental stressors.","container-title":"Environmental Science &amp; Technology","DOI":"10.1021/es505485m","ISSN":"0013-936X, 1520-5851","issue":"3","journalAbbreviation":"Environ. Sci. Technol.","language":"en","license":"http://pubs.acs.org/page/policy/authorchoice_termsofuse.html","page":"1495-1500","source":"DOI.org (Crossref)","title":"Calcifying species sensitivity distributions for ocean acidification","URL":"https://pubs.acs.org/doi/10.1021/es505485m","volume":"49","author":[{"family":"Azevedo","given":"Ligia B."},{"family":"De Schryver","given":"An M."},{"family":"Hendriks","given":"A. Jan"},{"family":"Huijbregts","given":"Mark A. J."}],"accessed":{"date-parts":[["2025",9,10]]},"issued":{"date-parts":[["2015",2,3]]}}}],"schema":"https://github.com/citation-style-language/schema/raw/master/csl-citation.json"} </w:instrText>
      </w:r>
      <w:r w:rsidR="00491C26">
        <w:fldChar w:fldCharType="separate"/>
      </w:r>
      <w:r w:rsidR="00491C26" w:rsidRPr="00BB11EC">
        <w:rPr>
          <w:rFonts w:cs="Times New Roman"/>
        </w:rPr>
        <w:t>Azevedo et al. (2015)</w:t>
      </w:r>
      <w:r w:rsidR="00491C26">
        <w:fldChar w:fldCharType="end"/>
      </w:r>
      <w:r w:rsidR="00C049E0">
        <w:t xml:space="preserve">, focusing on </w:t>
      </w:r>
      <w:r w:rsidR="00491C26">
        <w:t xml:space="preserve">the </w:t>
      </w:r>
      <w:r w:rsidR="00C049E0">
        <w:t>response</w:t>
      </w:r>
      <w:r w:rsidR="00491C26">
        <w:t xml:space="preserve"> of calcifying species to </w:t>
      </w:r>
      <w:r w:rsidR="00C049E0">
        <w:t xml:space="preserve">decreasing seawater </w:t>
      </w:r>
      <w:proofErr w:type="spellStart"/>
      <w:r w:rsidR="00C049E0">
        <w:t>pH</w:t>
      </w:r>
      <w:r w:rsidR="00491C26">
        <w:t>.</w:t>
      </w:r>
      <w:proofErr w:type="spellEnd"/>
      <w:r w:rsidR="00C6555A">
        <w:t xml:space="preserve"> </w:t>
      </w:r>
    </w:p>
    <w:p w14:paraId="37666CB7" w14:textId="1711C105" w:rsidR="005B2E89" w:rsidRDefault="00C6555A" w:rsidP="00804DE6">
      <w:pPr>
        <w:spacing w:line="480" w:lineRule="auto"/>
      </w:pPr>
      <w:r>
        <w:t>More recently,</w:t>
      </w:r>
      <w:r w:rsidR="00491C26">
        <w:t xml:space="preserve"> </w:t>
      </w:r>
      <w:r w:rsidR="00491C26">
        <w:fldChar w:fldCharType="begin"/>
      </w:r>
      <w:r w:rsidR="005D445C">
        <w:instrText xml:space="preserve"> ADDIN ZOTERO_ITEM CSL_CITATION {"citationID":"TCNsoh5H","properties":{"custom":"Scherer et al. (2022)","formattedCitation":"Scherer et al. (2022)","plainCitation":"Scherer et al. (2022)","noteIndex":0},"citationItems":[{"id":11455,"uris":["http://zotero.org/users/12946250/items/T9LKRWBL"],"itemData":{"id":11455,"type":"article-journal","abstract":"Rising greenhouse gas emissions do not only accelerate climate change but also make the ocean more acidic. This applies above all to carbon dioxide (CO2). Lower ocean pH levels threaten marine ecosystems and especially strongly calcifying species. Impacts on marine ecosystem quality are currently underrepresented in life cycle assessments (LCAs). Here, we developed characterization factors for the life cycle impact assessment of ocean acidification. Our main contribution was developing new species sensitivity distributions (SSDs), from which we derived effect factors for different impact perspectives: Marginal, linear, and average changes for both the past and four future emission scenarios (RCP2.6, RCP4.5, RCP6.0, and RCP8.5). Based on a dataset that covered five taxa (corals, crustaceans, echinoderms, fishes, molluscs) and three climate zones, we showed significantly higher sensitivities for strongly calcifying than slightly calcifying taxa and in polar regions compared to tropical and temperate regions. Experimental duration, leading to acute, subchronic, or chronic toxicological endpoints, did not significantly affect the species sensitivities. With ocean acidification impacts still accelerating, the future-oriented average effects are higher than the marginal or pastoriented average effects. While our characterization factors are ready for use in LCA, we also point to opportunities for improvement in future developments.","container-title":"Journal of Industrial Ecology","DOI":"10.1111/jiec.13274","ISSN":"1088-1980, 1530-9290","issue":"6","journalAbbreviation":"J. Ind. Ecol.","language":"en","page":"2069-2079","source":"DOI.org (Crossref)","title":"Characterization factors for ocean acidification impacts on marine biodiversity","URL":"https://onlinelibrary.wiley.com/doi/10.1111/jiec.13274","volume":"26","author":[{"family":"Scherer","given":"Laura"},{"family":"Gürdal","given":"İrem"},{"family":"Van Bodegom","given":"Peter M."}],"accessed":{"date-parts":[["2024",5,7]]},"issued":{"date-parts":[["2022",12]]}}}],"schema":"https://github.com/citation-style-language/schema/raw/master/csl-citation.json"} </w:instrText>
      </w:r>
      <w:r w:rsidR="00491C26">
        <w:fldChar w:fldCharType="separate"/>
      </w:r>
      <w:r w:rsidR="00491C26" w:rsidRPr="00BB11EC">
        <w:rPr>
          <w:rFonts w:cs="Times New Roman"/>
        </w:rPr>
        <w:t>Scherer et al. (2022)</w:t>
      </w:r>
      <w:r w:rsidR="00491C26">
        <w:fldChar w:fldCharType="end"/>
      </w:r>
      <w:r w:rsidR="00491C26">
        <w:t xml:space="preserve"> proposed</w:t>
      </w:r>
      <w:r w:rsidR="009A76AC">
        <w:t xml:space="preserve"> alternative and</w:t>
      </w:r>
      <w:r w:rsidR="00491C26">
        <w:t xml:space="preserve"> improved CFs </w:t>
      </w:r>
      <w:r w:rsidR="00FE3543">
        <w:t xml:space="preserve">for </w:t>
      </w:r>
      <w:r w:rsidR="003C67AF">
        <w:t xml:space="preserve">ocean acidification </w:t>
      </w:r>
      <w:r w:rsidR="0097734C">
        <w:t xml:space="preserve">impacts </w:t>
      </w:r>
      <w:r w:rsidR="00491C26">
        <w:t>on marine biodiversity</w:t>
      </w:r>
      <w:r w:rsidR="00AE655E">
        <w:t xml:space="preserve"> (</w:t>
      </w:r>
      <w:r w:rsidR="00292B38">
        <w:t>cnidaria</w:t>
      </w:r>
      <w:r w:rsidR="000F52FC">
        <w:t>ns</w:t>
      </w:r>
      <w:r w:rsidR="00292B38">
        <w:t>, crustacea</w:t>
      </w:r>
      <w:r w:rsidR="000F52FC">
        <w:t>ns</w:t>
      </w:r>
      <w:r w:rsidR="00292B38">
        <w:t>, echinoderm</w:t>
      </w:r>
      <w:r w:rsidR="000F52FC">
        <w:t>s</w:t>
      </w:r>
      <w:r w:rsidR="00292B38">
        <w:t>, fish, and mollusc</w:t>
      </w:r>
      <w:r w:rsidR="000F52FC">
        <w:t>s</w:t>
      </w:r>
      <w:r w:rsidR="00292B38">
        <w:t>, further distinguishing between slightly and strongly calcifying)</w:t>
      </w:r>
      <w:r w:rsidR="0097734C">
        <w:t>.</w:t>
      </w:r>
      <w:r w:rsidR="008E62EB">
        <w:t xml:space="preserve"> Their work</w:t>
      </w:r>
      <w:r w:rsidR="00491C26">
        <w:t xml:space="preserve"> integrat</w:t>
      </w:r>
      <w:r w:rsidR="008E62EB">
        <w:t>e</w:t>
      </w:r>
      <w:r w:rsidR="00B000A4">
        <w:t>s</w:t>
      </w:r>
      <w:r w:rsidR="00491C26">
        <w:t xml:space="preserve"> the fate-exposure model of </w:t>
      </w:r>
      <w:r w:rsidR="00491C26">
        <w:fldChar w:fldCharType="begin"/>
      </w:r>
      <w:r w:rsidR="005D445C">
        <w:instrText xml:space="preserve"> ADDIN ZOTERO_ITEM CSL_CITATION {"citationID":"ArHwHRoe","properties":{"custom":"Bach et al. (2016)","formattedCitation":"Bach et al. (2016)","plainCitation":"Bach et al. (2016)","noteIndex":0},"citationItems":[{"id":20511,"uris":["http://zotero.org/users/12946250/items/ZYNIPZSD"],"itemData":{"id":20511,"type":"article-journal","abstract":"Purpose Ocean acidification due to the absorption of increasing amounts of atmospheric carbon dioxide has become a severe problem in the recent years as more and more marine species are influenced by the decreasing pH value as well as by the reduced carbonate ion concentration. So far, no characterization model exists for ocean acidification. This paper aims to establish such a characterization model to allow for the necessary future inclusion of ocean acidification in life cycle assessment (LCA) case studies.","container-title":"The International Journal of Life Cycle Assessment","DOI":"10.1007/s11367-016-1121-x","ISSN":"0948-3349, 1614-7502","issue":"10","journalAbbreviation":"Int J Life Cycle Assess","language":"en","page":"1463-1472","source":"DOI.org (Crossref)","title":"Characterization model to assess ocean acidification within life cycle assessment","URL":"http://link.springer.com/10.1007/s11367-016-1121-x","volume":"21","author":[{"family":"Bach","given":"Vanessa"},{"family":"Möller","given":"Franziska"},{"family":"Finogenova","given":"Natalia"},{"family":"Emara","given":"Yasmine"},{"family":"Finkbeiner","given":"Matthias"}],"accessed":{"date-parts":[["2025",1,10]]},"issued":{"date-parts":[["2016",10]]}}}],"schema":"https://github.com/citation-style-language/schema/raw/master/csl-citation.json"} </w:instrText>
      </w:r>
      <w:r w:rsidR="00491C26">
        <w:fldChar w:fldCharType="separate"/>
      </w:r>
      <w:r w:rsidR="00491C26" w:rsidRPr="00BB11EC">
        <w:rPr>
          <w:rFonts w:cs="Times New Roman"/>
        </w:rPr>
        <w:t>Bach et al. (2016)</w:t>
      </w:r>
      <w:r w:rsidR="00491C26">
        <w:fldChar w:fldCharType="end"/>
      </w:r>
      <w:r w:rsidR="00491C26">
        <w:t xml:space="preserve">, which studies how </w:t>
      </w:r>
      <w:r w:rsidR="00E37E59">
        <w:lastRenderedPageBreak/>
        <w:t>greenhouse gas</w:t>
      </w:r>
      <w:r w:rsidR="00491C26">
        <w:t xml:space="preserve"> release</w:t>
      </w:r>
      <w:r w:rsidR="00826696">
        <w:t>s</w:t>
      </w:r>
      <w:r w:rsidR="00491C26">
        <w:t xml:space="preserve"> impact </w:t>
      </w:r>
      <w:r w:rsidR="00826696">
        <w:t>seawater</w:t>
      </w:r>
      <w:r w:rsidR="00491C26">
        <w:t xml:space="preserve"> pH, and ex</w:t>
      </w:r>
      <w:r w:rsidR="00826696">
        <w:t>pands</w:t>
      </w:r>
      <w:r w:rsidR="00491C26">
        <w:t xml:space="preserve"> the SSDs by including additional taxa from diverse climate regions. </w:t>
      </w:r>
      <w:r w:rsidR="009B0396">
        <w:t xml:space="preserve">Building on these developments, </w:t>
      </w:r>
      <w:r w:rsidR="00077BE8">
        <w:fldChar w:fldCharType="begin"/>
      </w:r>
      <w:r w:rsidR="001653A5">
        <w:instrText xml:space="preserve"> ADDIN ZOTERO_ITEM CSL_CITATION {"citationID":"RmXocf2h","properties":{"custom":"Anderson et al. (2025)","formattedCitation":"Anderson et al. (2025)","plainCitation":"Anderson et al. (2025)","noteIndex":0},"citationItems":[{"id":28983,"uris":["http://zotero.org/users/12946250/items/TQPY566K"],"itemData":{"id":28983,"type":"article-journal","abstract":"Ocean acidification poses a critical threat to marine ecosystems. While life cycle assessment frameworks provide a method for assessing and combatting many anthropogenic impacts, marine impact models remain underdeveloped compared to their terrestrial counterparts. This study presents the first spatially explicit characterization model for quantifying the impacts of ocean acidification that includes both midpoint and endpoint characterization factors (CFs). Midpoint CFs were spatially delineated by using marine ecoregions and Food and Agriculture Organization fishing areas, leveraging spatially explicit fate and fate sensitivity factors. Endpoint CFs were calculated using species sensitivity distributions that include species across a range of calcification levels, climate zones, and trophic levels. Results demonstrate significant geographic variability in ocean acidification impacts, with polar regions showing heightened vulnerability. Our findings emphasize the need for spatially explicit modeling to account for the diverse biogeochemical and ecological responses to ocean acidification. This work advances marine impact assessment by integrating spatial and biological complexity, providing critical tools for quantifying ocean acidification’s global ecological and economic consequences.","container-title":"Environmental Science &amp; Technology","DOI":"10.1021/acs.est.5c02069","ISSN":"0013-936X, 1520-5851","issue":"42","journalAbbreviation":"Environ. Sci. Technol.","language":"en","license":"https://creativecommons.org/licenses/by/4.0/","page":"22508−22517","source":"DOI.org (Crossref)","title":"From global emissions to local impacts: Spatially explicit modeling of ocean acidification in life cycle assessment","title-short":"From Global Emissions to Local Impacts","URL":"https://pubs.acs.org/doi/10.1021/acs.est.5c02069","volume":"59","author":[{"family":"Anderson","given":"Sedona R."},{"family":"Stadler","given":"Konstantin"},{"family":"Verones","given":"Francesca"}],"accessed":{"date-parts":[["2025",10,21]]},"issued":{"date-parts":[["2025",10,16]]}}}],"schema":"https://github.com/citation-style-language/schema/raw/master/csl-citation.json"} </w:instrText>
      </w:r>
      <w:r w:rsidR="00077BE8">
        <w:fldChar w:fldCharType="separate"/>
      </w:r>
      <w:r w:rsidR="006D458D" w:rsidRPr="006D458D">
        <w:rPr>
          <w:rFonts w:cs="Times New Roman"/>
        </w:rPr>
        <w:t>Anderson et al. (2025)</w:t>
      </w:r>
      <w:r w:rsidR="00077BE8">
        <w:fldChar w:fldCharType="end"/>
      </w:r>
      <w:r w:rsidR="00077BE8">
        <w:t xml:space="preserve"> </w:t>
      </w:r>
      <w:r w:rsidR="009B0396">
        <w:t>further</w:t>
      </w:r>
      <w:r w:rsidR="00491C26">
        <w:t xml:space="preserve"> improv</w:t>
      </w:r>
      <w:r w:rsidR="009B0396">
        <w:t>e</w:t>
      </w:r>
      <w:r w:rsidR="00491C26">
        <w:t xml:space="preserve"> species coverage</w:t>
      </w:r>
      <w:r w:rsidR="00BE325D">
        <w:t xml:space="preserve"> (arthropod</w:t>
      </w:r>
      <w:r w:rsidR="000F52FC">
        <w:t>s</w:t>
      </w:r>
      <w:r w:rsidR="00BE325D">
        <w:t xml:space="preserve">, </w:t>
      </w:r>
      <w:r w:rsidR="00DC3BC9">
        <w:t>chordat</w:t>
      </w:r>
      <w:r w:rsidR="000F52FC">
        <w:t>es</w:t>
      </w:r>
      <w:r w:rsidR="00DC3BC9">
        <w:t>, cnidaria</w:t>
      </w:r>
      <w:r w:rsidR="000F52FC">
        <w:t>ns</w:t>
      </w:r>
      <w:r w:rsidR="00DC3BC9">
        <w:t xml:space="preserve">, </w:t>
      </w:r>
      <w:r w:rsidR="009C2147">
        <w:t>e</w:t>
      </w:r>
      <w:r w:rsidR="00DC3BC9">
        <w:t>chinoderm</w:t>
      </w:r>
      <w:r w:rsidR="000F52FC">
        <w:t>s</w:t>
      </w:r>
      <w:r w:rsidR="00DC3BC9">
        <w:t>, mollusc</w:t>
      </w:r>
      <w:r w:rsidR="000F52FC">
        <w:t>s</w:t>
      </w:r>
      <w:r w:rsidR="00DC3BC9">
        <w:t>, and porifera</w:t>
      </w:r>
      <w:r w:rsidR="00FE42CE">
        <w:t>ns</w:t>
      </w:r>
      <w:r w:rsidR="00DC3BC9">
        <w:t>)</w:t>
      </w:r>
      <w:r w:rsidR="00491C26">
        <w:t xml:space="preserve"> and spatial delineation to propose complete and </w:t>
      </w:r>
      <w:r w:rsidR="00E630AC">
        <w:t>regionalised</w:t>
      </w:r>
      <w:r w:rsidR="00491C26">
        <w:t xml:space="preserve"> midpoint and endpoint CFs that account for the geographic variability of </w:t>
      </w:r>
      <w:r w:rsidR="003C67AF">
        <w:t xml:space="preserve">ocean acidification </w:t>
      </w:r>
      <w:r w:rsidR="00491C26">
        <w:t xml:space="preserve">impacts. </w:t>
      </w:r>
    </w:p>
    <w:p w14:paraId="39F74B60" w14:textId="77777777" w:rsidR="008909AD" w:rsidRDefault="008909AD" w:rsidP="00412621">
      <w:pPr>
        <w:pStyle w:val="Heading1"/>
        <w:numPr>
          <w:ilvl w:val="0"/>
          <w:numId w:val="0"/>
        </w:numPr>
        <w:sectPr w:rsidR="008909AD" w:rsidSect="00480E16">
          <w:headerReference w:type="default" r:id="rId13"/>
          <w:footerReference w:type="even" r:id="rId14"/>
          <w:footerReference w:type="default" r:id="rId15"/>
          <w:footerReference w:type="first" r:id="rId16"/>
          <w:pgSz w:w="12240" w:h="15840"/>
          <w:pgMar w:top="1440" w:right="1440" w:bottom="1440" w:left="1440" w:header="708" w:footer="708" w:gutter="0"/>
          <w:cols w:space="708"/>
          <w:docGrid w:linePitch="360"/>
        </w:sectPr>
      </w:pPr>
    </w:p>
    <w:p w14:paraId="42808637" w14:textId="77777777" w:rsidR="00412621" w:rsidRPr="00022A5D" w:rsidRDefault="00412621" w:rsidP="00412621">
      <w:pPr>
        <w:pStyle w:val="Heading1"/>
        <w:numPr>
          <w:ilvl w:val="0"/>
          <w:numId w:val="0"/>
        </w:numPr>
      </w:pPr>
      <w:r>
        <w:lastRenderedPageBreak/>
        <w:t>References</w:t>
      </w:r>
    </w:p>
    <w:p w14:paraId="0F191B54" w14:textId="77777777" w:rsidR="00565B09" w:rsidRDefault="00412621" w:rsidP="0073544D">
      <w:pPr>
        <w:pStyle w:val="Bibliography"/>
      </w:pPr>
      <w:r w:rsidRPr="00022A5D">
        <w:rPr>
          <w:szCs w:val="20"/>
        </w:rPr>
        <w:fldChar w:fldCharType="begin"/>
      </w:r>
      <w:r w:rsidR="009A5151">
        <w:rPr>
          <w:szCs w:val="20"/>
        </w:rPr>
        <w:instrText xml:space="preserve"> ADDIN ZOTERO_BIBL {"uncited":[],"omitted":[],"custom":[]} CSL_BIBLIOGRAPHY </w:instrText>
      </w:r>
      <w:r w:rsidRPr="00022A5D">
        <w:rPr>
          <w:szCs w:val="20"/>
        </w:rPr>
        <w:fldChar w:fldCharType="separate"/>
      </w:r>
      <w:r w:rsidR="00565B09">
        <w:t>Anderson SR, Stadler K, Verones F (2025) From global emissions to local impacts: Spatially explicit modeling of ocean acidification in life cycle assessment. Environ Sci Technol 59:22508−22517. https://doi.org/10.1021/acs.est.5c02069</w:t>
      </w:r>
    </w:p>
    <w:p w14:paraId="513A12EC" w14:textId="77777777" w:rsidR="00565B09" w:rsidRDefault="00565B09" w:rsidP="0073544D">
      <w:pPr>
        <w:pStyle w:val="Bibliography"/>
      </w:pPr>
      <w:r>
        <w:t>Anschütz A-A, Lencina-Avila JM, Rehder G, et al (2025) Direct effects of ocean alkalinity enhancement in the Baltic Sea–results from in-silico experiments. Front Clim 7:1450468. https://doi.org/10.3389/fclim.2025.1450468</w:t>
      </w:r>
    </w:p>
    <w:p w14:paraId="3BF4C46C" w14:textId="77777777" w:rsidR="00565B09" w:rsidRDefault="00565B09" w:rsidP="0073544D">
      <w:pPr>
        <w:pStyle w:val="Bibliography"/>
      </w:pPr>
      <w:r>
        <w:t>Azevedo LB, De Schryver AM, Hendriks AJ, Huijbregts MAJ (2015) Calcifying species sensitivity distributions for ocean acidification. Environ Sci Technol 49:1495–1500. https://doi.org/10.1021/es505485m</w:t>
      </w:r>
    </w:p>
    <w:p w14:paraId="38203129" w14:textId="77777777" w:rsidR="00565B09" w:rsidRDefault="00565B09" w:rsidP="0073544D">
      <w:pPr>
        <w:pStyle w:val="Bibliography"/>
      </w:pPr>
      <w:r>
        <w:t>Bach LT, Gill SJ, Rickaby REM, et al (2019) CO2 removal with enhanced weathering and ocean alkalinity enhancement: Potential risks and co-benefits for marine pelagic ecosystems. Front Clim 1:7. https://doi.org/10.3389/fclim.2019.00007</w:t>
      </w:r>
    </w:p>
    <w:p w14:paraId="460AC823" w14:textId="77777777" w:rsidR="00565B09" w:rsidRDefault="00565B09" w:rsidP="0073544D">
      <w:pPr>
        <w:pStyle w:val="Bibliography"/>
      </w:pPr>
      <w:r>
        <w:t>Bach V, Möller F, Finogenova N, et al (2016) Characterization model to assess ocean acidification within life cycle assessment. Int J Life Cycle Assess 21:1463–1472. https://doi.org/10.1007/s11367-016-1121-x</w:t>
      </w:r>
    </w:p>
    <w:p w14:paraId="26ACC32E" w14:textId="77777777" w:rsidR="00565B09" w:rsidRDefault="00565B09" w:rsidP="0073544D">
      <w:pPr>
        <w:pStyle w:val="Bibliography"/>
      </w:pPr>
      <w:r>
        <w:t>Bulle C, Margni M, Patouillard L, et al (2019) IMPACT World+: A globally regionalized life cycle impact assessment method. Int J Life Cycle Assess 24:1653–1674. https://doi.org/10.1007/s11367-019-01583-0</w:t>
      </w:r>
    </w:p>
    <w:p w14:paraId="4CC874BB" w14:textId="77777777" w:rsidR="00565B09" w:rsidRDefault="00565B09" w:rsidP="0073544D">
      <w:pPr>
        <w:pStyle w:val="Bibliography"/>
      </w:pPr>
      <w:r>
        <w:t>Carvalho BC, De Souza Junior HRA, Soares SR (2024) Evaluation of LCIA characterization models for marine ecotoxicity. Int J Life Cycle Assess 29:706–732. https://doi.org/10.1007/s11367-023-02277-4</w:t>
      </w:r>
    </w:p>
    <w:p w14:paraId="41330C8A" w14:textId="77777777" w:rsidR="00565B09" w:rsidRDefault="00565B09" w:rsidP="0073544D">
      <w:pPr>
        <w:pStyle w:val="Bibliography"/>
      </w:pPr>
      <w:r>
        <w:t>Cosme N, Hauschild MZ (2017) Characterization of waterborne nitrogen emissions for marine eutrophication modelling in life cycle impact assessment at the damage level and global scale. Int J Life Cycle Assess 22:1558–1570. https://doi.org/10.1007/s11367-017-1271-5</w:t>
      </w:r>
    </w:p>
    <w:p w14:paraId="5E74E578" w14:textId="77777777" w:rsidR="00565B09" w:rsidRDefault="00565B09" w:rsidP="0073544D">
      <w:pPr>
        <w:pStyle w:val="Bibliography"/>
      </w:pPr>
      <w:r>
        <w:t>Cosme N, Koski M, Hauschild MZ (2015) Exposure factors for marine eutrophication impacts assessment based on a mechanistic biological model. Ecological Modelling 317:50–63. https://doi.org/10.1016/j.ecolmodel.2015.09.005</w:t>
      </w:r>
    </w:p>
    <w:p w14:paraId="4594168B" w14:textId="77777777" w:rsidR="00565B09" w:rsidRDefault="00565B09" w:rsidP="0073544D">
      <w:pPr>
        <w:pStyle w:val="Bibliography"/>
      </w:pPr>
      <w:r>
        <w:t>Cosme N, Mayorga E, Hauschild MZ (2018) Spatially explicit fate factors of waterborne nitrogen emissions at the global scale. Int J Life Cycle Assess 23:1286–1296. https://doi.org/10.1007/s11367-017-1349-0</w:t>
      </w:r>
    </w:p>
    <w:p w14:paraId="5D31A631" w14:textId="77777777" w:rsidR="00565B09" w:rsidRDefault="00565B09" w:rsidP="0073544D">
      <w:pPr>
        <w:pStyle w:val="Bibliography"/>
      </w:pPr>
      <w:r>
        <w:t>Dale AW, Geilert S, Diercks I, et al (2024) Seafloor alkalinity enhancement as a carbon dioxide removal strategy in the Baltic Sea. Commun Earth Environ 5:452. https://doi.org/10.1038/s43247-024-01569-3</w:t>
      </w:r>
    </w:p>
    <w:p w14:paraId="54C17B85" w14:textId="77777777" w:rsidR="00565B09" w:rsidRDefault="00565B09" w:rsidP="0073544D">
      <w:pPr>
        <w:pStyle w:val="Bibliography"/>
      </w:pPr>
      <w:r>
        <w:t>Dong Y, Rosenbaum RK, Hauschild MZ (2016) Assessment of metal toxicity in marine ecosystems: Comparative toxicity potentials for nine cationic metals in coastal seawater. Environ Sci Technol 50:269–278. https://doi.org/10.1021/acs.est.5b01625</w:t>
      </w:r>
    </w:p>
    <w:p w14:paraId="1DAC6F5E" w14:textId="77777777" w:rsidR="00565B09" w:rsidRDefault="00565B09" w:rsidP="0073544D">
      <w:pPr>
        <w:pStyle w:val="Bibliography"/>
      </w:pPr>
      <w:r>
        <w:t>Dong Y, Rosenbaum RK, Hauschild MZ (2018) Metal toxicity characterization factors for marine ecosystems—considering the importance of the estuary for freshwater emissions. Int J Life Cycle Assess 23:1641–1653. https://doi.org/10.1007/s11367-017-1376-x</w:t>
      </w:r>
    </w:p>
    <w:p w14:paraId="7B3918A6" w14:textId="77777777" w:rsidR="00565B09" w:rsidRDefault="00565B09" w:rsidP="0073544D">
      <w:pPr>
        <w:pStyle w:val="Bibliography"/>
      </w:pPr>
      <w:r>
        <w:t>EC-JRC (2010) International Reference Life Cycle Data System (ILCD) Handbook. General Guide for Life Cycle Assessment: Detailed Guidance. European Commission, Joint Research Centre, Institute for Environment and Sustainability, Luxembourg</w:t>
      </w:r>
    </w:p>
    <w:p w14:paraId="58739EA6" w14:textId="77777777" w:rsidR="00565B09" w:rsidRDefault="00565B09" w:rsidP="0073544D">
      <w:pPr>
        <w:pStyle w:val="Bibliography"/>
      </w:pPr>
      <w:r>
        <w:t>EC-JRC (2012) Characterisation factors of the ILCD recommended life cycle impact assessment methods. Database and supporting information. European Commission, Joint Research Centre, Institute for Environment and Sustainability, Luxembourg</w:t>
      </w:r>
    </w:p>
    <w:p w14:paraId="669A3A5E" w14:textId="77777777" w:rsidR="00565B09" w:rsidRDefault="00565B09" w:rsidP="0073544D">
      <w:pPr>
        <w:pStyle w:val="Bibliography"/>
      </w:pPr>
      <w:r>
        <w:lastRenderedPageBreak/>
        <w:t>Eisaman MD, Geilert S, Renforth P, et al (2023) Assessing the technical aspects of ocean-alkalinity-enhancement approaches. State Planet 2-oae2023:3. https://doi.org/10.5194/sp-2-oae2023-3-2023</w:t>
      </w:r>
    </w:p>
    <w:p w14:paraId="45BE0FD9" w14:textId="77777777" w:rsidR="00565B09" w:rsidRDefault="00565B09" w:rsidP="0073544D">
      <w:pPr>
        <w:pStyle w:val="Bibliography"/>
      </w:pPr>
      <w:r>
        <w:t>Fantke P, Aurisano N, Bare J, et al (2018) Toward harmonizing ecotoxicity characterization in life cycle impact assessment. Environ Toxicol Chem 37:2955–2971. https://doi.org/10.1002/etc.4261</w:t>
      </w:r>
    </w:p>
    <w:p w14:paraId="2772E0A9" w14:textId="77777777" w:rsidR="00565B09" w:rsidRDefault="00565B09" w:rsidP="0073544D">
      <w:pPr>
        <w:pStyle w:val="Bibliography"/>
      </w:pPr>
      <w:r>
        <w:t>Foteinis S, Campbell JS, Renforth P (2023) Life cycle assessment of coastal enhanced weathering for carbon dioxide removal from air. Environ Sci Technol 57:6169–6178. https://doi.org/10.1021/acs.est.2c08633</w:t>
      </w:r>
    </w:p>
    <w:p w14:paraId="7D216B4A" w14:textId="77777777" w:rsidR="00565B09" w:rsidRDefault="00565B09" w:rsidP="0073544D">
      <w:pPr>
        <w:pStyle w:val="Bibliography"/>
      </w:pPr>
      <w:r>
        <w:t>Fuhr M, Dale AW, Wallmann K, et al (2025) Calcite is an efficient and low-cost material to enhance benthic weathering in shelf sediments of the Baltic Sea. Commun Earth Environ 6:106. https://doi.org/10.1038/s43247-025-02079-6</w:t>
      </w:r>
    </w:p>
    <w:p w14:paraId="061DE30F" w14:textId="77777777" w:rsidR="00565B09" w:rsidRDefault="00565B09" w:rsidP="0073544D">
      <w:pPr>
        <w:pStyle w:val="Bibliography"/>
      </w:pPr>
      <w:r>
        <w:t>Geerts LJJ, Hylén A, Meysman FJR (2025) Review and syntheses: Ocean alkalinity enhancement and carbon dioxide removal through marine enhanced rock weathering using olivine. Biogeosciences 22:355–384. https://doi.org/10.5194/bg-22-355-2025</w:t>
      </w:r>
    </w:p>
    <w:p w14:paraId="439C5C96" w14:textId="77777777" w:rsidR="00565B09" w:rsidRDefault="00565B09" w:rsidP="0073544D">
      <w:pPr>
        <w:pStyle w:val="Bibliography"/>
      </w:pPr>
      <w:r>
        <w:t>Gentile E, Tarantola F, Lockley A, et al (2022) Use of aircraft in ocean alkalinity enhancement. Sci Total Environ 822:153484. https://doi.org/10.1016/j.scitotenv.2022.153484</w:t>
      </w:r>
    </w:p>
    <w:p w14:paraId="6098D1CA" w14:textId="77777777" w:rsidR="00565B09" w:rsidRDefault="00565B09" w:rsidP="0073544D">
      <w:pPr>
        <w:pStyle w:val="Bibliography"/>
      </w:pPr>
      <w:r>
        <w:t>Guinée J (2002) Handbook on Life Cycle Assessment: Operational guide to the ISO standards. Springer Science &amp; Business Media</w:t>
      </w:r>
    </w:p>
    <w:p w14:paraId="61B5106B" w14:textId="77777777" w:rsidR="00565B09" w:rsidRDefault="00565B09" w:rsidP="0073544D">
      <w:pPr>
        <w:pStyle w:val="Bibliography"/>
      </w:pPr>
      <w:r>
        <w:t>Haigh R, Ianson D, Holt CA, et al (2015) Effects of ocean acidification on temperate coastal marine ecosystems and fisheries in the Northeast Pacific. PLoS ONE 10:e0117533. https://doi.org/10.1371/journal.pone.0117533</w:t>
      </w:r>
    </w:p>
    <w:p w14:paraId="7A43B122" w14:textId="77777777" w:rsidR="00565B09" w:rsidRDefault="00565B09" w:rsidP="0073544D">
      <w:pPr>
        <w:pStyle w:val="Bibliography"/>
      </w:pPr>
      <w:r>
        <w:t>Hartmann J, Suitner N, Lim C, et al (2023) Stability of alkalinity in ocean alkalinity enhancement (OAE) approaches – consequences for durability of CO</w:t>
      </w:r>
      <w:r>
        <w:rPr>
          <w:vertAlign w:val="subscript"/>
        </w:rPr>
        <w:t>2</w:t>
      </w:r>
      <w:r>
        <w:t xml:space="preserve"> storage. Biogeosciences 20:781–802. https://doi.org/10.5194/bg-20-781-2023</w:t>
      </w:r>
    </w:p>
    <w:p w14:paraId="11EF6482" w14:textId="77777777" w:rsidR="00565B09" w:rsidRDefault="00565B09" w:rsidP="0073544D">
      <w:pPr>
        <w:pStyle w:val="Bibliography"/>
      </w:pPr>
      <w:r>
        <w:t>Hauschild MZ, Goedkoop M, Guinée J, et al (2013) Identifying best existing practice for characterization modeling in life cycle impact assessment. Int J Life Cycle Assess 18:683–697. https://doi.org/10.1007/s11367-012-0489-5</w:t>
      </w:r>
    </w:p>
    <w:p w14:paraId="27EF8C25" w14:textId="77777777" w:rsidR="00565B09" w:rsidRDefault="00565B09" w:rsidP="0073544D">
      <w:pPr>
        <w:pStyle w:val="Bibliography"/>
      </w:pPr>
      <w:r>
        <w:t>He J, Tyka MD (2023) Limits and CO</w:t>
      </w:r>
      <w:r>
        <w:rPr>
          <w:vertAlign w:val="subscript"/>
        </w:rPr>
        <w:t>2</w:t>
      </w:r>
      <w:r>
        <w:t xml:space="preserve"> equilibration of near-coast alkalinity enhancement. Biogeosciences 20:27–43. https://doi.org/10.5194/bg-20-27-2023</w:t>
      </w:r>
    </w:p>
    <w:p w14:paraId="2BE034C5" w14:textId="77777777" w:rsidR="00565B09" w:rsidRDefault="00565B09" w:rsidP="0073544D">
      <w:pPr>
        <w:pStyle w:val="Bibliography"/>
      </w:pPr>
      <w:r>
        <w:t>Heijungs R, de Koning A (2004) Improvement of LCA characterization factors and LCA practice for metals. TNO Environment, Energy and Process Innovation, Netherlands</w:t>
      </w:r>
    </w:p>
    <w:p w14:paraId="53552E6D" w14:textId="77777777" w:rsidR="00565B09" w:rsidRDefault="00565B09" w:rsidP="0073544D">
      <w:pPr>
        <w:pStyle w:val="Bibliography"/>
      </w:pPr>
      <w:r>
        <w:t>Henderson AD, Niblick B, Golden HE, Bare JC (2021) Modeling spatially resolved characterization factors for eutrophication potential in life cycle assessment. Int J Life Cycle Assess 26:1832–1846. https://doi.org/10.1007/s11367-021-01956-4</w:t>
      </w:r>
    </w:p>
    <w:p w14:paraId="05E2E2AB" w14:textId="77777777" w:rsidR="00565B09" w:rsidRDefault="00565B09" w:rsidP="0073544D">
      <w:pPr>
        <w:pStyle w:val="Bibliography"/>
      </w:pPr>
      <w:r>
        <w:t>Henryson K, Hansson P-A, Sundberg C (2018) Spatially differentiated midpoint indicator for marine eutrophication of waterborne emissions in Sweden. Int J Life Cycle Assess 23:70–81. https://doi.org/10.1007/s11367-017-1298-7</w:t>
      </w:r>
    </w:p>
    <w:p w14:paraId="6C1E7024" w14:textId="77777777" w:rsidR="00565B09" w:rsidRDefault="00565B09" w:rsidP="0073544D">
      <w:pPr>
        <w:pStyle w:val="Bibliography"/>
      </w:pPr>
      <w:r>
        <w:t>Henryson K, Kätterer T, Tidåker P, Sundberg C (2020) Soil N2O emissions, N leaching and marine eutrophication in life cycle assessment – A comparison of modelling approaches. Sci Total Environ 725:138332. https://doi.org/10.1016/j.scitotenv.2020.138332</w:t>
      </w:r>
    </w:p>
    <w:p w14:paraId="66C113DB" w14:textId="77777777" w:rsidR="00565B09" w:rsidRDefault="00565B09" w:rsidP="0073544D">
      <w:pPr>
        <w:pStyle w:val="Bibliography"/>
      </w:pPr>
      <w:r>
        <w:t>Huijbregts MAJ (2016) ReCiPe 2016 - A harmonized life cycle impact assessment method at midpoint and endpoint level - Report I: Characterization. RIVM, Netherlands</w:t>
      </w:r>
    </w:p>
    <w:p w14:paraId="18239F4A" w14:textId="77777777" w:rsidR="00565B09" w:rsidRDefault="00565B09" w:rsidP="0073544D">
      <w:pPr>
        <w:pStyle w:val="Bibliography"/>
      </w:pPr>
      <w:r>
        <w:lastRenderedPageBreak/>
        <w:t>Huijbregts MAJ, Steinmann ZJN, Elshout PMF, et al (2017) ReCiPe 2016 v1.1: A harmonized life cycle impact assessment method at midpoint and endpoint level Report I: Characterization. RIVM, Netherlands</w:t>
      </w:r>
    </w:p>
    <w:p w14:paraId="29A28E7C" w14:textId="77777777" w:rsidR="00565B09" w:rsidRDefault="00565B09" w:rsidP="0073544D">
      <w:pPr>
        <w:pStyle w:val="Bibliography"/>
      </w:pPr>
      <w:r>
        <w:t>Huijbregts MAJ, Thissen U, Guinee JB, et al (2000) Priority assessment of toxic substances in life cycle assessment. Part I: Calculation of toxicity potentials for 181 substances with the nested multi-media fate, exposure and effects model USES±LCA. Chemosphere 41:541–573</w:t>
      </w:r>
    </w:p>
    <w:p w14:paraId="5C40F227" w14:textId="77777777" w:rsidR="00565B09" w:rsidRDefault="00565B09" w:rsidP="0073544D">
      <w:pPr>
        <w:pStyle w:val="Bibliography"/>
      </w:pPr>
      <w:r>
        <w:t>Isometric (2025) 625.64 credits issued to Planetary. https://registry.isometric.com/issuance/iss_1JXW6N77B1S05B02. Accessed 7 July 2025</w:t>
      </w:r>
    </w:p>
    <w:p w14:paraId="4296AA78" w14:textId="77777777" w:rsidR="00565B09" w:rsidRDefault="00565B09" w:rsidP="0073544D">
      <w:pPr>
        <w:pStyle w:val="Bibliography"/>
      </w:pPr>
      <w:r>
        <w:t>Kounina A, Margni M, Shaked S, et al (2014) Spatial analysis of toxic emissions in LCA: A sub-continental nested USEtox model with freshwater archetypes. Environ Int 69:67–89. https://doi.org/10.1016/j.envint.2014.04.004</w:t>
      </w:r>
    </w:p>
    <w:p w14:paraId="29169171" w14:textId="77777777" w:rsidR="00565B09" w:rsidRDefault="00565B09" w:rsidP="0073544D">
      <w:pPr>
        <w:pStyle w:val="Bibliography"/>
      </w:pPr>
      <w:r>
        <w:t>Le Quesne WJF, Pinnegar JK (2012) The potential impacts of ocean acidification: scaling from physiology to fisheries. Fish Fish 13:333–344. https://doi.org/10.1111/j.1467-2979.2011.00423.x</w:t>
      </w:r>
    </w:p>
    <w:p w14:paraId="61D65957" w14:textId="77777777" w:rsidR="00565B09" w:rsidRDefault="00565B09" w:rsidP="0073544D">
      <w:pPr>
        <w:pStyle w:val="Bibliography"/>
      </w:pPr>
      <w:r>
        <w:t>Meysman FJR, Montserrat F (2017) Negative CO</w:t>
      </w:r>
      <w:r>
        <w:rPr>
          <w:vertAlign w:val="subscript"/>
        </w:rPr>
        <w:t>2</w:t>
      </w:r>
      <w:r>
        <w:t xml:space="preserve"> emissions via enhanced silicate weathering in coastal environments. Biol Lett 13:20160905. https://doi.org/10.1098/rsbl.2016.0905</w:t>
      </w:r>
    </w:p>
    <w:p w14:paraId="772E4EC5" w14:textId="77777777" w:rsidR="00565B09" w:rsidRDefault="00565B09" w:rsidP="0073544D">
      <w:pPr>
        <w:pStyle w:val="Bibliography"/>
      </w:pPr>
      <w:r>
        <w:t>Montserrat F, Renforth P, Hartmann J, et al (2017) Olivine dissolution in seawater: Implications for CO</w:t>
      </w:r>
      <w:r>
        <w:rPr>
          <w:vertAlign w:val="subscript"/>
        </w:rPr>
        <w:t>2</w:t>
      </w:r>
      <w:r>
        <w:t xml:space="preserve"> sequestration through enhanced weathering in coastal environments. Environ Sci Technol 51:3960–3972. https://doi.org/10.1021/acs.est.6b05942</w:t>
      </w:r>
    </w:p>
    <w:p w14:paraId="4690D88C" w14:textId="77777777" w:rsidR="00565B09" w:rsidRDefault="00565B09" w:rsidP="0073544D">
      <w:pPr>
        <w:pStyle w:val="Bibliography"/>
      </w:pPr>
      <w:r>
        <w:t>Moras CA, Cyronak T, Bach LT, et al (2024) Effects of grain size and seawater salinity on magnesium hydroxide dissolution and secondary calcium carbonate precipitation kinetics: implications for ocean alkalinity enhancement. Biogeosciences 21:3463–3475. https://doi.org/10.5194/bg-21-3463-2024</w:t>
      </w:r>
    </w:p>
    <w:p w14:paraId="3DD04BCD" w14:textId="77777777" w:rsidR="00565B09" w:rsidRDefault="00565B09" w:rsidP="0073544D">
      <w:pPr>
        <w:pStyle w:val="Bibliography"/>
      </w:pPr>
      <w:r>
        <w:t>Morelli B, Hawkins TR, Niblick B, et al (2018) Critical review of eutrophication models for life cycle assessment. Environ Sci Technol 52:9562–9578. https://doi.org/10.1021/acs.est.8b00967</w:t>
      </w:r>
    </w:p>
    <w:p w14:paraId="7AF8C23F" w14:textId="77777777" w:rsidR="00565B09" w:rsidRDefault="00565B09" w:rsidP="0073544D">
      <w:pPr>
        <w:pStyle w:val="Bibliography"/>
      </w:pPr>
      <w:r>
        <w:t>Nagwekar T, Nissen C, Hauck J (2024) Ocean alkalinity enhancement in deep water formation regions under low and high emission pathways. Earth’s Future 12:e2023EF004213. https://doi.org/10.1029/2023EF004213</w:t>
      </w:r>
    </w:p>
    <w:p w14:paraId="3440F5BB" w14:textId="77777777" w:rsidR="00565B09" w:rsidRDefault="00565B09" w:rsidP="0073544D">
      <w:pPr>
        <w:pStyle w:val="Bibliography"/>
      </w:pPr>
      <w:r>
        <w:t>NASEM (2022) A Research Strategy for Ocean-based Carbon Dioxide Removal and Sequestration, National Academies of Sciences, Engineering, and Medicine. National Academies Press, Washington D.C.</w:t>
      </w:r>
    </w:p>
    <w:p w14:paraId="3B1FD0BD" w14:textId="77777777" w:rsidR="00565B09" w:rsidRDefault="00565B09" w:rsidP="0073544D">
      <w:pPr>
        <w:pStyle w:val="Bibliography"/>
      </w:pPr>
      <w:r>
        <w:t>Nawaz S, Lezaun J, Valenzuela JM, Renforth P (2023) Broaden research on ocean alkalinity enhancement to better characterize social impacts. Environ Sci Technol 57:8863–8869. https://doi.org/10.1021/acs.est.2c09595</w:t>
      </w:r>
    </w:p>
    <w:p w14:paraId="4E97B947" w14:textId="77777777" w:rsidR="00565B09" w:rsidRDefault="00565B09" w:rsidP="0073544D">
      <w:pPr>
        <w:pStyle w:val="Bibliography"/>
      </w:pPr>
      <w:r>
        <w:t>Ocean Visions (2025) Ocean Visions mCDR Field Trial Database. https://oceanvisions.org/mcdr-field-trials/. Accessed 30 Apr 2025</w:t>
      </w:r>
    </w:p>
    <w:p w14:paraId="2DABB1BC" w14:textId="77777777" w:rsidR="00565B09" w:rsidRDefault="00565B09" w:rsidP="0073544D">
      <w:pPr>
        <w:pStyle w:val="Bibliography"/>
      </w:pPr>
      <w:r>
        <w:t>Oelkers EH, Declercq J, Saldi GD, et al (2018) Olivine dissolution rates: A critical review. Chem Geol 500:1–19. https://doi.org/10.1016/j.chemgeo.2018.10.008</w:t>
      </w:r>
    </w:p>
    <w:p w14:paraId="2ECE4414" w14:textId="77777777" w:rsidR="00565B09" w:rsidRDefault="00565B09" w:rsidP="0073544D">
      <w:pPr>
        <w:pStyle w:val="Bibliography"/>
      </w:pPr>
      <w:r>
        <w:t>Oschlies A, Bach LT, Fennel K, et al (2025) Perspectives and challenges of marine carbon dioxide removal. Front Clim 6:1506181. https://doi.org/10.3389/fclim.2024.1506181</w:t>
      </w:r>
    </w:p>
    <w:p w14:paraId="3A167162" w14:textId="77777777" w:rsidR="00565B09" w:rsidRDefault="00565B09" w:rsidP="0073544D">
      <w:pPr>
        <w:pStyle w:val="Bibliography"/>
      </w:pPr>
      <w:r>
        <w:t>Pickett M, Andersson AJ (2015) Dissolution rates of biogenic carbonates in natural seawater at different pCO</w:t>
      </w:r>
      <w:r>
        <w:rPr>
          <w:vertAlign w:val="subscript"/>
        </w:rPr>
        <w:t>2</w:t>
      </w:r>
      <w:r>
        <w:t xml:space="preserve"> conditions: A laboratory study. Aquat Geochem 21:459–485. https://doi.org/10.1007/s10498-015-9261-3</w:t>
      </w:r>
    </w:p>
    <w:p w14:paraId="0A088656" w14:textId="77777777" w:rsidR="00565B09" w:rsidRDefault="00565B09" w:rsidP="0073544D">
      <w:pPr>
        <w:pStyle w:val="Bibliography"/>
      </w:pPr>
      <w:r>
        <w:t>Renforth P, Henderson G (2017) Assessing ocean alkalinity for carbon sequestration. Rev Geophys 55:636–674. https://doi.org/10.1002/2016RG000533</w:t>
      </w:r>
    </w:p>
    <w:p w14:paraId="04163A88" w14:textId="77777777" w:rsidR="00565B09" w:rsidRDefault="00565B09" w:rsidP="0073544D">
      <w:pPr>
        <w:pStyle w:val="Bibliography"/>
      </w:pPr>
      <w:r>
        <w:lastRenderedPageBreak/>
        <w:t>Rimstidt JD, Brantley SL, Olsen AA (2012) Systematic review of forsterite dissolution rate data. Geochim Cosmochim Acta 99:159–178. https://doi.org/10.1016/j.gca.2012.09.019</w:t>
      </w:r>
    </w:p>
    <w:p w14:paraId="63D02A1A" w14:textId="77777777" w:rsidR="00565B09" w:rsidRDefault="00565B09" w:rsidP="0073544D">
      <w:pPr>
        <w:pStyle w:val="Bibliography"/>
      </w:pPr>
      <w:r>
        <w:t>Roy P-O, Huijbregts M, Deschênes L, Margni M (2012) Spatially-differentiated atmospheric source–receptor relationships for nitrogen oxides, sulfur oxides and ammonia emissions at the global scale for life cycle impact assessment. Atmos Environ 62:74–81. https://doi.org/10.1016/j.atmosenv.2012.07.069</w:t>
      </w:r>
    </w:p>
    <w:p w14:paraId="43EC1836" w14:textId="77777777" w:rsidR="00565B09" w:rsidRDefault="00565B09" w:rsidP="0073544D">
      <w:pPr>
        <w:pStyle w:val="Bibliography"/>
      </w:pPr>
      <w:r>
        <w:t>Scherer L, Gürdal İ, Van Bodegom PM (2022) Characterization factors for ocean acidification impacts on marine biodiversity. J Ind Ecol 26:2069–2079. https://doi.org/10.1111/jiec.13274</w:t>
      </w:r>
    </w:p>
    <w:p w14:paraId="5369B79E" w14:textId="77777777" w:rsidR="00565B09" w:rsidRDefault="00565B09" w:rsidP="0073544D">
      <w:pPr>
        <w:pStyle w:val="Bibliography"/>
      </w:pPr>
      <w:r>
        <w:t>Scholz F, Hensen C, Schmidt M, Geersen J (2013) Submarine weathering of silicate minerals and the extent of pore water freshening at active continental margins. Geochim Cosmochim Acta 100:200–216. https://doi.org/10.1016/j.gca.2012.09.043</w:t>
      </w:r>
    </w:p>
    <w:p w14:paraId="19B606BC" w14:textId="77777777" w:rsidR="00565B09" w:rsidRDefault="00565B09" w:rsidP="0073544D">
      <w:pPr>
        <w:pStyle w:val="Bibliography"/>
      </w:pPr>
      <w:r>
        <w:t>Serafini S, Ciroth A (2024) TRACI 2.2 method documentation. GreenDelta GmbH, Berlin</w:t>
      </w:r>
    </w:p>
    <w:p w14:paraId="772D2812" w14:textId="77777777" w:rsidR="00565B09" w:rsidRDefault="00565B09" w:rsidP="0073544D">
      <w:pPr>
        <w:pStyle w:val="Bibliography"/>
      </w:pPr>
      <w:r>
        <w:t>Sloterdijk H, Grünhagen C, Voss R, et al (2025) Future scenarios of global fisheries and ocean alkalinity enhancement under socio‐economic and climate pathways. Earth’s futur 13:e2024EF005478. https://doi.org/10.1029/2024EF005478</w:t>
      </w:r>
    </w:p>
    <w:p w14:paraId="1A672936" w14:textId="77777777" w:rsidR="00565B09" w:rsidRDefault="00565B09" w:rsidP="0073544D">
      <w:pPr>
        <w:pStyle w:val="Bibliography"/>
      </w:pPr>
      <w:r>
        <w:t>Struijs J, Beusen A, van Jaarsveld H, Huijbregts M (2009) Chapter 6: Aquatic eutrophication. In: ReCiPe 2008 - A life cycle impact assessment method which comprises harmonised category indicators at the midpoint and the endpoint level, First edition. Netherlands, pp 59–67</w:t>
      </w:r>
    </w:p>
    <w:p w14:paraId="02A4BB09" w14:textId="77777777" w:rsidR="00565B09" w:rsidRDefault="00565B09" w:rsidP="0073544D">
      <w:pPr>
        <w:pStyle w:val="Bibliography"/>
      </w:pPr>
      <w:r>
        <w:t>Van Zelm R, Huijbregts MAJ, Van De Meent D (2009) USES-LCA 2.0—A global nested multi-media fate, exposure, and effects model. Int J Life Cycle Assess 14:282–284. https://doi.org/10.1007/s11367-009-0066-8</w:t>
      </w:r>
    </w:p>
    <w:p w14:paraId="04A80783" w14:textId="77777777" w:rsidR="00565B09" w:rsidRDefault="00565B09" w:rsidP="0073544D">
      <w:pPr>
        <w:pStyle w:val="Bibliography"/>
      </w:pPr>
      <w:r>
        <w:t>Vea EB, Jwaideh M, Richardson K, et al (2024) Enabling comprehensive assessment of marine eutrophication impacts and their evaluation against regional safe operating space. Int J Life Cycle Assess 29:1738–1755. https://doi.org/10.1007/s11367-024-02311-z</w:t>
      </w:r>
    </w:p>
    <w:p w14:paraId="3D34EBC2" w14:textId="77777777" w:rsidR="00565B09" w:rsidRDefault="00565B09" w:rsidP="0073544D">
      <w:pPr>
        <w:pStyle w:val="Bibliography"/>
      </w:pPr>
      <w:r>
        <w:t>Verones F, Hellweg S, Antón A, et al (2020) LC‐IMPACT: A regionalized life cycle damage assessment method. J of Industrial Ecology 24:1201–1219. https://doi.org/10.1111/jiec.13018</w:t>
      </w:r>
    </w:p>
    <w:p w14:paraId="324540AB" w14:textId="77777777" w:rsidR="00565B09" w:rsidRDefault="00565B09" w:rsidP="0073544D">
      <w:pPr>
        <w:pStyle w:val="Bibliography"/>
      </w:pPr>
      <w:r>
        <w:t>Zhuang W, Zhu T, Li F, et al (2025) Potential environmental impacts and management strategies for metal release during ocean alkalinity enhancement using olivine. Environ Sci Technol 59:1091–1099. https://doi.org/10.1021/acs.est.4c10705</w:t>
      </w:r>
    </w:p>
    <w:p w14:paraId="768E495F" w14:textId="1B4E529E" w:rsidR="00412621" w:rsidRPr="005B2E89" w:rsidRDefault="00412621" w:rsidP="005D7134">
      <w:r w:rsidRPr="00022A5D">
        <w:rPr>
          <w:rFonts w:cs="Times New Roman"/>
          <w:szCs w:val="20"/>
        </w:rPr>
        <w:fldChar w:fldCharType="end"/>
      </w:r>
    </w:p>
    <w:sectPr w:rsidR="00412621" w:rsidRPr="005B2E89" w:rsidSect="00480E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CDB03" w14:textId="77777777" w:rsidR="009A098D" w:rsidRPr="00022A5D" w:rsidRDefault="009A098D" w:rsidP="00992AA0">
      <w:pPr>
        <w:spacing w:after="0" w:line="240" w:lineRule="auto"/>
      </w:pPr>
      <w:r w:rsidRPr="00022A5D">
        <w:separator/>
      </w:r>
    </w:p>
  </w:endnote>
  <w:endnote w:type="continuationSeparator" w:id="0">
    <w:p w14:paraId="45131CC7" w14:textId="77777777" w:rsidR="009A098D" w:rsidRPr="00022A5D" w:rsidRDefault="009A098D" w:rsidP="00992AA0">
      <w:pPr>
        <w:spacing w:after="0" w:line="240" w:lineRule="auto"/>
      </w:pPr>
      <w:r w:rsidRPr="00022A5D">
        <w:continuationSeparator/>
      </w:r>
    </w:p>
  </w:endnote>
  <w:endnote w:type="continuationNotice" w:id="1">
    <w:p w14:paraId="0B263DC2" w14:textId="77777777" w:rsidR="009A098D" w:rsidRPr="00022A5D" w:rsidRDefault="009A09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236F5" w14:textId="65A7615F" w:rsidR="001F10B7" w:rsidRDefault="001F10B7">
    <w:pPr>
      <w:pStyle w:val="Footer"/>
    </w:pPr>
    <w:r>
      <w:rPr>
        <w:noProof/>
      </w:rPr>
      <mc:AlternateContent>
        <mc:Choice Requires="wps">
          <w:drawing>
            <wp:anchor distT="0" distB="0" distL="0" distR="0" simplePos="0" relativeHeight="251658241" behindDoc="0" locked="0" layoutInCell="1" allowOverlap="1" wp14:anchorId="614F62EF" wp14:editId="3F733A07">
              <wp:simplePos x="635" y="635"/>
              <wp:positionH relativeFrom="page">
                <wp:align>left</wp:align>
              </wp:positionH>
              <wp:positionV relativeFrom="page">
                <wp:align>bottom</wp:align>
              </wp:positionV>
              <wp:extent cx="1737360" cy="357505"/>
              <wp:effectExtent l="0" t="0" r="15240" b="0"/>
              <wp:wrapNone/>
              <wp:docPr id="1777137439" name="Text Box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7360" cy="357505"/>
                      </a:xfrm>
                      <a:prstGeom prst="rect">
                        <a:avLst/>
                      </a:prstGeom>
                      <a:noFill/>
                      <a:ln>
                        <a:noFill/>
                      </a:ln>
                    </wps:spPr>
                    <wps:txbx>
                      <w:txbxContent>
                        <w:p w14:paraId="4F075688" w14:textId="678F8DEC" w:rsidR="001F10B7" w:rsidRPr="001F10B7" w:rsidRDefault="001F10B7" w:rsidP="001F10B7">
                          <w:pPr>
                            <w:spacing w:after="0"/>
                            <w:rPr>
                              <w:rFonts w:ascii="Calibri" w:eastAsia="Calibri" w:hAnsi="Calibri" w:cs="Calibri"/>
                              <w:noProof/>
                              <w:color w:val="000000"/>
                              <w:szCs w:val="20"/>
                            </w:rPr>
                          </w:pPr>
                          <w:r w:rsidRPr="001F10B7">
                            <w:rPr>
                              <w:rFonts w:ascii="Calibri" w:eastAsia="Calibri" w:hAnsi="Calibri" w:cs="Calibri"/>
                              <w:noProof/>
                              <w:color w:val="00000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4F62EF" id="_x0000_t202" coordsize="21600,21600" o:spt="202" path="m,l,21600r21600,l21600,xe">
              <v:stroke joinstyle="miter"/>
              <v:path gradientshapeok="t" o:connecttype="rect"/>
            </v:shapetype>
            <v:shape id="Text Box 2" o:spid="_x0000_s1026" type="#_x0000_t202" alt="Classified as Internal | Intern" style="position:absolute;left:0;text-align:left;margin-left:0;margin-top:0;width:136.8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R2DwIAABsEAAAOAAAAZHJzL2Uyb0RvYy54bWysU8Fu2zAMvQ/YPwi6L3aSpdmMOEXWIsOA&#10;oC2QFj0rshQbkERBUmJnXz9KdpKt62nYRaZJ6pF8fFrcdlqRo3C+AVPS8SinRBgOVWP2JX15Xn/6&#10;QokPzFRMgRElPQlPb5cfPyxaW4gJ1KAq4QiCGF+0tqR1CLbIMs9roZkfgRUGgxKcZgF/3T6rHGsR&#10;Xatskuc3WQuusg648B69932QLhO+lIKHRym9CESVFHsL6XTp3MUzWy5YsXfM1g0f2mD/0IVmjcGi&#10;F6h7Fhg5uOYvKN1wBx5kGHHQGUjZcJFmwGnG+ZtptjWzIs2C5Hh7ocn/P1j+cNzaJ0dC9w06XGAk&#10;pLW+8OiM83TS6fjFTgnGkcLThTbRBcLjpfl0Pr3BEMfYdDaf5bMIk11vW+fDdwGaRKOkDteS2GLH&#10;jQ996jklFjOwbpRKq1HmDwdiRk92bTFaodt1Q987qE44joN+097ydYM1N8yHJ+ZwtdgmyjU84iEV&#10;tCWFwaKkBvfzPX/MR8YxSkmLUimpQS1Ton4Y3MRk9jnPo7TSHxrubOySMf6az2LcHPQdoArH+CAs&#10;T2ZMDupsSgf6FdW8itUwxAzHmiXdnc270AsXXwMXq1VKQhVZFjZma3mEjmRFJp+7V+bsQHfART3A&#10;WUyseMN6nxtvers6BOQ+rSQS27M58I0KTEsdXkuU+O//Kev6ppe/AAAA//8DAFBLAwQUAAYACAAA&#10;ACEAmtgjgdoAAAAEAQAADwAAAGRycy9kb3ducmV2LnhtbEyPzU7DMBCE70i8g7VI3KhDKgxK41QV&#10;f+JKQKJHJ97GUeN1iN02vD0LF7isNJrRzLflevaDOOIU+0AarhcZCKQ22J46De9vT1d3IGIyZM0Q&#10;CDV8YYR1dX5WmsKGE73isU6d4BKKhdHgUhoLKWPr0Ju4CCMSe7sweZNYTp20kzlxuR9knmVKetMT&#10;Lzgz4r3Ddl8fvAb18Lxx44fafu7y+BKbsE91eNT68mLerEAknNNfGH7wGR0qZmrCgWwUgwZ+JP1e&#10;9vLbpQLRaLhRS5BVKf/DV98AAAD//wMAUEsBAi0AFAAGAAgAAAAhALaDOJL+AAAA4QEAABMAAAAA&#10;AAAAAAAAAAAAAAAAAFtDb250ZW50X1R5cGVzXS54bWxQSwECLQAUAAYACAAAACEAOP0h/9YAAACU&#10;AQAACwAAAAAAAAAAAAAAAAAvAQAAX3JlbHMvLnJlbHNQSwECLQAUAAYACAAAACEAI5nkdg8CAAAb&#10;BAAADgAAAAAAAAAAAAAAAAAuAgAAZHJzL2Uyb0RvYy54bWxQSwECLQAUAAYACAAAACEAmtgjgdoA&#10;AAAEAQAADwAAAAAAAAAAAAAAAABpBAAAZHJzL2Rvd25yZXYueG1sUEsFBgAAAAAEAAQA8wAAAHAF&#10;AAAAAA==&#10;" filled="f" stroked="f">
              <v:textbox style="mso-fit-shape-to-text:t" inset="20pt,0,0,15pt">
                <w:txbxContent>
                  <w:p w14:paraId="4F075688" w14:textId="678F8DEC" w:rsidR="001F10B7" w:rsidRPr="001F10B7" w:rsidRDefault="001F10B7" w:rsidP="001F10B7">
                    <w:pPr>
                      <w:spacing w:after="0"/>
                      <w:rPr>
                        <w:rFonts w:ascii="Calibri" w:eastAsia="Calibri" w:hAnsi="Calibri" w:cs="Calibri"/>
                        <w:noProof/>
                        <w:color w:val="000000"/>
                        <w:szCs w:val="20"/>
                      </w:rPr>
                    </w:pPr>
                    <w:r w:rsidRPr="001F10B7">
                      <w:rPr>
                        <w:rFonts w:ascii="Calibri" w:eastAsia="Calibri" w:hAnsi="Calibri" w:cs="Calibri"/>
                        <w:noProof/>
                        <w:color w:val="000000"/>
                        <w:szCs w:val="20"/>
                      </w:rPr>
                      <w:t>Classified as Internal |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2EA9" w14:textId="429A5650" w:rsidR="007D46F5" w:rsidRPr="00022A5D" w:rsidRDefault="009A098D">
    <w:pPr>
      <w:pStyle w:val="Footer"/>
      <w:jc w:val="center"/>
    </w:pPr>
    <w:sdt>
      <w:sdtPr>
        <w:id w:val="-502281997"/>
        <w:docPartObj>
          <w:docPartGallery w:val="Page Numbers (Bottom of Page)"/>
          <w:docPartUnique/>
        </w:docPartObj>
      </w:sdtPr>
      <w:sdtEndPr/>
      <w:sdtContent>
        <w:r w:rsidR="007D46F5" w:rsidRPr="00022A5D">
          <w:fldChar w:fldCharType="begin"/>
        </w:r>
        <w:r w:rsidR="007D46F5" w:rsidRPr="00022A5D">
          <w:instrText xml:space="preserve"> PAGE   \* MERGEFORMAT </w:instrText>
        </w:r>
        <w:r w:rsidR="007D46F5" w:rsidRPr="00022A5D">
          <w:fldChar w:fldCharType="separate"/>
        </w:r>
        <w:r w:rsidR="007D46F5" w:rsidRPr="00022A5D">
          <w:t>2</w:t>
        </w:r>
        <w:r w:rsidR="007D46F5" w:rsidRPr="00022A5D">
          <w:fldChar w:fldCharType="end"/>
        </w:r>
      </w:sdtContent>
    </w:sdt>
  </w:p>
  <w:p w14:paraId="7151DA66" w14:textId="77777777" w:rsidR="007D46F5" w:rsidRPr="00022A5D" w:rsidRDefault="007D46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A0A67" w14:textId="0C9A3898" w:rsidR="001F10B7" w:rsidRDefault="001F10B7">
    <w:pPr>
      <w:pStyle w:val="Footer"/>
    </w:pPr>
    <w:r>
      <w:rPr>
        <w:noProof/>
      </w:rPr>
      <mc:AlternateContent>
        <mc:Choice Requires="wps">
          <w:drawing>
            <wp:anchor distT="0" distB="0" distL="0" distR="0" simplePos="0" relativeHeight="251658240" behindDoc="0" locked="0" layoutInCell="1" allowOverlap="1" wp14:anchorId="1379E37B" wp14:editId="21378D39">
              <wp:simplePos x="635" y="635"/>
              <wp:positionH relativeFrom="page">
                <wp:align>left</wp:align>
              </wp:positionH>
              <wp:positionV relativeFrom="page">
                <wp:align>bottom</wp:align>
              </wp:positionV>
              <wp:extent cx="1737360" cy="357505"/>
              <wp:effectExtent l="0" t="0" r="15240" b="0"/>
              <wp:wrapNone/>
              <wp:docPr id="116410176" name="Text Box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7360" cy="357505"/>
                      </a:xfrm>
                      <a:prstGeom prst="rect">
                        <a:avLst/>
                      </a:prstGeom>
                      <a:noFill/>
                      <a:ln>
                        <a:noFill/>
                      </a:ln>
                    </wps:spPr>
                    <wps:txbx>
                      <w:txbxContent>
                        <w:p w14:paraId="47A5967F" w14:textId="368B62AD" w:rsidR="001F10B7" w:rsidRPr="001F10B7" w:rsidRDefault="001F10B7" w:rsidP="001F10B7">
                          <w:pPr>
                            <w:spacing w:after="0"/>
                            <w:rPr>
                              <w:rFonts w:ascii="Calibri" w:eastAsia="Calibri" w:hAnsi="Calibri" w:cs="Calibri"/>
                              <w:noProof/>
                              <w:color w:val="000000"/>
                              <w:szCs w:val="20"/>
                            </w:rPr>
                          </w:pPr>
                          <w:r w:rsidRPr="001F10B7">
                            <w:rPr>
                              <w:rFonts w:ascii="Calibri" w:eastAsia="Calibri" w:hAnsi="Calibri" w:cs="Calibri"/>
                              <w:noProof/>
                              <w:color w:val="00000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79E37B" id="_x0000_t202" coordsize="21600,21600" o:spt="202" path="m,l,21600r21600,l21600,xe">
              <v:stroke joinstyle="miter"/>
              <v:path gradientshapeok="t" o:connecttype="rect"/>
            </v:shapetype>
            <v:shape id="Text Box 1" o:spid="_x0000_s1027" type="#_x0000_t202" alt="Classified as Internal | Intern" style="position:absolute;left:0;text-align:left;margin-left:0;margin-top:0;width:136.8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9ZKEQIAACIEAAAOAAAAZHJzL2Uyb0RvYy54bWysU99v2jAQfp+0/8Hy+0iAUbqIULFWTJNQ&#10;W4lOfTaOTSLZPss2JOyv39kJ0HV7mvbiXO7O9+P7Pi/uOq3IUTjfgCnpeJRTIgyHqjH7kv54WX+6&#10;pcQHZiqmwIiSnoSnd8uPHxatLcQEalCVcASLGF+0tqR1CLbIMs9roZkfgRUGgxKcZgF/3T6rHGux&#10;ulbZJM9vshZcZR1w4T16H/ogXab6UgoenqT0IhBVUpwtpNOlcxfPbLlgxd4xWzd8GIP9wxSaNQab&#10;Xko9sMDIwTV/lNINd+BBhhEHnYGUDRdpB9xmnL/bZlszK9IuCI63F5j8/yvLH49b++xI6L5ChwRG&#10;QFrrC4/OuE8nnY5fnJRgHCE8XWATXSA8XppP59MbDHGMTWfzWT6LZbLrbet8+CZAk2iU1CEtCS12&#10;3PjQp55TYjMD60apRI0yvzmwZvRk1xGjFbpdR5rqzfg7qE64lYOecG/5usHWG+bDM3PIME6Lqg1P&#10;eEgFbUlhsCipwf38mz/mI/AYpaRFxZTUoKQpUd8NEjKZfc7zqLD0h4Y7G7tkjL/ksxg3B30PKMYx&#10;vgvLkxmTgzqb0oF+RVGvYjcMMcOxZ0l3Z/M+9PrFR8HFapWSUEyWhY3ZWh5LR8wioC/dK3N2QD0g&#10;X49w1hQr3oHf58ab3q4OASlIzER8ezQH2FGIidvh0USlv/1PWdenvfwFAAD//wMAUEsDBBQABgAI&#10;AAAAIQCa2COB2gAAAAQBAAAPAAAAZHJzL2Rvd25yZXYueG1sTI/NTsMwEITvSLyDtUjcqEMqDErj&#10;VBV/4kpAokcn3sZR43WI3Ta8PQsXuKw0mtHMt+V69oM44hT7QBquFxkIpDbYnjoN729PV3cgYjJk&#10;zRAINXxhhHV1flaawoYTveKxTp3gEoqF0eBSGgspY+vQm7gIIxJ7uzB5k1hOnbSTOXG5H2SeZUp6&#10;0xMvODPivcN2Xx+8BvXwvHHjh9p+7vL4EpuwT3V41PryYt6sQCSc018YfvAZHSpmasKBbBSDBn4k&#10;/V728tulAtFouFFLkFUp/8NX3wAAAP//AwBQSwECLQAUAAYACAAAACEAtoM4kv4AAADhAQAAEwAA&#10;AAAAAAAAAAAAAAAAAAAAW0NvbnRlbnRfVHlwZXNdLnhtbFBLAQItABQABgAIAAAAIQA4/SH/1gAA&#10;AJQBAAALAAAAAAAAAAAAAAAAAC8BAABfcmVscy8ucmVsc1BLAQItABQABgAIAAAAIQBjG9ZKEQIA&#10;ACIEAAAOAAAAAAAAAAAAAAAAAC4CAABkcnMvZTJvRG9jLnhtbFBLAQItABQABgAIAAAAIQCa2COB&#10;2gAAAAQBAAAPAAAAAAAAAAAAAAAAAGsEAABkcnMvZG93bnJldi54bWxQSwUGAAAAAAQABADzAAAA&#10;cgUAAAAA&#10;" filled="f" stroked="f">
              <v:textbox style="mso-fit-shape-to-text:t" inset="20pt,0,0,15pt">
                <w:txbxContent>
                  <w:p w14:paraId="47A5967F" w14:textId="368B62AD" w:rsidR="001F10B7" w:rsidRPr="001F10B7" w:rsidRDefault="001F10B7" w:rsidP="001F10B7">
                    <w:pPr>
                      <w:spacing w:after="0"/>
                      <w:rPr>
                        <w:rFonts w:ascii="Calibri" w:eastAsia="Calibri" w:hAnsi="Calibri" w:cs="Calibri"/>
                        <w:noProof/>
                        <w:color w:val="000000"/>
                        <w:szCs w:val="20"/>
                      </w:rPr>
                    </w:pPr>
                    <w:r w:rsidRPr="001F10B7">
                      <w:rPr>
                        <w:rFonts w:ascii="Calibri" w:eastAsia="Calibri" w:hAnsi="Calibri" w:cs="Calibri"/>
                        <w:noProof/>
                        <w:color w:val="000000"/>
                        <w:szCs w:val="20"/>
                      </w:rPr>
                      <w:t>Classified as Internal |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EAF37" w14:textId="77777777" w:rsidR="009A098D" w:rsidRPr="00022A5D" w:rsidRDefault="009A098D" w:rsidP="00992AA0">
      <w:pPr>
        <w:spacing w:after="0" w:line="240" w:lineRule="auto"/>
      </w:pPr>
      <w:r w:rsidRPr="00022A5D">
        <w:separator/>
      </w:r>
    </w:p>
  </w:footnote>
  <w:footnote w:type="continuationSeparator" w:id="0">
    <w:p w14:paraId="5CFE1640" w14:textId="77777777" w:rsidR="009A098D" w:rsidRPr="00022A5D" w:rsidRDefault="009A098D" w:rsidP="00992AA0">
      <w:pPr>
        <w:spacing w:after="0" w:line="240" w:lineRule="auto"/>
      </w:pPr>
      <w:r w:rsidRPr="00022A5D">
        <w:continuationSeparator/>
      </w:r>
    </w:p>
  </w:footnote>
  <w:footnote w:type="continuationNotice" w:id="1">
    <w:p w14:paraId="4B642F66" w14:textId="77777777" w:rsidR="009A098D" w:rsidRPr="00022A5D" w:rsidRDefault="009A09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048D" w14:textId="212522BD" w:rsidR="007D46F5" w:rsidRPr="00022A5D" w:rsidRDefault="007D46F5">
    <w:pPr>
      <w:pStyle w:val="Header"/>
      <w:jc w:val="center"/>
    </w:pPr>
  </w:p>
  <w:p w14:paraId="70503C31" w14:textId="77777777" w:rsidR="007D46F5" w:rsidRPr="00022A5D" w:rsidRDefault="007D4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627A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B4336"/>
    <w:multiLevelType w:val="multilevel"/>
    <w:tmpl w:val="6248E85C"/>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2EE0F50"/>
    <w:multiLevelType w:val="hybridMultilevel"/>
    <w:tmpl w:val="286AF1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67C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E36D79"/>
    <w:multiLevelType w:val="hybridMultilevel"/>
    <w:tmpl w:val="067AD4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DC419B"/>
    <w:multiLevelType w:val="hybridMultilevel"/>
    <w:tmpl w:val="70A6FAE8"/>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96628"/>
    <w:multiLevelType w:val="hybridMultilevel"/>
    <w:tmpl w:val="CD3039B8"/>
    <w:lvl w:ilvl="0" w:tplc="C6EA93D6">
      <w:start w:val="1"/>
      <w:numFmt w:val="decimal"/>
      <w:lvlText w:val="%1)"/>
      <w:lvlJc w:val="left"/>
      <w:pPr>
        <w:ind w:left="1020" w:hanging="360"/>
      </w:pPr>
    </w:lvl>
    <w:lvl w:ilvl="1" w:tplc="ED06BD20">
      <w:start w:val="1"/>
      <w:numFmt w:val="decimal"/>
      <w:lvlText w:val="%2)"/>
      <w:lvlJc w:val="left"/>
      <w:pPr>
        <w:ind w:left="1020" w:hanging="360"/>
      </w:pPr>
    </w:lvl>
    <w:lvl w:ilvl="2" w:tplc="097C5344">
      <w:start w:val="1"/>
      <w:numFmt w:val="decimal"/>
      <w:lvlText w:val="%3)"/>
      <w:lvlJc w:val="left"/>
      <w:pPr>
        <w:ind w:left="1020" w:hanging="360"/>
      </w:pPr>
    </w:lvl>
    <w:lvl w:ilvl="3" w:tplc="DAF6905E">
      <w:start w:val="1"/>
      <w:numFmt w:val="decimal"/>
      <w:lvlText w:val="%4)"/>
      <w:lvlJc w:val="left"/>
      <w:pPr>
        <w:ind w:left="1020" w:hanging="360"/>
      </w:pPr>
    </w:lvl>
    <w:lvl w:ilvl="4" w:tplc="FC001F72">
      <w:start w:val="1"/>
      <w:numFmt w:val="decimal"/>
      <w:lvlText w:val="%5)"/>
      <w:lvlJc w:val="left"/>
      <w:pPr>
        <w:ind w:left="1020" w:hanging="360"/>
      </w:pPr>
    </w:lvl>
    <w:lvl w:ilvl="5" w:tplc="C5524F4C">
      <w:start w:val="1"/>
      <w:numFmt w:val="decimal"/>
      <w:lvlText w:val="%6)"/>
      <w:lvlJc w:val="left"/>
      <w:pPr>
        <w:ind w:left="1020" w:hanging="360"/>
      </w:pPr>
    </w:lvl>
    <w:lvl w:ilvl="6" w:tplc="8E0E333A">
      <w:start w:val="1"/>
      <w:numFmt w:val="decimal"/>
      <w:lvlText w:val="%7)"/>
      <w:lvlJc w:val="left"/>
      <w:pPr>
        <w:ind w:left="1020" w:hanging="360"/>
      </w:pPr>
    </w:lvl>
    <w:lvl w:ilvl="7" w:tplc="B1DE144C">
      <w:start w:val="1"/>
      <w:numFmt w:val="decimal"/>
      <w:lvlText w:val="%8)"/>
      <w:lvlJc w:val="left"/>
      <w:pPr>
        <w:ind w:left="1020" w:hanging="360"/>
      </w:pPr>
    </w:lvl>
    <w:lvl w:ilvl="8" w:tplc="E88E4778">
      <w:start w:val="1"/>
      <w:numFmt w:val="decimal"/>
      <w:lvlText w:val="%9)"/>
      <w:lvlJc w:val="left"/>
      <w:pPr>
        <w:ind w:left="1020" w:hanging="360"/>
      </w:pPr>
    </w:lvl>
  </w:abstractNum>
  <w:abstractNum w:abstractNumId="7" w15:restartNumberingAfterBreak="0">
    <w:nsid w:val="13530E27"/>
    <w:multiLevelType w:val="hybridMultilevel"/>
    <w:tmpl w:val="031ECDBC"/>
    <w:lvl w:ilvl="0" w:tplc="2E0E19FA">
      <w:start w:val="7"/>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F7A8D"/>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 w15:restartNumberingAfterBreak="0">
    <w:nsid w:val="17722E35"/>
    <w:multiLevelType w:val="hybridMultilevel"/>
    <w:tmpl w:val="14FA38B0"/>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981CD9"/>
    <w:multiLevelType w:val="hybridMultilevel"/>
    <w:tmpl w:val="B8202B0A"/>
    <w:lvl w:ilvl="0" w:tplc="81B0E1AE">
      <w:start w:val="1"/>
      <w:numFmt w:val="decimal"/>
      <w:lvlText w:val="%1)"/>
      <w:lvlJc w:val="left"/>
      <w:pPr>
        <w:ind w:left="1020" w:hanging="360"/>
      </w:pPr>
    </w:lvl>
    <w:lvl w:ilvl="1" w:tplc="6F8EF32E">
      <w:start w:val="1"/>
      <w:numFmt w:val="decimal"/>
      <w:lvlText w:val="%2)"/>
      <w:lvlJc w:val="left"/>
      <w:pPr>
        <w:ind w:left="1020" w:hanging="360"/>
      </w:pPr>
    </w:lvl>
    <w:lvl w:ilvl="2" w:tplc="C7C20A80">
      <w:start w:val="1"/>
      <w:numFmt w:val="decimal"/>
      <w:lvlText w:val="%3)"/>
      <w:lvlJc w:val="left"/>
      <w:pPr>
        <w:ind w:left="1020" w:hanging="360"/>
      </w:pPr>
    </w:lvl>
    <w:lvl w:ilvl="3" w:tplc="30D24988">
      <w:start w:val="1"/>
      <w:numFmt w:val="decimal"/>
      <w:lvlText w:val="%4)"/>
      <w:lvlJc w:val="left"/>
      <w:pPr>
        <w:ind w:left="1020" w:hanging="360"/>
      </w:pPr>
    </w:lvl>
    <w:lvl w:ilvl="4" w:tplc="685AB14E">
      <w:start w:val="1"/>
      <w:numFmt w:val="decimal"/>
      <w:lvlText w:val="%5)"/>
      <w:lvlJc w:val="left"/>
      <w:pPr>
        <w:ind w:left="1020" w:hanging="360"/>
      </w:pPr>
    </w:lvl>
    <w:lvl w:ilvl="5" w:tplc="70BE82C0">
      <w:start w:val="1"/>
      <w:numFmt w:val="decimal"/>
      <w:lvlText w:val="%6)"/>
      <w:lvlJc w:val="left"/>
      <w:pPr>
        <w:ind w:left="1020" w:hanging="360"/>
      </w:pPr>
    </w:lvl>
    <w:lvl w:ilvl="6" w:tplc="867CED00">
      <w:start w:val="1"/>
      <w:numFmt w:val="decimal"/>
      <w:lvlText w:val="%7)"/>
      <w:lvlJc w:val="left"/>
      <w:pPr>
        <w:ind w:left="1020" w:hanging="360"/>
      </w:pPr>
    </w:lvl>
    <w:lvl w:ilvl="7" w:tplc="DFA0AC36">
      <w:start w:val="1"/>
      <w:numFmt w:val="decimal"/>
      <w:lvlText w:val="%8)"/>
      <w:lvlJc w:val="left"/>
      <w:pPr>
        <w:ind w:left="1020" w:hanging="360"/>
      </w:pPr>
    </w:lvl>
    <w:lvl w:ilvl="8" w:tplc="2FB49376">
      <w:start w:val="1"/>
      <w:numFmt w:val="decimal"/>
      <w:lvlText w:val="%9)"/>
      <w:lvlJc w:val="left"/>
      <w:pPr>
        <w:ind w:left="1020" w:hanging="360"/>
      </w:pPr>
    </w:lvl>
  </w:abstractNum>
  <w:abstractNum w:abstractNumId="11" w15:restartNumberingAfterBreak="0">
    <w:nsid w:val="1D7A007E"/>
    <w:multiLevelType w:val="hybridMultilevel"/>
    <w:tmpl w:val="FC32AD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AC1D73"/>
    <w:multiLevelType w:val="multilevel"/>
    <w:tmpl w:val="15E68524"/>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4B26C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8A56A7"/>
    <w:multiLevelType w:val="hybridMultilevel"/>
    <w:tmpl w:val="F8126CCE"/>
    <w:lvl w:ilvl="0" w:tplc="85D6DD52">
      <w:start w:val="1"/>
      <w:numFmt w:val="bullet"/>
      <w:lvlText w:val=""/>
      <w:lvlJc w:val="left"/>
      <w:pPr>
        <w:ind w:left="1020" w:hanging="360"/>
      </w:pPr>
      <w:rPr>
        <w:rFonts w:ascii="Symbol" w:hAnsi="Symbol"/>
      </w:rPr>
    </w:lvl>
    <w:lvl w:ilvl="1" w:tplc="31142C30">
      <w:start w:val="1"/>
      <w:numFmt w:val="bullet"/>
      <w:lvlText w:val=""/>
      <w:lvlJc w:val="left"/>
      <w:pPr>
        <w:ind w:left="1020" w:hanging="360"/>
      </w:pPr>
      <w:rPr>
        <w:rFonts w:ascii="Symbol" w:hAnsi="Symbol"/>
      </w:rPr>
    </w:lvl>
    <w:lvl w:ilvl="2" w:tplc="8DA43586">
      <w:start w:val="1"/>
      <w:numFmt w:val="bullet"/>
      <w:lvlText w:val=""/>
      <w:lvlJc w:val="left"/>
      <w:pPr>
        <w:ind w:left="1020" w:hanging="360"/>
      </w:pPr>
      <w:rPr>
        <w:rFonts w:ascii="Symbol" w:hAnsi="Symbol"/>
      </w:rPr>
    </w:lvl>
    <w:lvl w:ilvl="3" w:tplc="D51057F6">
      <w:start w:val="1"/>
      <w:numFmt w:val="bullet"/>
      <w:lvlText w:val=""/>
      <w:lvlJc w:val="left"/>
      <w:pPr>
        <w:ind w:left="1020" w:hanging="360"/>
      </w:pPr>
      <w:rPr>
        <w:rFonts w:ascii="Symbol" w:hAnsi="Symbol"/>
      </w:rPr>
    </w:lvl>
    <w:lvl w:ilvl="4" w:tplc="C9984F48">
      <w:start w:val="1"/>
      <w:numFmt w:val="bullet"/>
      <w:lvlText w:val=""/>
      <w:lvlJc w:val="left"/>
      <w:pPr>
        <w:ind w:left="1020" w:hanging="360"/>
      </w:pPr>
      <w:rPr>
        <w:rFonts w:ascii="Symbol" w:hAnsi="Symbol"/>
      </w:rPr>
    </w:lvl>
    <w:lvl w:ilvl="5" w:tplc="E1588682">
      <w:start w:val="1"/>
      <w:numFmt w:val="bullet"/>
      <w:lvlText w:val=""/>
      <w:lvlJc w:val="left"/>
      <w:pPr>
        <w:ind w:left="1020" w:hanging="360"/>
      </w:pPr>
      <w:rPr>
        <w:rFonts w:ascii="Symbol" w:hAnsi="Symbol"/>
      </w:rPr>
    </w:lvl>
    <w:lvl w:ilvl="6" w:tplc="A0E27AC8">
      <w:start w:val="1"/>
      <w:numFmt w:val="bullet"/>
      <w:lvlText w:val=""/>
      <w:lvlJc w:val="left"/>
      <w:pPr>
        <w:ind w:left="1020" w:hanging="360"/>
      </w:pPr>
      <w:rPr>
        <w:rFonts w:ascii="Symbol" w:hAnsi="Symbol"/>
      </w:rPr>
    </w:lvl>
    <w:lvl w:ilvl="7" w:tplc="C982397A">
      <w:start w:val="1"/>
      <w:numFmt w:val="bullet"/>
      <w:lvlText w:val=""/>
      <w:lvlJc w:val="left"/>
      <w:pPr>
        <w:ind w:left="1020" w:hanging="360"/>
      </w:pPr>
      <w:rPr>
        <w:rFonts w:ascii="Symbol" w:hAnsi="Symbol"/>
      </w:rPr>
    </w:lvl>
    <w:lvl w:ilvl="8" w:tplc="68AC24FC">
      <w:start w:val="1"/>
      <w:numFmt w:val="bullet"/>
      <w:lvlText w:val=""/>
      <w:lvlJc w:val="left"/>
      <w:pPr>
        <w:ind w:left="1020" w:hanging="360"/>
      </w:pPr>
      <w:rPr>
        <w:rFonts w:ascii="Symbol" w:hAnsi="Symbol"/>
      </w:rPr>
    </w:lvl>
  </w:abstractNum>
  <w:abstractNum w:abstractNumId="15" w15:restartNumberingAfterBreak="0">
    <w:nsid w:val="26276CB8"/>
    <w:multiLevelType w:val="hybridMultilevel"/>
    <w:tmpl w:val="27CC42EE"/>
    <w:lvl w:ilvl="0" w:tplc="1946FA14">
      <w:start w:val="1"/>
      <w:numFmt w:val="decimal"/>
      <w:lvlText w:val="%1)"/>
      <w:lvlJc w:val="left"/>
      <w:pPr>
        <w:ind w:left="1020" w:hanging="360"/>
      </w:pPr>
    </w:lvl>
    <w:lvl w:ilvl="1" w:tplc="589830A4">
      <w:start w:val="1"/>
      <w:numFmt w:val="decimal"/>
      <w:lvlText w:val="%2)"/>
      <w:lvlJc w:val="left"/>
      <w:pPr>
        <w:ind w:left="1020" w:hanging="360"/>
      </w:pPr>
    </w:lvl>
    <w:lvl w:ilvl="2" w:tplc="84DC906C">
      <w:start w:val="1"/>
      <w:numFmt w:val="decimal"/>
      <w:lvlText w:val="%3)"/>
      <w:lvlJc w:val="left"/>
      <w:pPr>
        <w:ind w:left="1020" w:hanging="360"/>
      </w:pPr>
    </w:lvl>
    <w:lvl w:ilvl="3" w:tplc="2884BE34">
      <w:start w:val="1"/>
      <w:numFmt w:val="decimal"/>
      <w:lvlText w:val="%4)"/>
      <w:lvlJc w:val="left"/>
      <w:pPr>
        <w:ind w:left="1020" w:hanging="360"/>
      </w:pPr>
    </w:lvl>
    <w:lvl w:ilvl="4" w:tplc="70889502">
      <w:start w:val="1"/>
      <w:numFmt w:val="decimal"/>
      <w:lvlText w:val="%5)"/>
      <w:lvlJc w:val="left"/>
      <w:pPr>
        <w:ind w:left="1020" w:hanging="360"/>
      </w:pPr>
    </w:lvl>
    <w:lvl w:ilvl="5" w:tplc="18B89C8A">
      <w:start w:val="1"/>
      <w:numFmt w:val="decimal"/>
      <w:lvlText w:val="%6)"/>
      <w:lvlJc w:val="left"/>
      <w:pPr>
        <w:ind w:left="1020" w:hanging="360"/>
      </w:pPr>
    </w:lvl>
    <w:lvl w:ilvl="6" w:tplc="053C3F9E">
      <w:start w:val="1"/>
      <w:numFmt w:val="decimal"/>
      <w:lvlText w:val="%7)"/>
      <w:lvlJc w:val="left"/>
      <w:pPr>
        <w:ind w:left="1020" w:hanging="360"/>
      </w:pPr>
    </w:lvl>
    <w:lvl w:ilvl="7" w:tplc="E608494C">
      <w:start w:val="1"/>
      <w:numFmt w:val="decimal"/>
      <w:lvlText w:val="%8)"/>
      <w:lvlJc w:val="left"/>
      <w:pPr>
        <w:ind w:left="1020" w:hanging="360"/>
      </w:pPr>
    </w:lvl>
    <w:lvl w:ilvl="8" w:tplc="73D2BB98">
      <w:start w:val="1"/>
      <w:numFmt w:val="decimal"/>
      <w:lvlText w:val="%9)"/>
      <w:lvlJc w:val="left"/>
      <w:pPr>
        <w:ind w:left="1020" w:hanging="360"/>
      </w:pPr>
    </w:lvl>
  </w:abstractNum>
  <w:abstractNum w:abstractNumId="16" w15:restartNumberingAfterBreak="0">
    <w:nsid w:val="3161182C"/>
    <w:multiLevelType w:val="hybridMultilevel"/>
    <w:tmpl w:val="19FE9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F005F3"/>
    <w:multiLevelType w:val="hybridMultilevel"/>
    <w:tmpl w:val="EFB6D7D2"/>
    <w:lvl w:ilvl="0" w:tplc="3EE09B64">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9427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043CA6"/>
    <w:multiLevelType w:val="hybridMultilevel"/>
    <w:tmpl w:val="E76EE9F8"/>
    <w:lvl w:ilvl="0" w:tplc="76BA3F5A">
      <w:start w:val="1"/>
      <w:numFmt w:val="bullet"/>
      <w:lvlText w:val=""/>
      <w:lvlJc w:val="left"/>
      <w:pPr>
        <w:ind w:left="1080" w:hanging="360"/>
      </w:pPr>
      <w:rPr>
        <w:rFonts w:ascii="Symbol" w:hAnsi="Symbol"/>
      </w:rPr>
    </w:lvl>
    <w:lvl w:ilvl="1" w:tplc="F56E38EC">
      <w:start w:val="1"/>
      <w:numFmt w:val="bullet"/>
      <w:lvlText w:val=""/>
      <w:lvlJc w:val="left"/>
      <w:pPr>
        <w:ind w:left="1080" w:hanging="360"/>
      </w:pPr>
      <w:rPr>
        <w:rFonts w:ascii="Symbol" w:hAnsi="Symbol"/>
      </w:rPr>
    </w:lvl>
    <w:lvl w:ilvl="2" w:tplc="043A8A04">
      <w:start w:val="1"/>
      <w:numFmt w:val="bullet"/>
      <w:lvlText w:val=""/>
      <w:lvlJc w:val="left"/>
      <w:pPr>
        <w:ind w:left="1080" w:hanging="360"/>
      </w:pPr>
      <w:rPr>
        <w:rFonts w:ascii="Symbol" w:hAnsi="Symbol"/>
      </w:rPr>
    </w:lvl>
    <w:lvl w:ilvl="3" w:tplc="5192E4CC">
      <w:start w:val="1"/>
      <w:numFmt w:val="bullet"/>
      <w:lvlText w:val=""/>
      <w:lvlJc w:val="left"/>
      <w:pPr>
        <w:ind w:left="1080" w:hanging="360"/>
      </w:pPr>
      <w:rPr>
        <w:rFonts w:ascii="Symbol" w:hAnsi="Symbol"/>
      </w:rPr>
    </w:lvl>
    <w:lvl w:ilvl="4" w:tplc="EC725798">
      <w:start w:val="1"/>
      <w:numFmt w:val="bullet"/>
      <w:lvlText w:val=""/>
      <w:lvlJc w:val="left"/>
      <w:pPr>
        <w:ind w:left="1080" w:hanging="360"/>
      </w:pPr>
      <w:rPr>
        <w:rFonts w:ascii="Symbol" w:hAnsi="Symbol"/>
      </w:rPr>
    </w:lvl>
    <w:lvl w:ilvl="5" w:tplc="CF22C8A6">
      <w:start w:val="1"/>
      <w:numFmt w:val="bullet"/>
      <w:lvlText w:val=""/>
      <w:lvlJc w:val="left"/>
      <w:pPr>
        <w:ind w:left="1080" w:hanging="360"/>
      </w:pPr>
      <w:rPr>
        <w:rFonts w:ascii="Symbol" w:hAnsi="Symbol"/>
      </w:rPr>
    </w:lvl>
    <w:lvl w:ilvl="6" w:tplc="059C7292">
      <w:start w:val="1"/>
      <w:numFmt w:val="bullet"/>
      <w:lvlText w:val=""/>
      <w:lvlJc w:val="left"/>
      <w:pPr>
        <w:ind w:left="1080" w:hanging="360"/>
      </w:pPr>
      <w:rPr>
        <w:rFonts w:ascii="Symbol" w:hAnsi="Symbol"/>
      </w:rPr>
    </w:lvl>
    <w:lvl w:ilvl="7" w:tplc="C6125248">
      <w:start w:val="1"/>
      <w:numFmt w:val="bullet"/>
      <w:lvlText w:val=""/>
      <w:lvlJc w:val="left"/>
      <w:pPr>
        <w:ind w:left="1080" w:hanging="360"/>
      </w:pPr>
      <w:rPr>
        <w:rFonts w:ascii="Symbol" w:hAnsi="Symbol"/>
      </w:rPr>
    </w:lvl>
    <w:lvl w:ilvl="8" w:tplc="EDE63698">
      <w:start w:val="1"/>
      <w:numFmt w:val="bullet"/>
      <w:lvlText w:val=""/>
      <w:lvlJc w:val="left"/>
      <w:pPr>
        <w:ind w:left="1080" w:hanging="360"/>
      </w:pPr>
      <w:rPr>
        <w:rFonts w:ascii="Symbol" w:hAnsi="Symbol"/>
      </w:rPr>
    </w:lvl>
  </w:abstractNum>
  <w:abstractNum w:abstractNumId="21" w15:restartNumberingAfterBreak="0">
    <w:nsid w:val="437229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CA6993"/>
    <w:multiLevelType w:val="hybridMultilevel"/>
    <w:tmpl w:val="A4EC8A8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443CEC"/>
    <w:multiLevelType w:val="multilevel"/>
    <w:tmpl w:val="D8EEB6AA"/>
    <w:lvl w:ilvl="0">
      <w:start w:val="1"/>
      <w:numFmt w:val="decimal"/>
      <w:pStyle w:val="Heading1"/>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49050EB5"/>
    <w:multiLevelType w:val="hybridMultilevel"/>
    <w:tmpl w:val="013A908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60109A"/>
    <w:multiLevelType w:val="multilevel"/>
    <w:tmpl w:val="1CB4854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D945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296B50"/>
    <w:multiLevelType w:val="hybridMultilevel"/>
    <w:tmpl w:val="431A9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C0496D"/>
    <w:multiLevelType w:val="hybridMultilevel"/>
    <w:tmpl w:val="4C70D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EC3C8C"/>
    <w:multiLevelType w:val="hybridMultilevel"/>
    <w:tmpl w:val="9CC25696"/>
    <w:lvl w:ilvl="0" w:tplc="405449E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FC1404"/>
    <w:multiLevelType w:val="multilevel"/>
    <w:tmpl w:val="35B0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BE2D13"/>
    <w:multiLevelType w:val="hybridMultilevel"/>
    <w:tmpl w:val="D6F61DD6"/>
    <w:lvl w:ilvl="0" w:tplc="1CE859FA">
      <w:start w:val="1"/>
      <w:numFmt w:val="decimal"/>
      <w:lvlText w:val="%1)"/>
      <w:lvlJc w:val="left"/>
      <w:pPr>
        <w:ind w:left="1020" w:hanging="360"/>
      </w:pPr>
    </w:lvl>
    <w:lvl w:ilvl="1" w:tplc="34B0D02A">
      <w:start w:val="1"/>
      <w:numFmt w:val="decimal"/>
      <w:lvlText w:val="%2)"/>
      <w:lvlJc w:val="left"/>
      <w:pPr>
        <w:ind w:left="1020" w:hanging="360"/>
      </w:pPr>
    </w:lvl>
    <w:lvl w:ilvl="2" w:tplc="7D5C9D24">
      <w:start w:val="1"/>
      <w:numFmt w:val="decimal"/>
      <w:lvlText w:val="%3)"/>
      <w:lvlJc w:val="left"/>
      <w:pPr>
        <w:ind w:left="1020" w:hanging="360"/>
      </w:pPr>
    </w:lvl>
    <w:lvl w:ilvl="3" w:tplc="059A3EF0">
      <w:start w:val="1"/>
      <w:numFmt w:val="decimal"/>
      <w:lvlText w:val="%4)"/>
      <w:lvlJc w:val="left"/>
      <w:pPr>
        <w:ind w:left="1020" w:hanging="360"/>
      </w:pPr>
    </w:lvl>
    <w:lvl w:ilvl="4" w:tplc="D180A4E4">
      <w:start w:val="1"/>
      <w:numFmt w:val="decimal"/>
      <w:lvlText w:val="%5)"/>
      <w:lvlJc w:val="left"/>
      <w:pPr>
        <w:ind w:left="1020" w:hanging="360"/>
      </w:pPr>
    </w:lvl>
    <w:lvl w:ilvl="5" w:tplc="3A5EA842">
      <w:start w:val="1"/>
      <w:numFmt w:val="decimal"/>
      <w:lvlText w:val="%6)"/>
      <w:lvlJc w:val="left"/>
      <w:pPr>
        <w:ind w:left="1020" w:hanging="360"/>
      </w:pPr>
    </w:lvl>
    <w:lvl w:ilvl="6" w:tplc="55FC0808">
      <w:start w:val="1"/>
      <w:numFmt w:val="decimal"/>
      <w:lvlText w:val="%7)"/>
      <w:lvlJc w:val="left"/>
      <w:pPr>
        <w:ind w:left="1020" w:hanging="360"/>
      </w:pPr>
    </w:lvl>
    <w:lvl w:ilvl="7" w:tplc="60A89F7E">
      <w:start w:val="1"/>
      <w:numFmt w:val="decimal"/>
      <w:lvlText w:val="%8)"/>
      <w:lvlJc w:val="left"/>
      <w:pPr>
        <w:ind w:left="1020" w:hanging="360"/>
      </w:pPr>
    </w:lvl>
    <w:lvl w:ilvl="8" w:tplc="3A1E00D2">
      <w:start w:val="1"/>
      <w:numFmt w:val="decimal"/>
      <w:lvlText w:val="%9)"/>
      <w:lvlJc w:val="left"/>
      <w:pPr>
        <w:ind w:left="1020" w:hanging="360"/>
      </w:pPr>
    </w:lvl>
  </w:abstractNum>
  <w:abstractNum w:abstractNumId="32" w15:restartNumberingAfterBreak="0">
    <w:nsid w:val="57692867"/>
    <w:multiLevelType w:val="multilevel"/>
    <w:tmpl w:val="465CC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E66EBD"/>
    <w:multiLevelType w:val="hybridMultilevel"/>
    <w:tmpl w:val="0D12CD2A"/>
    <w:lvl w:ilvl="0" w:tplc="733C451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0A6173"/>
    <w:multiLevelType w:val="hybridMultilevel"/>
    <w:tmpl w:val="80363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953B5"/>
    <w:multiLevelType w:val="hybridMultilevel"/>
    <w:tmpl w:val="128032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485573"/>
    <w:multiLevelType w:val="hybridMultilevel"/>
    <w:tmpl w:val="1338B304"/>
    <w:lvl w:ilvl="0" w:tplc="8D3CD92C">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20A3322"/>
    <w:multiLevelType w:val="multilevel"/>
    <w:tmpl w:val="C03A09E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751B6575"/>
    <w:multiLevelType w:val="hybridMultilevel"/>
    <w:tmpl w:val="24182F9E"/>
    <w:lvl w:ilvl="0" w:tplc="315629E0">
      <w:start w:val="1"/>
      <w:numFmt w:val="decimal"/>
      <w:lvlText w:val="%1)"/>
      <w:lvlJc w:val="left"/>
      <w:pPr>
        <w:ind w:left="1020" w:hanging="360"/>
      </w:pPr>
    </w:lvl>
    <w:lvl w:ilvl="1" w:tplc="EF70432C">
      <w:start w:val="1"/>
      <w:numFmt w:val="decimal"/>
      <w:lvlText w:val="%2)"/>
      <w:lvlJc w:val="left"/>
      <w:pPr>
        <w:ind w:left="1020" w:hanging="360"/>
      </w:pPr>
    </w:lvl>
    <w:lvl w:ilvl="2" w:tplc="4FC48DFA">
      <w:start w:val="1"/>
      <w:numFmt w:val="decimal"/>
      <w:lvlText w:val="%3)"/>
      <w:lvlJc w:val="left"/>
      <w:pPr>
        <w:ind w:left="1020" w:hanging="360"/>
      </w:pPr>
    </w:lvl>
    <w:lvl w:ilvl="3" w:tplc="53DC9558">
      <w:start w:val="1"/>
      <w:numFmt w:val="decimal"/>
      <w:lvlText w:val="%4)"/>
      <w:lvlJc w:val="left"/>
      <w:pPr>
        <w:ind w:left="1020" w:hanging="360"/>
      </w:pPr>
    </w:lvl>
    <w:lvl w:ilvl="4" w:tplc="E3E0A0B8">
      <w:start w:val="1"/>
      <w:numFmt w:val="decimal"/>
      <w:lvlText w:val="%5)"/>
      <w:lvlJc w:val="left"/>
      <w:pPr>
        <w:ind w:left="1020" w:hanging="360"/>
      </w:pPr>
    </w:lvl>
    <w:lvl w:ilvl="5" w:tplc="4D04F648">
      <w:start w:val="1"/>
      <w:numFmt w:val="decimal"/>
      <w:lvlText w:val="%6)"/>
      <w:lvlJc w:val="left"/>
      <w:pPr>
        <w:ind w:left="1020" w:hanging="360"/>
      </w:pPr>
    </w:lvl>
    <w:lvl w:ilvl="6" w:tplc="E91EC298">
      <w:start w:val="1"/>
      <w:numFmt w:val="decimal"/>
      <w:lvlText w:val="%7)"/>
      <w:lvlJc w:val="left"/>
      <w:pPr>
        <w:ind w:left="1020" w:hanging="360"/>
      </w:pPr>
    </w:lvl>
    <w:lvl w:ilvl="7" w:tplc="F7622F28">
      <w:start w:val="1"/>
      <w:numFmt w:val="decimal"/>
      <w:lvlText w:val="%8)"/>
      <w:lvlJc w:val="left"/>
      <w:pPr>
        <w:ind w:left="1020" w:hanging="360"/>
      </w:pPr>
    </w:lvl>
    <w:lvl w:ilvl="8" w:tplc="9F5279DE">
      <w:start w:val="1"/>
      <w:numFmt w:val="decimal"/>
      <w:lvlText w:val="%9)"/>
      <w:lvlJc w:val="left"/>
      <w:pPr>
        <w:ind w:left="1020" w:hanging="360"/>
      </w:pPr>
    </w:lvl>
  </w:abstractNum>
  <w:abstractNum w:abstractNumId="39" w15:restartNumberingAfterBreak="0">
    <w:nsid w:val="75CF4CA9"/>
    <w:multiLevelType w:val="multilevel"/>
    <w:tmpl w:val="6212B3CE"/>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66B4BB3"/>
    <w:multiLevelType w:val="hybridMultilevel"/>
    <w:tmpl w:val="BFAC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8A5B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A90D1E"/>
    <w:multiLevelType w:val="hybridMultilevel"/>
    <w:tmpl w:val="78C236BC"/>
    <w:lvl w:ilvl="0" w:tplc="EF2C21F8">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D338FB"/>
    <w:multiLevelType w:val="hybridMultilevel"/>
    <w:tmpl w:val="F37A4238"/>
    <w:lvl w:ilvl="0" w:tplc="1D8E575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4058032">
    <w:abstractNumId w:val="18"/>
  </w:num>
  <w:num w:numId="2" w16cid:durableId="786890857">
    <w:abstractNumId w:val="32"/>
  </w:num>
  <w:num w:numId="3" w16cid:durableId="1099908618">
    <w:abstractNumId w:val="37"/>
  </w:num>
  <w:num w:numId="4" w16cid:durableId="1800340533">
    <w:abstractNumId w:val="43"/>
  </w:num>
  <w:num w:numId="5" w16cid:durableId="2090424033">
    <w:abstractNumId w:val="36"/>
  </w:num>
  <w:num w:numId="6" w16cid:durableId="1409422172">
    <w:abstractNumId w:val="35"/>
  </w:num>
  <w:num w:numId="7" w16cid:durableId="1855682433">
    <w:abstractNumId w:val="34"/>
  </w:num>
  <w:num w:numId="8" w16cid:durableId="281615474">
    <w:abstractNumId w:val="41"/>
  </w:num>
  <w:num w:numId="9" w16cid:durableId="1295598420">
    <w:abstractNumId w:val="39"/>
  </w:num>
  <w:num w:numId="10" w16cid:durableId="1582133842">
    <w:abstractNumId w:val="0"/>
  </w:num>
  <w:num w:numId="11" w16cid:durableId="679894819">
    <w:abstractNumId w:val="25"/>
  </w:num>
  <w:num w:numId="12" w16cid:durableId="87119529">
    <w:abstractNumId w:val="27"/>
  </w:num>
  <w:num w:numId="13" w16cid:durableId="314114211">
    <w:abstractNumId w:val="14"/>
  </w:num>
  <w:num w:numId="14" w16cid:durableId="280109219">
    <w:abstractNumId w:val="17"/>
  </w:num>
  <w:num w:numId="15" w16cid:durableId="218055818">
    <w:abstractNumId w:val="30"/>
  </w:num>
  <w:num w:numId="16" w16cid:durableId="758058798">
    <w:abstractNumId w:val="42"/>
  </w:num>
  <w:num w:numId="17" w16cid:durableId="885064487">
    <w:abstractNumId w:val="16"/>
  </w:num>
  <w:num w:numId="18" w16cid:durableId="646201593">
    <w:abstractNumId w:val="23"/>
  </w:num>
  <w:num w:numId="19" w16cid:durableId="272711752">
    <w:abstractNumId w:val="19"/>
  </w:num>
  <w:num w:numId="20" w16cid:durableId="1046760978">
    <w:abstractNumId w:val="21"/>
  </w:num>
  <w:num w:numId="21" w16cid:durableId="1222906127">
    <w:abstractNumId w:val="1"/>
  </w:num>
  <w:num w:numId="22" w16cid:durableId="316306876">
    <w:abstractNumId w:val="12"/>
  </w:num>
  <w:num w:numId="23" w16cid:durableId="1917861985">
    <w:abstractNumId w:val="11"/>
  </w:num>
  <w:num w:numId="24" w16cid:durableId="1375228242">
    <w:abstractNumId w:val="40"/>
  </w:num>
  <w:num w:numId="25" w16cid:durableId="1509559416">
    <w:abstractNumId w:val="7"/>
  </w:num>
  <w:num w:numId="26" w16cid:durableId="1135100261">
    <w:abstractNumId w:val="2"/>
  </w:num>
  <w:num w:numId="27" w16cid:durableId="334066639">
    <w:abstractNumId w:val="13"/>
  </w:num>
  <w:num w:numId="28" w16cid:durableId="1666468510">
    <w:abstractNumId w:val="28"/>
  </w:num>
  <w:num w:numId="29" w16cid:durableId="1497650976">
    <w:abstractNumId w:val="33"/>
  </w:num>
  <w:num w:numId="30" w16cid:durableId="382366381">
    <w:abstractNumId w:val="29"/>
  </w:num>
  <w:num w:numId="31" w16cid:durableId="1932935454">
    <w:abstractNumId w:val="20"/>
  </w:num>
  <w:num w:numId="32" w16cid:durableId="204947796">
    <w:abstractNumId w:val="3"/>
  </w:num>
  <w:num w:numId="33" w16cid:durableId="1081147967">
    <w:abstractNumId w:val="26"/>
  </w:num>
  <w:num w:numId="34" w16cid:durableId="462576620">
    <w:abstractNumId w:val="6"/>
  </w:num>
  <w:num w:numId="35" w16cid:durableId="1674071069">
    <w:abstractNumId w:val="31"/>
  </w:num>
  <w:num w:numId="36" w16cid:durableId="504591056">
    <w:abstractNumId w:val="15"/>
  </w:num>
  <w:num w:numId="37" w16cid:durableId="1455248087">
    <w:abstractNumId w:val="38"/>
  </w:num>
  <w:num w:numId="38" w16cid:durableId="1054620574">
    <w:abstractNumId w:val="10"/>
  </w:num>
  <w:num w:numId="39" w16cid:durableId="1975676752">
    <w:abstractNumId w:val="22"/>
  </w:num>
  <w:num w:numId="40" w16cid:durableId="2102220398">
    <w:abstractNumId w:val="4"/>
  </w:num>
  <w:num w:numId="41" w16cid:durableId="1984582528">
    <w:abstractNumId w:val="8"/>
  </w:num>
  <w:num w:numId="42" w16cid:durableId="1726293154">
    <w:abstractNumId w:val="9"/>
  </w:num>
  <w:num w:numId="43" w16cid:durableId="287325449">
    <w:abstractNumId w:val="5"/>
  </w:num>
  <w:num w:numId="44" w16cid:durableId="10873101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wNDUwNzO0NDI0MrNQ0lEKTi0uzszPAykwqwUAnyQSqywAAAA="/>
  </w:docVars>
  <w:rsids>
    <w:rsidRoot w:val="00E45FA9"/>
    <w:rsid w:val="000000DE"/>
    <w:rsid w:val="000003A5"/>
    <w:rsid w:val="0000043D"/>
    <w:rsid w:val="00000717"/>
    <w:rsid w:val="0000082B"/>
    <w:rsid w:val="00000D1A"/>
    <w:rsid w:val="000011C5"/>
    <w:rsid w:val="000012CF"/>
    <w:rsid w:val="0000155A"/>
    <w:rsid w:val="000015F1"/>
    <w:rsid w:val="00001604"/>
    <w:rsid w:val="0000166E"/>
    <w:rsid w:val="00001EB8"/>
    <w:rsid w:val="00002320"/>
    <w:rsid w:val="0000269E"/>
    <w:rsid w:val="0000286C"/>
    <w:rsid w:val="00002D71"/>
    <w:rsid w:val="00002EB4"/>
    <w:rsid w:val="00002FE7"/>
    <w:rsid w:val="00003078"/>
    <w:rsid w:val="000033E7"/>
    <w:rsid w:val="0000353F"/>
    <w:rsid w:val="00003ABA"/>
    <w:rsid w:val="00003AEA"/>
    <w:rsid w:val="00003C57"/>
    <w:rsid w:val="00003C9C"/>
    <w:rsid w:val="00004359"/>
    <w:rsid w:val="000044BA"/>
    <w:rsid w:val="00004500"/>
    <w:rsid w:val="00004578"/>
    <w:rsid w:val="0000479E"/>
    <w:rsid w:val="00004AEA"/>
    <w:rsid w:val="00004D09"/>
    <w:rsid w:val="00004F3E"/>
    <w:rsid w:val="000053D4"/>
    <w:rsid w:val="000055BE"/>
    <w:rsid w:val="000055E2"/>
    <w:rsid w:val="000057F3"/>
    <w:rsid w:val="00005CF4"/>
    <w:rsid w:val="00006532"/>
    <w:rsid w:val="0000654D"/>
    <w:rsid w:val="00006B0A"/>
    <w:rsid w:val="00006BBB"/>
    <w:rsid w:val="00006D56"/>
    <w:rsid w:val="0000734C"/>
    <w:rsid w:val="0000734D"/>
    <w:rsid w:val="000073E5"/>
    <w:rsid w:val="000075BF"/>
    <w:rsid w:val="00007614"/>
    <w:rsid w:val="000076D6"/>
    <w:rsid w:val="000077CB"/>
    <w:rsid w:val="00007ECD"/>
    <w:rsid w:val="000100C4"/>
    <w:rsid w:val="00010172"/>
    <w:rsid w:val="00010518"/>
    <w:rsid w:val="0001068F"/>
    <w:rsid w:val="00010731"/>
    <w:rsid w:val="00010A92"/>
    <w:rsid w:val="00010B01"/>
    <w:rsid w:val="00010F7B"/>
    <w:rsid w:val="000110DB"/>
    <w:rsid w:val="0001150A"/>
    <w:rsid w:val="00011B09"/>
    <w:rsid w:val="00011D37"/>
    <w:rsid w:val="00011E28"/>
    <w:rsid w:val="0001236C"/>
    <w:rsid w:val="000123D0"/>
    <w:rsid w:val="00012453"/>
    <w:rsid w:val="00012545"/>
    <w:rsid w:val="000128D0"/>
    <w:rsid w:val="00012C85"/>
    <w:rsid w:val="00012F33"/>
    <w:rsid w:val="000138F7"/>
    <w:rsid w:val="00013E10"/>
    <w:rsid w:val="0001420C"/>
    <w:rsid w:val="000145FE"/>
    <w:rsid w:val="00014774"/>
    <w:rsid w:val="00014BF5"/>
    <w:rsid w:val="00015214"/>
    <w:rsid w:val="000154A8"/>
    <w:rsid w:val="000155B5"/>
    <w:rsid w:val="00015A13"/>
    <w:rsid w:val="00015D02"/>
    <w:rsid w:val="00016045"/>
    <w:rsid w:val="000160C0"/>
    <w:rsid w:val="00016184"/>
    <w:rsid w:val="000161B1"/>
    <w:rsid w:val="000162FA"/>
    <w:rsid w:val="0001670E"/>
    <w:rsid w:val="00016763"/>
    <w:rsid w:val="000168C9"/>
    <w:rsid w:val="00016DB3"/>
    <w:rsid w:val="00016E7A"/>
    <w:rsid w:val="00016F03"/>
    <w:rsid w:val="00017183"/>
    <w:rsid w:val="00017381"/>
    <w:rsid w:val="0001743D"/>
    <w:rsid w:val="00017BCB"/>
    <w:rsid w:val="00017C63"/>
    <w:rsid w:val="00017D03"/>
    <w:rsid w:val="000200ED"/>
    <w:rsid w:val="00020260"/>
    <w:rsid w:val="00020281"/>
    <w:rsid w:val="0002034C"/>
    <w:rsid w:val="00020963"/>
    <w:rsid w:val="00020F49"/>
    <w:rsid w:val="00021031"/>
    <w:rsid w:val="00021161"/>
    <w:rsid w:val="00021320"/>
    <w:rsid w:val="0002169E"/>
    <w:rsid w:val="000216E2"/>
    <w:rsid w:val="000217D6"/>
    <w:rsid w:val="000218FA"/>
    <w:rsid w:val="00021B19"/>
    <w:rsid w:val="00021C8B"/>
    <w:rsid w:val="00021CD5"/>
    <w:rsid w:val="00021FF3"/>
    <w:rsid w:val="00022388"/>
    <w:rsid w:val="00022414"/>
    <w:rsid w:val="000227E4"/>
    <w:rsid w:val="00022A5D"/>
    <w:rsid w:val="00022D69"/>
    <w:rsid w:val="00022DDA"/>
    <w:rsid w:val="00022FE5"/>
    <w:rsid w:val="000234F3"/>
    <w:rsid w:val="000236A9"/>
    <w:rsid w:val="0002373E"/>
    <w:rsid w:val="00023954"/>
    <w:rsid w:val="0002395C"/>
    <w:rsid w:val="00023A2C"/>
    <w:rsid w:val="00023AEE"/>
    <w:rsid w:val="00023F42"/>
    <w:rsid w:val="0002427E"/>
    <w:rsid w:val="000245F6"/>
    <w:rsid w:val="0002499F"/>
    <w:rsid w:val="00024B7A"/>
    <w:rsid w:val="00024D5F"/>
    <w:rsid w:val="00025933"/>
    <w:rsid w:val="00025C40"/>
    <w:rsid w:val="00025CA4"/>
    <w:rsid w:val="00025CD1"/>
    <w:rsid w:val="000261F8"/>
    <w:rsid w:val="0002685D"/>
    <w:rsid w:val="000269A1"/>
    <w:rsid w:val="00026BEF"/>
    <w:rsid w:val="00026C85"/>
    <w:rsid w:val="000274D6"/>
    <w:rsid w:val="000277A1"/>
    <w:rsid w:val="00027A65"/>
    <w:rsid w:val="00030198"/>
    <w:rsid w:val="000301FE"/>
    <w:rsid w:val="00030263"/>
    <w:rsid w:val="00030B30"/>
    <w:rsid w:val="00030B59"/>
    <w:rsid w:val="0003119F"/>
    <w:rsid w:val="00031457"/>
    <w:rsid w:val="00031891"/>
    <w:rsid w:val="00032219"/>
    <w:rsid w:val="000326E0"/>
    <w:rsid w:val="00032BCD"/>
    <w:rsid w:val="00032EF9"/>
    <w:rsid w:val="00033064"/>
    <w:rsid w:val="00033284"/>
    <w:rsid w:val="000334C7"/>
    <w:rsid w:val="0003361B"/>
    <w:rsid w:val="00033CE1"/>
    <w:rsid w:val="00034331"/>
    <w:rsid w:val="00034C45"/>
    <w:rsid w:val="00034F0B"/>
    <w:rsid w:val="00035420"/>
    <w:rsid w:val="00035EB4"/>
    <w:rsid w:val="0003687A"/>
    <w:rsid w:val="00037353"/>
    <w:rsid w:val="00037731"/>
    <w:rsid w:val="00037AF7"/>
    <w:rsid w:val="0004017F"/>
    <w:rsid w:val="00040488"/>
    <w:rsid w:val="0004073C"/>
    <w:rsid w:val="000409D4"/>
    <w:rsid w:val="00040A16"/>
    <w:rsid w:val="00040C3B"/>
    <w:rsid w:val="00041A32"/>
    <w:rsid w:val="00041A8E"/>
    <w:rsid w:val="0004213A"/>
    <w:rsid w:val="00042247"/>
    <w:rsid w:val="00042358"/>
    <w:rsid w:val="000426C6"/>
    <w:rsid w:val="0004287F"/>
    <w:rsid w:val="00042ACC"/>
    <w:rsid w:val="00042CC3"/>
    <w:rsid w:val="00042CEF"/>
    <w:rsid w:val="00043197"/>
    <w:rsid w:val="0004335F"/>
    <w:rsid w:val="00043AC5"/>
    <w:rsid w:val="00043BD9"/>
    <w:rsid w:val="00043DDE"/>
    <w:rsid w:val="000444E5"/>
    <w:rsid w:val="0004453C"/>
    <w:rsid w:val="0004459B"/>
    <w:rsid w:val="00044AE0"/>
    <w:rsid w:val="00044E49"/>
    <w:rsid w:val="00044EC3"/>
    <w:rsid w:val="00044F0C"/>
    <w:rsid w:val="000451D0"/>
    <w:rsid w:val="00045227"/>
    <w:rsid w:val="000458E4"/>
    <w:rsid w:val="000458FA"/>
    <w:rsid w:val="00045973"/>
    <w:rsid w:val="00045978"/>
    <w:rsid w:val="00045B1D"/>
    <w:rsid w:val="00045B73"/>
    <w:rsid w:val="00045DD3"/>
    <w:rsid w:val="00046D1B"/>
    <w:rsid w:val="00047030"/>
    <w:rsid w:val="00047766"/>
    <w:rsid w:val="00047D4A"/>
    <w:rsid w:val="00049466"/>
    <w:rsid w:val="000504CB"/>
    <w:rsid w:val="00050F01"/>
    <w:rsid w:val="00051159"/>
    <w:rsid w:val="0005134C"/>
    <w:rsid w:val="00051453"/>
    <w:rsid w:val="00051992"/>
    <w:rsid w:val="0005224D"/>
    <w:rsid w:val="00052F55"/>
    <w:rsid w:val="00053196"/>
    <w:rsid w:val="000533C5"/>
    <w:rsid w:val="000534B0"/>
    <w:rsid w:val="00053BB3"/>
    <w:rsid w:val="00053E39"/>
    <w:rsid w:val="00054674"/>
    <w:rsid w:val="0005471C"/>
    <w:rsid w:val="00054A51"/>
    <w:rsid w:val="00054C14"/>
    <w:rsid w:val="00054C72"/>
    <w:rsid w:val="0005505E"/>
    <w:rsid w:val="00055555"/>
    <w:rsid w:val="0005590A"/>
    <w:rsid w:val="00055F92"/>
    <w:rsid w:val="000561EE"/>
    <w:rsid w:val="00056383"/>
    <w:rsid w:val="00056496"/>
    <w:rsid w:val="00056654"/>
    <w:rsid w:val="0005681F"/>
    <w:rsid w:val="00056B62"/>
    <w:rsid w:val="0005708D"/>
    <w:rsid w:val="00057618"/>
    <w:rsid w:val="00057B64"/>
    <w:rsid w:val="0006026A"/>
    <w:rsid w:val="0006064F"/>
    <w:rsid w:val="0006071A"/>
    <w:rsid w:val="0006086A"/>
    <w:rsid w:val="00060920"/>
    <w:rsid w:val="00060E07"/>
    <w:rsid w:val="0006112A"/>
    <w:rsid w:val="0006129B"/>
    <w:rsid w:val="000616CA"/>
    <w:rsid w:val="00061839"/>
    <w:rsid w:val="00061DCF"/>
    <w:rsid w:val="000629A2"/>
    <w:rsid w:val="000629AA"/>
    <w:rsid w:val="00062C82"/>
    <w:rsid w:val="00062CB1"/>
    <w:rsid w:val="00062E8A"/>
    <w:rsid w:val="00062E91"/>
    <w:rsid w:val="00062F3A"/>
    <w:rsid w:val="0006313A"/>
    <w:rsid w:val="000631B0"/>
    <w:rsid w:val="000636CF"/>
    <w:rsid w:val="000637E5"/>
    <w:rsid w:val="00063892"/>
    <w:rsid w:val="00063BAE"/>
    <w:rsid w:val="00063E02"/>
    <w:rsid w:val="0006400A"/>
    <w:rsid w:val="00064068"/>
    <w:rsid w:val="000642D8"/>
    <w:rsid w:val="000644C0"/>
    <w:rsid w:val="00064827"/>
    <w:rsid w:val="00064950"/>
    <w:rsid w:val="00064A95"/>
    <w:rsid w:val="00064CF8"/>
    <w:rsid w:val="0006517A"/>
    <w:rsid w:val="0006557D"/>
    <w:rsid w:val="00065624"/>
    <w:rsid w:val="00065800"/>
    <w:rsid w:val="00065986"/>
    <w:rsid w:val="00065E85"/>
    <w:rsid w:val="00066106"/>
    <w:rsid w:val="0006616D"/>
    <w:rsid w:val="00066211"/>
    <w:rsid w:val="00066251"/>
    <w:rsid w:val="0006665A"/>
    <w:rsid w:val="00066955"/>
    <w:rsid w:val="00066FCC"/>
    <w:rsid w:val="00067366"/>
    <w:rsid w:val="00067673"/>
    <w:rsid w:val="00067B62"/>
    <w:rsid w:val="00067F14"/>
    <w:rsid w:val="000700C1"/>
    <w:rsid w:val="000702DF"/>
    <w:rsid w:val="000709FD"/>
    <w:rsid w:val="00070A3B"/>
    <w:rsid w:val="000714BA"/>
    <w:rsid w:val="000715C0"/>
    <w:rsid w:val="0007168C"/>
    <w:rsid w:val="0007192C"/>
    <w:rsid w:val="00071EFF"/>
    <w:rsid w:val="00072AB2"/>
    <w:rsid w:val="00072B53"/>
    <w:rsid w:val="00072D86"/>
    <w:rsid w:val="00073885"/>
    <w:rsid w:val="00074198"/>
    <w:rsid w:val="000746D4"/>
    <w:rsid w:val="00074AF6"/>
    <w:rsid w:val="00074B3D"/>
    <w:rsid w:val="00074C76"/>
    <w:rsid w:val="000752B1"/>
    <w:rsid w:val="0007549C"/>
    <w:rsid w:val="00075993"/>
    <w:rsid w:val="000765EF"/>
    <w:rsid w:val="00076640"/>
    <w:rsid w:val="0007670B"/>
    <w:rsid w:val="00076955"/>
    <w:rsid w:val="000770D8"/>
    <w:rsid w:val="0007714C"/>
    <w:rsid w:val="000773AB"/>
    <w:rsid w:val="00077599"/>
    <w:rsid w:val="00077715"/>
    <w:rsid w:val="0007784F"/>
    <w:rsid w:val="00077971"/>
    <w:rsid w:val="00077BE8"/>
    <w:rsid w:val="00077E80"/>
    <w:rsid w:val="00080AC7"/>
    <w:rsid w:val="00080ADC"/>
    <w:rsid w:val="00080AEA"/>
    <w:rsid w:val="00080BF8"/>
    <w:rsid w:val="00080DD1"/>
    <w:rsid w:val="0008147F"/>
    <w:rsid w:val="0008156D"/>
    <w:rsid w:val="0008171A"/>
    <w:rsid w:val="00081765"/>
    <w:rsid w:val="000818A6"/>
    <w:rsid w:val="00081CEC"/>
    <w:rsid w:val="00081D84"/>
    <w:rsid w:val="000822AE"/>
    <w:rsid w:val="000825E7"/>
    <w:rsid w:val="00082C7A"/>
    <w:rsid w:val="00082EA5"/>
    <w:rsid w:val="00082F77"/>
    <w:rsid w:val="00083B70"/>
    <w:rsid w:val="000842B7"/>
    <w:rsid w:val="000844A0"/>
    <w:rsid w:val="0008468A"/>
    <w:rsid w:val="00084699"/>
    <w:rsid w:val="00084ACB"/>
    <w:rsid w:val="0008511B"/>
    <w:rsid w:val="000853CF"/>
    <w:rsid w:val="00085783"/>
    <w:rsid w:val="00085B55"/>
    <w:rsid w:val="00085D83"/>
    <w:rsid w:val="00085DFE"/>
    <w:rsid w:val="00086112"/>
    <w:rsid w:val="00086197"/>
    <w:rsid w:val="0008664B"/>
    <w:rsid w:val="000868F2"/>
    <w:rsid w:val="00086DEE"/>
    <w:rsid w:val="000871A8"/>
    <w:rsid w:val="0008727B"/>
    <w:rsid w:val="00087667"/>
    <w:rsid w:val="000876D6"/>
    <w:rsid w:val="0008783E"/>
    <w:rsid w:val="00087933"/>
    <w:rsid w:val="00087BB5"/>
    <w:rsid w:val="00087FAF"/>
    <w:rsid w:val="00090531"/>
    <w:rsid w:val="00090D18"/>
    <w:rsid w:val="00090E65"/>
    <w:rsid w:val="00090ED0"/>
    <w:rsid w:val="000910A1"/>
    <w:rsid w:val="0009115D"/>
    <w:rsid w:val="00091188"/>
    <w:rsid w:val="00091550"/>
    <w:rsid w:val="00091795"/>
    <w:rsid w:val="00091EDD"/>
    <w:rsid w:val="00092049"/>
    <w:rsid w:val="00092598"/>
    <w:rsid w:val="00092810"/>
    <w:rsid w:val="00093101"/>
    <w:rsid w:val="0009354C"/>
    <w:rsid w:val="000935A5"/>
    <w:rsid w:val="00093BC0"/>
    <w:rsid w:val="00093CAA"/>
    <w:rsid w:val="000942E2"/>
    <w:rsid w:val="0009477B"/>
    <w:rsid w:val="00094B57"/>
    <w:rsid w:val="00095120"/>
    <w:rsid w:val="000951BF"/>
    <w:rsid w:val="0009590B"/>
    <w:rsid w:val="00095A0A"/>
    <w:rsid w:val="00095F01"/>
    <w:rsid w:val="000965BC"/>
    <w:rsid w:val="000967D8"/>
    <w:rsid w:val="00096816"/>
    <w:rsid w:val="00097BAA"/>
    <w:rsid w:val="00097CFF"/>
    <w:rsid w:val="00097F4D"/>
    <w:rsid w:val="0009892D"/>
    <w:rsid w:val="000A0334"/>
    <w:rsid w:val="000A059D"/>
    <w:rsid w:val="000A07FA"/>
    <w:rsid w:val="000A0EAB"/>
    <w:rsid w:val="000A1439"/>
    <w:rsid w:val="000A1AB6"/>
    <w:rsid w:val="000A2015"/>
    <w:rsid w:val="000A21BC"/>
    <w:rsid w:val="000A22FA"/>
    <w:rsid w:val="000A2537"/>
    <w:rsid w:val="000A2A68"/>
    <w:rsid w:val="000A2A99"/>
    <w:rsid w:val="000A35A2"/>
    <w:rsid w:val="000A36BD"/>
    <w:rsid w:val="000A3CB5"/>
    <w:rsid w:val="000A44E0"/>
    <w:rsid w:val="000A4601"/>
    <w:rsid w:val="000A468B"/>
    <w:rsid w:val="000A48A8"/>
    <w:rsid w:val="000A496C"/>
    <w:rsid w:val="000A4A2F"/>
    <w:rsid w:val="000A4B40"/>
    <w:rsid w:val="000A4CE8"/>
    <w:rsid w:val="000A5395"/>
    <w:rsid w:val="000A5B53"/>
    <w:rsid w:val="000A5BFC"/>
    <w:rsid w:val="000A5CAF"/>
    <w:rsid w:val="000A5D8A"/>
    <w:rsid w:val="000A5E71"/>
    <w:rsid w:val="000A6A85"/>
    <w:rsid w:val="000A6F70"/>
    <w:rsid w:val="000A75C8"/>
    <w:rsid w:val="000A77A1"/>
    <w:rsid w:val="000A7930"/>
    <w:rsid w:val="000A7A1A"/>
    <w:rsid w:val="000B070F"/>
    <w:rsid w:val="000B12C1"/>
    <w:rsid w:val="000B1354"/>
    <w:rsid w:val="000B1529"/>
    <w:rsid w:val="000B1880"/>
    <w:rsid w:val="000B192B"/>
    <w:rsid w:val="000B219C"/>
    <w:rsid w:val="000B22C5"/>
    <w:rsid w:val="000B22D6"/>
    <w:rsid w:val="000B23E1"/>
    <w:rsid w:val="000B28FD"/>
    <w:rsid w:val="000B2BA2"/>
    <w:rsid w:val="000B31F7"/>
    <w:rsid w:val="000B36F5"/>
    <w:rsid w:val="000B3744"/>
    <w:rsid w:val="000B3E17"/>
    <w:rsid w:val="000B4030"/>
    <w:rsid w:val="000B430A"/>
    <w:rsid w:val="000B449F"/>
    <w:rsid w:val="000B4640"/>
    <w:rsid w:val="000B561B"/>
    <w:rsid w:val="000B582C"/>
    <w:rsid w:val="000B5A10"/>
    <w:rsid w:val="000B5B64"/>
    <w:rsid w:val="000B5BDF"/>
    <w:rsid w:val="000B5C16"/>
    <w:rsid w:val="000B611A"/>
    <w:rsid w:val="000B6373"/>
    <w:rsid w:val="000B64B9"/>
    <w:rsid w:val="000B65D4"/>
    <w:rsid w:val="000B6719"/>
    <w:rsid w:val="000B680A"/>
    <w:rsid w:val="000B6A73"/>
    <w:rsid w:val="000B6ACB"/>
    <w:rsid w:val="000B7124"/>
    <w:rsid w:val="000B7246"/>
    <w:rsid w:val="000B75EC"/>
    <w:rsid w:val="000B77B3"/>
    <w:rsid w:val="000B7FB2"/>
    <w:rsid w:val="000C0027"/>
    <w:rsid w:val="000C012C"/>
    <w:rsid w:val="000C01C8"/>
    <w:rsid w:val="000C02C6"/>
    <w:rsid w:val="000C06BB"/>
    <w:rsid w:val="000C0C11"/>
    <w:rsid w:val="000C0EB9"/>
    <w:rsid w:val="000C0FCD"/>
    <w:rsid w:val="000C1B33"/>
    <w:rsid w:val="000C1B6D"/>
    <w:rsid w:val="000C22FC"/>
    <w:rsid w:val="000C25A8"/>
    <w:rsid w:val="000C2824"/>
    <w:rsid w:val="000C2DBD"/>
    <w:rsid w:val="000C2E59"/>
    <w:rsid w:val="000C31F6"/>
    <w:rsid w:val="000C32A5"/>
    <w:rsid w:val="000C3428"/>
    <w:rsid w:val="000C3479"/>
    <w:rsid w:val="000C40C7"/>
    <w:rsid w:val="000C474D"/>
    <w:rsid w:val="000C4DC6"/>
    <w:rsid w:val="000C57E6"/>
    <w:rsid w:val="000C58B6"/>
    <w:rsid w:val="000C596C"/>
    <w:rsid w:val="000C6029"/>
    <w:rsid w:val="000C6065"/>
    <w:rsid w:val="000C61A2"/>
    <w:rsid w:val="000C65FA"/>
    <w:rsid w:val="000C676C"/>
    <w:rsid w:val="000C6DA2"/>
    <w:rsid w:val="000C6E90"/>
    <w:rsid w:val="000C6EB8"/>
    <w:rsid w:val="000C6F33"/>
    <w:rsid w:val="000C7409"/>
    <w:rsid w:val="000C74C2"/>
    <w:rsid w:val="000C7E1E"/>
    <w:rsid w:val="000C7EF2"/>
    <w:rsid w:val="000D0111"/>
    <w:rsid w:val="000D0296"/>
    <w:rsid w:val="000D085F"/>
    <w:rsid w:val="000D089A"/>
    <w:rsid w:val="000D0B18"/>
    <w:rsid w:val="000D0E8C"/>
    <w:rsid w:val="000D0F08"/>
    <w:rsid w:val="000D13A4"/>
    <w:rsid w:val="000D14A9"/>
    <w:rsid w:val="000D1550"/>
    <w:rsid w:val="000D19DE"/>
    <w:rsid w:val="000D210C"/>
    <w:rsid w:val="000D21E7"/>
    <w:rsid w:val="000D226B"/>
    <w:rsid w:val="000D2394"/>
    <w:rsid w:val="000D250C"/>
    <w:rsid w:val="000D2712"/>
    <w:rsid w:val="000D27DD"/>
    <w:rsid w:val="000D2A24"/>
    <w:rsid w:val="000D3502"/>
    <w:rsid w:val="000D3A8C"/>
    <w:rsid w:val="000D3D87"/>
    <w:rsid w:val="000D3ECC"/>
    <w:rsid w:val="000D4082"/>
    <w:rsid w:val="000D4442"/>
    <w:rsid w:val="000D464C"/>
    <w:rsid w:val="000D4AC9"/>
    <w:rsid w:val="000D52E3"/>
    <w:rsid w:val="000D5585"/>
    <w:rsid w:val="000D5DE9"/>
    <w:rsid w:val="000D6367"/>
    <w:rsid w:val="000D6895"/>
    <w:rsid w:val="000D6930"/>
    <w:rsid w:val="000D69BA"/>
    <w:rsid w:val="000D6A36"/>
    <w:rsid w:val="000D6DC0"/>
    <w:rsid w:val="000D7109"/>
    <w:rsid w:val="000D72EC"/>
    <w:rsid w:val="000D7327"/>
    <w:rsid w:val="000D76CD"/>
    <w:rsid w:val="000D76F9"/>
    <w:rsid w:val="000D7DF3"/>
    <w:rsid w:val="000D7FB1"/>
    <w:rsid w:val="000E0345"/>
    <w:rsid w:val="000E0875"/>
    <w:rsid w:val="000E0B9D"/>
    <w:rsid w:val="000E0E77"/>
    <w:rsid w:val="000E113F"/>
    <w:rsid w:val="000E14C8"/>
    <w:rsid w:val="000E15BC"/>
    <w:rsid w:val="000E1D81"/>
    <w:rsid w:val="000E1EFA"/>
    <w:rsid w:val="000E227E"/>
    <w:rsid w:val="000E24B6"/>
    <w:rsid w:val="000E24F1"/>
    <w:rsid w:val="000E2590"/>
    <w:rsid w:val="000E2B5C"/>
    <w:rsid w:val="000E2DA1"/>
    <w:rsid w:val="000E2F22"/>
    <w:rsid w:val="000E365E"/>
    <w:rsid w:val="000E369D"/>
    <w:rsid w:val="000E3A87"/>
    <w:rsid w:val="000E3DB7"/>
    <w:rsid w:val="000E3EED"/>
    <w:rsid w:val="000E4085"/>
    <w:rsid w:val="000E437E"/>
    <w:rsid w:val="000E46B6"/>
    <w:rsid w:val="000E4E4C"/>
    <w:rsid w:val="000E52A5"/>
    <w:rsid w:val="000E5429"/>
    <w:rsid w:val="000E59B1"/>
    <w:rsid w:val="000E5E07"/>
    <w:rsid w:val="000E5EA3"/>
    <w:rsid w:val="000E614D"/>
    <w:rsid w:val="000E63E2"/>
    <w:rsid w:val="000E6419"/>
    <w:rsid w:val="000E6526"/>
    <w:rsid w:val="000E6797"/>
    <w:rsid w:val="000E690B"/>
    <w:rsid w:val="000E6986"/>
    <w:rsid w:val="000E6B9B"/>
    <w:rsid w:val="000E76DB"/>
    <w:rsid w:val="000E78B2"/>
    <w:rsid w:val="000E7BF5"/>
    <w:rsid w:val="000E7F97"/>
    <w:rsid w:val="000F0053"/>
    <w:rsid w:val="000F0291"/>
    <w:rsid w:val="000F0600"/>
    <w:rsid w:val="000F09CB"/>
    <w:rsid w:val="000F0BE3"/>
    <w:rsid w:val="000F0C43"/>
    <w:rsid w:val="000F1000"/>
    <w:rsid w:val="000F13B1"/>
    <w:rsid w:val="000F147F"/>
    <w:rsid w:val="000F1584"/>
    <w:rsid w:val="000F163F"/>
    <w:rsid w:val="000F197C"/>
    <w:rsid w:val="000F1AF4"/>
    <w:rsid w:val="000F1D46"/>
    <w:rsid w:val="000F2328"/>
    <w:rsid w:val="000F2376"/>
    <w:rsid w:val="000F265E"/>
    <w:rsid w:val="000F2DAD"/>
    <w:rsid w:val="000F2E3F"/>
    <w:rsid w:val="000F3033"/>
    <w:rsid w:val="000F303A"/>
    <w:rsid w:val="000F31EE"/>
    <w:rsid w:val="000F327A"/>
    <w:rsid w:val="000F34F1"/>
    <w:rsid w:val="000F359C"/>
    <w:rsid w:val="000F3C46"/>
    <w:rsid w:val="000F3D82"/>
    <w:rsid w:val="000F3E5B"/>
    <w:rsid w:val="000F3E72"/>
    <w:rsid w:val="000F4177"/>
    <w:rsid w:val="000F42ED"/>
    <w:rsid w:val="000F47D3"/>
    <w:rsid w:val="000F4840"/>
    <w:rsid w:val="000F48C0"/>
    <w:rsid w:val="000F4BA9"/>
    <w:rsid w:val="000F4DF4"/>
    <w:rsid w:val="000F4F96"/>
    <w:rsid w:val="000F52FC"/>
    <w:rsid w:val="000F5969"/>
    <w:rsid w:val="000F5FA1"/>
    <w:rsid w:val="000F6030"/>
    <w:rsid w:val="000F66E3"/>
    <w:rsid w:val="000F6721"/>
    <w:rsid w:val="000F6A40"/>
    <w:rsid w:val="000F6D1D"/>
    <w:rsid w:val="000F711A"/>
    <w:rsid w:val="000F7686"/>
    <w:rsid w:val="000F77CB"/>
    <w:rsid w:val="000F7CB5"/>
    <w:rsid w:val="000F7E6F"/>
    <w:rsid w:val="001003C9"/>
    <w:rsid w:val="001004F7"/>
    <w:rsid w:val="001005C5"/>
    <w:rsid w:val="00100B9C"/>
    <w:rsid w:val="0010183D"/>
    <w:rsid w:val="00101AD8"/>
    <w:rsid w:val="00101E7D"/>
    <w:rsid w:val="00101F3A"/>
    <w:rsid w:val="0010268B"/>
    <w:rsid w:val="001037F3"/>
    <w:rsid w:val="0010394E"/>
    <w:rsid w:val="00103C0F"/>
    <w:rsid w:val="00103CF4"/>
    <w:rsid w:val="00103D5F"/>
    <w:rsid w:val="00103FC5"/>
    <w:rsid w:val="001041E2"/>
    <w:rsid w:val="001042B1"/>
    <w:rsid w:val="00104503"/>
    <w:rsid w:val="00104AE1"/>
    <w:rsid w:val="00104D5F"/>
    <w:rsid w:val="0010588F"/>
    <w:rsid w:val="00106008"/>
    <w:rsid w:val="001064E3"/>
    <w:rsid w:val="0010652F"/>
    <w:rsid w:val="0010676D"/>
    <w:rsid w:val="00106A14"/>
    <w:rsid w:val="00106C5F"/>
    <w:rsid w:val="00106F5E"/>
    <w:rsid w:val="0010777C"/>
    <w:rsid w:val="00107A4B"/>
    <w:rsid w:val="00107A51"/>
    <w:rsid w:val="00107CCE"/>
    <w:rsid w:val="0011034B"/>
    <w:rsid w:val="00110532"/>
    <w:rsid w:val="00110993"/>
    <w:rsid w:val="00110B43"/>
    <w:rsid w:val="00110D47"/>
    <w:rsid w:val="00110D85"/>
    <w:rsid w:val="001116CB"/>
    <w:rsid w:val="001118EC"/>
    <w:rsid w:val="001120E1"/>
    <w:rsid w:val="001122C2"/>
    <w:rsid w:val="0011243F"/>
    <w:rsid w:val="001129E0"/>
    <w:rsid w:val="00112CE1"/>
    <w:rsid w:val="00112D7F"/>
    <w:rsid w:val="00112F4F"/>
    <w:rsid w:val="00113333"/>
    <w:rsid w:val="0011360B"/>
    <w:rsid w:val="00113887"/>
    <w:rsid w:val="00113E94"/>
    <w:rsid w:val="00114142"/>
    <w:rsid w:val="0011423C"/>
    <w:rsid w:val="001143B9"/>
    <w:rsid w:val="001147D1"/>
    <w:rsid w:val="00114B6B"/>
    <w:rsid w:val="00114D8C"/>
    <w:rsid w:val="0011503F"/>
    <w:rsid w:val="001153E5"/>
    <w:rsid w:val="001159DA"/>
    <w:rsid w:val="00115BC2"/>
    <w:rsid w:val="00115C43"/>
    <w:rsid w:val="00115D5B"/>
    <w:rsid w:val="001161A2"/>
    <w:rsid w:val="001161CB"/>
    <w:rsid w:val="00116422"/>
    <w:rsid w:val="00116694"/>
    <w:rsid w:val="00116962"/>
    <w:rsid w:val="00116A13"/>
    <w:rsid w:val="00116F8C"/>
    <w:rsid w:val="001174BA"/>
    <w:rsid w:val="0011779D"/>
    <w:rsid w:val="00117BCF"/>
    <w:rsid w:val="0012079D"/>
    <w:rsid w:val="001208CA"/>
    <w:rsid w:val="00120A3D"/>
    <w:rsid w:val="00120D9D"/>
    <w:rsid w:val="0012117D"/>
    <w:rsid w:val="00121273"/>
    <w:rsid w:val="0012137D"/>
    <w:rsid w:val="001216C4"/>
    <w:rsid w:val="001216FE"/>
    <w:rsid w:val="00121E17"/>
    <w:rsid w:val="00121EB8"/>
    <w:rsid w:val="00121FB1"/>
    <w:rsid w:val="00122BA6"/>
    <w:rsid w:val="00122C8B"/>
    <w:rsid w:val="00122E3E"/>
    <w:rsid w:val="00122EBE"/>
    <w:rsid w:val="00123011"/>
    <w:rsid w:val="00123089"/>
    <w:rsid w:val="00123A3B"/>
    <w:rsid w:val="00123A94"/>
    <w:rsid w:val="00123B2B"/>
    <w:rsid w:val="0012412F"/>
    <w:rsid w:val="00124323"/>
    <w:rsid w:val="00124384"/>
    <w:rsid w:val="00124668"/>
    <w:rsid w:val="0012499B"/>
    <w:rsid w:val="00124B5A"/>
    <w:rsid w:val="00124C79"/>
    <w:rsid w:val="0012511A"/>
    <w:rsid w:val="00125162"/>
    <w:rsid w:val="00125217"/>
    <w:rsid w:val="00125374"/>
    <w:rsid w:val="0012560F"/>
    <w:rsid w:val="0012579B"/>
    <w:rsid w:val="001258D0"/>
    <w:rsid w:val="00125B94"/>
    <w:rsid w:val="00125CCC"/>
    <w:rsid w:val="00125EAC"/>
    <w:rsid w:val="00126030"/>
    <w:rsid w:val="00126117"/>
    <w:rsid w:val="0012615C"/>
    <w:rsid w:val="001261CD"/>
    <w:rsid w:val="0012640B"/>
    <w:rsid w:val="00126856"/>
    <w:rsid w:val="00126870"/>
    <w:rsid w:val="00126886"/>
    <w:rsid w:val="00126C3E"/>
    <w:rsid w:val="00126FB2"/>
    <w:rsid w:val="0012709C"/>
    <w:rsid w:val="001274C7"/>
    <w:rsid w:val="00127603"/>
    <w:rsid w:val="00127819"/>
    <w:rsid w:val="00127841"/>
    <w:rsid w:val="00127922"/>
    <w:rsid w:val="00127A83"/>
    <w:rsid w:val="00127B89"/>
    <w:rsid w:val="00127C4C"/>
    <w:rsid w:val="001305A2"/>
    <w:rsid w:val="0013077F"/>
    <w:rsid w:val="001311B2"/>
    <w:rsid w:val="00131626"/>
    <w:rsid w:val="00131639"/>
    <w:rsid w:val="00131826"/>
    <w:rsid w:val="00132094"/>
    <w:rsid w:val="001320C3"/>
    <w:rsid w:val="00132160"/>
    <w:rsid w:val="00132257"/>
    <w:rsid w:val="0013275B"/>
    <w:rsid w:val="00132866"/>
    <w:rsid w:val="00132C65"/>
    <w:rsid w:val="00132E87"/>
    <w:rsid w:val="001334C2"/>
    <w:rsid w:val="00133556"/>
    <w:rsid w:val="00133BC1"/>
    <w:rsid w:val="00133C5E"/>
    <w:rsid w:val="00133CA9"/>
    <w:rsid w:val="00133D68"/>
    <w:rsid w:val="00133DC4"/>
    <w:rsid w:val="00133DC7"/>
    <w:rsid w:val="00133EC0"/>
    <w:rsid w:val="00133FF8"/>
    <w:rsid w:val="00134677"/>
    <w:rsid w:val="00135278"/>
    <w:rsid w:val="00135F96"/>
    <w:rsid w:val="0013600D"/>
    <w:rsid w:val="00136058"/>
    <w:rsid w:val="001360EA"/>
    <w:rsid w:val="001367C9"/>
    <w:rsid w:val="00136974"/>
    <w:rsid w:val="00136E06"/>
    <w:rsid w:val="00137872"/>
    <w:rsid w:val="00137FCB"/>
    <w:rsid w:val="0014043C"/>
    <w:rsid w:val="0014056D"/>
    <w:rsid w:val="00140644"/>
    <w:rsid w:val="00140837"/>
    <w:rsid w:val="00140B05"/>
    <w:rsid w:val="00141630"/>
    <w:rsid w:val="001419CD"/>
    <w:rsid w:val="00141E2F"/>
    <w:rsid w:val="001422C5"/>
    <w:rsid w:val="00142406"/>
    <w:rsid w:val="0014248E"/>
    <w:rsid w:val="001427DA"/>
    <w:rsid w:val="00142A29"/>
    <w:rsid w:val="00142A7B"/>
    <w:rsid w:val="00142B28"/>
    <w:rsid w:val="00142B41"/>
    <w:rsid w:val="00142FEB"/>
    <w:rsid w:val="001432CB"/>
    <w:rsid w:val="00143A48"/>
    <w:rsid w:val="0014435C"/>
    <w:rsid w:val="001444B6"/>
    <w:rsid w:val="001446F7"/>
    <w:rsid w:val="00144C66"/>
    <w:rsid w:val="00144DAB"/>
    <w:rsid w:val="00145206"/>
    <w:rsid w:val="001453BF"/>
    <w:rsid w:val="0014561D"/>
    <w:rsid w:val="0014597D"/>
    <w:rsid w:val="00145ACF"/>
    <w:rsid w:val="00145B3D"/>
    <w:rsid w:val="00145B4A"/>
    <w:rsid w:val="00145DB8"/>
    <w:rsid w:val="00145EBF"/>
    <w:rsid w:val="001466D2"/>
    <w:rsid w:val="001468F8"/>
    <w:rsid w:val="00146975"/>
    <w:rsid w:val="00146B91"/>
    <w:rsid w:val="0014747D"/>
    <w:rsid w:val="00147697"/>
    <w:rsid w:val="00147854"/>
    <w:rsid w:val="00147DAB"/>
    <w:rsid w:val="00147DD5"/>
    <w:rsid w:val="0015058B"/>
    <w:rsid w:val="001506F6"/>
    <w:rsid w:val="00150BAE"/>
    <w:rsid w:val="00151505"/>
    <w:rsid w:val="00151AAB"/>
    <w:rsid w:val="00151C49"/>
    <w:rsid w:val="00151E32"/>
    <w:rsid w:val="00152524"/>
    <w:rsid w:val="001526D2"/>
    <w:rsid w:val="00152C2D"/>
    <w:rsid w:val="00153376"/>
    <w:rsid w:val="00153444"/>
    <w:rsid w:val="001534BF"/>
    <w:rsid w:val="00153529"/>
    <w:rsid w:val="001537AB"/>
    <w:rsid w:val="001537B2"/>
    <w:rsid w:val="0015380F"/>
    <w:rsid w:val="00153B1A"/>
    <w:rsid w:val="001545D8"/>
    <w:rsid w:val="0015472C"/>
    <w:rsid w:val="0015497D"/>
    <w:rsid w:val="00154B24"/>
    <w:rsid w:val="00154D57"/>
    <w:rsid w:val="00154D6E"/>
    <w:rsid w:val="00155841"/>
    <w:rsid w:val="001559F6"/>
    <w:rsid w:val="001559FD"/>
    <w:rsid w:val="00155B6B"/>
    <w:rsid w:val="001564A2"/>
    <w:rsid w:val="00157365"/>
    <w:rsid w:val="00157430"/>
    <w:rsid w:val="00157B51"/>
    <w:rsid w:val="00160460"/>
    <w:rsid w:val="00160A3B"/>
    <w:rsid w:val="00160D24"/>
    <w:rsid w:val="00160DD0"/>
    <w:rsid w:val="0016167B"/>
    <w:rsid w:val="00161D77"/>
    <w:rsid w:val="00161DD0"/>
    <w:rsid w:val="00161E13"/>
    <w:rsid w:val="001625EE"/>
    <w:rsid w:val="0016275F"/>
    <w:rsid w:val="00162A87"/>
    <w:rsid w:val="00162D2A"/>
    <w:rsid w:val="00163303"/>
    <w:rsid w:val="00163374"/>
    <w:rsid w:val="0016339A"/>
    <w:rsid w:val="001633FA"/>
    <w:rsid w:val="00163607"/>
    <w:rsid w:val="001639C8"/>
    <w:rsid w:val="001642DB"/>
    <w:rsid w:val="0016445E"/>
    <w:rsid w:val="00164514"/>
    <w:rsid w:val="0016453F"/>
    <w:rsid w:val="00164D56"/>
    <w:rsid w:val="00164E6C"/>
    <w:rsid w:val="001652DA"/>
    <w:rsid w:val="001653A5"/>
    <w:rsid w:val="0016553B"/>
    <w:rsid w:val="001656DC"/>
    <w:rsid w:val="0016571F"/>
    <w:rsid w:val="00165A77"/>
    <w:rsid w:val="00165E02"/>
    <w:rsid w:val="001662F9"/>
    <w:rsid w:val="001664F2"/>
    <w:rsid w:val="00166896"/>
    <w:rsid w:val="00166FA8"/>
    <w:rsid w:val="001670D8"/>
    <w:rsid w:val="001671A8"/>
    <w:rsid w:val="00167EBF"/>
    <w:rsid w:val="001700DB"/>
    <w:rsid w:val="001705C3"/>
    <w:rsid w:val="00170753"/>
    <w:rsid w:val="00170984"/>
    <w:rsid w:val="00170E83"/>
    <w:rsid w:val="00171564"/>
    <w:rsid w:val="001719B0"/>
    <w:rsid w:val="00171F51"/>
    <w:rsid w:val="00172337"/>
    <w:rsid w:val="00172560"/>
    <w:rsid w:val="00172A03"/>
    <w:rsid w:val="0017320E"/>
    <w:rsid w:val="0017333E"/>
    <w:rsid w:val="0017343F"/>
    <w:rsid w:val="001734E5"/>
    <w:rsid w:val="0017357E"/>
    <w:rsid w:val="00173900"/>
    <w:rsid w:val="00173BE3"/>
    <w:rsid w:val="00173D3F"/>
    <w:rsid w:val="00173E4D"/>
    <w:rsid w:val="0017408C"/>
    <w:rsid w:val="001740EF"/>
    <w:rsid w:val="0017436E"/>
    <w:rsid w:val="0017480C"/>
    <w:rsid w:val="001748CC"/>
    <w:rsid w:val="001749B4"/>
    <w:rsid w:val="00174E89"/>
    <w:rsid w:val="001754BD"/>
    <w:rsid w:val="00175738"/>
    <w:rsid w:val="00175C95"/>
    <w:rsid w:val="00175E1E"/>
    <w:rsid w:val="001761D2"/>
    <w:rsid w:val="0017642E"/>
    <w:rsid w:val="00176593"/>
    <w:rsid w:val="00176718"/>
    <w:rsid w:val="001767C7"/>
    <w:rsid w:val="001767FD"/>
    <w:rsid w:val="00176D22"/>
    <w:rsid w:val="00176ED6"/>
    <w:rsid w:val="00177149"/>
    <w:rsid w:val="00177778"/>
    <w:rsid w:val="00177C18"/>
    <w:rsid w:val="001800D6"/>
    <w:rsid w:val="0018056A"/>
    <w:rsid w:val="001805EC"/>
    <w:rsid w:val="00180AB4"/>
    <w:rsid w:val="00180B0D"/>
    <w:rsid w:val="00180D69"/>
    <w:rsid w:val="001814E2"/>
    <w:rsid w:val="00181B86"/>
    <w:rsid w:val="00181C57"/>
    <w:rsid w:val="0018202D"/>
    <w:rsid w:val="00182035"/>
    <w:rsid w:val="0018249A"/>
    <w:rsid w:val="00182595"/>
    <w:rsid w:val="001827B4"/>
    <w:rsid w:val="001827F4"/>
    <w:rsid w:val="00182899"/>
    <w:rsid w:val="001828DF"/>
    <w:rsid w:val="00182D4D"/>
    <w:rsid w:val="00182E2C"/>
    <w:rsid w:val="00182FD5"/>
    <w:rsid w:val="00183387"/>
    <w:rsid w:val="00183909"/>
    <w:rsid w:val="00183E0B"/>
    <w:rsid w:val="00183EAA"/>
    <w:rsid w:val="001844D5"/>
    <w:rsid w:val="00184881"/>
    <w:rsid w:val="00184AD9"/>
    <w:rsid w:val="00184C50"/>
    <w:rsid w:val="0018518F"/>
    <w:rsid w:val="00185A9C"/>
    <w:rsid w:val="001865EF"/>
    <w:rsid w:val="00186B12"/>
    <w:rsid w:val="0018717C"/>
    <w:rsid w:val="0018749B"/>
    <w:rsid w:val="001875CC"/>
    <w:rsid w:val="00187B08"/>
    <w:rsid w:val="00187B3B"/>
    <w:rsid w:val="00187CBB"/>
    <w:rsid w:val="00187E50"/>
    <w:rsid w:val="00190389"/>
    <w:rsid w:val="001903F9"/>
    <w:rsid w:val="00190AE8"/>
    <w:rsid w:val="00190CAE"/>
    <w:rsid w:val="00190D46"/>
    <w:rsid w:val="00191234"/>
    <w:rsid w:val="0019128F"/>
    <w:rsid w:val="00191415"/>
    <w:rsid w:val="0019146C"/>
    <w:rsid w:val="00191800"/>
    <w:rsid w:val="00191CCF"/>
    <w:rsid w:val="00191DD1"/>
    <w:rsid w:val="00191FDD"/>
    <w:rsid w:val="0019216E"/>
    <w:rsid w:val="001921B9"/>
    <w:rsid w:val="0019261E"/>
    <w:rsid w:val="00192836"/>
    <w:rsid w:val="00192922"/>
    <w:rsid w:val="0019296C"/>
    <w:rsid w:val="00192B6D"/>
    <w:rsid w:val="00192D8D"/>
    <w:rsid w:val="00192DBC"/>
    <w:rsid w:val="0019309A"/>
    <w:rsid w:val="00193123"/>
    <w:rsid w:val="001931F4"/>
    <w:rsid w:val="00193203"/>
    <w:rsid w:val="001935F0"/>
    <w:rsid w:val="00193735"/>
    <w:rsid w:val="0019383B"/>
    <w:rsid w:val="00193A46"/>
    <w:rsid w:val="00193A4A"/>
    <w:rsid w:val="00193A62"/>
    <w:rsid w:val="00193B84"/>
    <w:rsid w:val="00193E7E"/>
    <w:rsid w:val="00193ECF"/>
    <w:rsid w:val="00193EF4"/>
    <w:rsid w:val="00194635"/>
    <w:rsid w:val="00194912"/>
    <w:rsid w:val="0019497C"/>
    <w:rsid w:val="00194ACE"/>
    <w:rsid w:val="00195042"/>
    <w:rsid w:val="001953C6"/>
    <w:rsid w:val="00195498"/>
    <w:rsid w:val="00195544"/>
    <w:rsid w:val="0019587E"/>
    <w:rsid w:val="001958AB"/>
    <w:rsid w:val="00195AA7"/>
    <w:rsid w:val="00195F01"/>
    <w:rsid w:val="00196439"/>
    <w:rsid w:val="001965A3"/>
    <w:rsid w:val="00196A4A"/>
    <w:rsid w:val="00196C0C"/>
    <w:rsid w:val="00196D4A"/>
    <w:rsid w:val="00196E7B"/>
    <w:rsid w:val="001971E8"/>
    <w:rsid w:val="001972E8"/>
    <w:rsid w:val="0019732A"/>
    <w:rsid w:val="001974A1"/>
    <w:rsid w:val="001974A3"/>
    <w:rsid w:val="00197551"/>
    <w:rsid w:val="001978E7"/>
    <w:rsid w:val="00197A79"/>
    <w:rsid w:val="00197D84"/>
    <w:rsid w:val="00197D9A"/>
    <w:rsid w:val="00197EA1"/>
    <w:rsid w:val="00197EFB"/>
    <w:rsid w:val="001A060B"/>
    <w:rsid w:val="001A0831"/>
    <w:rsid w:val="001A0869"/>
    <w:rsid w:val="001A0E2E"/>
    <w:rsid w:val="001A0F1C"/>
    <w:rsid w:val="001A0F7F"/>
    <w:rsid w:val="001A11F7"/>
    <w:rsid w:val="001A1A7A"/>
    <w:rsid w:val="001A1A92"/>
    <w:rsid w:val="001A1C84"/>
    <w:rsid w:val="001A21D6"/>
    <w:rsid w:val="001A242E"/>
    <w:rsid w:val="001A24FC"/>
    <w:rsid w:val="001A2B75"/>
    <w:rsid w:val="001A2D3D"/>
    <w:rsid w:val="001A2D8C"/>
    <w:rsid w:val="001A2DF3"/>
    <w:rsid w:val="001A2F71"/>
    <w:rsid w:val="001A37C9"/>
    <w:rsid w:val="001A3865"/>
    <w:rsid w:val="001A3CD9"/>
    <w:rsid w:val="001A3D85"/>
    <w:rsid w:val="001A3DEF"/>
    <w:rsid w:val="001A3E7C"/>
    <w:rsid w:val="001A3FA5"/>
    <w:rsid w:val="001A40F6"/>
    <w:rsid w:val="001A4271"/>
    <w:rsid w:val="001A42C6"/>
    <w:rsid w:val="001A44EC"/>
    <w:rsid w:val="001A46AD"/>
    <w:rsid w:val="001A477F"/>
    <w:rsid w:val="001A4790"/>
    <w:rsid w:val="001A4B5A"/>
    <w:rsid w:val="001A4D28"/>
    <w:rsid w:val="001A4F1B"/>
    <w:rsid w:val="001A5545"/>
    <w:rsid w:val="001A5C5E"/>
    <w:rsid w:val="001A5CDB"/>
    <w:rsid w:val="001A5D73"/>
    <w:rsid w:val="001A60BF"/>
    <w:rsid w:val="001A653D"/>
    <w:rsid w:val="001A6551"/>
    <w:rsid w:val="001A673E"/>
    <w:rsid w:val="001A7512"/>
    <w:rsid w:val="001A7BB8"/>
    <w:rsid w:val="001B0060"/>
    <w:rsid w:val="001B016D"/>
    <w:rsid w:val="001B0554"/>
    <w:rsid w:val="001B05C6"/>
    <w:rsid w:val="001B0A82"/>
    <w:rsid w:val="001B10AE"/>
    <w:rsid w:val="001B114B"/>
    <w:rsid w:val="001B17CD"/>
    <w:rsid w:val="001B1AED"/>
    <w:rsid w:val="001B1C27"/>
    <w:rsid w:val="001B2197"/>
    <w:rsid w:val="001B25A1"/>
    <w:rsid w:val="001B281C"/>
    <w:rsid w:val="001B3052"/>
    <w:rsid w:val="001B3159"/>
    <w:rsid w:val="001B3258"/>
    <w:rsid w:val="001B36A7"/>
    <w:rsid w:val="001B3DB7"/>
    <w:rsid w:val="001B406A"/>
    <w:rsid w:val="001B418B"/>
    <w:rsid w:val="001B4372"/>
    <w:rsid w:val="001B4732"/>
    <w:rsid w:val="001B4ED5"/>
    <w:rsid w:val="001B52E7"/>
    <w:rsid w:val="001B5615"/>
    <w:rsid w:val="001B56B6"/>
    <w:rsid w:val="001B59F8"/>
    <w:rsid w:val="001B6642"/>
    <w:rsid w:val="001B6B4B"/>
    <w:rsid w:val="001B6BBE"/>
    <w:rsid w:val="001B6FE6"/>
    <w:rsid w:val="001B761F"/>
    <w:rsid w:val="001B7947"/>
    <w:rsid w:val="001C0222"/>
    <w:rsid w:val="001C07EF"/>
    <w:rsid w:val="001C09A8"/>
    <w:rsid w:val="001C0FBA"/>
    <w:rsid w:val="001C1245"/>
    <w:rsid w:val="001C1624"/>
    <w:rsid w:val="001C1CD6"/>
    <w:rsid w:val="001C1D6D"/>
    <w:rsid w:val="001C1F06"/>
    <w:rsid w:val="001C2676"/>
    <w:rsid w:val="001C2A8B"/>
    <w:rsid w:val="001C3238"/>
    <w:rsid w:val="001C38D9"/>
    <w:rsid w:val="001C391D"/>
    <w:rsid w:val="001C3DF6"/>
    <w:rsid w:val="001C40BB"/>
    <w:rsid w:val="001C4131"/>
    <w:rsid w:val="001C423F"/>
    <w:rsid w:val="001C4C72"/>
    <w:rsid w:val="001C4E0D"/>
    <w:rsid w:val="001C5027"/>
    <w:rsid w:val="001C516E"/>
    <w:rsid w:val="001C562A"/>
    <w:rsid w:val="001C5CF9"/>
    <w:rsid w:val="001C6192"/>
    <w:rsid w:val="001C6523"/>
    <w:rsid w:val="001C6737"/>
    <w:rsid w:val="001C749E"/>
    <w:rsid w:val="001C7738"/>
    <w:rsid w:val="001C7860"/>
    <w:rsid w:val="001C7D0E"/>
    <w:rsid w:val="001C7D94"/>
    <w:rsid w:val="001C7E28"/>
    <w:rsid w:val="001D0245"/>
    <w:rsid w:val="001D0DE3"/>
    <w:rsid w:val="001D0F9F"/>
    <w:rsid w:val="001D1072"/>
    <w:rsid w:val="001D15DA"/>
    <w:rsid w:val="001D1690"/>
    <w:rsid w:val="001D1ABD"/>
    <w:rsid w:val="001D244D"/>
    <w:rsid w:val="001D2AAD"/>
    <w:rsid w:val="001D2CB3"/>
    <w:rsid w:val="001D3150"/>
    <w:rsid w:val="001D328B"/>
    <w:rsid w:val="001D32C2"/>
    <w:rsid w:val="001D3317"/>
    <w:rsid w:val="001D3A83"/>
    <w:rsid w:val="001D43DE"/>
    <w:rsid w:val="001D4662"/>
    <w:rsid w:val="001D4ADC"/>
    <w:rsid w:val="001D4AF7"/>
    <w:rsid w:val="001D4B2E"/>
    <w:rsid w:val="001D4B7E"/>
    <w:rsid w:val="001D4B8D"/>
    <w:rsid w:val="001D4E73"/>
    <w:rsid w:val="001D505C"/>
    <w:rsid w:val="001D579B"/>
    <w:rsid w:val="001D6870"/>
    <w:rsid w:val="001D6B80"/>
    <w:rsid w:val="001D7036"/>
    <w:rsid w:val="001D7043"/>
    <w:rsid w:val="001D712F"/>
    <w:rsid w:val="001D7356"/>
    <w:rsid w:val="001D7673"/>
    <w:rsid w:val="001D78AB"/>
    <w:rsid w:val="001D7A28"/>
    <w:rsid w:val="001D7B5A"/>
    <w:rsid w:val="001D7C84"/>
    <w:rsid w:val="001D7D4C"/>
    <w:rsid w:val="001E040A"/>
    <w:rsid w:val="001E04D6"/>
    <w:rsid w:val="001E06B4"/>
    <w:rsid w:val="001E0B32"/>
    <w:rsid w:val="001E0B4D"/>
    <w:rsid w:val="001E0C86"/>
    <w:rsid w:val="001E0E3D"/>
    <w:rsid w:val="001E0E74"/>
    <w:rsid w:val="001E1025"/>
    <w:rsid w:val="001E16FA"/>
    <w:rsid w:val="001E1951"/>
    <w:rsid w:val="001E19F9"/>
    <w:rsid w:val="001E1A9A"/>
    <w:rsid w:val="001E2604"/>
    <w:rsid w:val="001E2A19"/>
    <w:rsid w:val="001E2DB8"/>
    <w:rsid w:val="001E33FF"/>
    <w:rsid w:val="001E3583"/>
    <w:rsid w:val="001E3648"/>
    <w:rsid w:val="001E3814"/>
    <w:rsid w:val="001E3923"/>
    <w:rsid w:val="001E4049"/>
    <w:rsid w:val="001E40CA"/>
    <w:rsid w:val="001E4234"/>
    <w:rsid w:val="001E48D5"/>
    <w:rsid w:val="001E48E4"/>
    <w:rsid w:val="001E497F"/>
    <w:rsid w:val="001E4AB6"/>
    <w:rsid w:val="001E4B55"/>
    <w:rsid w:val="001E4EF6"/>
    <w:rsid w:val="001E4F2E"/>
    <w:rsid w:val="001E52A8"/>
    <w:rsid w:val="001E587E"/>
    <w:rsid w:val="001E5DD9"/>
    <w:rsid w:val="001E6003"/>
    <w:rsid w:val="001E626F"/>
    <w:rsid w:val="001E6B42"/>
    <w:rsid w:val="001E6CC5"/>
    <w:rsid w:val="001E6F40"/>
    <w:rsid w:val="001E78F0"/>
    <w:rsid w:val="001E7CB7"/>
    <w:rsid w:val="001F002B"/>
    <w:rsid w:val="001F06A9"/>
    <w:rsid w:val="001F0AAC"/>
    <w:rsid w:val="001F0C75"/>
    <w:rsid w:val="001F0FAC"/>
    <w:rsid w:val="001F10B7"/>
    <w:rsid w:val="001F1122"/>
    <w:rsid w:val="001F1251"/>
    <w:rsid w:val="001F13A8"/>
    <w:rsid w:val="001F153B"/>
    <w:rsid w:val="001F1AA5"/>
    <w:rsid w:val="001F1C28"/>
    <w:rsid w:val="001F2132"/>
    <w:rsid w:val="001F2272"/>
    <w:rsid w:val="001F2C14"/>
    <w:rsid w:val="001F2CCE"/>
    <w:rsid w:val="001F2D58"/>
    <w:rsid w:val="001F2F82"/>
    <w:rsid w:val="001F30C6"/>
    <w:rsid w:val="001F3839"/>
    <w:rsid w:val="001F3CBA"/>
    <w:rsid w:val="001F3DB9"/>
    <w:rsid w:val="001F3EC7"/>
    <w:rsid w:val="001F41CD"/>
    <w:rsid w:val="001F4283"/>
    <w:rsid w:val="001F4463"/>
    <w:rsid w:val="001F44B3"/>
    <w:rsid w:val="001F476C"/>
    <w:rsid w:val="001F4909"/>
    <w:rsid w:val="001F49B9"/>
    <w:rsid w:val="001F4B34"/>
    <w:rsid w:val="001F533E"/>
    <w:rsid w:val="001F5702"/>
    <w:rsid w:val="001F59A4"/>
    <w:rsid w:val="001F612B"/>
    <w:rsid w:val="001F61E6"/>
    <w:rsid w:val="001F63F7"/>
    <w:rsid w:val="001F6770"/>
    <w:rsid w:val="001F6A7B"/>
    <w:rsid w:val="001F6BDD"/>
    <w:rsid w:val="001F6C37"/>
    <w:rsid w:val="001F6D0F"/>
    <w:rsid w:val="001F6DD1"/>
    <w:rsid w:val="001F7024"/>
    <w:rsid w:val="001F705B"/>
    <w:rsid w:val="001F7246"/>
    <w:rsid w:val="001F73E6"/>
    <w:rsid w:val="001F7986"/>
    <w:rsid w:val="001F7BF1"/>
    <w:rsid w:val="001F7E67"/>
    <w:rsid w:val="0020047F"/>
    <w:rsid w:val="002008DA"/>
    <w:rsid w:val="002015EB"/>
    <w:rsid w:val="00201A52"/>
    <w:rsid w:val="00201AE9"/>
    <w:rsid w:val="00201AFD"/>
    <w:rsid w:val="00201CC9"/>
    <w:rsid w:val="00201D1C"/>
    <w:rsid w:val="002020C6"/>
    <w:rsid w:val="002021A1"/>
    <w:rsid w:val="0020237B"/>
    <w:rsid w:val="00202679"/>
    <w:rsid w:val="00202968"/>
    <w:rsid w:val="00202C27"/>
    <w:rsid w:val="00202D58"/>
    <w:rsid w:val="00202DE2"/>
    <w:rsid w:val="00202F21"/>
    <w:rsid w:val="00202F99"/>
    <w:rsid w:val="002039FE"/>
    <w:rsid w:val="00203A83"/>
    <w:rsid w:val="00203FA2"/>
    <w:rsid w:val="002048BC"/>
    <w:rsid w:val="00204A7A"/>
    <w:rsid w:val="00204C18"/>
    <w:rsid w:val="00205465"/>
    <w:rsid w:val="002054E9"/>
    <w:rsid w:val="0020564C"/>
    <w:rsid w:val="002057D1"/>
    <w:rsid w:val="0020583D"/>
    <w:rsid w:val="00205FA5"/>
    <w:rsid w:val="00206076"/>
    <w:rsid w:val="0020668F"/>
    <w:rsid w:val="00206925"/>
    <w:rsid w:val="00206DE4"/>
    <w:rsid w:val="002070B9"/>
    <w:rsid w:val="002071A8"/>
    <w:rsid w:val="002077FB"/>
    <w:rsid w:val="00207871"/>
    <w:rsid w:val="00207A44"/>
    <w:rsid w:val="00207C45"/>
    <w:rsid w:val="00207E17"/>
    <w:rsid w:val="00207E44"/>
    <w:rsid w:val="00207FAA"/>
    <w:rsid w:val="00207FF1"/>
    <w:rsid w:val="002102A0"/>
    <w:rsid w:val="002104DA"/>
    <w:rsid w:val="002105C3"/>
    <w:rsid w:val="0021082A"/>
    <w:rsid w:val="00211389"/>
    <w:rsid w:val="002118BE"/>
    <w:rsid w:val="002118C7"/>
    <w:rsid w:val="00211C4A"/>
    <w:rsid w:val="00211F5D"/>
    <w:rsid w:val="00212079"/>
    <w:rsid w:val="002122EB"/>
    <w:rsid w:val="00212305"/>
    <w:rsid w:val="002127D9"/>
    <w:rsid w:val="00212DB8"/>
    <w:rsid w:val="00212DC5"/>
    <w:rsid w:val="00212E30"/>
    <w:rsid w:val="00212F70"/>
    <w:rsid w:val="002135B0"/>
    <w:rsid w:val="00214969"/>
    <w:rsid w:val="00214B20"/>
    <w:rsid w:val="00214DDC"/>
    <w:rsid w:val="00215515"/>
    <w:rsid w:val="00215EAA"/>
    <w:rsid w:val="002162BD"/>
    <w:rsid w:val="002164C2"/>
    <w:rsid w:val="0021654F"/>
    <w:rsid w:val="00216C94"/>
    <w:rsid w:val="00217217"/>
    <w:rsid w:val="00217861"/>
    <w:rsid w:val="0022027B"/>
    <w:rsid w:val="0022056F"/>
    <w:rsid w:val="0022084D"/>
    <w:rsid w:val="00220A40"/>
    <w:rsid w:val="00220A87"/>
    <w:rsid w:val="00220D47"/>
    <w:rsid w:val="002210B5"/>
    <w:rsid w:val="0022118C"/>
    <w:rsid w:val="0022151F"/>
    <w:rsid w:val="00221595"/>
    <w:rsid w:val="002215CF"/>
    <w:rsid w:val="00221805"/>
    <w:rsid w:val="00221822"/>
    <w:rsid w:val="0022191E"/>
    <w:rsid w:val="00221C66"/>
    <w:rsid w:val="002226F1"/>
    <w:rsid w:val="002226F2"/>
    <w:rsid w:val="00222875"/>
    <w:rsid w:val="00222968"/>
    <w:rsid w:val="00222FF6"/>
    <w:rsid w:val="0022337E"/>
    <w:rsid w:val="00223654"/>
    <w:rsid w:val="002236D2"/>
    <w:rsid w:val="00223F10"/>
    <w:rsid w:val="002241EE"/>
    <w:rsid w:val="0022480A"/>
    <w:rsid w:val="00224AC5"/>
    <w:rsid w:val="00224E7B"/>
    <w:rsid w:val="00225048"/>
    <w:rsid w:val="002252C0"/>
    <w:rsid w:val="00225480"/>
    <w:rsid w:val="00225DE9"/>
    <w:rsid w:val="002260B6"/>
    <w:rsid w:val="00226172"/>
    <w:rsid w:val="002262A2"/>
    <w:rsid w:val="0022684E"/>
    <w:rsid w:val="00226CA6"/>
    <w:rsid w:val="00227157"/>
    <w:rsid w:val="002271C4"/>
    <w:rsid w:val="00227637"/>
    <w:rsid w:val="0022775F"/>
    <w:rsid w:val="00227845"/>
    <w:rsid w:val="0023008B"/>
    <w:rsid w:val="00230164"/>
    <w:rsid w:val="002302CF"/>
    <w:rsid w:val="0023032D"/>
    <w:rsid w:val="00230B88"/>
    <w:rsid w:val="00230CD5"/>
    <w:rsid w:val="00230D31"/>
    <w:rsid w:val="00230F68"/>
    <w:rsid w:val="00231021"/>
    <w:rsid w:val="0023154D"/>
    <w:rsid w:val="00232140"/>
    <w:rsid w:val="0023274E"/>
    <w:rsid w:val="0023291E"/>
    <w:rsid w:val="00232C2B"/>
    <w:rsid w:val="00232CD2"/>
    <w:rsid w:val="00232E31"/>
    <w:rsid w:val="002330DB"/>
    <w:rsid w:val="00233118"/>
    <w:rsid w:val="00233708"/>
    <w:rsid w:val="00233BB2"/>
    <w:rsid w:val="00233D07"/>
    <w:rsid w:val="00233D59"/>
    <w:rsid w:val="00233FA2"/>
    <w:rsid w:val="002341D9"/>
    <w:rsid w:val="00234A0B"/>
    <w:rsid w:val="00234A9F"/>
    <w:rsid w:val="00234D4A"/>
    <w:rsid w:val="00234E7E"/>
    <w:rsid w:val="00234E9C"/>
    <w:rsid w:val="00235596"/>
    <w:rsid w:val="00235625"/>
    <w:rsid w:val="00235817"/>
    <w:rsid w:val="0023636B"/>
    <w:rsid w:val="002363BD"/>
    <w:rsid w:val="002369D1"/>
    <w:rsid w:val="002369F5"/>
    <w:rsid w:val="0023705D"/>
    <w:rsid w:val="00237074"/>
    <w:rsid w:val="00237FD6"/>
    <w:rsid w:val="0023E6E2"/>
    <w:rsid w:val="00240020"/>
    <w:rsid w:val="002404A2"/>
    <w:rsid w:val="002405F4"/>
    <w:rsid w:val="00240682"/>
    <w:rsid w:val="00240965"/>
    <w:rsid w:val="00241399"/>
    <w:rsid w:val="002418C5"/>
    <w:rsid w:val="00241948"/>
    <w:rsid w:val="00241C97"/>
    <w:rsid w:val="00241D3B"/>
    <w:rsid w:val="00242077"/>
    <w:rsid w:val="002427D6"/>
    <w:rsid w:val="00243141"/>
    <w:rsid w:val="00243283"/>
    <w:rsid w:val="0024344B"/>
    <w:rsid w:val="0024392C"/>
    <w:rsid w:val="00243D6C"/>
    <w:rsid w:val="00243F40"/>
    <w:rsid w:val="0024417B"/>
    <w:rsid w:val="00244772"/>
    <w:rsid w:val="00245339"/>
    <w:rsid w:val="00245813"/>
    <w:rsid w:val="00245875"/>
    <w:rsid w:val="002459A8"/>
    <w:rsid w:val="002459A9"/>
    <w:rsid w:val="00245FC9"/>
    <w:rsid w:val="002461B0"/>
    <w:rsid w:val="0024632A"/>
    <w:rsid w:val="00246407"/>
    <w:rsid w:val="002465DF"/>
    <w:rsid w:val="002465F5"/>
    <w:rsid w:val="002467E7"/>
    <w:rsid w:val="0024697B"/>
    <w:rsid w:val="00246C3B"/>
    <w:rsid w:val="00246CD2"/>
    <w:rsid w:val="00246E76"/>
    <w:rsid w:val="00247076"/>
    <w:rsid w:val="002470EB"/>
    <w:rsid w:val="00247166"/>
    <w:rsid w:val="0024720B"/>
    <w:rsid w:val="00247834"/>
    <w:rsid w:val="00247AB2"/>
    <w:rsid w:val="00247E4F"/>
    <w:rsid w:val="00250129"/>
    <w:rsid w:val="002508B2"/>
    <w:rsid w:val="00250BEE"/>
    <w:rsid w:val="00250D7A"/>
    <w:rsid w:val="00250F00"/>
    <w:rsid w:val="002515E3"/>
    <w:rsid w:val="00251C7B"/>
    <w:rsid w:val="00251D7F"/>
    <w:rsid w:val="00251DD4"/>
    <w:rsid w:val="0025203D"/>
    <w:rsid w:val="00252425"/>
    <w:rsid w:val="0025255F"/>
    <w:rsid w:val="002526FE"/>
    <w:rsid w:val="002530AD"/>
    <w:rsid w:val="0025316B"/>
    <w:rsid w:val="00253252"/>
    <w:rsid w:val="002533CB"/>
    <w:rsid w:val="002536A7"/>
    <w:rsid w:val="00253ED8"/>
    <w:rsid w:val="00253EFF"/>
    <w:rsid w:val="002543F1"/>
    <w:rsid w:val="0025450E"/>
    <w:rsid w:val="002546A6"/>
    <w:rsid w:val="0025479E"/>
    <w:rsid w:val="00254828"/>
    <w:rsid w:val="0025490E"/>
    <w:rsid w:val="00254CEB"/>
    <w:rsid w:val="00255584"/>
    <w:rsid w:val="002557B6"/>
    <w:rsid w:val="002557C0"/>
    <w:rsid w:val="00255A9A"/>
    <w:rsid w:val="00255FD1"/>
    <w:rsid w:val="00256086"/>
    <w:rsid w:val="00256129"/>
    <w:rsid w:val="002561B0"/>
    <w:rsid w:val="002562E9"/>
    <w:rsid w:val="00256536"/>
    <w:rsid w:val="00256A0E"/>
    <w:rsid w:val="002573D4"/>
    <w:rsid w:val="0025751F"/>
    <w:rsid w:val="00257986"/>
    <w:rsid w:val="002579E3"/>
    <w:rsid w:val="00257B05"/>
    <w:rsid w:val="00257D8B"/>
    <w:rsid w:val="00257E44"/>
    <w:rsid w:val="00260328"/>
    <w:rsid w:val="002608A2"/>
    <w:rsid w:val="002608AC"/>
    <w:rsid w:val="00260A8A"/>
    <w:rsid w:val="00260DE6"/>
    <w:rsid w:val="00260DF3"/>
    <w:rsid w:val="00261A16"/>
    <w:rsid w:val="00261BB0"/>
    <w:rsid w:val="00261E58"/>
    <w:rsid w:val="00261EC3"/>
    <w:rsid w:val="00262607"/>
    <w:rsid w:val="00262A11"/>
    <w:rsid w:val="00262D18"/>
    <w:rsid w:val="0026315A"/>
    <w:rsid w:val="002635B1"/>
    <w:rsid w:val="002638C0"/>
    <w:rsid w:val="00263E50"/>
    <w:rsid w:val="00263F25"/>
    <w:rsid w:val="00264696"/>
    <w:rsid w:val="002649D8"/>
    <w:rsid w:val="002649E7"/>
    <w:rsid w:val="00264EA0"/>
    <w:rsid w:val="002650BB"/>
    <w:rsid w:val="00265119"/>
    <w:rsid w:val="00265229"/>
    <w:rsid w:val="002652F0"/>
    <w:rsid w:val="002657A3"/>
    <w:rsid w:val="00265806"/>
    <w:rsid w:val="0026583D"/>
    <w:rsid w:val="002658B1"/>
    <w:rsid w:val="00265CAB"/>
    <w:rsid w:val="0026609B"/>
    <w:rsid w:val="002660B5"/>
    <w:rsid w:val="002661EE"/>
    <w:rsid w:val="00266441"/>
    <w:rsid w:val="0026693F"/>
    <w:rsid w:val="0026694A"/>
    <w:rsid w:val="00267038"/>
    <w:rsid w:val="0026768E"/>
    <w:rsid w:val="00270033"/>
    <w:rsid w:val="0027032D"/>
    <w:rsid w:val="0027146D"/>
    <w:rsid w:val="00271E2C"/>
    <w:rsid w:val="0027217A"/>
    <w:rsid w:val="002724A1"/>
    <w:rsid w:val="0027260B"/>
    <w:rsid w:val="002726CC"/>
    <w:rsid w:val="00273FED"/>
    <w:rsid w:val="0027416D"/>
    <w:rsid w:val="00274486"/>
    <w:rsid w:val="00274551"/>
    <w:rsid w:val="00274A0A"/>
    <w:rsid w:val="00274ADA"/>
    <w:rsid w:val="00274C9B"/>
    <w:rsid w:val="00274E56"/>
    <w:rsid w:val="00274E8D"/>
    <w:rsid w:val="002750FD"/>
    <w:rsid w:val="002757E7"/>
    <w:rsid w:val="00275849"/>
    <w:rsid w:val="00275BEB"/>
    <w:rsid w:val="00275EED"/>
    <w:rsid w:val="002760FD"/>
    <w:rsid w:val="00276174"/>
    <w:rsid w:val="0027617B"/>
    <w:rsid w:val="002762B4"/>
    <w:rsid w:val="0027641C"/>
    <w:rsid w:val="00276507"/>
    <w:rsid w:val="00276561"/>
    <w:rsid w:val="00276595"/>
    <w:rsid w:val="002766A9"/>
    <w:rsid w:val="002767DC"/>
    <w:rsid w:val="00276A23"/>
    <w:rsid w:val="00276BCB"/>
    <w:rsid w:val="0027778B"/>
    <w:rsid w:val="0027D52A"/>
    <w:rsid w:val="00280784"/>
    <w:rsid w:val="00280A58"/>
    <w:rsid w:val="00280B39"/>
    <w:rsid w:val="00280BA1"/>
    <w:rsid w:val="00280DC6"/>
    <w:rsid w:val="00280E5B"/>
    <w:rsid w:val="0028103B"/>
    <w:rsid w:val="002812DB"/>
    <w:rsid w:val="00281B5D"/>
    <w:rsid w:val="00281BAE"/>
    <w:rsid w:val="00281E34"/>
    <w:rsid w:val="00282DBE"/>
    <w:rsid w:val="00283056"/>
    <w:rsid w:val="002832E6"/>
    <w:rsid w:val="00283356"/>
    <w:rsid w:val="00283EEF"/>
    <w:rsid w:val="00284881"/>
    <w:rsid w:val="00284994"/>
    <w:rsid w:val="00284CDC"/>
    <w:rsid w:val="00284DE9"/>
    <w:rsid w:val="00284E44"/>
    <w:rsid w:val="00284F28"/>
    <w:rsid w:val="00285056"/>
    <w:rsid w:val="0028511F"/>
    <w:rsid w:val="00285413"/>
    <w:rsid w:val="00285467"/>
    <w:rsid w:val="0028552F"/>
    <w:rsid w:val="00285B69"/>
    <w:rsid w:val="00285C64"/>
    <w:rsid w:val="00285E34"/>
    <w:rsid w:val="00286108"/>
    <w:rsid w:val="00286938"/>
    <w:rsid w:val="00287208"/>
    <w:rsid w:val="0028756F"/>
    <w:rsid w:val="00287796"/>
    <w:rsid w:val="00287A57"/>
    <w:rsid w:val="00287E09"/>
    <w:rsid w:val="002906CF"/>
    <w:rsid w:val="00290A15"/>
    <w:rsid w:val="00290D58"/>
    <w:rsid w:val="00290E56"/>
    <w:rsid w:val="0029140E"/>
    <w:rsid w:val="0029141C"/>
    <w:rsid w:val="002914C2"/>
    <w:rsid w:val="00291BAA"/>
    <w:rsid w:val="00291BE8"/>
    <w:rsid w:val="00291CD3"/>
    <w:rsid w:val="0029201E"/>
    <w:rsid w:val="00292166"/>
    <w:rsid w:val="00292340"/>
    <w:rsid w:val="002926BD"/>
    <w:rsid w:val="00292ABD"/>
    <w:rsid w:val="00292B38"/>
    <w:rsid w:val="00292D43"/>
    <w:rsid w:val="00292E93"/>
    <w:rsid w:val="002930D7"/>
    <w:rsid w:val="002934D1"/>
    <w:rsid w:val="00293CC9"/>
    <w:rsid w:val="00293ED0"/>
    <w:rsid w:val="002940A5"/>
    <w:rsid w:val="0029449F"/>
    <w:rsid w:val="00294A6B"/>
    <w:rsid w:val="00294C8F"/>
    <w:rsid w:val="00294CC3"/>
    <w:rsid w:val="00294E25"/>
    <w:rsid w:val="00295064"/>
    <w:rsid w:val="00295081"/>
    <w:rsid w:val="002950D2"/>
    <w:rsid w:val="0029519B"/>
    <w:rsid w:val="0029560B"/>
    <w:rsid w:val="0029561D"/>
    <w:rsid w:val="0029564E"/>
    <w:rsid w:val="002957EF"/>
    <w:rsid w:val="00295DFC"/>
    <w:rsid w:val="00295E6D"/>
    <w:rsid w:val="0029611F"/>
    <w:rsid w:val="0029669B"/>
    <w:rsid w:val="002966B1"/>
    <w:rsid w:val="002969A8"/>
    <w:rsid w:val="00296E93"/>
    <w:rsid w:val="00296F4A"/>
    <w:rsid w:val="00297434"/>
    <w:rsid w:val="002974C5"/>
    <w:rsid w:val="002974DB"/>
    <w:rsid w:val="00297C3C"/>
    <w:rsid w:val="00297D3C"/>
    <w:rsid w:val="00297E94"/>
    <w:rsid w:val="00297F2D"/>
    <w:rsid w:val="00297FF5"/>
    <w:rsid w:val="002A024B"/>
    <w:rsid w:val="002A0B40"/>
    <w:rsid w:val="002A0C5C"/>
    <w:rsid w:val="002A0FF3"/>
    <w:rsid w:val="002A0FF6"/>
    <w:rsid w:val="002A1578"/>
    <w:rsid w:val="002A18F1"/>
    <w:rsid w:val="002A1B99"/>
    <w:rsid w:val="002A1F51"/>
    <w:rsid w:val="002A2302"/>
    <w:rsid w:val="002A24A2"/>
    <w:rsid w:val="002A2578"/>
    <w:rsid w:val="002A2663"/>
    <w:rsid w:val="002A2C9D"/>
    <w:rsid w:val="002A2EF5"/>
    <w:rsid w:val="002A2FDE"/>
    <w:rsid w:val="002A309A"/>
    <w:rsid w:val="002A30A5"/>
    <w:rsid w:val="002A3314"/>
    <w:rsid w:val="002A3635"/>
    <w:rsid w:val="002A3C18"/>
    <w:rsid w:val="002A3D27"/>
    <w:rsid w:val="002A3EBC"/>
    <w:rsid w:val="002A3F27"/>
    <w:rsid w:val="002A44E3"/>
    <w:rsid w:val="002A4578"/>
    <w:rsid w:val="002A49EE"/>
    <w:rsid w:val="002A4BA4"/>
    <w:rsid w:val="002A4F25"/>
    <w:rsid w:val="002A52EF"/>
    <w:rsid w:val="002A56B4"/>
    <w:rsid w:val="002A5822"/>
    <w:rsid w:val="002A5857"/>
    <w:rsid w:val="002A5BC7"/>
    <w:rsid w:val="002A6005"/>
    <w:rsid w:val="002A6191"/>
    <w:rsid w:val="002A63C4"/>
    <w:rsid w:val="002A6660"/>
    <w:rsid w:val="002A6DA5"/>
    <w:rsid w:val="002A73E4"/>
    <w:rsid w:val="002A7434"/>
    <w:rsid w:val="002A7577"/>
    <w:rsid w:val="002A75EA"/>
    <w:rsid w:val="002A78C8"/>
    <w:rsid w:val="002A78CF"/>
    <w:rsid w:val="002A7B11"/>
    <w:rsid w:val="002B004D"/>
    <w:rsid w:val="002B01DE"/>
    <w:rsid w:val="002B045C"/>
    <w:rsid w:val="002B0773"/>
    <w:rsid w:val="002B0D91"/>
    <w:rsid w:val="002B0E13"/>
    <w:rsid w:val="002B0E72"/>
    <w:rsid w:val="002B15CB"/>
    <w:rsid w:val="002B1633"/>
    <w:rsid w:val="002B1862"/>
    <w:rsid w:val="002B1CCB"/>
    <w:rsid w:val="002B1CFE"/>
    <w:rsid w:val="002B203D"/>
    <w:rsid w:val="002B2097"/>
    <w:rsid w:val="002B2106"/>
    <w:rsid w:val="002B214A"/>
    <w:rsid w:val="002B21B0"/>
    <w:rsid w:val="002B24CB"/>
    <w:rsid w:val="002B2CD5"/>
    <w:rsid w:val="002B2FB9"/>
    <w:rsid w:val="002B353C"/>
    <w:rsid w:val="002B35D1"/>
    <w:rsid w:val="002B36F3"/>
    <w:rsid w:val="002B3BCC"/>
    <w:rsid w:val="002B3EA3"/>
    <w:rsid w:val="002B4082"/>
    <w:rsid w:val="002B4E3D"/>
    <w:rsid w:val="002B52F4"/>
    <w:rsid w:val="002B53EF"/>
    <w:rsid w:val="002B5966"/>
    <w:rsid w:val="002B5F42"/>
    <w:rsid w:val="002B6279"/>
    <w:rsid w:val="002B672B"/>
    <w:rsid w:val="002B6EEA"/>
    <w:rsid w:val="002B759B"/>
    <w:rsid w:val="002B75F2"/>
    <w:rsid w:val="002B79AB"/>
    <w:rsid w:val="002B7AF5"/>
    <w:rsid w:val="002B7B42"/>
    <w:rsid w:val="002B7FE6"/>
    <w:rsid w:val="002C045C"/>
    <w:rsid w:val="002C07A4"/>
    <w:rsid w:val="002C0833"/>
    <w:rsid w:val="002C08CB"/>
    <w:rsid w:val="002C0EAD"/>
    <w:rsid w:val="002C0F7D"/>
    <w:rsid w:val="002C1136"/>
    <w:rsid w:val="002C13BA"/>
    <w:rsid w:val="002C182A"/>
    <w:rsid w:val="002C191F"/>
    <w:rsid w:val="002C1CF8"/>
    <w:rsid w:val="002C202C"/>
    <w:rsid w:val="002C248E"/>
    <w:rsid w:val="002C25F9"/>
    <w:rsid w:val="002C273A"/>
    <w:rsid w:val="002C27ED"/>
    <w:rsid w:val="002C29F5"/>
    <w:rsid w:val="002C2AC4"/>
    <w:rsid w:val="002C2F95"/>
    <w:rsid w:val="002C306D"/>
    <w:rsid w:val="002C30C8"/>
    <w:rsid w:val="002C31C4"/>
    <w:rsid w:val="002C3884"/>
    <w:rsid w:val="002C39C8"/>
    <w:rsid w:val="002C418D"/>
    <w:rsid w:val="002C45C8"/>
    <w:rsid w:val="002C4A8D"/>
    <w:rsid w:val="002C5055"/>
    <w:rsid w:val="002C53EB"/>
    <w:rsid w:val="002C54A3"/>
    <w:rsid w:val="002C5831"/>
    <w:rsid w:val="002C624C"/>
    <w:rsid w:val="002C64BD"/>
    <w:rsid w:val="002C688C"/>
    <w:rsid w:val="002C6A76"/>
    <w:rsid w:val="002C6A8B"/>
    <w:rsid w:val="002C7014"/>
    <w:rsid w:val="002C72D2"/>
    <w:rsid w:val="002C7A01"/>
    <w:rsid w:val="002D09AD"/>
    <w:rsid w:val="002D0BB6"/>
    <w:rsid w:val="002D0E54"/>
    <w:rsid w:val="002D0FC7"/>
    <w:rsid w:val="002D1253"/>
    <w:rsid w:val="002D150C"/>
    <w:rsid w:val="002D1526"/>
    <w:rsid w:val="002D165D"/>
    <w:rsid w:val="002D1BA7"/>
    <w:rsid w:val="002D1CD9"/>
    <w:rsid w:val="002D1E5F"/>
    <w:rsid w:val="002D1F39"/>
    <w:rsid w:val="002D26C8"/>
    <w:rsid w:val="002D2720"/>
    <w:rsid w:val="002D2991"/>
    <w:rsid w:val="002D2B2A"/>
    <w:rsid w:val="002D323C"/>
    <w:rsid w:val="002D32DA"/>
    <w:rsid w:val="002D3B4F"/>
    <w:rsid w:val="002D3D60"/>
    <w:rsid w:val="002D3E10"/>
    <w:rsid w:val="002D3E80"/>
    <w:rsid w:val="002D3F5E"/>
    <w:rsid w:val="002D4337"/>
    <w:rsid w:val="002D4497"/>
    <w:rsid w:val="002D4548"/>
    <w:rsid w:val="002D4555"/>
    <w:rsid w:val="002D47CD"/>
    <w:rsid w:val="002D49CD"/>
    <w:rsid w:val="002D49E8"/>
    <w:rsid w:val="002D4C9F"/>
    <w:rsid w:val="002D4CD0"/>
    <w:rsid w:val="002D4DDE"/>
    <w:rsid w:val="002D519F"/>
    <w:rsid w:val="002D5209"/>
    <w:rsid w:val="002D5233"/>
    <w:rsid w:val="002D547B"/>
    <w:rsid w:val="002D556E"/>
    <w:rsid w:val="002D5615"/>
    <w:rsid w:val="002D5A5C"/>
    <w:rsid w:val="002D5B7B"/>
    <w:rsid w:val="002D5D0C"/>
    <w:rsid w:val="002D5FCA"/>
    <w:rsid w:val="002D60A7"/>
    <w:rsid w:val="002D6163"/>
    <w:rsid w:val="002D67D2"/>
    <w:rsid w:val="002D6B81"/>
    <w:rsid w:val="002D6CCD"/>
    <w:rsid w:val="002D6EF9"/>
    <w:rsid w:val="002D7510"/>
    <w:rsid w:val="002D7530"/>
    <w:rsid w:val="002D7D56"/>
    <w:rsid w:val="002E00D2"/>
    <w:rsid w:val="002E058E"/>
    <w:rsid w:val="002E0625"/>
    <w:rsid w:val="002E0C51"/>
    <w:rsid w:val="002E0EB7"/>
    <w:rsid w:val="002E1CA0"/>
    <w:rsid w:val="002E1D25"/>
    <w:rsid w:val="002E1E7A"/>
    <w:rsid w:val="002E20EC"/>
    <w:rsid w:val="002E2757"/>
    <w:rsid w:val="002E282B"/>
    <w:rsid w:val="002E28DF"/>
    <w:rsid w:val="002E2EEE"/>
    <w:rsid w:val="002E30B0"/>
    <w:rsid w:val="002E31B6"/>
    <w:rsid w:val="002E3231"/>
    <w:rsid w:val="002E363C"/>
    <w:rsid w:val="002E39E4"/>
    <w:rsid w:val="002E3E7D"/>
    <w:rsid w:val="002E40B9"/>
    <w:rsid w:val="002E472D"/>
    <w:rsid w:val="002E4842"/>
    <w:rsid w:val="002E4CE6"/>
    <w:rsid w:val="002E4E61"/>
    <w:rsid w:val="002E4F56"/>
    <w:rsid w:val="002E5367"/>
    <w:rsid w:val="002E5589"/>
    <w:rsid w:val="002E5B4D"/>
    <w:rsid w:val="002E62BA"/>
    <w:rsid w:val="002E6578"/>
    <w:rsid w:val="002E65FF"/>
    <w:rsid w:val="002E67BA"/>
    <w:rsid w:val="002E68B4"/>
    <w:rsid w:val="002E6AEB"/>
    <w:rsid w:val="002E6F95"/>
    <w:rsid w:val="002E71CF"/>
    <w:rsid w:val="002E7578"/>
    <w:rsid w:val="002E783F"/>
    <w:rsid w:val="002E7D2D"/>
    <w:rsid w:val="002E7FF3"/>
    <w:rsid w:val="002F01CF"/>
    <w:rsid w:val="002F01FB"/>
    <w:rsid w:val="002F0427"/>
    <w:rsid w:val="002F0752"/>
    <w:rsid w:val="002F0942"/>
    <w:rsid w:val="002F0E1E"/>
    <w:rsid w:val="002F0EF9"/>
    <w:rsid w:val="002F0F3D"/>
    <w:rsid w:val="002F15A7"/>
    <w:rsid w:val="002F198D"/>
    <w:rsid w:val="002F1A32"/>
    <w:rsid w:val="002F1D84"/>
    <w:rsid w:val="002F2328"/>
    <w:rsid w:val="002F2646"/>
    <w:rsid w:val="002F29A4"/>
    <w:rsid w:val="002F3103"/>
    <w:rsid w:val="002F3218"/>
    <w:rsid w:val="002F382F"/>
    <w:rsid w:val="002F3AEC"/>
    <w:rsid w:val="002F3C47"/>
    <w:rsid w:val="002F3D2B"/>
    <w:rsid w:val="002F3FF3"/>
    <w:rsid w:val="002F42C4"/>
    <w:rsid w:val="002F4360"/>
    <w:rsid w:val="002F43F0"/>
    <w:rsid w:val="002F444F"/>
    <w:rsid w:val="002F4470"/>
    <w:rsid w:val="002F4905"/>
    <w:rsid w:val="002F49E6"/>
    <w:rsid w:val="002F4A30"/>
    <w:rsid w:val="002F4A8A"/>
    <w:rsid w:val="002F51B1"/>
    <w:rsid w:val="002F56E2"/>
    <w:rsid w:val="002F570A"/>
    <w:rsid w:val="002F5DE1"/>
    <w:rsid w:val="002F651D"/>
    <w:rsid w:val="002F65F1"/>
    <w:rsid w:val="002F68AB"/>
    <w:rsid w:val="002F6A6A"/>
    <w:rsid w:val="002F705B"/>
    <w:rsid w:val="002F70CB"/>
    <w:rsid w:val="002F76FF"/>
    <w:rsid w:val="002F7C67"/>
    <w:rsid w:val="002F7E70"/>
    <w:rsid w:val="00300211"/>
    <w:rsid w:val="00300258"/>
    <w:rsid w:val="003003CF"/>
    <w:rsid w:val="0030095F"/>
    <w:rsid w:val="00300A4E"/>
    <w:rsid w:val="00300BF5"/>
    <w:rsid w:val="00300D7D"/>
    <w:rsid w:val="00301316"/>
    <w:rsid w:val="00301418"/>
    <w:rsid w:val="00301B2A"/>
    <w:rsid w:val="00301C08"/>
    <w:rsid w:val="00301E71"/>
    <w:rsid w:val="003021FC"/>
    <w:rsid w:val="0030244E"/>
    <w:rsid w:val="00302BE2"/>
    <w:rsid w:val="00302CD8"/>
    <w:rsid w:val="00302E55"/>
    <w:rsid w:val="00302EAA"/>
    <w:rsid w:val="0030310B"/>
    <w:rsid w:val="00303175"/>
    <w:rsid w:val="00303370"/>
    <w:rsid w:val="00303523"/>
    <w:rsid w:val="00303628"/>
    <w:rsid w:val="00303726"/>
    <w:rsid w:val="00304006"/>
    <w:rsid w:val="00304F87"/>
    <w:rsid w:val="003050E5"/>
    <w:rsid w:val="0030519B"/>
    <w:rsid w:val="003051F6"/>
    <w:rsid w:val="0030548B"/>
    <w:rsid w:val="003054CF"/>
    <w:rsid w:val="0030568D"/>
    <w:rsid w:val="003057DA"/>
    <w:rsid w:val="00305ADB"/>
    <w:rsid w:val="00305ADC"/>
    <w:rsid w:val="00305BB7"/>
    <w:rsid w:val="00305C22"/>
    <w:rsid w:val="0030601C"/>
    <w:rsid w:val="0030610C"/>
    <w:rsid w:val="00306DF9"/>
    <w:rsid w:val="00306FC7"/>
    <w:rsid w:val="003072F3"/>
    <w:rsid w:val="0031016A"/>
    <w:rsid w:val="003107C8"/>
    <w:rsid w:val="003109F9"/>
    <w:rsid w:val="00310CE3"/>
    <w:rsid w:val="00310F5C"/>
    <w:rsid w:val="0031219F"/>
    <w:rsid w:val="00312452"/>
    <w:rsid w:val="0031252B"/>
    <w:rsid w:val="003129AC"/>
    <w:rsid w:val="00312B8F"/>
    <w:rsid w:val="00312B93"/>
    <w:rsid w:val="00312F3F"/>
    <w:rsid w:val="00313354"/>
    <w:rsid w:val="00313482"/>
    <w:rsid w:val="00313656"/>
    <w:rsid w:val="003139A3"/>
    <w:rsid w:val="00314056"/>
    <w:rsid w:val="0031501E"/>
    <w:rsid w:val="00315944"/>
    <w:rsid w:val="00315B85"/>
    <w:rsid w:val="00315C6D"/>
    <w:rsid w:val="00315D48"/>
    <w:rsid w:val="00315D73"/>
    <w:rsid w:val="00315E23"/>
    <w:rsid w:val="00315F27"/>
    <w:rsid w:val="003160B5"/>
    <w:rsid w:val="0031644D"/>
    <w:rsid w:val="003164C2"/>
    <w:rsid w:val="003165B2"/>
    <w:rsid w:val="003166E3"/>
    <w:rsid w:val="00316CA8"/>
    <w:rsid w:val="003175F3"/>
    <w:rsid w:val="003178CF"/>
    <w:rsid w:val="0031795F"/>
    <w:rsid w:val="0032016D"/>
    <w:rsid w:val="00320311"/>
    <w:rsid w:val="00320448"/>
    <w:rsid w:val="00320464"/>
    <w:rsid w:val="0032056B"/>
    <w:rsid w:val="0032067A"/>
    <w:rsid w:val="00320748"/>
    <w:rsid w:val="003214E1"/>
    <w:rsid w:val="003218EA"/>
    <w:rsid w:val="00321AE4"/>
    <w:rsid w:val="00321DD1"/>
    <w:rsid w:val="00321F9D"/>
    <w:rsid w:val="0032200A"/>
    <w:rsid w:val="0032224A"/>
    <w:rsid w:val="0032236B"/>
    <w:rsid w:val="00322773"/>
    <w:rsid w:val="003230F3"/>
    <w:rsid w:val="0032311B"/>
    <w:rsid w:val="0032333C"/>
    <w:rsid w:val="003234DC"/>
    <w:rsid w:val="00323688"/>
    <w:rsid w:val="00323BED"/>
    <w:rsid w:val="00323C5A"/>
    <w:rsid w:val="00323D75"/>
    <w:rsid w:val="0032436D"/>
    <w:rsid w:val="00324407"/>
    <w:rsid w:val="00324E71"/>
    <w:rsid w:val="00324E7D"/>
    <w:rsid w:val="00324F48"/>
    <w:rsid w:val="003257A4"/>
    <w:rsid w:val="003258C4"/>
    <w:rsid w:val="00325BC5"/>
    <w:rsid w:val="00325E9F"/>
    <w:rsid w:val="00326113"/>
    <w:rsid w:val="00326458"/>
    <w:rsid w:val="003264DB"/>
    <w:rsid w:val="0032697A"/>
    <w:rsid w:val="00326AF1"/>
    <w:rsid w:val="00326FA4"/>
    <w:rsid w:val="00327083"/>
    <w:rsid w:val="00327834"/>
    <w:rsid w:val="00327B16"/>
    <w:rsid w:val="00327C1B"/>
    <w:rsid w:val="00327CC0"/>
    <w:rsid w:val="00327CE3"/>
    <w:rsid w:val="00330285"/>
    <w:rsid w:val="00330420"/>
    <w:rsid w:val="003304BA"/>
    <w:rsid w:val="0033084A"/>
    <w:rsid w:val="00331A61"/>
    <w:rsid w:val="00332AFD"/>
    <w:rsid w:val="00332CF3"/>
    <w:rsid w:val="00332DA7"/>
    <w:rsid w:val="00332E1B"/>
    <w:rsid w:val="003332E1"/>
    <w:rsid w:val="0033337E"/>
    <w:rsid w:val="00334CA2"/>
    <w:rsid w:val="00334D83"/>
    <w:rsid w:val="00334DD4"/>
    <w:rsid w:val="00335004"/>
    <w:rsid w:val="00335226"/>
    <w:rsid w:val="0033545A"/>
    <w:rsid w:val="00335BB7"/>
    <w:rsid w:val="0033604C"/>
    <w:rsid w:val="003363F8"/>
    <w:rsid w:val="0033698E"/>
    <w:rsid w:val="00336B90"/>
    <w:rsid w:val="00336C44"/>
    <w:rsid w:val="00336CA8"/>
    <w:rsid w:val="00336FA8"/>
    <w:rsid w:val="0033703F"/>
    <w:rsid w:val="00337618"/>
    <w:rsid w:val="003377A1"/>
    <w:rsid w:val="0033799B"/>
    <w:rsid w:val="00337E2B"/>
    <w:rsid w:val="0034031E"/>
    <w:rsid w:val="003407CF"/>
    <w:rsid w:val="00340825"/>
    <w:rsid w:val="00340FE0"/>
    <w:rsid w:val="0034122A"/>
    <w:rsid w:val="00341683"/>
    <w:rsid w:val="003417C9"/>
    <w:rsid w:val="0034194F"/>
    <w:rsid w:val="00341CDA"/>
    <w:rsid w:val="00341ED8"/>
    <w:rsid w:val="0034212E"/>
    <w:rsid w:val="003426C3"/>
    <w:rsid w:val="00342922"/>
    <w:rsid w:val="00342C46"/>
    <w:rsid w:val="00342DE8"/>
    <w:rsid w:val="00342E84"/>
    <w:rsid w:val="00343332"/>
    <w:rsid w:val="003437B0"/>
    <w:rsid w:val="00343C2C"/>
    <w:rsid w:val="00343EE7"/>
    <w:rsid w:val="0034411F"/>
    <w:rsid w:val="0034474B"/>
    <w:rsid w:val="0034488C"/>
    <w:rsid w:val="00344902"/>
    <w:rsid w:val="00344A48"/>
    <w:rsid w:val="00344C34"/>
    <w:rsid w:val="00344CBB"/>
    <w:rsid w:val="00345159"/>
    <w:rsid w:val="0034531B"/>
    <w:rsid w:val="0034545A"/>
    <w:rsid w:val="00345A74"/>
    <w:rsid w:val="00346100"/>
    <w:rsid w:val="003467EF"/>
    <w:rsid w:val="00346DFF"/>
    <w:rsid w:val="00346E9A"/>
    <w:rsid w:val="00347011"/>
    <w:rsid w:val="00347052"/>
    <w:rsid w:val="0034705E"/>
    <w:rsid w:val="003470B7"/>
    <w:rsid w:val="00347178"/>
    <w:rsid w:val="00347670"/>
    <w:rsid w:val="003478A0"/>
    <w:rsid w:val="0034796B"/>
    <w:rsid w:val="00347A72"/>
    <w:rsid w:val="003501DD"/>
    <w:rsid w:val="00350856"/>
    <w:rsid w:val="00350922"/>
    <w:rsid w:val="00350A0C"/>
    <w:rsid w:val="00350AA4"/>
    <w:rsid w:val="00350BE7"/>
    <w:rsid w:val="00350BEE"/>
    <w:rsid w:val="003513D8"/>
    <w:rsid w:val="0035157D"/>
    <w:rsid w:val="00351787"/>
    <w:rsid w:val="003519A5"/>
    <w:rsid w:val="003519EB"/>
    <w:rsid w:val="00351BFC"/>
    <w:rsid w:val="00351D57"/>
    <w:rsid w:val="00352237"/>
    <w:rsid w:val="0035230E"/>
    <w:rsid w:val="00352863"/>
    <w:rsid w:val="00352F36"/>
    <w:rsid w:val="003533A3"/>
    <w:rsid w:val="00353740"/>
    <w:rsid w:val="003537B6"/>
    <w:rsid w:val="003538C4"/>
    <w:rsid w:val="00353A86"/>
    <w:rsid w:val="00353E70"/>
    <w:rsid w:val="00353F18"/>
    <w:rsid w:val="00353F61"/>
    <w:rsid w:val="00353FD5"/>
    <w:rsid w:val="00354051"/>
    <w:rsid w:val="003540F7"/>
    <w:rsid w:val="00354976"/>
    <w:rsid w:val="003550B4"/>
    <w:rsid w:val="003553CE"/>
    <w:rsid w:val="0035547D"/>
    <w:rsid w:val="00355640"/>
    <w:rsid w:val="003556CB"/>
    <w:rsid w:val="00355824"/>
    <w:rsid w:val="003558B3"/>
    <w:rsid w:val="00356011"/>
    <w:rsid w:val="0035661C"/>
    <w:rsid w:val="0035666E"/>
    <w:rsid w:val="00356AA8"/>
    <w:rsid w:val="00356D5D"/>
    <w:rsid w:val="00356EA2"/>
    <w:rsid w:val="00357BC8"/>
    <w:rsid w:val="00357DDC"/>
    <w:rsid w:val="00357EBE"/>
    <w:rsid w:val="0036059B"/>
    <w:rsid w:val="003605FC"/>
    <w:rsid w:val="003609EB"/>
    <w:rsid w:val="00360A1C"/>
    <w:rsid w:val="00360C55"/>
    <w:rsid w:val="00360F76"/>
    <w:rsid w:val="003613CB"/>
    <w:rsid w:val="00361537"/>
    <w:rsid w:val="003617F3"/>
    <w:rsid w:val="00361999"/>
    <w:rsid w:val="00361D70"/>
    <w:rsid w:val="00362430"/>
    <w:rsid w:val="003627ED"/>
    <w:rsid w:val="003629F5"/>
    <w:rsid w:val="00362BB6"/>
    <w:rsid w:val="00362D43"/>
    <w:rsid w:val="00362D78"/>
    <w:rsid w:val="003631EF"/>
    <w:rsid w:val="003632EA"/>
    <w:rsid w:val="00363416"/>
    <w:rsid w:val="00363527"/>
    <w:rsid w:val="00363ABA"/>
    <w:rsid w:val="00363AE8"/>
    <w:rsid w:val="00363D55"/>
    <w:rsid w:val="003644A4"/>
    <w:rsid w:val="0036453E"/>
    <w:rsid w:val="003645B3"/>
    <w:rsid w:val="00364789"/>
    <w:rsid w:val="00364AB4"/>
    <w:rsid w:val="00364CAB"/>
    <w:rsid w:val="00364E26"/>
    <w:rsid w:val="00364F63"/>
    <w:rsid w:val="00365582"/>
    <w:rsid w:val="00365CDC"/>
    <w:rsid w:val="00365DDD"/>
    <w:rsid w:val="00365E87"/>
    <w:rsid w:val="003667D6"/>
    <w:rsid w:val="00366975"/>
    <w:rsid w:val="0036760D"/>
    <w:rsid w:val="003677D2"/>
    <w:rsid w:val="00367BC3"/>
    <w:rsid w:val="00367E95"/>
    <w:rsid w:val="0037036E"/>
    <w:rsid w:val="00370879"/>
    <w:rsid w:val="00370B06"/>
    <w:rsid w:val="00370CA6"/>
    <w:rsid w:val="00370CAC"/>
    <w:rsid w:val="00371009"/>
    <w:rsid w:val="003715D4"/>
    <w:rsid w:val="00371A9E"/>
    <w:rsid w:val="00371B3E"/>
    <w:rsid w:val="00371C68"/>
    <w:rsid w:val="00371F14"/>
    <w:rsid w:val="00371F2A"/>
    <w:rsid w:val="0037226E"/>
    <w:rsid w:val="00372AAC"/>
    <w:rsid w:val="0037313C"/>
    <w:rsid w:val="0037320B"/>
    <w:rsid w:val="00373338"/>
    <w:rsid w:val="00373393"/>
    <w:rsid w:val="00373634"/>
    <w:rsid w:val="00373C51"/>
    <w:rsid w:val="00374621"/>
    <w:rsid w:val="0037473E"/>
    <w:rsid w:val="00374B96"/>
    <w:rsid w:val="00374FA1"/>
    <w:rsid w:val="003752CC"/>
    <w:rsid w:val="00375850"/>
    <w:rsid w:val="0037591F"/>
    <w:rsid w:val="0037632A"/>
    <w:rsid w:val="0037678C"/>
    <w:rsid w:val="00377215"/>
    <w:rsid w:val="00377B9E"/>
    <w:rsid w:val="00377BD9"/>
    <w:rsid w:val="00378F63"/>
    <w:rsid w:val="003800C2"/>
    <w:rsid w:val="0038015F"/>
    <w:rsid w:val="00380223"/>
    <w:rsid w:val="003803D8"/>
    <w:rsid w:val="00380745"/>
    <w:rsid w:val="00380853"/>
    <w:rsid w:val="00380A81"/>
    <w:rsid w:val="00380BEC"/>
    <w:rsid w:val="00380F7E"/>
    <w:rsid w:val="00381066"/>
    <w:rsid w:val="0038119F"/>
    <w:rsid w:val="0038158B"/>
    <w:rsid w:val="003816D2"/>
    <w:rsid w:val="0038192E"/>
    <w:rsid w:val="00381DB1"/>
    <w:rsid w:val="00381F36"/>
    <w:rsid w:val="003824BB"/>
    <w:rsid w:val="00382CF0"/>
    <w:rsid w:val="003837B6"/>
    <w:rsid w:val="00383A4E"/>
    <w:rsid w:val="003840A2"/>
    <w:rsid w:val="003842D7"/>
    <w:rsid w:val="0038468D"/>
    <w:rsid w:val="00384922"/>
    <w:rsid w:val="00384EC9"/>
    <w:rsid w:val="00384F8C"/>
    <w:rsid w:val="0038530A"/>
    <w:rsid w:val="003854B3"/>
    <w:rsid w:val="00385753"/>
    <w:rsid w:val="00385CEF"/>
    <w:rsid w:val="00385D99"/>
    <w:rsid w:val="003864ED"/>
    <w:rsid w:val="00386995"/>
    <w:rsid w:val="00386BA0"/>
    <w:rsid w:val="003871CF"/>
    <w:rsid w:val="003872B5"/>
    <w:rsid w:val="003872CE"/>
    <w:rsid w:val="003874CD"/>
    <w:rsid w:val="003877A7"/>
    <w:rsid w:val="00387B7F"/>
    <w:rsid w:val="00390135"/>
    <w:rsid w:val="00390182"/>
    <w:rsid w:val="0039032E"/>
    <w:rsid w:val="003905CD"/>
    <w:rsid w:val="003907F8"/>
    <w:rsid w:val="00390CDA"/>
    <w:rsid w:val="00392413"/>
    <w:rsid w:val="003927A7"/>
    <w:rsid w:val="00392AD5"/>
    <w:rsid w:val="00392E03"/>
    <w:rsid w:val="00393370"/>
    <w:rsid w:val="0039383B"/>
    <w:rsid w:val="003938AC"/>
    <w:rsid w:val="0039391D"/>
    <w:rsid w:val="00394383"/>
    <w:rsid w:val="00394557"/>
    <w:rsid w:val="003945A1"/>
    <w:rsid w:val="00394FAA"/>
    <w:rsid w:val="003955AC"/>
    <w:rsid w:val="003970CD"/>
    <w:rsid w:val="00397E76"/>
    <w:rsid w:val="003A050A"/>
    <w:rsid w:val="003A066B"/>
    <w:rsid w:val="003A0811"/>
    <w:rsid w:val="003A0D21"/>
    <w:rsid w:val="003A0F87"/>
    <w:rsid w:val="003A1108"/>
    <w:rsid w:val="003A18B7"/>
    <w:rsid w:val="003A19A2"/>
    <w:rsid w:val="003A1CE9"/>
    <w:rsid w:val="003A1E86"/>
    <w:rsid w:val="003A22BA"/>
    <w:rsid w:val="003A2530"/>
    <w:rsid w:val="003A257F"/>
    <w:rsid w:val="003A2D90"/>
    <w:rsid w:val="003A3053"/>
    <w:rsid w:val="003A324A"/>
    <w:rsid w:val="003A3492"/>
    <w:rsid w:val="003A3612"/>
    <w:rsid w:val="003A367F"/>
    <w:rsid w:val="003A3A0F"/>
    <w:rsid w:val="003A3B0E"/>
    <w:rsid w:val="003A3B3C"/>
    <w:rsid w:val="003A43C5"/>
    <w:rsid w:val="003A4494"/>
    <w:rsid w:val="003A496D"/>
    <w:rsid w:val="003A4C36"/>
    <w:rsid w:val="003A4D97"/>
    <w:rsid w:val="003A512E"/>
    <w:rsid w:val="003A55D6"/>
    <w:rsid w:val="003A58F3"/>
    <w:rsid w:val="003A58F8"/>
    <w:rsid w:val="003A5AA0"/>
    <w:rsid w:val="003A654C"/>
    <w:rsid w:val="003A6598"/>
    <w:rsid w:val="003A6847"/>
    <w:rsid w:val="003A6913"/>
    <w:rsid w:val="003A6CE7"/>
    <w:rsid w:val="003A6E07"/>
    <w:rsid w:val="003A6E89"/>
    <w:rsid w:val="003A70CE"/>
    <w:rsid w:val="003A78AD"/>
    <w:rsid w:val="003A7959"/>
    <w:rsid w:val="003A7C50"/>
    <w:rsid w:val="003A7DB4"/>
    <w:rsid w:val="003B0309"/>
    <w:rsid w:val="003B061A"/>
    <w:rsid w:val="003B0691"/>
    <w:rsid w:val="003B0B32"/>
    <w:rsid w:val="003B0CD0"/>
    <w:rsid w:val="003B0E80"/>
    <w:rsid w:val="003B13E4"/>
    <w:rsid w:val="003B142E"/>
    <w:rsid w:val="003B17BE"/>
    <w:rsid w:val="003B1FC6"/>
    <w:rsid w:val="003B2067"/>
    <w:rsid w:val="003B206C"/>
    <w:rsid w:val="003B208F"/>
    <w:rsid w:val="003B22A5"/>
    <w:rsid w:val="003B23DB"/>
    <w:rsid w:val="003B2492"/>
    <w:rsid w:val="003B2A4D"/>
    <w:rsid w:val="003B2E42"/>
    <w:rsid w:val="003B327D"/>
    <w:rsid w:val="003B32C6"/>
    <w:rsid w:val="003B336D"/>
    <w:rsid w:val="003B3599"/>
    <w:rsid w:val="003B3CC3"/>
    <w:rsid w:val="003B3CC7"/>
    <w:rsid w:val="003B433E"/>
    <w:rsid w:val="003B4360"/>
    <w:rsid w:val="003B4513"/>
    <w:rsid w:val="003B4958"/>
    <w:rsid w:val="003B4A92"/>
    <w:rsid w:val="003B4FFC"/>
    <w:rsid w:val="003B559B"/>
    <w:rsid w:val="003B5760"/>
    <w:rsid w:val="003B5B05"/>
    <w:rsid w:val="003B5C55"/>
    <w:rsid w:val="003B5D0C"/>
    <w:rsid w:val="003B5E19"/>
    <w:rsid w:val="003B5E1B"/>
    <w:rsid w:val="003B5F24"/>
    <w:rsid w:val="003B6077"/>
    <w:rsid w:val="003B6343"/>
    <w:rsid w:val="003B6B3B"/>
    <w:rsid w:val="003B6EDF"/>
    <w:rsid w:val="003B6F23"/>
    <w:rsid w:val="003B7335"/>
    <w:rsid w:val="003B757F"/>
    <w:rsid w:val="003B75AC"/>
    <w:rsid w:val="003B75DC"/>
    <w:rsid w:val="003B76F3"/>
    <w:rsid w:val="003B79F4"/>
    <w:rsid w:val="003B7CF3"/>
    <w:rsid w:val="003B7D78"/>
    <w:rsid w:val="003C0304"/>
    <w:rsid w:val="003C0500"/>
    <w:rsid w:val="003C0526"/>
    <w:rsid w:val="003C072A"/>
    <w:rsid w:val="003C07A7"/>
    <w:rsid w:val="003C082B"/>
    <w:rsid w:val="003C0B30"/>
    <w:rsid w:val="003C0CD1"/>
    <w:rsid w:val="003C0FDC"/>
    <w:rsid w:val="003C108D"/>
    <w:rsid w:val="003C15DD"/>
    <w:rsid w:val="003C188D"/>
    <w:rsid w:val="003C1A6B"/>
    <w:rsid w:val="003C1B09"/>
    <w:rsid w:val="003C1B8B"/>
    <w:rsid w:val="003C1BA8"/>
    <w:rsid w:val="003C1E6F"/>
    <w:rsid w:val="003C2150"/>
    <w:rsid w:val="003C21F4"/>
    <w:rsid w:val="003C2203"/>
    <w:rsid w:val="003C2901"/>
    <w:rsid w:val="003C29FF"/>
    <w:rsid w:val="003C300D"/>
    <w:rsid w:val="003C379C"/>
    <w:rsid w:val="003C3C49"/>
    <w:rsid w:val="003C42AE"/>
    <w:rsid w:val="003C4E6C"/>
    <w:rsid w:val="003C4F2D"/>
    <w:rsid w:val="003C51C1"/>
    <w:rsid w:val="003C5337"/>
    <w:rsid w:val="003C55B0"/>
    <w:rsid w:val="003C55B6"/>
    <w:rsid w:val="003C56AF"/>
    <w:rsid w:val="003C56D2"/>
    <w:rsid w:val="003C5A96"/>
    <w:rsid w:val="003C5DBE"/>
    <w:rsid w:val="003C6549"/>
    <w:rsid w:val="003C6740"/>
    <w:rsid w:val="003C67AF"/>
    <w:rsid w:val="003C67FD"/>
    <w:rsid w:val="003C6807"/>
    <w:rsid w:val="003C6DFC"/>
    <w:rsid w:val="003C6E18"/>
    <w:rsid w:val="003C70BF"/>
    <w:rsid w:val="003C790C"/>
    <w:rsid w:val="003C7930"/>
    <w:rsid w:val="003C7D72"/>
    <w:rsid w:val="003CE3F1"/>
    <w:rsid w:val="003D0133"/>
    <w:rsid w:val="003D08AC"/>
    <w:rsid w:val="003D0EFC"/>
    <w:rsid w:val="003D0F81"/>
    <w:rsid w:val="003D0FED"/>
    <w:rsid w:val="003D1264"/>
    <w:rsid w:val="003D1C6A"/>
    <w:rsid w:val="003D1CEA"/>
    <w:rsid w:val="003D2135"/>
    <w:rsid w:val="003D2345"/>
    <w:rsid w:val="003D25A5"/>
    <w:rsid w:val="003D2737"/>
    <w:rsid w:val="003D2AB3"/>
    <w:rsid w:val="003D2B48"/>
    <w:rsid w:val="003D2C96"/>
    <w:rsid w:val="003D2F42"/>
    <w:rsid w:val="003D3284"/>
    <w:rsid w:val="003D356B"/>
    <w:rsid w:val="003D3943"/>
    <w:rsid w:val="003D3956"/>
    <w:rsid w:val="003D3D28"/>
    <w:rsid w:val="003D3F78"/>
    <w:rsid w:val="003D3F7D"/>
    <w:rsid w:val="003D4297"/>
    <w:rsid w:val="003D4372"/>
    <w:rsid w:val="003D48E4"/>
    <w:rsid w:val="003D4F79"/>
    <w:rsid w:val="003D5173"/>
    <w:rsid w:val="003D51BB"/>
    <w:rsid w:val="003D533C"/>
    <w:rsid w:val="003D5541"/>
    <w:rsid w:val="003D55D5"/>
    <w:rsid w:val="003D59E1"/>
    <w:rsid w:val="003D5AC4"/>
    <w:rsid w:val="003D5DB9"/>
    <w:rsid w:val="003D62FF"/>
    <w:rsid w:val="003D6522"/>
    <w:rsid w:val="003D6B0D"/>
    <w:rsid w:val="003D6D97"/>
    <w:rsid w:val="003D6DA0"/>
    <w:rsid w:val="003D7039"/>
    <w:rsid w:val="003D710C"/>
    <w:rsid w:val="003D739D"/>
    <w:rsid w:val="003D74C8"/>
    <w:rsid w:val="003D7A68"/>
    <w:rsid w:val="003D7ABD"/>
    <w:rsid w:val="003D7BBF"/>
    <w:rsid w:val="003D7FC2"/>
    <w:rsid w:val="003E004E"/>
    <w:rsid w:val="003E0CD7"/>
    <w:rsid w:val="003E0D20"/>
    <w:rsid w:val="003E0EBD"/>
    <w:rsid w:val="003E0EC4"/>
    <w:rsid w:val="003E137D"/>
    <w:rsid w:val="003E158A"/>
    <w:rsid w:val="003E15B5"/>
    <w:rsid w:val="003E18D7"/>
    <w:rsid w:val="003E19B2"/>
    <w:rsid w:val="003E2087"/>
    <w:rsid w:val="003E20AB"/>
    <w:rsid w:val="003E2B06"/>
    <w:rsid w:val="003E2CBA"/>
    <w:rsid w:val="003E2EEA"/>
    <w:rsid w:val="003E3148"/>
    <w:rsid w:val="003E35F7"/>
    <w:rsid w:val="003E3B1C"/>
    <w:rsid w:val="003E3BF5"/>
    <w:rsid w:val="003E3D6D"/>
    <w:rsid w:val="003E4378"/>
    <w:rsid w:val="003E4575"/>
    <w:rsid w:val="003E4896"/>
    <w:rsid w:val="003E4B38"/>
    <w:rsid w:val="003E5096"/>
    <w:rsid w:val="003E5233"/>
    <w:rsid w:val="003E531B"/>
    <w:rsid w:val="003E5469"/>
    <w:rsid w:val="003E5554"/>
    <w:rsid w:val="003E55AF"/>
    <w:rsid w:val="003E5C5B"/>
    <w:rsid w:val="003E6081"/>
    <w:rsid w:val="003E630B"/>
    <w:rsid w:val="003E67FC"/>
    <w:rsid w:val="003E6971"/>
    <w:rsid w:val="003E6A8C"/>
    <w:rsid w:val="003E7249"/>
    <w:rsid w:val="003E7700"/>
    <w:rsid w:val="003E79F3"/>
    <w:rsid w:val="003E7B8E"/>
    <w:rsid w:val="003E7B9A"/>
    <w:rsid w:val="003F02A0"/>
    <w:rsid w:val="003F0620"/>
    <w:rsid w:val="003F0B1C"/>
    <w:rsid w:val="003F0CD3"/>
    <w:rsid w:val="003F0DE8"/>
    <w:rsid w:val="003F0EC1"/>
    <w:rsid w:val="003F10A8"/>
    <w:rsid w:val="003F1220"/>
    <w:rsid w:val="003F13C1"/>
    <w:rsid w:val="003F16DA"/>
    <w:rsid w:val="003F1B0D"/>
    <w:rsid w:val="003F1BD3"/>
    <w:rsid w:val="003F1C0F"/>
    <w:rsid w:val="003F1E51"/>
    <w:rsid w:val="003F2393"/>
    <w:rsid w:val="003F2C28"/>
    <w:rsid w:val="003F2D7C"/>
    <w:rsid w:val="003F321E"/>
    <w:rsid w:val="003F339B"/>
    <w:rsid w:val="003F3584"/>
    <w:rsid w:val="003F36D1"/>
    <w:rsid w:val="003F3812"/>
    <w:rsid w:val="003F3A50"/>
    <w:rsid w:val="003F3FF0"/>
    <w:rsid w:val="003F4217"/>
    <w:rsid w:val="003F4713"/>
    <w:rsid w:val="003F473A"/>
    <w:rsid w:val="003F47FF"/>
    <w:rsid w:val="003F48A2"/>
    <w:rsid w:val="003F49AB"/>
    <w:rsid w:val="003F52A3"/>
    <w:rsid w:val="003F5431"/>
    <w:rsid w:val="003F58F5"/>
    <w:rsid w:val="003F592D"/>
    <w:rsid w:val="003F5BF1"/>
    <w:rsid w:val="003F5D91"/>
    <w:rsid w:val="003F5DDD"/>
    <w:rsid w:val="003F5DED"/>
    <w:rsid w:val="003F612F"/>
    <w:rsid w:val="003F6292"/>
    <w:rsid w:val="003F63B3"/>
    <w:rsid w:val="003F6965"/>
    <w:rsid w:val="003F6A77"/>
    <w:rsid w:val="003F6CA1"/>
    <w:rsid w:val="003F6DA5"/>
    <w:rsid w:val="003F7093"/>
    <w:rsid w:val="003F7E00"/>
    <w:rsid w:val="004002FC"/>
    <w:rsid w:val="00400467"/>
    <w:rsid w:val="0040076D"/>
    <w:rsid w:val="00400A63"/>
    <w:rsid w:val="00400A99"/>
    <w:rsid w:val="00400A9D"/>
    <w:rsid w:val="00400E31"/>
    <w:rsid w:val="004013A7"/>
    <w:rsid w:val="00401BD5"/>
    <w:rsid w:val="00401DD9"/>
    <w:rsid w:val="004020FC"/>
    <w:rsid w:val="004023C1"/>
    <w:rsid w:val="00402B40"/>
    <w:rsid w:val="00402FCB"/>
    <w:rsid w:val="004034D1"/>
    <w:rsid w:val="004034D9"/>
    <w:rsid w:val="0040360D"/>
    <w:rsid w:val="00403824"/>
    <w:rsid w:val="00403A9A"/>
    <w:rsid w:val="004041CF"/>
    <w:rsid w:val="004041EC"/>
    <w:rsid w:val="0040432A"/>
    <w:rsid w:val="00404486"/>
    <w:rsid w:val="00404EB1"/>
    <w:rsid w:val="0040515E"/>
    <w:rsid w:val="0040520E"/>
    <w:rsid w:val="004055B0"/>
    <w:rsid w:val="00405617"/>
    <w:rsid w:val="0040590E"/>
    <w:rsid w:val="00405D33"/>
    <w:rsid w:val="00405F6B"/>
    <w:rsid w:val="004066F3"/>
    <w:rsid w:val="00407066"/>
    <w:rsid w:val="00407473"/>
    <w:rsid w:val="004076E7"/>
    <w:rsid w:val="004078B3"/>
    <w:rsid w:val="00407C9B"/>
    <w:rsid w:val="00407F0A"/>
    <w:rsid w:val="0041084D"/>
    <w:rsid w:val="00410AF0"/>
    <w:rsid w:val="00410B8D"/>
    <w:rsid w:val="0041120C"/>
    <w:rsid w:val="004115F9"/>
    <w:rsid w:val="004118BF"/>
    <w:rsid w:val="00411CD4"/>
    <w:rsid w:val="00411D31"/>
    <w:rsid w:val="00411F50"/>
    <w:rsid w:val="00412240"/>
    <w:rsid w:val="00412380"/>
    <w:rsid w:val="0041253C"/>
    <w:rsid w:val="00412621"/>
    <w:rsid w:val="004129E5"/>
    <w:rsid w:val="00412ACC"/>
    <w:rsid w:val="00413190"/>
    <w:rsid w:val="004132D0"/>
    <w:rsid w:val="004135AC"/>
    <w:rsid w:val="0041387F"/>
    <w:rsid w:val="00413883"/>
    <w:rsid w:val="004138F8"/>
    <w:rsid w:val="00413E02"/>
    <w:rsid w:val="00413ED6"/>
    <w:rsid w:val="00414497"/>
    <w:rsid w:val="00414BA1"/>
    <w:rsid w:val="00414DEE"/>
    <w:rsid w:val="004150FE"/>
    <w:rsid w:val="00415274"/>
    <w:rsid w:val="00415421"/>
    <w:rsid w:val="00415A06"/>
    <w:rsid w:val="00415DE2"/>
    <w:rsid w:val="00416007"/>
    <w:rsid w:val="004160D8"/>
    <w:rsid w:val="004162B6"/>
    <w:rsid w:val="0041632F"/>
    <w:rsid w:val="00416840"/>
    <w:rsid w:val="00416A20"/>
    <w:rsid w:val="00416B0C"/>
    <w:rsid w:val="00416D56"/>
    <w:rsid w:val="00417125"/>
    <w:rsid w:val="00417682"/>
    <w:rsid w:val="00417A45"/>
    <w:rsid w:val="00417B0D"/>
    <w:rsid w:val="00417B5F"/>
    <w:rsid w:val="00417F7C"/>
    <w:rsid w:val="004205B8"/>
    <w:rsid w:val="00420781"/>
    <w:rsid w:val="00420AE0"/>
    <w:rsid w:val="00421259"/>
    <w:rsid w:val="00421353"/>
    <w:rsid w:val="0042136A"/>
    <w:rsid w:val="00421874"/>
    <w:rsid w:val="00421AA7"/>
    <w:rsid w:val="00421D56"/>
    <w:rsid w:val="0042209D"/>
    <w:rsid w:val="004227D9"/>
    <w:rsid w:val="00422EBC"/>
    <w:rsid w:val="004235EC"/>
    <w:rsid w:val="004236AD"/>
    <w:rsid w:val="00424797"/>
    <w:rsid w:val="0042498F"/>
    <w:rsid w:val="00424BFC"/>
    <w:rsid w:val="00424D5C"/>
    <w:rsid w:val="00424D7B"/>
    <w:rsid w:val="00424EEB"/>
    <w:rsid w:val="0042541D"/>
    <w:rsid w:val="00425746"/>
    <w:rsid w:val="00425797"/>
    <w:rsid w:val="00425AA5"/>
    <w:rsid w:val="00425B56"/>
    <w:rsid w:val="00426138"/>
    <w:rsid w:val="00426519"/>
    <w:rsid w:val="00426B5D"/>
    <w:rsid w:val="00426DC4"/>
    <w:rsid w:val="00426EBF"/>
    <w:rsid w:val="004274E9"/>
    <w:rsid w:val="004277B5"/>
    <w:rsid w:val="00430220"/>
    <w:rsid w:val="004306D9"/>
    <w:rsid w:val="00430730"/>
    <w:rsid w:val="004307BF"/>
    <w:rsid w:val="004308F2"/>
    <w:rsid w:val="00430927"/>
    <w:rsid w:val="00430F28"/>
    <w:rsid w:val="004312BB"/>
    <w:rsid w:val="00431687"/>
    <w:rsid w:val="00431A2B"/>
    <w:rsid w:val="00431D29"/>
    <w:rsid w:val="0043231A"/>
    <w:rsid w:val="00432F18"/>
    <w:rsid w:val="004330C5"/>
    <w:rsid w:val="004330C8"/>
    <w:rsid w:val="004336B5"/>
    <w:rsid w:val="00433760"/>
    <w:rsid w:val="0043385E"/>
    <w:rsid w:val="004338F0"/>
    <w:rsid w:val="00434351"/>
    <w:rsid w:val="004343E4"/>
    <w:rsid w:val="004345E0"/>
    <w:rsid w:val="0043478F"/>
    <w:rsid w:val="00434FA0"/>
    <w:rsid w:val="00435205"/>
    <w:rsid w:val="0043577B"/>
    <w:rsid w:val="00435953"/>
    <w:rsid w:val="00435DB1"/>
    <w:rsid w:val="00435DFF"/>
    <w:rsid w:val="0043645E"/>
    <w:rsid w:val="004367EC"/>
    <w:rsid w:val="0043687F"/>
    <w:rsid w:val="0043692E"/>
    <w:rsid w:val="00436D2A"/>
    <w:rsid w:val="00437213"/>
    <w:rsid w:val="004374E3"/>
    <w:rsid w:val="0043752E"/>
    <w:rsid w:val="00437E65"/>
    <w:rsid w:val="00440219"/>
    <w:rsid w:val="0044051E"/>
    <w:rsid w:val="00440B67"/>
    <w:rsid w:val="00440BF9"/>
    <w:rsid w:val="00440DA7"/>
    <w:rsid w:val="00440DDD"/>
    <w:rsid w:val="0044104C"/>
    <w:rsid w:val="004412BC"/>
    <w:rsid w:val="00441478"/>
    <w:rsid w:val="00441D13"/>
    <w:rsid w:val="00441FE6"/>
    <w:rsid w:val="004425A4"/>
    <w:rsid w:val="004426B8"/>
    <w:rsid w:val="004428CB"/>
    <w:rsid w:val="00442BD2"/>
    <w:rsid w:val="00442F8D"/>
    <w:rsid w:val="00443127"/>
    <w:rsid w:val="0044356F"/>
    <w:rsid w:val="00443B5C"/>
    <w:rsid w:val="00443C08"/>
    <w:rsid w:val="00443C12"/>
    <w:rsid w:val="00443FE1"/>
    <w:rsid w:val="004440C8"/>
    <w:rsid w:val="00444248"/>
    <w:rsid w:val="00444401"/>
    <w:rsid w:val="00444914"/>
    <w:rsid w:val="00444A3E"/>
    <w:rsid w:val="00444BCB"/>
    <w:rsid w:val="00444D32"/>
    <w:rsid w:val="00444D4E"/>
    <w:rsid w:val="00444D58"/>
    <w:rsid w:val="00444DB5"/>
    <w:rsid w:val="0044514F"/>
    <w:rsid w:val="004453A9"/>
    <w:rsid w:val="00445AC3"/>
    <w:rsid w:val="00445BD7"/>
    <w:rsid w:val="00446024"/>
    <w:rsid w:val="0044620B"/>
    <w:rsid w:val="00446486"/>
    <w:rsid w:val="004469E7"/>
    <w:rsid w:val="00446DBA"/>
    <w:rsid w:val="00447406"/>
    <w:rsid w:val="004477E3"/>
    <w:rsid w:val="00447978"/>
    <w:rsid w:val="00447B9C"/>
    <w:rsid w:val="0045069C"/>
    <w:rsid w:val="00450969"/>
    <w:rsid w:val="00450B1F"/>
    <w:rsid w:val="00450C0A"/>
    <w:rsid w:val="00450EAA"/>
    <w:rsid w:val="0045150C"/>
    <w:rsid w:val="004515B8"/>
    <w:rsid w:val="00451C16"/>
    <w:rsid w:val="00451C32"/>
    <w:rsid w:val="00452004"/>
    <w:rsid w:val="004521BA"/>
    <w:rsid w:val="00452401"/>
    <w:rsid w:val="004525E5"/>
    <w:rsid w:val="004526AE"/>
    <w:rsid w:val="00452743"/>
    <w:rsid w:val="004529CE"/>
    <w:rsid w:val="00452A4E"/>
    <w:rsid w:val="00452DEC"/>
    <w:rsid w:val="004533EF"/>
    <w:rsid w:val="00453659"/>
    <w:rsid w:val="004538CC"/>
    <w:rsid w:val="00453B3F"/>
    <w:rsid w:val="00453C05"/>
    <w:rsid w:val="00453CA5"/>
    <w:rsid w:val="00453E3D"/>
    <w:rsid w:val="0045427E"/>
    <w:rsid w:val="00454DE1"/>
    <w:rsid w:val="004551FA"/>
    <w:rsid w:val="0045554B"/>
    <w:rsid w:val="0045577B"/>
    <w:rsid w:val="00455AD4"/>
    <w:rsid w:val="004565A3"/>
    <w:rsid w:val="0045667E"/>
    <w:rsid w:val="004566E5"/>
    <w:rsid w:val="00456739"/>
    <w:rsid w:val="00456771"/>
    <w:rsid w:val="00456E07"/>
    <w:rsid w:val="00457324"/>
    <w:rsid w:val="00457758"/>
    <w:rsid w:val="00457BCB"/>
    <w:rsid w:val="00457D0E"/>
    <w:rsid w:val="00457EE1"/>
    <w:rsid w:val="0045F991"/>
    <w:rsid w:val="0046012E"/>
    <w:rsid w:val="00460282"/>
    <w:rsid w:val="004607EC"/>
    <w:rsid w:val="004611B1"/>
    <w:rsid w:val="004613FB"/>
    <w:rsid w:val="00461501"/>
    <w:rsid w:val="004619BF"/>
    <w:rsid w:val="00461DFB"/>
    <w:rsid w:val="00462176"/>
    <w:rsid w:val="0046234A"/>
    <w:rsid w:val="004623F0"/>
    <w:rsid w:val="00462582"/>
    <w:rsid w:val="0046262E"/>
    <w:rsid w:val="0046286E"/>
    <w:rsid w:val="00462990"/>
    <w:rsid w:val="00462A45"/>
    <w:rsid w:val="00462D9B"/>
    <w:rsid w:val="00463070"/>
    <w:rsid w:val="0046340D"/>
    <w:rsid w:val="004639B6"/>
    <w:rsid w:val="0046496E"/>
    <w:rsid w:val="004649BE"/>
    <w:rsid w:val="00464E2C"/>
    <w:rsid w:val="00465055"/>
    <w:rsid w:val="004656B9"/>
    <w:rsid w:val="00465D33"/>
    <w:rsid w:val="004665C5"/>
    <w:rsid w:val="0046661B"/>
    <w:rsid w:val="0046669F"/>
    <w:rsid w:val="00466B9F"/>
    <w:rsid w:val="00466C6E"/>
    <w:rsid w:val="00466D5C"/>
    <w:rsid w:val="00467179"/>
    <w:rsid w:val="0046728C"/>
    <w:rsid w:val="00467385"/>
    <w:rsid w:val="00467455"/>
    <w:rsid w:val="00467781"/>
    <w:rsid w:val="004677FE"/>
    <w:rsid w:val="004678F0"/>
    <w:rsid w:val="00467D9C"/>
    <w:rsid w:val="00467FF8"/>
    <w:rsid w:val="004702CD"/>
    <w:rsid w:val="004703BF"/>
    <w:rsid w:val="00470EA7"/>
    <w:rsid w:val="004712FD"/>
    <w:rsid w:val="004714D4"/>
    <w:rsid w:val="00471634"/>
    <w:rsid w:val="004716E7"/>
    <w:rsid w:val="00471D71"/>
    <w:rsid w:val="00471E18"/>
    <w:rsid w:val="00472A03"/>
    <w:rsid w:val="00472F2B"/>
    <w:rsid w:val="00472F39"/>
    <w:rsid w:val="004730DD"/>
    <w:rsid w:val="00473186"/>
    <w:rsid w:val="004732D5"/>
    <w:rsid w:val="00473350"/>
    <w:rsid w:val="004735F5"/>
    <w:rsid w:val="00473ADE"/>
    <w:rsid w:val="00473DA1"/>
    <w:rsid w:val="00473FFE"/>
    <w:rsid w:val="00474259"/>
    <w:rsid w:val="004744BE"/>
    <w:rsid w:val="004745A1"/>
    <w:rsid w:val="004748A7"/>
    <w:rsid w:val="004749B1"/>
    <w:rsid w:val="00474CCD"/>
    <w:rsid w:val="004750B0"/>
    <w:rsid w:val="004750CA"/>
    <w:rsid w:val="00475335"/>
    <w:rsid w:val="004754E9"/>
    <w:rsid w:val="00475504"/>
    <w:rsid w:val="00475699"/>
    <w:rsid w:val="00475729"/>
    <w:rsid w:val="004759D3"/>
    <w:rsid w:val="00475A94"/>
    <w:rsid w:val="00475BF3"/>
    <w:rsid w:val="00475C78"/>
    <w:rsid w:val="00475EB8"/>
    <w:rsid w:val="00475F73"/>
    <w:rsid w:val="004764CD"/>
    <w:rsid w:val="00476AAF"/>
    <w:rsid w:val="004771DD"/>
    <w:rsid w:val="004772DD"/>
    <w:rsid w:val="00477687"/>
    <w:rsid w:val="004776DC"/>
    <w:rsid w:val="004777C6"/>
    <w:rsid w:val="00477860"/>
    <w:rsid w:val="00477C0C"/>
    <w:rsid w:val="00477C97"/>
    <w:rsid w:val="00480036"/>
    <w:rsid w:val="00480221"/>
    <w:rsid w:val="00480523"/>
    <w:rsid w:val="00480968"/>
    <w:rsid w:val="00480E16"/>
    <w:rsid w:val="00481100"/>
    <w:rsid w:val="0048128F"/>
    <w:rsid w:val="00481590"/>
    <w:rsid w:val="00481722"/>
    <w:rsid w:val="0048177E"/>
    <w:rsid w:val="004818C5"/>
    <w:rsid w:val="00481CD1"/>
    <w:rsid w:val="00481CDF"/>
    <w:rsid w:val="00481CEF"/>
    <w:rsid w:val="00481EFD"/>
    <w:rsid w:val="00482302"/>
    <w:rsid w:val="004827F9"/>
    <w:rsid w:val="004828A6"/>
    <w:rsid w:val="00482D5D"/>
    <w:rsid w:val="00482E3F"/>
    <w:rsid w:val="00483221"/>
    <w:rsid w:val="004836BB"/>
    <w:rsid w:val="00483A39"/>
    <w:rsid w:val="00483E71"/>
    <w:rsid w:val="00483F9E"/>
    <w:rsid w:val="004842A8"/>
    <w:rsid w:val="00484363"/>
    <w:rsid w:val="0048444C"/>
    <w:rsid w:val="0048456E"/>
    <w:rsid w:val="0048463F"/>
    <w:rsid w:val="00484881"/>
    <w:rsid w:val="00484E6F"/>
    <w:rsid w:val="004854B0"/>
    <w:rsid w:val="00485502"/>
    <w:rsid w:val="0048554A"/>
    <w:rsid w:val="0048560E"/>
    <w:rsid w:val="004857B8"/>
    <w:rsid w:val="0048584E"/>
    <w:rsid w:val="00485F9C"/>
    <w:rsid w:val="00485FE4"/>
    <w:rsid w:val="0048606D"/>
    <w:rsid w:val="00486160"/>
    <w:rsid w:val="00486728"/>
    <w:rsid w:val="00486762"/>
    <w:rsid w:val="004867E0"/>
    <w:rsid w:val="00486B7E"/>
    <w:rsid w:val="00486BEF"/>
    <w:rsid w:val="00487341"/>
    <w:rsid w:val="00487386"/>
    <w:rsid w:val="0048794E"/>
    <w:rsid w:val="00490114"/>
    <w:rsid w:val="00490115"/>
    <w:rsid w:val="0049017D"/>
    <w:rsid w:val="0049056D"/>
    <w:rsid w:val="004906B7"/>
    <w:rsid w:val="0049077D"/>
    <w:rsid w:val="004907F5"/>
    <w:rsid w:val="00490A57"/>
    <w:rsid w:val="00490D2C"/>
    <w:rsid w:val="00490DB9"/>
    <w:rsid w:val="00490E6F"/>
    <w:rsid w:val="00490F4F"/>
    <w:rsid w:val="00491A11"/>
    <w:rsid w:val="00491BAE"/>
    <w:rsid w:val="00491C26"/>
    <w:rsid w:val="00491FAE"/>
    <w:rsid w:val="00492390"/>
    <w:rsid w:val="004925D5"/>
    <w:rsid w:val="00492703"/>
    <w:rsid w:val="00492905"/>
    <w:rsid w:val="00492DD3"/>
    <w:rsid w:val="00492FE8"/>
    <w:rsid w:val="00493356"/>
    <w:rsid w:val="004936D0"/>
    <w:rsid w:val="004937A9"/>
    <w:rsid w:val="00493C0E"/>
    <w:rsid w:val="00493F57"/>
    <w:rsid w:val="00493FFA"/>
    <w:rsid w:val="00494027"/>
    <w:rsid w:val="00494830"/>
    <w:rsid w:val="00494A0D"/>
    <w:rsid w:val="00494A4F"/>
    <w:rsid w:val="00494E5C"/>
    <w:rsid w:val="00494E72"/>
    <w:rsid w:val="00495089"/>
    <w:rsid w:val="00495487"/>
    <w:rsid w:val="0049562B"/>
    <w:rsid w:val="00495658"/>
    <w:rsid w:val="004957F3"/>
    <w:rsid w:val="00495AC9"/>
    <w:rsid w:val="00495BFC"/>
    <w:rsid w:val="004960D7"/>
    <w:rsid w:val="0049635E"/>
    <w:rsid w:val="004966D0"/>
    <w:rsid w:val="00496736"/>
    <w:rsid w:val="00496FD9"/>
    <w:rsid w:val="00497266"/>
    <w:rsid w:val="0049746A"/>
    <w:rsid w:val="0049752B"/>
    <w:rsid w:val="004975B2"/>
    <w:rsid w:val="00497802"/>
    <w:rsid w:val="0049782D"/>
    <w:rsid w:val="004A01D0"/>
    <w:rsid w:val="004A01F5"/>
    <w:rsid w:val="004A06F1"/>
    <w:rsid w:val="004A080D"/>
    <w:rsid w:val="004A0AA5"/>
    <w:rsid w:val="004A0F43"/>
    <w:rsid w:val="004A1170"/>
    <w:rsid w:val="004A1362"/>
    <w:rsid w:val="004A13B6"/>
    <w:rsid w:val="004A189E"/>
    <w:rsid w:val="004A1A49"/>
    <w:rsid w:val="004A1BA2"/>
    <w:rsid w:val="004A1F2A"/>
    <w:rsid w:val="004A20D6"/>
    <w:rsid w:val="004A23F7"/>
    <w:rsid w:val="004A25E6"/>
    <w:rsid w:val="004A26D1"/>
    <w:rsid w:val="004A2774"/>
    <w:rsid w:val="004A2A49"/>
    <w:rsid w:val="004A2BC5"/>
    <w:rsid w:val="004A2C1B"/>
    <w:rsid w:val="004A2CBB"/>
    <w:rsid w:val="004A32F7"/>
    <w:rsid w:val="004A3939"/>
    <w:rsid w:val="004A39D3"/>
    <w:rsid w:val="004A3D23"/>
    <w:rsid w:val="004A3E4B"/>
    <w:rsid w:val="004A3EDC"/>
    <w:rsid w:val="004A4028"/>
    <w:rsid w:val="004A443E"/>
    <w:rsid w:val="004A4DF0"/>
    <w:rsid w:val="004A4F92"/>
    <w:rsid w:val="004A50BF"/>
    <w:rsid w:val="004A5487"/>
    <w:rsid w:val="004A5A91"/>
    <w:rsid w:val="004A5CD8"/>
    <w:rsid w:val="004A60A5"/>
    <w:rsid w:val="004A62AB"/>
    <w:rsid w:val="004A64A7"/>
    <w:rsid w:val="004A7461"/>
    <w:rsid w:val="004A746C"/>
    <w:rsid w:val="004A76E8"/>
    <w:rsid w:val="004A7ACD"/>
    <w:rsid w:val="004A7E90"/>
    <w:rsid w:val="004B014E"/>
    <w:rsid w:val="004B01A7"/>
    <w:rsid w:val="004B0B57"/>
    <w:rsid w:val="004B1103"/>
    <w:rsid w:val="004B1313"/>
    <w:rsid w:val="004B1681"/>
    <w:rsid w:val="004B199B"/>
    <w:rsid w:val="004B1C79"/>
    <w:rsid w:val="004B26A2"/>
    <w:rsid w:val="004B275D"/>
    <w:rsid w:val="004B27AA"/>
    <w:rsid w:val="004B28AC"/>
    <w:rsid w:val="004B2C25"/>
    <w:rsid w:val="004B2D6F"/>
    <w:rsid w:val="004B2E5C"/>
    <w:rsid w:val="004B2F96"/>
    <w:rsid w:val="004B34C2"/>
    <w:rsid w:val="004B3804"/>
    <w:rsid w:val="004B3BF8"/>
    <w:rsid w:val="004B3DA3"/>
    <w:rsid w:val="004B4023"/>
    <w:rsid w:val="004B41D6"/>
    <w:rsid w:val="004B4454"/>
    <w:rsid w:val="004B4676"/>
    <w:rsid w:val="004B4AFC"/>
    <w:rsid w:val="004B4F05"/>
    <w:rsid w:val="004B4F14"/>
    <w:rsid w:val="004B5090"/>
    <w:rsid w:val="004B5529"/>
    <w:rsid w:val="004B5A25"/>
    <w:rsid w:val="004B5CE5"/>
    <w:rsid w:val="004B6146"/>
    <w:rsid w:val="004B6193"/>
    <w:rsid w:val="004B663B"/>
    <w:rsid w:val="004B669D"/>
    <w:rsid w:val="004B6778"/>
    <w:rsid w:val="004B6B40"/>
    <w:rsid w:val="004B713D"/>
    <w:rsid w:val="004B722D"/>
    <w:rsid w:val="004B7ABD"/>
    <w:rsid w:val="004B7CF0"/>
    <w:rsid w:val="004B7DA7"/>
    <w:rsid w:val="004B7E4F"/>
    <w:rsid w:val="004C0068"/>
    <w:rsid w:val="004C03B4"/>
    <w:rsid w:val="004C05DD"/>
    <w:rsid w:val="004C0B21"/>
    <w:rsid w:val="004C1071"/>
    <w:rsid w:val="004C1168"/>
    <w:rsid w:val="004C160D"/>
    <w:rsid w:val="004C188B"/>
    <w:rsid w:val="004C19E4"/>
    <w:rsid w:val="004C210F"/>
    <w:rsid w:val="004C2A5E"/>
    <w:rsid w:val="004C2B80"/>
    <w:rsid w:val="004C2D96"/>
    <w:rsid w:val="004C2ED9"/>
    <w:rsid w:val="004C30C8"/>
    <w:rsid w:val="004C30F9"/>
    <w:rsid w:val="004C31D6"/>
    <w:rsid w:val="004C358D"/>
    <w:rsid w:val="004C3F1E"/>
    <w:rsid w:val="004C415A"/>
    <w:rsid w:val="004C44D7"/>
    <w:rsid w:val="004C51F1"/>
    <w:rsid w:val="004C5549"/>
    <w:rsid w:val="004C5564"/>
    <w:rsid w:val="004C558B"/>
    <w:rsid w:val="004C5854"/>
    <w:rsid w:val="004C5905"/>
    <w:rsid w:val="004C5917"/>
    <w:rsid w:val="004C5CB9"/>
    <w:rsid w:val="004C5E54"/>
    <w:rsid w:val="004C606A"/>
    <w:rsid w:val="004C608E"/>
    <w:rsid w:val="004C6B27"/>
    <w:rsid w:val="004C7031"/>
    <w:rsid w:val="004C70FD"/>
    <w:rsid w:val="004C73EC"/>
    <w:rsid w:val="004C740D"/>
    <w:rsid w:val="004C7418"/>
    <w:rsid w:val="004C74D0"/>
    <w:rsid w:val="004C7764"/>
    <w:rsid w:val="004C7786"/>
    <w:rsid w:val="004C7CE9"/>
    <w:rsid w:val="004C7CF1"/>
    <w:rsid w:val="004D001D"/>
    <w:rsid w:val="004D0091"/>
    <w:rsid w:val="004D018B"/>
    <w:rsid w:val="004D01D6"/>
    <w:rsid w:val="004D0481"/>
    <w:rsid w:val="004D133C"/>
    <w:rsid w:val="004D145C"/>
    <w:rsid w:val="004D150F"/>
    <w:rsid w:val="004D1515"/>
    <w:rsid w:val="004D1889"/>
    <w:rsid w:val="004D1932"/>
    <w:rsid w:val="004D1B83"/>
    <w:rsid w:val="004D1C2C"/>
    <w:rsid w:val="004D1C93"/>
    <w:rsid w:val="004D1E3A"/>
    <w:rsid w:val="004D1E85"/>
    <w:rsid w:val="004D2116"/>
    <w:rsid w:val="004D2257"/>
    <w:rsid w:val="004D230A"/>
    <w:rsid w:val="004D2470"/>
    <w:rsid w:val="004D27DD"/>
    <w:rsid w:val="004D2AA5"/>
    <w:rsid w:val="004D2BB5"/>
    <w:rsid w:val="004D3219"/>
    <w:rsid w:val="004D33AA"/>
    <w:rsid w:val="004D33E6"/>
    <w:rsid w:val="004D3DD1"/>
    <w:rsid w:val="004D3E80"/>
    <w:rsid w:val="004D3EFF"/>
    <w:rsid w:val="004D47D1"/>
    <w:rsid w:val="004D49DB"/>
    <w:rsid w:val="004D4F3D"/>
    <w:rsid w:val="004D5B28"/>
    <w:rsid w:val="004D5BE9"/>
    <w:rsid w:val="004D5BFE"/>
    <w:rsid w:val="004D5D65"/>
    <w:rsid w:val="004D5DB7"/>
    <w:rsid w:val="004D5DE7"/>
    <w:rsid w:val="004D6181"/>
    <w:rsid w:val="004D64C8"/>
    <w:rsid w:val="004D686D"/>
    <w:rsid w:val="004D6D33"/>
    <w:rsid w:val="004D71F7"/>
    <w:rsid w:val="004D72AD"/>
    <w:rsid w:val="004D7328"/>
    <w:rsid w:val="004D7A2B"/>
    <w:rsid w:val="004D7B66"/>
    <w:rsid w:val="004E022E"/>
    <w:rsid w:val="004E023D"/>
    <w:rsid w:val="004E0329"/>
    <w:rsid w:val="004E033C"/>
    <w:rsid w:val="004E0472"/>
    <w:rsid w:val="004E0520"/>
    <w:rsid w:val="004E11E0"/>
    <w:rsid w:val="004E1241"/>
    <w:rsid w:val="004E149D"/>
    <w:rsid w:val="004E156B"/>
    <w:rsid w:val="004E199C"/>
    <w:rsid w:val="004E1E02"/>
    <w:rsid w:val="004E20D1"/>
    <w:rsid w:val="004E2200"/>
    <w:rsid w:val="004E22D4"/>
    <w:rsid w:val="004E231B"/>
    <w:rsid w:val="004E294F"/>
    <w:rsid w:val="004E2A46"/>
    <w:rsid w:val="004E3333"/>
    <w:rsid w:val="004E3370"/>
    <w:rsid w:val="004E339C"/>
    <w:rsid w:val="004E3F6D"/>
    <w:rsid w:val="004E4371"/>
    <w:rsid w:val="004E444D"/>
    <w:rsid w:val="004E4621"/>
    <w:rsid w:val="004E4B2E"/>
    <w:rsid w:val="004E4DDC"/>
    <w:rsid w:val="004E4DFC"/>
    <w:rsid w:val="004E5361"/>
    <w:rsid w:val="004E5611"/>
    <w:rsid w:val="004E56B2"/>
    <w:rsid w:val="004E57A1"/>
    <w:rsid w:val="004E610F"/>
    <w:rsid w:val="004E614A"/>
    <w:rsid w:val="004E6457"/>
    <w:rsid w:val="004E67C0"/>
    <w:rsid w:val="004E67F9"/>
    <w:rsid w:val="004E6A27"/>
    <w:rsid w:val="004E6E72"/>
    <w:rsid w:val="004E6EA2"/>
    <w:rsid w:val="004E6EA5"/>
    <w:rsid w:val="004E6F2B"/>
    <w:rsid w:val="004E701D"/>
    <w:rsid w:val="004E7452"/>
    <w:rsid w:val="004E7730"/>
    <w:rsid w:val="004E785F"/>
    <w:rsid w:val="004E79B9"/>
    <w:rsid w:val="004E7C7C"/>
    <w:rsid w:val="004E7C7E"/>
    <w:rsid w:val="004E7C91"/>
    <w:rsid w:val="004F017C"/>
    <w:rsid w:val="004F02C2"/>
    <w:rsid w:val="004F02CB"/>
    <w:rsid w:val="004F08C7"/>
    <w:rsid w:val="004F08E6"/>
    <w:rsid w:val="004F0A20"/>
    <w:rsid w:val="004F0FD9"/>
    <w:rsid w:val="004F12EC"/>
    <w:rsid w:val="004F15C1"/>
    <w:rsid w:val="004F1861"/>
    <w:rsid w:val="004F1DF1"/>
    <w:rsid w:val="004F2A6B"/>
    <w:rsid w:val="004F2A9A"/>
    <w:rsid w:val="004F2B04"/>
    <w:rsid w:val="004F2FFD"/>
    <w:rsid w:val="004F3044"/>
    <w:rsid w:val="004F3047"/>
    <w:rsid w:val="004F315E"/>
    <w:rsid w:val="004F32CC"/>
    <w:rsid w:val="004F3613"/>
    <w:rsid w:val="004F373A"/>
    <w:rsid w:val="004F3860"/>
    <w:rsid w:val="004F3B2B"/>
    <w:rsid w:val="004F3F62"/>
    <w:rsid w:val="004F437E"/>
    <w:rsid w:val="004F4450"/>
    <w:rsid w:val="004F46F1"/>
    <w:rsid w:val="004F48FD"/>
    <w:rsid w:val="004F4936"/>
    <w:rsid w:val="004F4AFE"/>
    <w:rsid w:val="004F4CE3"/>
    <w:rsid w:val="004F5179"/>
    <w:rsid w:val="004F5271"/>
    <w:rsid w:val="004F5305"/>
    <w:rsid w:val="004F55A0"/>
    <w:rsid w:val="004F5B6C"/>
    <w:rsid w:val="004F5C54"/>
    <w:rsid w:val="004F5F87"/>
    <w:rsid w:val="004F61BE"/>
    <w:rsid w:val="004F627C"/>
    <w:rsid w:val="004F6CB4"/>
    <w:rsid w:val="004F6EC9"/>
    <w:rsid w:val="004F70B1"/>
    <w:rsid w:val="004F76A8"/>
    <w:rsid w:val="004F7839"/>
    <w:rsid w:val="004F7BCA"/>
    <w:rsid w:val="004F7F65"/>
    <w:rsid w:val="004F8905"/>
    <w:rsid w:val="0050001F"/>
    <w:rsid w:val="005001AF"/>
    <w:rsid w:val="005002F4"/>
    <w:rsid w:val="00500756"/>
    <w:rsid w:val="0050095E"/>
    <w:rsid w:val="00500A11"/>
    <w:rsid w:val="005011AB"/>
    <w:rsid w:val="00501631"/>
    <w:rsid w:val="005017DD"/>
    <w:rsid w:val="00501849"/>
    <w:rsid w:val="00501CD8"/>
    <w:rsid w:val="00502053"/>
    <w:rsid w:val="00502121"/>
    <w:rsid w:val="00502525"/>
    <w:rsid w:val="0050272D"/>
    <w:rsid w:val="00502802"/>
    <w:rsid w:val="00502AB0"/>
    <w:rsid w:val="00502B73"/>
    <w:rsid w:val="00502BE6"/>
    <w:rsid w:val="00502F50"/>
    <w:rsid w:val="0050312D"/>
    <w:rsid w:val="005031B0"/>
    <w:rsid w:val="00503750"/>
    <w:rsid w:val="005039C7"/>
    <w:rsid w:val="00503DA9"/>
    <w:rsid w:val="00503E22"/>
    <w:rsid w:val="00503F28"/>
    <w:rsid w:val="00503FE7"/>
    <w:rsid w:val="00503FFA"/>
    <w:rsid w:val="00504287"/>
    <w:rsid w:val="005042D6"/>
    <w:rsid w:val="0050435B"/>
    <w:rsid w:val="005045A3"/>
    <w:rsid w:val="00504B63"/>
    <w:rsid w:val="00504C8C"/>
    <w:rsid w:val="00505158"/>
    <w:rsid w:val="0050577E"/>
    <w:rsid w:val="005057CF"/>
    <w:rsid w:val="005062EA"/>
    <w:rsid w:val="005065D6"/>
    <w:rsid w:val="005066A6"/>
    <w:rsid w:val="00506C84"/>
    <w:rsid w:val="00506C89"/>
    <w:rsid w:val="00506D17"/>
    <w:rsid w:val="00506F7E"/>
    <w:rsid w:val="0050723F"/>
    <w:rsid w:val="005074C9"/>
    <w:rsid w:val="00507842"/>
    <w:rsid w:val="0050796E"/>
    <w:rsid w:val="00507DAA"/>
    <w:rsid w:val="00507F7B"/>
    <w:rsid w:val="00507FF1"/>
    <w:rsid w:val="005107C9"/>
    <w:rsid w:val="005108A4"/>
    <w:rsid w:val="00510A1B"/>
    <w:rsid w:val="00510A62"/>
    <w:rsid w:val="00510B81"/>
    <w:rsid w:val="00510CAE"/>
    <w:rsid w:val="00510F49"/>
    <w:rsid w:val="00511508"/>
    <w:rsid w:val="00512172"/>
    <w:rsid w:val="005121CC"/>
    <w:rsid w:val="005125F1"/>
    <w:rsid w:val="005128D5"/>
    <w:rsid w:val="005129D5"/>
    <w:rsid w:val="00512A1A"/>
    <w:rsid w:val="00513467"/>
    <w:rsid w:val="00513A37"/>
    <w:rsid w:val="00513C35"/>
    <w:rsid w:val="00513D68"/>
    <w:rsid w:val="00513FFD"/>
    <w:rsid w:val="00514147"/>
    <w:rsid w:val="00514363"/>
    <w:rsid w:val="00514426"/>
    <w:rsid w:val="005145A9"/>
    <w:rsid w:val="0051497B"/>
    <w:rsid w:val="00514A2A"/>
    <w:rsid w:val="00514E29"/>
    <w:rsid w:val="0051593D"/>
    <w:rsid w:val="00515E1B"/>
    <w:rsid w:val="00516464"/>
    <w:rsid w:val="00516560"/>
    <w:rsid w:val="0051656E"/>
    <w:rsid w:val="005165D4"/>
    <w:rsid w:val="0051689A"/>
    <w:rsid w:val="005169BB"/>
    <w:rsid w:val="00516B73"/>
    <w:rsid w:val="00516C19"/>
    <w:rsid w:val="00516E39"/>
    <w:rsid w:val="00516FDA"/>
    <w:rsid w:val="00517256"/>
    <w:rsid w:val="005176F0"/>
    <w:rsid w:val="005178DA"/>
    <w:rsid w:val="00517EAB"/>
    <w:rsid w:val="005204C9"/>
    <w:rsid w:val="005208AC"/>
    <w:rsid w:val="00520967"/>
    <w:rsid w:val="005210A9"/>
    <w:rsid w:val="005211BC"/>
    <w:rsid w:val="00521768"/>
    <w:rsid w:val="0052185E"/>
    <w:rsid w:val="005218BD"/>
    <w:rsid w:val="005219C5"/>
    <w:rsid w:val="00521DD5"/>
    <w:rsid w:val="005220E7"/>
    <w:rsid w:val="0052231C"/>
    <w:rsid w:val="005224DE"/>
    <w:rsid w:val="005226B3"/>
    <w:rsid w:val="0052274B"/>
    <w:rsid w:val="00522C15"/>
    <w:rsid w:val="00522C6B"/>
    <w:rsid w:val="00522DD7"/>
    <w:rsid w:val="00522FBE"/>
    <w:rsid w:val="00522FD6"/>
    <w:rsid w:val="005234AB"/>
    <w:rsid w:val="0052354E"/>
    <w:rsid w:val="00523BED"/>
    <w:rsid w:val="00523CC0"/>
    <w:rsid w:val="00523DE9"/>
    <w:rsid w:val="00523F92"/>
    <w:rsid w:val="00523FD2"/>
    <w:rsid w:val="005242A4"/>
    <w:rsid w:val="005243F8"/>
    <w:rsid w:val="0052442C"/>
    <w:rsid w:val="00524A04"/>
    <w:rsid w:val="00524FEA"/>
    <w:rsid w:val="00525247"/>
    <w:rsid w:val="00525522"/>
    <w:rsid w:val="00525AF6"/>
    <w:rsid w:val="00525E94"/>
    <w:rsid w:val="005261D7"/>
    <w:rsid w:val="00526364"/>
    <w:rsid w:val="005268A1"/>
    <w:rsid w:val="005269D7"/>
    <w:rsid w:val="00526F2D"/>
    <w:rsid w:val="00527065"/>
    <w:rsid w:val="0052726E"/>
    <w:rsid w:val="0052740D"/>
    <w:rsid w:val="005275E9"/>
    <w:rsid w:val="00527903"/>
    <w:rsid w:val="0053051E"/>
    <w:rsid w:val="005305D9"/>
    <w:rsid w:val="00530682"/>
    <w:rsid w:val="005307BC"/>
    <w:rsid w:val="00530B8B"/>
    <w:rsid w:val="00530EC7"/>
    <w:rsid w:val="005310AA"/>
    <w:rsid w:val="005310E9"/>
    <w:rsid w:val="00531132"/>
    <w:rsid w:val="005313A8"/>
    <w:rsid w:val="005317D8"/>
    <w:rsid w:val="00531B7A"/>
    <w:rsid w:val="0053223E"/>
    <w:rsid w:val="00532389"/>
    <w:rsid w:val="0053244C"/>
    <w:rsid w:val="00532715"/>
    <w:rsid w:val="00532914"/>
    <w:rsid w:val="005329A8"/>
    <w:rsid w:val="00532E0F"/>
    <w:rsid w:val="00533125"/>
    <w:rsid w:val="00533168"/>
    <w:rsid w:val="005335BA"/>
    <w:rsid w:val="005338CC"/>
    <w:rsid w:val="00533B40"/>
    <w:rsid w:val="00533D3B"/>
    <w:rsid w:val="005341A9"/>
    <w:rsid w:val="00534222"/>
    <w:rsid w:val="005344E6"/>
    <w:rsid w:val="00534572"/>
    <w:rsid w:val="00534760"/>
    <w:rsid w:val="005347FF"/>
    <w:rsid w:val="00534904"/>
    <w:rsid w:val="00534A58"/>
    <w:rsid w:val="00534E7B"/>
    <w:rsid w:val="0053517B"/>
    <w:rsid w:val="00535568"/>
    <w:rsid w:val="005355D5"/>
    <w:rsid w:val="00535806"/>
    <w:rsid w:val="00535E09"/>
    <w:rsid w:val="00535F55"/>
    <w:rsid w:val="00536236"/>
    <w:rsid w:val="0053649C"/>
    <w:rsid w:val="0053653D"/>
    <w:rsid w:val="005366CF"/>
    <w:rsid w:val="0053672A"/>
    <w:rsid w:val="00536838"/>
    <w:rsid w:val="00536A22"/>
    <w:rsid w:val="00536B7E"/>
    <w:rsid w:val="00536C42"/>
    <w:rsid w:val="00537055"/>
    <w:rsid w:val="00537076"/>
    <w:rsid w:val="00537E92"/>
    <w:rsid w:val="005409BA"/>
    <w:rsid w:val="00540A01"/>
    <w:rsid w:val="00541031"/>
    <w:rsid w:val="005417AA"/>
    <w:rsid w:val="00541967"/>
    <w:rsid w:val="00541B2F"/>
    <w:rsid w:val="00541B5A"/>
    <w:rsid w:val="00541BD6"/>
    <w:rsid w:val="0054286A"/>
    <w:rsid w:val="00542B39"/>
    <w:rsid w:val="00542BF2"/>
    <w:rsid w:val="0054312A"/>
    <w:rsid w:val="00543754"/>
    <w:rsid w:val="00543983"/>
    <w:rsid w:val="00543B7E"/>
    <w:rsid w:val="00543BF3"/>
    <w:rsid w:val="00543C0D"/>
    <w:rsid w:val="00543DBE"/>
    <w:rsid w:val="00543F1D"/>
    <w:rsid w:val="005440B9"/>
    <w:rsid w:val="0054464F"/>
    <w:rsid w:val="0054488D"/>
    <w:rsid w:val="005451BA"/>
    <w:rsid w:val="0054548A"/>
    <w:rsid w:val="005458E7"/>
    <w:rsid w:val="00545BB2"/>
    <w:rsid w:val="0054600E"/>
    <w:rsid w:val="0054677B"/>
    <w:rsid w:val="005468F6"/>
    <w:rsid w:val="00546B85"/>
    <w:rsid w:val="00546DDD"/>
    <w:rsid w:val="00546E6C"/>
    <w:rsid w:val="00547011"/>
    <w:rsid w:val="00547E65"/>
    <w:rsid w:val="00547F82"/>
    <w:rsid w:val="005502A5"/>
    <w:rsid w:val="005503CA"/>
    <w:rsid w:val="00550739"/>
    <w:rsid w:val="00550A51"/>
    <w:rsid w:val="00551472"/>
    <w:rsid w:val="00551640"/>
    <w:rsid w:val="005517DA"/>
    <w:rsid w:val="005522CF"/>
    <w:rsid w:val="00552300"/>
    <w:rsid w:val="0055234D"/>
    <w:rsid w:val="00552415"/>
    <w:rsid w:val="00552449"/>
    <w:rsid w:val="005524CD"/>
    <w:rsid w:val="00552583"/>
    <w:rsid w:val="00552CA8"/>
    <w:rsid w:val="00553B18"/>
    <w:rsid w:val="00553B9C"/>
    <w:rsid w:val="00553D07"/>
    <w:rsid w:val="00554757"/>
    <w:rsid w:val="00554C72"/>
    <w:rsid w:val="005552D1"/>
    <w:rsid w:val="0055538B"/>
    <w:rsid w:val="0055588D"/>
    <w:rsid w:val="00555ADD"/>
    <w:rsid w:val="00555BDF"/>
    <w:rsid w:val="00555CD1"/>
    <w:rsid w:val="00556140"/>
    <w:rsid w:val="005563B7"/>
    <w:rsid w:val="0055666C"/>
    <w:rsid w:val="0055674F"/>
    <w:rsid w:val="00556787"/>
    <w:rsid w:val="00556D74"/>
    <w:rsid w:val="005570E1"/>
    <w:rsid w:val="0055773C"/>
    <w:rsid w:val="005577BD"/>
    <w:rsid w:val="00557BCE"/>
    <w:rsid w:val="00557DE3"/>
    <w:rsid w:val="00557F83"/>
    <w:rsid w:val="00559EF5"/>
    <w:rsid w:val="0056023A"/>
    <w:rsid w:val="005603B4"/>
    <w:rsid w:val="00560BB7"/>
    <w:rsid w:val="0056107D"/>
    <w:rsid w:val="00561377"/>
    <w:rsid w:val="0056197C"/>
    <w:rsid w:val="005619FA"/>
    <w:rsid w:val="00561EBA"/>
    <w:rsid w:val="00562088"/>
    <w:rsid w:val="0056218D"/>
    <w:rsid w:val="005622B1"/>
    <w:rsid w:val="005624E1"/>
    <w:rsid w:val="0056258D"/>
    <w:rsid w:val="00562950"/>
    <w:rsid w:val="00562BE6"/>
    <w:rsid w:val="00562C78"/>
    <w:rsid w:val="00562C97"/>
    <w:rsid w:val="00562D0E"/>
    <w:rsid w:val="00562DE0"/>
    <w:rsid w:val="00562E33"/>
    <w:rsid w:val="005639F4"/>
    <w:rsid w:val="005639FB"/>
    <w:rsid w:val="00563B09"/>
    <w:rsid w:val="0056407B"/>
    <w:rsid w:val="00564321"/>
    <w:rsid w:val="00564648"/>
    <w:rsid w:val="0056465E"/>
    <w:rsid w:val="00564B88"/>
    <w:rsid w:val="00564CA3"/>
    <w:rsid w:val="00564D24"/>
    <w:rsid w:val="00564ED1"/>
    <w:rsid w:val="00565116"/>
    <w:rsid w:val="005656A6"/>
    <w:rsid w:val="00565B09"/>
    <w:rsid w:val="00565D55"/>
    <w:rsid w:val="005661CE"/>
    <w:rsid w:val="00566792"/>
    <w:rsid w:val="005668CB"/>
    <w:rsid w:val="00566B43"/>
    <w:rsid w:val="00566CC8"/>
    <w:rsid w:val="0056746F"/>
    <w:rsid w:val="00567ACF"/>
    <w:rsid w:val="00567B0C"/>
    <w:rsid w:val="00567DE4"/>
    <w:rsid w:val="00567F61"/>
    <w:rsid w:val="00570535"/>
    <w:rsid w:val="005705F1"/>
    <w:rsid w:val="0057088F"/>
    <w:rsid w:val="00570BB2"/>
    <w:rsid w:val="00571236"/>
    <w:rsid w:val="00571287"/>
    <w:rsid w:val="005712CB"/>
    <w:rsid w:val="005713A7"/>
    <w:rsid w:val="00571510"/>
    <w:rsid w:val="005715C4"/>
    <w:rsid w:val="0057232E"/>
    <w:rsid w:val="005723FD"/>
    <w:rsid w:val="00572572"/>
    <w:rsid w:val="00572615"/>
    <w:rsid w:val="00572DC1"/>
    <w:rsid w:val="00572E32"/>
    <w:rsid w:val="00573259"/>
    <w:rsid w:val="00573397"/>
    <w:rsid w:val="005733FF"/>
    <w:rsid w:val="00573C3F"/>
    <w:rsid w:val="00573D12"/>
    <w:rsid w:val="00573E4B"/>
    <w:rsid w:val="00573E55"/>
    <w:rsid w:val="00573E94"/>
    <w:rsid w:val="00574F73"/>
    <w:rsid w:val="0057504D"/>
    <w:rsid w:val="0057508F"/>
    <w:rsid w:val="0057540A"/>
    <w:rsid w:val="00575BE6"/>
    <w:rsid w:val="00575F65"/>
    <w:rsid w:val="005762C8"/>
    <w:rsid w:val="005764E0"/>
    <w:rsid w:val="005768E1"/>
    <w:rsid w:val="00576B3C"/>
    <w:rsid w:val="00576B63"/>
    <w:rsid w:val="00576C14"/>
    <w:rsid w:val="00576F5D"/>
    <w:rsid w:val="00576FBD"/>
    <w:rsid w:val="00577031"/>
    <w:rsid w:val="00577330"/>
    <w:rsid w:val="0057770E"/>
    <w:rsid w:val="00577BF1"/>
    <w:rsid w:val="005802E1"/>
    <w:rsid w:val="005803AB"/>
    <w:rsid w:val="00581821"/>
    <w:rsid w:val="00581A1D"/>
    <w:rsid w:val="005821DF"/>
    <w:rsid w:val="00582787"/>
    <w:rsid w:val="00582CB5"/>
    <w:rsid w:val="00582CDE"/>
    <w:rsid w:val="00582E35"/>
    <w:rsid w:val="00582F47"/>
    <w:rsid w:val="0058300B"/>
    <w:rsid w:val="00583108"/>
    <w:rsid w:val="0058324D"/>
    <w:rsid w:val="00583252"/>
    <w:rsid w:val="005833E5"/>
    <w:rsid w:val="005835DA"/>
    <w:rsid w:val="00583B90"/>
    <w:rsid w:val="00583C53"/>
    <w:rsid w:val="00583C87"/>
    <w:rsid w:val="005842DA"/>
    <w:rsid w:val="005843C4"/>
    <w:rsid w:val="0058441A"/>
    <w:rsid w:val="00584456"/>
    <w:rsid w:val="005844B8"/>
    <w:rsid w:val="005845DC"/>
    <w:rsid w:val="00584849"/>
    <w:rsid w:val="0058486B"/>
    <w:rsid w:val="00584EA6"/>
    <w:rsid w:val="00584FC4"/>
    <w:rsid w:val="005853A8"/>
    <w:rsid w:val="00585795"/>
    <w:rsid w:val="005857CD"/>
    <w:rsid w:val="00585BAF"/>
    <w:rsid w:val="00585C19"/>
    <w:rsid w:val="0058626D"/>
    <w:rsid w:val="00586344"/>
    <w:rsid w:val="00586422"/>
    <w:rsid w:val="00586757"/>
    <w:rsid w:val="00586842"/>
    <w:rsid w:val="00586A37"/>
    <w:rsid w:val="00586BA9"/>
    <w:rsid w:val="00586D8D"/>
    <w:rsid w:val="0058706F"/>
    <w:rsid w:val="0058751A"/>
    <w:rsid w:val="005875F4"/>
    <w:rsid w:val="00587646"/>
    <w:rsid w:val="00587BC7"/>
    <w:rsid w:val="0059033B"/>
    <w:rsid w:val="00590619"/>
    <w:rsid w:val="0059068D"/>
    <w:rsid w:val="00590E1A"/>
    <w:rsid w:val="005911A1"/>
    <w:rsid w:val="00591252"/>
    <w:rsid w:val="0059149A"/>
    <w:rsid w:val="0059183C"/>
    <w:rsid w:val="005921DE"/>
    <w:rsid w:val="00592210"/>
    <w:rsid w:val="0059234C"/>
    <w:rsid w:val="00592459"/>
    <w:rsid w:val="00592983"/>
    <w:rsid w:val="00592D97"/>
    <w:rsid w:val="00592EC7"/>
    <w:rsid w:val="00592FB2"/>
    <w:rsid w:val="00594077"/>
    <w:rsid w:val="005941A7"/>
    <w:rsid w:val="00594287"/>
    <w:rsid w:val="0059437A"/>
    <w:rsid w:val="005943FD"/>
    <w:rsid w:val="0059506F"/>
    <w:rsid w:val="0059559D"/>
    <w:rsid w:val="00595622"/>
    <w:rsid w:val="00595C72"/>
    <w:rsid w:val="00595CB9"/>
    <w:rsid w:val="00595D07"/>
    <w:rsid w:val="00595D3C"/>
    <w:rsid w:val="00595F60"/>
    <w:rsid w:val="00596189"/>
    <w:rsid w:val="005965D1"/>
    <w:rsid w:val="005968A9"/>
    <w:rsid w:val="00596911"/>
    <w:rsid w:val="005970AD"/>
    <w:rsid w:val="0059742D"/>
    <w:rsid w:val="005977D3"/>
    <w:rsid w:val="00597999"/>
    <w:rsid w:val="00597BAC"/>
    <w:rsid w:val="00597BE8"/>
    <w:rsid w:val="00597D12"/>
    <w:rsid w:val="005A005C"/>
    <w:rsid w:val="005A040B"/>
    <w:rsid w:val="005A0440"/>
    <w:rsid w:val="005A0628"/>
    <w:rsid w:val="005A0CC7"/>
    <w:rsid w:val="005A0F15"/>
    <w:rsid w:val="005A1431"/>
    <w:rsid w:val="005A1D52"/>
    <w:rsid w:val="005A20F9"/>
    <w:rsid w:val="005A2340"/>
    <w:rsid w:val="005A2395"/>
    <w:rsid w:val="005A2B62"/>
    <w:rsid w:val="005A2CF2"/>
    <w:rsid w:val="005A367C"/>
    <w:rsid w:val="005A36EF"/>
    <w:rsid w:val="005A3733"/>
    <w:rsid w:val="005A3D55"/>
    <w:rsid w:val="005A3E0B"/>
    <w:rsid w:val="005A42F1"/>
    <w:rsid w:val="005A4904"/>
    <w:rsid w:val="005A51A2"/>
    <w:rsid w:val="005A55EA"/>
    <w:rsid w:val="005A57BA"/>
    <w:rsid w:val="005A5DD8"/>
    <w:rsid w:val="005A6517"/>
    <w:rsid w:val="005A6660"/>
    <w:rsid w:val="005A67B0"/>
    <w:rsid w:val="005A6CAF"/>
    <w:rsid w:val="005A6E06"/>
    <w:rsid w:val="005A721C"/>
    <w:rsid w:val="005A76E2"/>
    <w:rsid w:val="005A7937"/>
    <w:rsid w:val="005A7E0B"/>
    <w:rsid w:val="005B01ED"/>
    <w:rsid w:val="005B0629"/>
    <w:rsid w:val="005B062D"/>
    <w:rsid w:val="005B086A"/>
    <w:rsid w:val="005B0D09"/>
    <w:rsid w:val="005B0FE4"/>
    <w:rsid w:val="005B188E"/>
    <w:rsid w:val="005B1A09"/>
    <w:rsid w:val="005B1EC4"/>
    <w:rsid w:val="005B1F43"/>
    <w:rsid w:val="005B20DA"/>
    <w:rsid w:val="005B231F"/>
    <w:rsid w:val="005B234F"/>
    <w:rsid w:val="005B259F"/>
    <w:rsid w:val="005B25A4"/>
    <w:rsid w:val="005B2CFD"/>
    <w:rsid w:val="005B2E89"/>
    <w:rsid w:val="005B30AF"/>
    <w:rsid w:val="005B313B"/>
    <w:rsid w:val="005B3365"/>
    <w:rsid w:val="005B33AB"/>
    <w:rsid w:val="005B37A9"/>
    <w:rsid w:val="005B3BBE"/>
    <w:rsid w:val="005B3C7B"/>
    <w:rsid w:val="005B3F30"/>
    <w:rsid w:val="005B4024"/>
    <w:rsid w:val="005B409F"/>
    <w:rsid w:val="005B41E7"/>
    <w:rsid w:val="005B4207"/>
    <w:rsid w:val="005B4505"/>
    <w:rsid w:val="005B45F0"/>
    <w:rsid w:val="005B4AA3"/>
    <w:rsid w:val="005B56EA"/>
    <w:rsid w:val="005B5BEC"/>
    <w:rsid w:val="005B6665"/>
    <w:rsid w:val="005B697A"/>
    <w:rsid w:val="005B6DD2"/>
    <w:rsid w:val="005B6E54"/>
    <w:rsid w:val="005B71D6"/>
    <w:rsid w:val="005B7268"/>
    <w:rsid w:val="005B7413"/>
    <w:rsid w:val="005B74CE"/>
    <w:rsid w:val="005B7504"/>
    <w:rsid w:val="005B78FF"/>
    <w:rsid w:val="005B7A97"/>
    <w:rsid w:val="005B7B2C"/>
    <w:rsid w:val="005B7E98"/>
    <w:rsid w:val="005C0365"/>
    <w:rsid w:val="005C03C8"/>
    <w:rsid w:val="005C03F2"/>
    <w:rsid w:val="005C07F5"/>
    <w:rsid w:val="005C11AA"/>
    <w:rsid w:val="005C1250"/>
    <w:rsid w:val="005C13EC"/>
    <w:rsid w:val="005C1899"/>
    <w:rsid w:val="005C1CFD"/>
    <w:rsid w:val="005C2018"/>
    <w:rsid w:val="005C23B5"/>
    <w:rsid w:val="005C23D3"/>
    <w:rsid w:val="005C2639"/>
    <w:rsid w:val="005C281A"/>
    <w:rsid w:val="005C287D"/>
    <w:rsid w:val="005C2E70"/>
    <w:rsid w:val="005C2F2C"/>
    <w:rsid w:val="005C2FC7"/>
    <w:rsid w:val="005C30CD"/>
    <w:rsid w:val="005C354F"/>
    <w:rsid w:val="005C38E0"/>
    <w:rsid w:val="005C3A20"/>
    <w:rsid w:val="005C3A48"/>
    <w:rsid w:val="005C4193"/>
    <w:rsid w:val="005C42BE"/>
    <w:rsid w:val="005C4460"/>
    <w:rsid w:val="005C46A0"/>
    <w:rsid w:val="005C48D8"/>
    <w:rsid w:val="005C48FC"/>
    <w:rsid w:val="005C4BE6"/>
    <w:rsid w:val="005C4F5B"/>
    <w:rsid w:val="005C50A7"/>
    <w:rsid w:val="005C537A"/>
    <w:rsid w:val="005C5562"/>
    <w:rsid w:val="005C5CB2"/>
    <w:rsid w:val="005C5E97"/>
    <w:rsid w:val="005C628E"/>
    <w:rsid w:val="005C62A8"/>
    <w:rsid w:val="005C6418"/>
    <w:rsid w:val="005C69C3"/>
    <w:rsid w:val="005C6CC7"/>
    <w:rsid w:val="005C6CEA"/>
    <w:rsid w:val="005C6E14"/>
    <w:rsid w:val="005C6EC7"/>
    <w:rsid w:val="005C7334"/>
    <w:rsid w:val="005C77EE"/>
    <w:rsid w:val="005C7FEC"/>
    <w:rsid w:val="005D0084"/>
    <w:rsid w:val="005D0369"/>
    <w:rsid w:val="005D04A0"/>
    <w:rsid w:val="005D06B4"/>
    <w:rsid w:val="005D0768"/>
    <w:rsid w:val="005D0BAB"/>
    <w:rsid w:val="005D0C93"/>
    <w:rsid w:val="005D0D10"/>
    <w:rsid w:val="005D1072"/>
    <w:rsid w:val="005D1404"/>
    <w:rsid w:val="005D1419"/>
    <w:rsid w:val="005D1650"/>
    <w:rsid w:val="005D181A"/>
    <w:rsid w:val="005D1BB1"/>
    <w:rsid w:val="005D1F5B"/>
    <w:rsid w:val="005D1F91"/>
    <w:rsid w:val="005D20A6"/>
    <w:rsid w:val="005D21A1"/>
    <w:rsid w:val="005D2318"/>
    <w:rsid w:val="005D2400"/>
    <w:rsid w:val="005D2CD1"/>
    <w:rsid w:val="005D3208"/>
    <w:rsid w:val="005D384E"/>
    <w:rsid w:val="005D3C76"/>
    <w:rsid w:val="005D3D47"/>
    <w:rsid w:val="005D4090"/>
    <w:rsid w:val="005D445C"/>
    <w:rsid w:val="005D4561"/>
    <w:rsid w:val="005D490E"/>
    <w:rsid w:val="005D512A"/>
    <w:rsid w:val="005D535E"/>
    <w:rsid w:val="005D53B6"/>
    <w:rsid w:val="005D5A6F"/>
    <w:rsid w:val="005D5D1C"/>
    <w:rsid w:val="005D5EE6"/>
    <w:rsid w:val="005D5F74"/>
    <w:rsid w:val="005D6471"/>
    <w:rsid w:val="005D6625"/>
    <w:rsid w:val="005D6BF8"/>
    <w:rsid w:val="005D6C09"/>
    <w:rsid w:val="005D6DBA"/>
    <w:rsid w:val="005D6EBE"/>
    <w:rsid w:val="005D7134"/>
    <w:rsid w:val="005D742D"/>
    <w:rsid w:val="005D76A2"/>
    <w:rsid w:val="005D76D4"/>
    <w:rsid w:val="005D7C6D"/>
    <w:rsid w:val="005D7C8A"/>
    <w:rsid w:val="005D7D84"/>
    <w:rsid w:val="005E0348"/>
    <w:rsid w:val="005E0511"/>
    <w:rsid w:val="005E0523"/>
    <w:rsid w:val="005E0E01"/>
    <w:rsid w:val="005E10C9"/>
    <w:rsid w:val="005E1553"/>
    <w:rsid w:val="005E1596"/>
    <w:rsid w:val="005E18F1"/>
    <w:rsid w:val="005E1B08"/>
    <w:rsid w:val="005E26E3"/>
    <w:rsid w:val="005E26FE"/>
    <w:rsid w:val="005E27FC"/>
    <w:rsid w:val="005E29E5"/>
    <w:rsid w:val="005E2A6B"/>
    <w:rsid w:val="005E2BF1"/>
    <w:rsid w:val="005E2FA1"/>
    <w:rsid w:val="005E30C1"/>
    <w:rsid w:val="005E374A"/>
    <w:rsid w:val="005E38EC"/>
    <w:rsid w:val="005E3A1E"/>
    <w:rsid w:val="005E40AC"/>
    <w:rsid w:val="005E46E7"/>
    <w:rsid w:val="005E4CBE"/>
    <w:rsid w:val="005E5119"/>
    <w:rsid w:val="005E527B"/>
    <w:rsid w:val="005E54EC"/>
    <w:rsid w:val="005E56B9"/>
    <w:rsid w:val="005E5781"/>
    <w:rsid w:val="005E5D34"/>
    <w:rsid w:val="005E5D78"/>
    <w:rsid w:val="005E6249"/>
    <w:rsid w:val="005E625C"/>
    <w:rsid w:val="005E6369"/>
    <w:rsid w:val="005E63FD"/>
    <w:rsid w:val="005E6865"/>
    <w:rsid w:val="005E6F6F"/>
    <w:rsid w:val="005E7112"/>
    <w:rsid w:val="005E71F5"/>
    <w:rsid w:val="005E7271"/>
    <w:rsid w:val="005E74CF"/>
    <w:rsid w:val="005E75E5"/>
    <w:rsid w:val="005E7CAD"/>
    <w:rsid w:val="005E7EC3"/>
    <w:rsid w:val="005E7EEA"/>
    <w:rsid w:val="005F038B"/>
    <w:rsid w:val="005F0C43"/>
    <w:rsid w:val="005F0DE5"/>
    <w:rsid w:val="005F0F6B"/>
    <w:rsid w:val="005F1284"/>
    <w:rsid w:val="005F16AD"/>
    <w:rsid w:val="005F193A"/>
    <w:rsid w:val="005F1A13"/>
    <w:rsid w:val="005F1EE9"/>
    <w:rsid w:val="005F2273"/>
    <w:rsid w:val="005F23BA"/>
    <w:rsid w:val="005F23E2"/>
    <w:rsid w:val="005F25FE"/>
    <w:rsid w:val="005F2A85"/>
    <w:rsid w:val="005F3191"/>
    <w:rsid w:val="005F3827"/>
    <w:rsid w:val="005F3A93"/>
    <w:rsid w:val="005F3D10"/>
    <w:rsid w:val="005F4163"/>
    <w:rsid w:val="005F429C"/>
    <w:rsid w:val="005F4456"/>
    <w:rsid w:val="005F454F"/>
    <w:rsid w:val="005F45A0"/>
    <w:rsid w:val="005F4CF8"/>
    <w:rsid w:val="005F516C"/>
    <w:rsid w:val="005F58C7"/>
    <w:rsid w:val="005F590E"/>
    <w:rsid w:val="005F5A07"/>
    <w:rsid w:val="005F5A4F"/>
    <w:rsid w:val="005F5D4D"/>
    <w:rsid w:val="005F690E"/>
    <w:rsid w:val="005F6CB8"/>
    <w:rsid w:val="005F7131"/>
    <w:rsid w:val="005F718F"/>
    <w:rsid w:val="005F77BE"/>
    <w:rsid w:val="005F78E3"/>
    <w:rsid w:val="005F7FF4"/>
    <w:rsid w:val="0060019F"/>
    <w:rsid w:val="006002E9"/>
    <w:rsid w:val="00600325"/>
    <w:rsid w:val="00600375"/>
    <w:rsid w:val="006005B5"/>
    <w:rsid w:val="0060083A"/>
    <w:rsid w:val="00600879"/>
    <w:rsid w:val="006008A4"/>
    <w:rsid w:val="00600E31"/>
    <w:rsid w:val="00600F3A"/>
    <w:rsid w:val="00601510"/>
    <w:rsid w:val="00601894"/>
    <w:rsid w:val="00601A5E"/>
    <w:rsid w:val="0060211C"/>
    <w:rsid w:val="006024E4"/>
    <w:rsid w:val="00602690"/>
    <w:rsid w:val="006026D0"/>
    <w:rsid w:val="00602BC5"/>
    <w:rsid w:val="00602D5B"/>
    <w:rsid w:val="00603587"/>
    <w:rsid w:val="00604571"/>
    <w:rsid w:val="00604743"/>
    <w:rsid w:val="006049CD"/>
    <w:rsid w:val="00604A4D"/>
    <w:rsid w:val="00604D71"/>
    <w:rsid w:val="00605141"/>
    <w:rsid w:val="006056A3"/>
    <w:rsid w:val="0060584B"/>
    <w:rsid w:val="006058F6"/>
    <w:rsid w:val="00605A7D"/>
    <w:rsid w:val="00606096"/>
    <w:rsid w:val="0060611B"/>
    <w:rsid w:val="00606554"/>
    <w:rsid w:val="00606D44"/>
    <w:rsid w:val="00607410"/>
    <w:rsid w:val="0060750C"/>
    <w:rsid w:val="006075DC"/>
    <w:rsid w:val="006077A0"/>
    <w:rsid w:val="00607812"/>
    <w:rsid w:val="00607A05"/>
    <w:rsid w:val="00607FA6"/>
    <w:rsid w:val="00610270"/>
    <w:rsid w:val="00610C65"/>
    <w:rsid w:val="00610E35"/>
    <w:rsid w:val="00611491"/>
    <w:rsid w:val="00611571"/>
    <w:rsid w:val="0061158A"/>
    <w:rsid w:val="00611A14"/>
    <w:rsid w:val="00611A8C"/>
    <w:rsid w:val="00611C84"/>
    <w:rsid w:val="006127A7"/>
    <w:rsid w:val="00612EC3"/>
    <w:rsid w:val="006130E9"/>
    <w:rsid w:val="00613274"/>
    <w:rsid w:val="006137C9"/>
    <w:rsid w:val="00613BE6"/>
    <w:rsid w:val="00613D2A"/>
    <w:rsid w:val="00613E14"/>
    <w:rsid w:val="00613E3E"/>
    <w:rsid w:val="0061419A"/>
    <w:rsid w:val="006141DF"/>
    <w:rsid w:val="00614687"/>
    <w:rsid w:val="0061494D"/>
    <w:rsid w:val="00615131"/>
    <w:rsid w:val="006151BD"/>
    <w:rsid w:val="00615394"/>
    <w:rsid w:val="0061555A"/>
    <w:rsid w:val="00615633"/>
    <w:rsid w:val="00615939"/>
    <w:rsid w:val="00615D0A"/>
    <w:rsid w:val="00615D5F"/>
    <w:rsid w:val="00615F85"/>
    <w:rsid w:val="00616338"/>
    <w:rsid w:val="0061669E"/>
    <w:rsid w:val="0061691C"/>
    <w:rsid w:val="00616943"/>
    <w:rsid w:val="00616A72"/>
    <w:rsid w:val="00616CD4"/>
    <w:rsid w:val="00616E16"/>
    <w:rsid w:val="00617000"/>
    <w:rsid w:val="00617472"/>
    <w:rsid w:val="006176CC"/>
    <w:rsid w:val="006176EF"/>
    <w:rsid w:val="006177BA"/>
    <w:rsid w:val="006178FA"/>
    <w:rsid w:val="00617F41"/>
    <w:rsid w:val="00620084"/>
    <w:rsid w:val="0062071F"/>
    <w:rsid w:val="00620735"/>
    <w:rsid w:val="006207B7"/>
    <w:rsid w:val="00620BDA"/>
    <w:rsid w:val="0062101C"/>
    <w:rsid w:val="006210E1"/>
    <w:rsid w:val="006214A0"/>
    <w:rsid w:val="0062155D"/>
    <w:rsid w:val="00621AFD"/>
    <w:rsid w:val="006226CF"/>
    <w:rsid w:val="00622A92"/>
    <w:rsid w:val="00622D81"/>
    <w:rsid w:val="00622E7C"/>
    <w:rsid w:val="00622E9A"/>
    <w:rsid w:val="0062319D"/>
    <w:rsid w:val="0062376D"/>
    <w:rsid w:val="006239C3"/>
    <w:rsid w:val="00623C03"/>
    <w:rsid w:val="00623CB2"/>
    <w:rsid w:val="00624D0D"/>
    <w:rsid w:val="00624F39"/>
    <w:rsid w:val="0062513B"/>
    <w:rsid w:val="00625412"/>
    <w:rsid w:val="00625F03"/>
    <w:rsid w:val="00625FA1"/>
    <w:rsid w:val="006260FB"/>
    <w:rsid w:val="00626977"/>
    <w:rsid w:val="00626AE5"/>
    <w:rsid w:val="00626B8F"/>
    <w:rsid w:val="00626D25"/>
    <w:rsid w:val="00626DD4"/>
    <w:rsid w:val="00626E4B"/>
    <w:rsid w:val="00626E56"/>
    <w:rsid w:val="00626ED2"/>
    <w:rsid w:val="0062722A"/>
    <w:rsid w:val="0062756D"/>
    <w:rsid w:val="00627632"/>
    <w:rsid w:val="006300DB"/>
    <w:rsid w:val="006304F1"/>
    <w:rsid w:val="006306AB"/>
    <w:rsid w:val="00630724"/>
    <w:rsid w:val="00630D71"/>
    <w:rsid w:val="00630E28"/>
    <w:rsid w:val="00630E85"/>
    <w:rsid w:val="00630FC6"/>
    <w:rsid w:val="00631171"/>
    <w:rsid w:val="0063126B"/>
    <w:rsid w:val="0063130B"/>
    <w:rsid w:val="006315DF"/>
    <w:rsid w:val="006318D9"/>
    <w:rsid w:val="00631D3D"/>
    <w:rsid w:val="00631FAE"/>
    <w:rsid w:val="00632140"/>
    <w:rsid w:val="0063246C"/>
    <w:rsid w:val="006328F0"/>
    <w:rsid w:val="00632B53"/>
    <w:rsid w:val="00632C17"/>
    <w:rsid w:val="00632D17"/>
    <w:rsid w:val="00632E5F"/>
    <w:rsid w:val="00632FD3"/>
    <w:rsid w:val="00633371"/>
    <w:rsid w:val="006334B0"/>
    <w:rsid w:val="00633801"/>
    <w:rsid w:val="0063395F"/>
    <w:rsid w:val="00633AA4"/>
    <w:rsid w:val="00633B12"/>
    <w:rsid w:val="00633BB8"/>
    <w:rsid w:val="00633DA9"/>
    <w:rsid w:val="00633E64"/>
    <w:rsid w:val="00633FF2"/>
    <w:rsid w:val="00633FF5"/>
    <w:rsid w:val="0063419D"/>
    <w:rsid w:val="00634585"/>
    <w:rsid w:val="0063495A"/>
    <w:rsid w:val="00634A2E"/>
    <w:rsid w:val="00634A50"/>
    <w:rsid w:val="00634E5A"/>
    <w:rsid w:val="006351DB"/>
    <w:rsid w:val="0063570F"/>
    <w:rsid w:val="006357FA"/>
    <w:rsid w:val="00635A05"/>
    <w:rsid w:val="00635A54"/>
    <w:rsid w:val="006360A4"/>
    <w:rsid w:val="00636187"/>
    <w:rsid w:val="00636245"/>
    <w:rsid w:val="0063646F"/>
    <w:rsid w:val="006366BC"/>
    <w:rsid w:val="00636715"/>
    <w:rsid w:val="00636895"/>
    <w:rsid w:val="00636C8B"/>
    <w:rsid w:val="00636D42"/>
    <w:rsid w:val="0063714B"/>
    <w:rsid w:val="00637491"/>
    <w:rsid w:val="00637498"/>
    <w:rsid w:val="00637677"/>
    <w:rsid w:val="006378C4"/>
    <w:rsid w:val="00637F22"/>
    <w:rsid w:val="006402E6"/>
    <w:rsid w:val="00640C97"/>
    <w:rsid w:val="006412CA"/>
    <w:rsid w:val="006414FA"/>
    <w:rsid w:val="006415B1"/>
    <w:rsid w:val="00641617"/>
    <w:rsid w:val="00641665"/>
    <w:rsid w:val="00641B24"/>
    <w:rsid w:val="006425F8"/>
    <w:rsid w:val="00642E7D"/>
    <w:rsid w:val="0064304B"/>
    <w:rsid w:val="0064314F"/>
    <w:rsid w:val="00643615"/>
    <w:rsid w:val="00643E32"/>
    <w:rsid w:val="00643E92"/>
    <w:rsid w:val="00643F61"/>
    <w:rsid w:val="00644174"/>
    <w:rsid w:val="00644228"/>
    <w:rsid w:val="0064422A"/>
    <w:rsid w:val="0064454A"/>
    <w:rsid w:val="00644B05"/>
    <w:rsid w:val="00644B8A"/>
    <w:rsid w:val="00644C77"/>
    <w:rsid w:val="00645036"/>
    <w:rsid w:val="006453F2"/>
    <w:rsid w:val="006455B6"/>
    <w:rsid w:val="00645B12"/>
    <w:rsid w:val="00645E17"/>
    <w:rsid w:val="00646620"/>
    <w:rsid w:val="0064677F"/>
    <w:rsid w:val="00646DE4"/>
    <w:rsid w:val="00646EB3"/>
    <w:rsid w:val="006470AF"/>
    <w:rsid w:val="00647393"/>
    <w:rsid w:val="0064755C"/>
    <w:rsid w:val="00647F92"/>
    <w:rsid w:val="00650256"/>
    <w:rsid w:val="00650769"/>
    <w:rsid w:val="00650CF7"/>
    <w:rsid w:val="00650E3F"/>
    <w:rsid w:val="00650ECD"/>
    <w:rsid w:val="00651543"/>
    <w:rsid w:val="006517FB"/>
    <w:rsid w:val="00651B84"/>
    <w:rsid w:val="00651C55"/>
    <w:rsid w:val="00651C88"/>
    <w:rsid w:val="00651D1C"/>
    <w:rsid w:val="0065258B"/>
    <w:rsid w:val="0065279F"/>
    <w:rsid w:val="006529F5"/>
    <w:rsid w:val="00652A9A"/>
    <w:rsid w:val="00653509"/>
    <w:rsid w:val="0065369F"/>
    <w:rsid w:val="006536DD"/>
    <w:rsid w:val="00653DCA"/>
    <w:rsid w:val="00653E5F"/>
    <w:rsid w:val="00653F70"/>
    <w:rsid w:val="006541B0"/>
    <w:rsid w:val="006542DC"/>
    <w:rsid w:val="0065488B"/>
    <w:rsid w:val="00654DA6"/>
    <w:rsid w:val="0065509F"/>
    <w:rsid w:val="00655273"/>
    <w:rsid w:val="00655679"/>
    <w:rsid w:val="006556F6"/>
    <w:rsid w:val="00655873"/>
    <w:rsid w:val="00655937"/>
    <w:rsid w:val="00655E49"/>
    <w:rsid w:val="00655F77"/>
    <w:rsid w:val="00655FE6"/>
    <w:rsid w:val="006561CC"/>
    <w:rsid w:val="006563A4"/>
    <w:rsid w:val="0065642A"/>
    <w:rsid w:val="006566B4"/>
    <w:rsid w:val="006567A4"/>
    <w:rsid w:val="006567F4"/>
    <w:rsid w:val="0065684D"/>
    <w:rsid w:val="006569C9"/>
    <w:rsid w:val="006570E7"/>
    <w:rsid w:val="00657237"/>
    <w:rsid w:val="00657252"/>
    <w:rsid w:val="00657606"/>
    <w:rsid w:val="00657734"/>
    <w:rsid w:val="00657935"/>
    <w:rsid w:val="00657EA9"/>
    <w:rsid w:val="00660000"/>
    <w:rsid w:val="00660236"/>
    <w:rsid w:val="00660AAD"/>
    <w:rsid w:val="00660FE1"/>
    <w:rsid w:val="00661220"/>
    <w:rsid w:val="00661E2E"/>
    <w:rsid w:val="00662671"/>
    <w:rsid w:val="00662743"/>
    <w:rsid w:val="006628A1"/>
    <w:rsid w:val="0066290D"/>
    <w:rsid w:val="00662A4F"/>
    <w:rsid w:val="00662D77"/>
    <w:rsid w:val="00662FE6"/>
    <w:rsid w:val="006630B1"/>
    <w:rsid w:val="00663306"/>
    <w:rsid w:val="00663EF7"/>
    <w:rsid w:val="00663F0E"/>
    <w:rsid w:val="00663F53"/>
    <w:rsid w:val="00663FC7"/>
    <w:rsid w:val="00664BFC"/>
    <w:rsid w:val="00664C00"/>
    <w:rsid w:val="00664C89"/>
    <w:rsid w:val="00665186"/>
    <w:rsid w:val="006652CF"/>
    <w:rsid w:val="006654C3"/>
    <w:rsid w:val="0066552B"/>
    <w:rsid w:val="00665AB2"/>
    <w:rsid w:val="00665B54"/>
    <w:rsid w:val="00665B78"/>
    <w:rsid w:val="00665D82"/>
    <w:rsid w:val="00665E55"/>
    <w:rsid w:val="00666190"/>
    <w:rsid w:val="006661F3"/>
    <w:rsid w:val="00666253"/>
    <w:rsid w:val="00666853"/>
    <w:rsid w:val="00666A93"/>
    <w:rsid w:val="00666D0B"/>
    <w:rsid w:val="006670C2"/>
    <w:rsid w:val="006678C3"/>
    <w:rsid w:val="00667BCB"/>
    <w:rsid w:val="00667F4E"/>
    <w:rsid w:val="00670151"/>
    <w:rsid w:val="0067020A"/>
    <w:rsid w:val="0067026B"/>
    <w:rsid w:val="0067091E"/>
    <w:rsid w:val="00670AD7"/>
    <w:rsid w:val="00670BEC"/>
    <w:rsid w:val="00670CBF"/>
    <w:rsid w:val="00670D04"/>
    <w:rsid w:val="00670E51"/>
    <w:rsid w:val="00670F7A"/>
    <w:rsid w:val="00671067"/>
    <w:rsid w:val="006713F9"/>
    <w:rsid w:val="006714DC"/>
    <w:rsid w:val="006715D2"/>
    <w:rsid w:val="00671B72"/>
    <w:rsid w:val="00671BEA"/>
    <w:rsid w:val="00671EC9"/>
    <w:rsid w:val="00671FFC"/>
    <w:rsid w:val="0067211B"/>
    <w:rsid w:val="00672435"/>
    <w:rsid w:val="00672DD8"/>
    <w:rsid w:val="00673189"/>
    <w:rsid w:val="0067347B"/>
    <w:rsid w:val="00673A3E"/>
    <w:rsid w:val="00673E3B"/>
    <w:rsid w:val="0067447A"/>
    <w:rsid w:val="006748D3"/>
    <w:rsid w:val="006749B0"/>
    <w:rsid w:val="0067518B"/>
    <w:rsid w:val="006751A7"/>
    <w:rsid w:val="006751F6"/>
    <w:rsid w:val="006753B7"/>
    <w:rsid w:val="006753C9"/>
    <w:rsid w:val="0067552C"/>
    <w:rsid w:val="00675B55"/>
    <w:rsid w:val="006760CF"/>
    <w:rsid w:val="00676108"/>
    <w:rsid w:val="006762E4"/>
    <w:rsid w:val="00676312"/>
    <w:rsid w:val="00676406"/>
    <w:rsid w:val="006765F8"/>
    <w:rsid w:val="006766EF"/>
    <w:rsid w:val="00676775"/>
    <w:rsid w:val="00676B32"/>
    <w:rsid w:val="00676EF1"/>
    <w:rsid w:val="00676F52"/>
    <w:rsid w:val="00677243"/>
    <w:rsid w:val="00677540"/>
    <w:rsid w:val="00677669"/>
    <w:rsid w:val="00677D23"/>
    <w:rsid w:val="00677FD4"/>
    <w:rsid w:val="006809C8"/>
    <w:rsid w:val="00680AB5"/>
    <w:rsid w:val="00680C1A"/>
    <w:rsid w:val="00680C23"/>
    <w:rsid w:val="00680E38"/>
    <w:rsid w:val="0068102A"/>
    <w:rsid w:val="00681345"/>
    <w:rsid w:val="006821D0"/>
    <w:rsid w:val="00682606"/>
    <w:rsid w:val="00682749"/>
    <w:rsid w:val="0068294E"/>
    <w:rsid w:val="00682CA2"/>
    <w:rsid w:val="00682E2C"/>
    <w:rsid w:val="006830E0"/>
    <w:rsid w:val="0068346B"/>
    <w:rsid w:val="006837C6"/>
    <w:rsid w:val="00683FF5"/>
    <w:rsid w:val="0068405B"/>
    <w:rsid w:val="006840E3"/>
    <w:rsid w:val="006843ED"/>
    <w:rsid w:val="006846C5"/>
    <w:rsid w:val="00684B5C"/>
    <w:rsid w:val="00684BB2"/>
    <w:rsid w:val="006852AB"/>
    <w:rsid w:val="0068551B"/>
    <w:rsid w:val="00685717"/>
    <w:rsid w:val="00685750"/>
    <w:rsid w:val="00685968"/>
    <w:rsid w:val="00685BAC"/>
    <w:rsid w:val="00685BB9"/>
    <w:rsid w:val="0068628E"/>
    <w:rsid w:val="0068679A"/>
    <w:rsid w:val="006868D3"/>
    <w:rsid w:val="00686EB7"/>
    <w:rsid w:val="00687067"/>
    <w:rsid w:val="00687068"/>
    <w:rsid w:val="00687A22"/>
    <w:rsid w:val="00687BD5"/>
    <w:rsid w:val="00687C4A"/>
    <w:rsid w:val="00690125"/>
    <w:rsid w:val="00690624"/>
    <w:rsid w:val="006908A5"/>
    <w:rsid w:val="00690953"/>
    <w:rsid w:val="006909A7"/>
    <w:rsid w:val="006909C7"/>
    <w:rsid w:val="00690BF3"/>
    <w:rsid w:val="00690DE7"/>
    <w:rsid w:val="00690DF1"/>
    <w:rsid w:val="00691085"/>
    <w:rsid w:val="006917B9"/>
    <w:rsid w:val="00691C08"/>
    <w:rsid w:val="00691D56"/>
    <w:rsid w:val="00691EB6"/>
    <w:rsid w:val="00691F9E"/>
    <w:rsid w:val="00691FE6"/>
    <w:rsid w:val="0069227B"/>
    <w:rsid w:val="006926CE"/>
    <w:rsid w:val="006926E5"/>
    <w:rsid w:val="00692891"/>
    <w:rsid w:val="00692952"/>
    <w:rsid w:val="00692BD1"/>
    <w:rsid w:val="00692C66"/>
    <w:rsid w:val="00692CB8"/>
    <w:rsid w:val="00692F72"/>
    <w:rsid w:val="006933F8"/>
    <w:rsid w:val="00693870"/>
    <w:rsid w:val="006938A6"/>
    <w:rsid w:val="00693EB6"/>
    <w:rsid w:val="006942D1"/>
    <w:rsid w:val="0069439D"/>
    <w:rsid w:val="00694D65"/>
    <w:rsid w:val="00694FC3"/>
    <w:rsid w:val="00695021"/>
    <w:rsid w:val="00695282"/>
    <w:rsid w:val="0069531F"/>
    <w:rsid w:val="00695780"/>
    <w:rsid w:val="00695E68"/>
    <w:rsid w:val="0069625A"/>
    <w:rsid w:val="00696CE8"/>
    <w:rsid w:val="00696E11"/>
    <w:rsid w:val="00697266"/>
    <w:rsid w:val="00697299"/>
    <w:rsid w:val="006973BA"/>
    <w:rsid w:val="00697430"/>
    <w:rsid w:val="006A0222"/>
    <w:rsid w:val="006A0499"/>
    <w:rsid w:val="006A06A5"/>
    <w:rsid w:val="006A0A22"/>
    <w:rsid w:val="006A0A93"/>
    <w:rsid w:val="006A0D9E"/>
    <w:rsid w:val="006A0F88"/>
    <w:rsid w:val="006A0FE0"/>
    <w:rsid w:val="006A105B"/>
    <w:rsid w:val="006A18F7"/>
    <w:rsid w:val="006A1E31"/>
    <w:rsid w:val="006A1F30"/>
    <w:rsid w:val="006A207C"/>
    <w:rsid w:val="006A21BD"/>
    <w:rsid w:val="006A25CE"/>
    <w:rsid w:val="006A2660"/>
    <w:rsid w:val="006A27C3"/>
    <w:rsid w:val="006A2EE3"/>
    <w:rsid w:val="006A2F4F"/>
    <w:rsid w:val="006A2FAF"/>
    <w:rsid w:val="006A3211"/>
    <w:rsid w:val="006A33A4"/>
    <w:rsid w:val="006A369B"/>
    <w:rsid w:val="006A36E1"/>
    <w:rsid w:val="006A3791"/>
    <w:rsid w:val="006A3821"/>
    <w:rsid w:val="006A3996"/>
    <w:rsid w:val="006A39A0"/>
    <w:rsid w:val="006A3A0B"/>
    <w:rsid w:val="006A3AA6"/>
    <w:rsid w:val="006A3C20"/>
    <w:rsid w:val="006A4121"/>
    <w:rsid w:val="006A4388"/>
    <w:rsid w:val="006A4417"/>
    <w:rsid w:val="006A4459"/>
    <w:rsid w:val="006A45D2"/>
    <w:rsid w:val="006A47F5"/>
    <w:rsid w:val="006A47FA"/>
    <w:rsid w:val="006A4BA5"/>
    <w:rsid w:val="006A4E0C"/>
    <w:rsid w:val="006A500D"/>
    <w:rsid w:val="006A506C"/>
    <w:rsid w:val="006A51EF"/>
    <w:rsid w:val="006A5231"/>
    <w:rsid w:val="006A5588"/>
    <w:rsid w:val="006A596E"/>
    <w:rsid w:val="006A5A85"/>
    <w:rsid w:val="006A5B2F"/>
    <w:rsid w:val="006A6175"/>
    <w:rsid w:val="006A6220"/>
    <w:rsid w:val="006A6275"/>
    <w:rsid w:val="006A63B6"/>
    <w:rsid w:val="006A661B"/>
    <w:rsid w:val="006A691D"/>
    <w:rsid w:val="006A6D96"/>
    <w:rsid w:val="006A7170"/>
    <w:rsid w:val="006A73D8"/>
    <w:rsid w:val="006A7B5E"/>
    <w:rsid w:val="006A7DEA"/>
    <w:rsid w:val="006A7F7B"/>
    <w:rsid w:val="006B002F"/>
    <w:rsid w:val="006B0288"/>
    <w:rsid w:val="006B04C4"/>
    <w:rsid w:val="006B04DE"/>
    <w:rsid w:val="006B06CC"/>
    <w:rsid w:val="006B0FCD"/>
    <w:rsid w:val="006B13D7"/>
    <w:rsid w:val="006B15E9"/>
    <w:rsid w:val="006B1636"/>
    <w:rsid w:val="006B1BB5"/>
    <w:rsid w:val="006B1D2D"/>
    <w:rsid w:val="006B1ED6"/>
    <w:rsid w:val="006B1F54"/>
    <w:rsid w:val="006B2383"/>
    <w:rsid w:val="006B27BB"/>
    <w:rsid w:val="006B280B"/>
    <w:rsid w:val="006B2CC9"/>
    <w:rsid w:val="006B3104"/>
    <w:rsid w:val="006B340C"/>
    <w:rsid w:val="006B3C13"/>
    <w:rsid w:val="006B3FC8"/>
    <w:rsid w:val="006B418A"/>
    <w:rsid w:val="006B425C"/>
    <w:rsid w:val="006B43B3"/>
    <w:rsid w:val="006B4551"/>
    <w:rsid w:val="006B4570"/>
    <w:rsid w:val="006B4C67"/>
    <w:rsid w:val="006B4CF2"/>
    <w:rsid w:val="006B5697"/>
    <w:rsid w:val="006B57AC"/>
    <w:rsid w:val="006B599E"/>
    <w:rsid w:val="006B5B9D"/>
    <w:rsid w:val="006B5C68"/>
    <w:rsid w:val="006B5E7E"/>
    <w:rsid w:val="006B6127"/>
    <w:rsid w:val="006B6224"/>
    <w:rsid w:val="006B66EC"/>
    <w:rsid w:val="006B69A6"/>
    <w:rsid w:val="006B6BD3"/>
    <w:rsid w:val="006B6C7F"/>
    <w:rsid w:val="006B6D6E"/>
    <w:rsid w:val="006B6DE4"/>
    <w:rsid w:val="006B6E59"/>
    <w:rsid w:val="006B6FEB"/>
    <w:rsid w:val="006B78EB"/>
    <w:rsid w:val="006B7D22"/>
    <w:rsid w:val="006C005D"/>
    <w:rsid w:val="006C01A5"/>
    <w:rsid w:val="006C0209"/>
    <w:rsid w:val="006C02AC"/>
    <w:rsid w:val="006C062E"/>
    <w:rsid w:val="006C06E5"/>
    <w:rsid w:val="006C09C5"/>
    <w:rsid w:val="006C09C9"/>
    <w:rsid w:val="006C0E27"/>
    <w:rsid w:val="006C0EE7"/>
    <w:rsid w:val="006C1156"/>
    <w:rsid w:val="006C1500"/>
    <w:rsid w:val="006C15DD"/>
    <w:rsid w:val="006C1F7B"/>
    <w:rsid w:val="006C2299"/>
    <w:rsid w:val="006C23EF"/>
    <w:rsid w:val="006C28BE"/>
    <w:rsid w:val="006C29E1"/>
    <w:rsid w:val="006C2B77"/>
    <w:rsid w:val="006C2CE8"/>
    <w:rsid w:val="006C33EC"/>
    <w:rsid w:val="006C3730"/>
    <w:rsid w:val="006C389E"/>
    <w:rsid w:val="006C3A97"/>
    <w:rsid w:val="006C3BD7"/>
    <w:rsid w:val="006C41FB"/>
    <w:rsid w:val="006C49B2"/>
    <w:rsid w:val="006C4D72"/>
    <w:rsid w:val="006C4DD7"/>
    <w:rsid w:val="006C502B"/>
    <w:rsid w:val="006C5163"/>
    <w:rsid w:val="006C5275"/>
    <w:rsid w:val="006C54E8"/>
    <w:rsid w:val="006C5509"/>
    <w:rsid w:val="006C5678"/>
    <w:rsid w:val="006C5C25"/>
    <w:rsid w:val="006C5F61"/>
    <w:rsid w:val="006C6757"/>
    <w:rsid w:val="006C685D"/>
    <w:rsid w:val="006C6B14"/>
    <w:rsid w:val="006C6EBC"/>
    <w:rsid w:val="006C6FD8"/>
    <w:rsid w:val="006C7313"/>
    <w:rsid w:val="006C76B6"/>
    <w:rsid w:val="006C7D7D"/>
    <w:rsid w:val="006C7DA8"/>
    <w:rsid w:val="006C7F50"/>
    <w:rsid w:val="006D0367"/>
    <w:rsid w:val="006D0B4A"/>
    <w:rsid w:val="006D0ECD"/>
    <w:rsid w:val="006D1895"/>
    <w:rsid w:val="006D197F"/>
    <w:rsid w:val="006D19D1"/>
    <w:rsid w:val="006D1D8D"/>
    <w:rsid w:val="006D1FED"/>
    <w:rsid w:val="006D2078"/>
    <w:rsid w:val="006D2420"/>
    <w:rsid w:val="006D2925"/>
    <w:rsid w:val="006D2BCE"/>
    <w:rsid w:val="006D2CFD"/>
    <w:rsid w:val="006D2DCB"/>
    <w:rsid w:val="006D331D"/>
    <w:rsid w:val="006D37D2"/>
    <w:rsid w:val="006D37EA"/>
    <w:rsid w:val="006D37F1"/>
    <w:rsid w:val="006D387B"/>
    <w:rsid w:val="006D38A9"/>
    <w:rsid w:val="006D3BBC"/>
    <w:rsid w:val="006D3DDC"/>
    <w:rsid w:val="006D4025"/>
    <w:rsid w:val="006D4237"/>
    <w:rsid w:val="006D458D"/>
    <w:rsid w:val="006D468D"/>
    <w:rsid w:val="006D484E"/>
    <w:rsid w:val="006D4861"/>
    <w:rsid w:val="006D48C5"/>
    <w:rsid w:val="006D49B9"/>
    <w:rsid w:val="006D51C0"/>
    <w:rsid w:val="006D5293"/>
    <w:rsid w:val="006D587B"/>
    <w:rsid w:val="006D5C53"/>
    <w:rsid w:val="006D5C7F"/>
    <w:rsid w:val="006D6339"/>
    <w:rsid w:val="006D64FA"/>
    <w:rsid w:val="006D66C4"/>
    <w:rsid w:val="006D6BB3"/>
    <w:rsid w:val="006D73B3"/>
    <w:rsid w:val="006D76F2"/>
    <w:rsid w:val="006D7952"/>
    <w:rsid w:val="006E035D"/>
    <w:rsid w:val="006E082F"/>
    <w:rsid w:val="006E08D7"/>
    <w:rsid w:val="006E0B25"/>
    <w:rsid w:val="006E0CB2"/>
    <w:rsid w:val="006E1106"/>
    <w:rsid w:val="006E1262"/>
    <w:rsid w:val="006E1479"/>
    <w:rsid w:val="006E1781"/>
    <w:rsid w:val="006E1AA7"/>
    <w:rsid w:val="006E1AB0"/>
    <w:rsid w:val="006E1ABE"/>
    <w:rsid w:val="006E1B18"/>
    <w:rsid w:val="006E1B95"/>
    <w:rsid w:val="006E1D1F"/>
    <w:rsid w:val="006E1F6C"/>
    <w:rsid w:val="006E2493"/>
    <w:rsid w:val="006E299C"/>
    <w:rsid w:val="006E2A21"/>
    <w:rsid w:val="006E2AD7"/>
    <w:rsid w:val="006E2DA6"/>
    <w:rsid w:val="006E3671"/>
    <w:rsid w:val="006E39CB"/>
    <w:rsid w:val="006E41DE"/>
    <w:rsid w:val="006E4697"/>
    <w:rsid w:val="006E490D"/>
    <w:rsid w:val="006E4CCD"/>
    <w:rsid w:val="006E4D2F"/>
    <w:rsid w:val="006E540A"/>
    <w:rsid w:val="006E56BD"/>
    <w:rsid w:val="006E5C0A"/>
    <w:rsid w:val="006E5CB1"/>
    <w:rsid w:val="006E5D04"/>
    <w:rsid w:val="006E651F"/>
    <w:rsid w:val="006E6E51"/>
    <w:rsid w:val="006E7034"/>
    <w:rsid w:val="006E748A"/>
    <w:rsid w:val="006E75B3"/>
    <w:rsid w:val="006E793C"/>
    <w:rsid w:val="006E7C08"/>
    <w:rsid w:val="006E7DB6"/>
    <w:rsid w:val="006F008F"/>
    <w:rsid w:val="006F0183"/>
    <w:rsid w:val="006F048F"/>
    <w:rsid w:val="006F08B4"/>
    <w:rsid w:val="006F0A86"/>
    <w:rsid w:val="006F0C98"/>
    <w:rsid w:val="006F0E84"/>
    <w:rsid w:val="006F0FCE"/>
    <w:rsid w:val="006F10DC"/>
    <w:rsid w:val="006F12E7"/>
    <w:rsid w:val="006F1686"/>
    <w:rsid w:val="006F1844"/>
    <w:rsid w:val="006F1901"/>
    <w:rsid w:val="006F1BB5"/>
    <w:rsid w:val="006F1D0D"/>
    <w:rsid w:val="006F24A2"/>
    <w:rsid w:val="006F24FE"/>
    <w:rsid w:val="006F2749"/>
    <w:rsid w:val="006F2A21"/>
    <w:rsid w:val="006F2A62"/>
    <w:rsid w:val="006F318D"/>
    <w:rsid w:val="006F3202"/>
    <w:rsid w:val="006F330F"/>
    <w:rsid w:val="006F3A91"/>
    <w:rsid w:val="006F3CF4"/>
    <w:rsid w:val="006F4155"/>
    <w:rsid w:val="006F41A6"/>
    <w:rsid w:val="006F43E7"/>
    <w:rsid w:val="006F4641"/>
    <w:rsid w:val="006F479C"/>
    <w:rsid w:val="006F47C1"/>
    <w:rsid w:val="006F49D3"/>
    <w:rsid w:val="006F5122"/>
    <w:rsid w:val="006F52F6"/>
    <w:rsid w:val="006F5966"/>
    <w:rsid w:val="006F59D0"/>
    <w:rsid w:val="006F5B55"/>
    <w:rsid w:val="006F5EE3"/>
    <w:rsid w:val="006F6264"/>
    <w:rsid w:val="006F6287"/>
    <w:rsid w:val="006F68F4"/>
    <w:rsid w:val="006F6A5C"/>
    <w:rsid w:val="006F6BE4"/>
    <w:rsid w:val="006F70C8"/>
    <w:rsid w:val="006F7305"/>
    <w:rsid w:val="006F748C"/>
    <w:rsid w:val="006F7687"/>
    <w:rsid w:val="006F77B7"/>
    <w:rsid w:val="006F7A85"/>
    <w:rsid w:val="006F7DB6"/>
    <w:rsid w:val="006F7E6D"/>
    <w:rsid w:val="0070001C"/>
    <w:rsid w:val="00700388"/>
    <w:rsid w:val="00700617"/>
    <w:rsid w:val="00700D7A"/>
    <w:rsid w:val="00700D7C"/>
    <w:rsid w:val="00701302"/>
    <w:rsid w:val="00701B2A"/>
    <w:rsid w:val="00701EBD"/>
    <w:rsid w:val="007023E1"/>
    <w:rsid w:val="00702427"/>
    <w:rsid w:val="007025B6"/>
    <w:rsid w:val="00702720"/>
    <w:rsid w:val="007029C4"/>
    <w:rsid w:val="00702C5D"/>
    <w:rsid w:val="00702E9A"/>
    <w:rsid w:val="00703116"/>
    <w:rsid w:val="00703308"/>
    <w:rsid w:val="0070347F"/>
    <w:rsid w:val="00703711"/>
    <w:rsid w:val="007038DD"/>
    <w:rsid w:val="00703B8F"/>
    <w:rsid w:val="00703CE5"/>
    <w:rsid w:val="00704370"/>
    <w:rsid w:val="007043A2"/>
    <w:rsid w:val="007044E1"/>
    <w:rsid w:val="0070476D"/>
    <w:rsid w:val="00704A0A"/>
    <w:rsid w:val="00704F92"/>
    <w:rsid w:val="00705287"/>
    <w:rsid w:val="007058E3"/>
    <w:rsid w:val="007058E4"/>
    <w:rsid w:val="00705BA7"/>
    <w:rsid w:val="00705BE1"/>
    <w:rsid w:val="00705DAC"/>
    <w:rsid w:val="00706822"/>
    <w:rsid w:val="00707220"/>
    <w:rsid w:val="00707446"/>
    <w:rsid w:val="0070746D"/>
    <w:rsid w:val="0070754C"/>
    <w:rsid w:val="0070797E"/>
    <w:rsid w:val="00707BCC"/>
    <w:rsid w:val="00707F52"/>
    <w:rsid w:val="0071002E"/>
    <w:rsid w:val="00710415"/>
    <w:rsid w:val="007105F7"/>
    <w:rsid w:val="00710787"/>
    <w:rsid w:val="00710B76"/>
    <w:rsid w:val="00710BD5"/>
    <w:rsid w:val="00710C78"/>
    <w:rsid w:val="00710FBF"/>
    <w:rsid w:val="00711015"/>
    <w:rsid w:val="007112C3"/>
    <w:rsid w:val="007113CD"/>
    <w:rsid w:val="007118C1"/>
    <w:rsid w:val="00712176"/>
    <w:rsid w:val="007122D1"/>
    <w:rsid w:val="00712629"/>
    <w:rsid w:val="00712706"/>
    <w:rsid w:val="00712BE3"/>
    <w:rsid w:val="007131BB"/>
    <w:rsid w:val="007131BC"/>
    <w:rsid w:val="00713338"/>
    <w:rsid w:val="007137E1"/>
    <w:rsid w:val="00713B17"/>
    <w:rsid w:val="00713B7C"/>
    <w:rsid w:val="00713C64"/>
    <w:rsid w:val="00713D5C"/>
    <w:rsid w:val="00714750"/>
    <w:rsid w:val="00714C7C"/>
    <w:rsid w:val="00714E10"/>
    <w:rsid w:val="00714E4A"/>
    <w:rsid w:val="00714EA8"/>
    <w:rsid w:val="00714FE2"/>
    <w:rsid w:val="00715238"/>
    <w:rsid w:val="00715509"/>
    <w:rsid w:val="00715512"/>
    <w:rsid w:val="0071558E"/>
    <w:rsid w:val="00715966"/>
    <w:rsid w:val="007159A5"/>
    <w:rsid w:val="007162BD"/>
    <w:rsid w:val="007164EA"/>
    <w:rsid w:val="007164F2"/>
    <w:rsid w:val="0071678B"/>
    <w:rsid w:val="00716ACC"/>
    <w:rsid w:val="00716BF2"/>
    <w:rsid w:val="00717254"/>
    <w:rsid w:val="00717DED"/>
    <w:rsid w:val="0071DBFE"/>
    <w:rsid w:val="0072030B"/>
    <w:rsid w:val="007203F9"/>
    <w:rsid w:val="00721117"/>
    <w:rsid w:val="007211CE"/>
    <w:rsid w:val="007214FD"/>
    <w:rsid w:val="007215BC"/>
    <w:rsid w:val="00721A14"/>
    <w:rsid w:val="00721BB4"/>
    <w:rsid w:val="00721C78"/>
    <w:rsid w:val="00721FD0"/>
    <w:rsid w:val="00722076"/>
    <w:rsid w:val="007221F8"/>
    <w:rsid w:val="0072230B"/>
    <w:rsid w:val="007224B9"/>
    <w:rsid w:val="00722618"/>
    <w:rsid w:val="00722653"/>
    <w:rsid w:val="00722D48"/>
    <w:rsid w:val="00723331"/>
    <w:rsid w:val="00723685"/>
    <w:rsid w:val="00723FB0"/>
    <w:rsid w:val="007241CA"/>
    <w:rsid w:val="0072440C"/>
    <w:rsid w:val="00724564"/>
    <w:rsid w:val="00724954"/>
    <w:rsid w:val="00724A2B"/>
    <w:rsid w:val="00724ACB"/>
    <w:rsid w:val="00724C3A"/>
    <w:rsid w:val="00724E8C"/>
    <w:rsid w:val="007259D4"/>
    <w:rsid w:val="00725BDD"/>
    <w:rsid w:val="00725F51"/>
    <w:rsid w:val="00726415"/>
    <w:rsid w:val="00726875"/>
    <w:rsid w:val="007268AE"/>
    <w:rsid w:val="0072695C"/>
    <w:rsid w:val="00726980"/>
    <w:rsid w:val="00726B2C"/>
    <w:rsid w:val="00726D4E"/>
    <w:rsid w:val="007279F7"/>
    <w:rsid w:val="00727BCE"/>
    <w:rsid w:val="00727F9A"/>
    <w:rsid w:val="00730746"/>
    <w:rsid w:val="00730B9E"/>
    <w:rsid w:val="00730E57"/>
    <w:rsid w:val="00731239"/>
    <w:rsid w:val="0073158D"/>
    <w:rsid w:val="00731A2C"/>
    <w:rsid w:val="00731AA3"/>
    <w:rsid w:val="00731ACE"/>
    <w:rsid w:val="00731CC5"/>
    <w:rsid w:val="007322C4"/>
    <w:rsid w:val="007323B1"/>
    <w:rsid w:val="007323B6"/>
    <w:rsid w:val="00732833"/>
    <w:rsid w:val="00732D43"/>
    <w:rsid w:val="00732EBC"/>
    <w:rsid w:val="00733092"/>
    <w:rsid w:val="00733286"/>
    <w:rsid w:val="0073342B"/>
    <w:rsid w:val="00733646"/>
    <w:rsid w:val="00733B01"/>
    <w:rsid w:val="00733B2A"/>
    <w:rsid w:val="00733B9B"/>
    <w:rsid w:val="00734275"/>
    <w:rsid w:val="00734949"/>
    <w:rsid w:val="007349AB"/>
    <w:rsid w:val="00734DAA"/>
    <w:rsid w:val="00734DD4"/>
    <w:rsid w:val="00735043"/>
    <w:rsid w:val="0073517F"/>
    <w:rsid w:val="0073544D"/>
    <w:rsid w:val="00735580"/>
    <w:rsid w:val="007355BE"/>
    <w:rsid w:val="007355E0"/>
    <w:rsid w:val="00735D67"/>
    <w:rsid w:val="00735F0E"/>
    <w:rsid w:val="00735FD6"/>
    <w:rsid w:val="0073624C"/>
    <w:rsid w:val="00736471"/>
    <w:rsid w:val="0073695F"/>
    <w:rsid w:val="00736ABB"/>
    <w:rsid w:val="00736BC6"/>
    <w:rsid w:val="00737849"/>
    <w:rsid w:val="00737901"/>
    <w:rsid w:val="00737E60"/>
    <w:rsid w:val="00740011"/>
    <w:rsid w:val="0074001F"/>
    <w:rsid w:val="007400D7"/>
    <w:rsid w:val="007401D5"/>
    <w:rsid w:val="007404D6"/>
    <w:rsid w:val="00740848"/>
    <w:rsid w:val="00740C46"/>
    <w:rsid w:val="00740ECD"/>
    <w:rsid w:val="00741547"/>
    <w:rsid w:val="007419A8"/>
    <w:rsid w:val="00741C5E"/>
    <w:rsid w:val="0074214B"/>
    <w:rsid w:val="007427F5"/>
    <w:rsid w:val="00742C76"/>
    <w:rsid w:val="007433A5"/>
    <w:rsid w:val="00743405"/>
    <w:rsid w:val="00743570"/>
    <w:rsid w:val="0074368B"/>
    <w:rsid w:val="007437AB"/>
    <w:rsid w:val="00743C50"/>
    <w:rsid w:val="00743F9B"/>
    <w:rsid w:val="0074440C"/>
    <w:rsid w:val="0074467E"/>
    <w:rsid w:val="0074478A"/>
    <w:rsid w:val="007449CE"/>
    <w:rsid w:val="00744A99"/>
    <w:rsid w:val="00744E08"/>
    <w:rsid w:val="00745407"/>
    <w:rsid w:val="00745901"/>
    <w:rsid w:val="00745CE2"/>
    <w:rsid w:val="00745E6C"/>
    <w:rsid w:val="00745F31"/>
    <w:rsid w:val="00745FD9"/>
    <w:rsid w:val="00746106"/>
    <w:rsid w:val="00746137"/>
    <w:rsid w:val="00746190"/>
    <w:rsid w:val="00746270"/>
    <w:rsid w:val="007468D2"/>
    <w:rsid w:val="00746CC3"/>
    <w:rsid w:val="00747251"/>
    <w:rsid w:val="007474D0"/>
    <w:rsid w:val="007476EC"/>
    <w:rsid w:val="007478A3"/>
    <w:rsid w:val="00747E8A"/>
    <w:rsid w:val="00747EC1"/>
    <w:rsid w:val="00747F63"/>
    <w:rsid w:val="00750083"/>
    <w:rsid w:val="007501EA"/>
    <w:rsid w:val="0075080F"/>
    <w:rsid w:val="007508A8"/>
    <w:rsid w:val="00750AAB"/>
    <w:rsid w:val="00750C00"/>
    <w:rsid w:val="00750CCB"/>
    <w:rsid w:val="00750D56"/>
    <w:rsid w:val="00750E8D"/>
    <w:rsid w:val="00751A8B"/>
    <w:rsid w:val="00751CCF"/>
    <w:rsid w:val="007521E9"/>
    <w:rsid w:val="00752244"/>
    <w:rsid w:val="00752362"/>
    <w:rsid w:val="00752496"/>
    <w:rsid w:val="007529A7"/>
    <w:rsid w:val="00752D60"/>
    <w:rsid w:val="00752D7C"/>
    <w:rsid w:val="00752F7D"/>
    <w:rsid w:val="00752F7E"/>
    <w:rsid w:val="00753374"/>
    <w:rsid w:val="00753773"/>
    <w:rsid w:val="007538F7"/>
    <w:rsid w:val="00753A70"/>
    <w:rsid w:val="00754351"/>
    <w:rsid w:val="007549D2"/>
    <w:rsid w:val="00754A3D"/>
    <w:rsid w:val="00754C23"/>
    <w:rsid w:val="00754EAF"/>
    <w:rsid w:val="00754F9E"/>
    <w:rsid w:val="0075531A"/>
    <w:rsid w:val="00755D60"/>
    <w:rsid w:val="00756234"/>
    <w:rsid w:val="007562DE"/>
    <w:rsid w:val="00756509"/>
    <w:rsid w:val="0075661E"/>
    <w:rsid w:val="00756622"/>
    <w:rsid w:val="00756E36"/>
    <w:rsid w:val="00756F8F"/>
    <w:rsid w:val="00756FAA"/>
    <w:rsid w:val="0075721C"/>
    <w:rsid w:val="00757321"/>
    <w:rsid w:val="0075750E"/>
    <w:rsid w:val="007575A5"/>
    <w:rsid w:val="007578A2"/>
    <w:rsid w:val="00757FF9"/>
    <w:rsid w:val="00760029"/>
    <w:rsid w:val="0076005F"/>
    <w:rsid w:val="00760573"/>
    <w:rsid w:val="007607CD"/>
    <w:rsid w:val="0076081D"/>
    <w:rsid w:val="007608EC"/>
    <w:rsid w:val="007609FE"/>
    <w:rsid w:val="007612FD"/>
    <w:rsid w:val="007614B3"/>
    <w:rsid w:val="0076182A"/>
    <w:rsid w:val="00761929"/>
    <w:rsid w:val="00761A71"/>
    <w:rsid w:val="00761D3A"/>
    <w:rsid w:val="007621DD"/>
    <w:rsid w:val="007622EC"/>
    <w:rsid w:val="007623D8"/>
    <w:rsid w:val="007625E6"/>
    <w:rsid w:val="00762CAF"/>
    <w:rsid w:val="0076307A"/>
    <w:rsid w:val="00763491"/>
    <w:rsid w:val="00763872"/>
    <w:rsid w:val="00763B6A"/>
    <w:rsid w:val="00763EAF"/>
    <w:rsid w:val="007641DF"/>
    <w:rsid w:val="0076425F"/>
    <w:rsid w:val="00764AEA"/>
    <w:rsid w:val="007651BD"/>
    <w:rsid w:val="0076524D"/>
    <w:rsid w:val="007654A1"/>
    <w:rsid w:val="00765B03"/>
    <w:rsid w:val="00766090"/>
    <w:rsid w:val="0076612D"/>
    <w:rsid w:val="0076631A"/>
    <w:rsid w:val="00766808"/>
    <w:rsid w:val="0076694C"/>
    <w:rsid w:val="00766C6A"/>
    <w:rsid w:val="007672D3"/>
    <w:rsid w:val="007674E1"/>
    <w:rsid w:val="00767AC7"/>
    <w:rsid w:val="00767D0A"/>
    <w:rsid w:val="00767DB6"/>
    <w:rsid w:val="0077013B"/>
    <w:rsid w:val="00770FBC"/>
    <w:rsid w:val="00771430"/>
    <w:rsid w:val="00771C25"/>
    <w:rsid w:val="007720A5"/>
    <w:rsid w:val="00772A4F"/>
    <w:rsid w:val="007735CE"/>
    <w:rsid w:val="00773AA0"/>
    <w:rsid w:val="00773E6E"/>
    <w:rsid w:val="00773FB6"/>
    <w:rsid w:val="0077415B"/>
    <w:rsid w:val="007746A4"/>
    <w:rsid w:val="00774CD9"/>
    <w:rsid w:val="00775092"/>
    <w:rsid w:val="007756ED"/>
    <w:rsid w:val="007757FB"/>
    <w:rsid w:val="0077597C"/>
    <w:rsid w:val="007761B1"/>
    <w:rsid w:val="007764D2"/>
    <w:rsid w:val="007765A8"/>
    <w:rsid w:val="00776AA2"/>
    <w:rsid w:val="00776B9C"/>
    <w:rsid w:val="00776D74"/>
    <w:rsid w:val="00776F8A"/>
    <w:rsid w:val="0077707B"/>
    <w:rsid w:val="00777275"/>
    <w:rsid w:val="007772D7"/>
    <w:rsid w:val="007776A6"/>
    <w:rsid w:val="0077775C"/>
    <w:rsid w:val="00777793"/>
    <w:rsid w:val="0077790F"/>
    <w:rsid w:val="00777B1A"/>
    <w:rsid w:val="00780C6F"/>
    <w:rsid w:val="00781197"/>
    <w:rsid w:val="00781505"/>
    <w:rsid w:val="00781CCD"/>
    <w:rsid w:val="0078225C"/>
    <w:rsid w:val="00782378"/>
    <w:rsid w:val="007827A1"/>
    <w:rsid w:val="00782813"/>
    <w:rsid w:val="00782BED"/>
    <w:rsid w:val="00782E3F"/>
    <w:rsid w:val="0078312B"/>
    <w:rsid w:val="00783371"/>
    <w:rsid w:val="00783605"/>
    <w:rsid w:val="0078371C"/>
    <w:rsid w:val="0078415C"/>
    <w:rsid w:val="00784512"/>
    <w:rsid w:val="00784785"/>
    <w:rsid w:val="0078498D"/>
    <w:rsid w:val="00784A7B"/>
    <w:rsid w:val="00784BFB"/>
    <w:rsid w:val="00784C49"/>
    <w:rsid w:val="00784D21"/>
    <w:rsid w:val="00784EDE"/>
    <w:rsid w:val="00784EFA"/>
    <w:rsid w:val="007854BE"/>
    <w:rsid w:val="00785530"/>
    <w:rsid w:val="00785534"/>
    <w:rsid w:val="0078565E"/>
    <w:rsid w:val="00785753"/>
    <w:rsid w:val="00785AC1"/>
    <w:rsid w:val="00785F58"/>
    <w:rsid w:val="00786222"/>
    <w:rsid w:val="007866C6"/>
    <w:rsid w:val="00786732"/>
    <w:rsid w:val="00786CB3"/>
    <w:rsid w:val="00787D0B"/>
    <w:rsid w:val="00787E97"/>
    <w:rsid w:val="00790729"/>
    <w:rsid w:val="007907A2"/>
    <w:rsid w:val="007909FE"/>
    <w:rsid w:val="00790A98"/>
    <w:rsid w:val="0079124F"/>
    <w:rsid w:val="007912B1"/>
    <w:rsid w:val="007916F4"/>
    <w:rsid w:val="00791EDD"/>
    <w:rsid w:val="007927E5"/>
    <w:rsid w:val="00792A63"/>
    <w:rsid w:val="00792B40"/>
    <w:rsid w:val="00792C6F"/>
    <w:rsid w:val="007939E3"/>
    <w:rsid w:val="00793A5A"/>
    <w:rsid w:val="00793B16"/>
    <w:rsid w:val="00793EED"/>
    <w:rsid w:val="0079418D"/>
    <w:rsid w:val="007943F1"/>
    <w:rsid w:val="00794514"/>
    <w:rsid w:val="007948B1"/>
    <w:rsid w:val="00794A30"/>
    <w:rsid w:val="00794CBE"/>
    <w:rsid w:val="00794EA1"/>
    <w:rsid w:val="00795209"/>
    <w:rsid w:val="007953CA"/>
    <w:rsid w:val="00795573"/>
    <w:rsid w:val="00795A6E"/>
    <w:rsid w:val="00795D82"/>
    <w:rsid w:val="007960AA"/>
    <w:rsid w:val="007962A5"/>
    <w:rsid w:val="007964C2"/>
    <w:rsid w:val="007967BF"/>
    <w:rsid w:val="00796BB3"/>
    <w:rsid w:val="00796E55"/>
    <w:rsid w:val="00796EA9"/>
    <w:rsid w:val="00796EFA"/>
    <w:rsid w:val="007970E3"/>
    <w:rsid w:val="0079727D"/>
    <w:rsid w:val="0079729F"/>
    <w:rsid w:val="0079757F"/>
    <w:rsid w:val="00797586"/>
    <w:rsid w:val="007976E4"/>
    <w:rsid w:val="007978C3"/>
    <w:rsid w:val="00797D4C"/>
    <w:rsid w:val="007A03C2"/>
    <w:rsid w:val="007A0811"/>
    <w:rsid w:val="007A0ABD"/>
    <w:rsid w:val="007A0DF8"/>
    <w:rsid w:val="007A1085"/>
    <w:rsid w:val="007A175F"/>
    <w:rsid w:val="007A17E8"/>
    <w:rsid w:val="007A1932"/>
    <w:rsid w:val="007A213C"/>
    <w:rsid w:val="007A2895"/>
    <w:rsid w:val="007A28D7"/>
    <w:rsid w:val="007A2967"/>
    <w:rsid w:val="007A2DDA"/>
    <w:rsid w:val="007A2F6A"/>
    <w:rsid w:val="007A33D6"/>
    <w:rsid w:val="007A362C"/>
    <w:rsid w:val="007A3A5D"/>
    <w:rsid w:val="007A3C52"/>
    <w:rsid w:val="007A4046"/>
    <w:rsid w:val="007A44D5"/>
    <w:rsid w:val="007A4589"/>
    <w:rsid w:val="007A47BE"/>
    <w:rsid w:val="007A47CC"/>
    <w:rsid w:val="007A4A65"/>
    <w:rsid w:val="007A4ACF"/>
    <w:rsid w:val="007A4EB8"/>
    <w:rsid w:val="007A519F"/>
    <w:rsid w:val="007A565E"/>
    <w:rsid w:val="007A58F4"/>
    <w:rsid w:val="007A5BB6"/>
    <w:rsid w:val="007A5C6B"/>
    <w:rsid w:val="007A6481"/>
    <w:rsid w:val="007A652E"/>
    <w:rsid w:val="007A6581"/>
    <w:rsid w:val="007A6647"/>
    <w:rsid w:val="007A67CC"/>
    <w:rsid w:val="007A6D43"/>
    <w:rsid w:val="007A6FD1"/>
    <w:rsid w:val="007A7373"/>
    <w:rsid w:val="007A743F"/>
    <w:rsid w:val="007A755C"/>
    <w:rsid w:val="007A75AB"/>
    <w:rsid w:val="007A7815"/>
    <w:rsid w:val="007A7B1D"/>
    <w:rsid w:val="007A7C0A"/>
    <w:rsid w:val="007A7E00"/>
    <w:rsid w:val="007A7E60"/>
    <w:rsid w:val="007B03CB"/>
    <w:rsid w:val="007B08E3"/>
    <w:rsid w:val="007B0A38"/>
    <w:rsid w:val="007B13EF"/>
    <w:rsid w:val="007B1593"/>
    <w:rsid w:val="007B15EE"/>
    <w:rsid w:val="007B1A8A"/>
    <w:rsid w:val="007B1B57"/>
    <w:rsid w:val="007B1D20"/>
    <w:rsid w:val="007B1D34"/>
    <w:rsid w:val="007B1F65"/>
    <w:rsid w:val="007B2200"/>
    <w:rsid w:val="007B2705"/>
    <w:rsid w:val="007B27E0"/>
    <w:rsid w:val="007B29EC"/>
    <w:rsid w:val="007B2E74"/>
    <w:rsid w:val="007B2EAB"/>
    <w:rsid w:val="007B2F33"/>
    <w:rsid w:val="007B3014"/>
    <w:rsid w:val="007B308E"/>
    <w:rsid w:val="007B31E4"/>
    <w:rsid w:val="007B359C"/>
    <w:rsid w:val="007B37E7"/>
    <w:rsid w:val="007B3A01"/>
    <w:rsid w:val="007B3E7D"/>
    <w:rsid w:val="007B4703"/>
    <w:rsid w:val="007B541E"/>
    <w:rsid w:val="007B5724"/>
    <w:rsid w:val="007B5DE7"/>
    <w:rsid w:val="007B5E65"/>
    <w:rsid w:val="007B623A"/>
    <w:rsid w:val="007B6A3E"/>
    <w:rsid w:val="007B71FC"/>
    <w:rsid w:val="007B76B6"/>
    <w:rsid w:val="007B7D97"/>
    <w:rsid w:val="007C01B8"/>
    <w:rsid w:val="007C02A0"/>
    <w:rsid w:val="007C02A6"/>
    <w:rsid w:val="007C089F"/>
    <w:rsid w:val="007C0AF4"/>
    <w:rsid w:val="007C0B47"/>
    <w:rsid w:val="007C12F2"/>
    <w:rsid w:val="007C142E"/>
    <w:rsid w:val="007C1489"/>
    <w:rsid w:val="007C1490"/>
    <w:rsid w:val="007C1704"/>
    <w:rsid w:val="007C177B"/>
    <w:rsid w:val="007C1930"/>
    <w:rsid w:val="007C1E09"/>
    <w:rsid w:val="007C2471"/>
    <w:rsid w:val="007C291B"/>
    <w:rsid w:val="007C2D17"/>
    <w:rsid w:val="007C2D63"/>
    <w:rsid w:val="007C30E0"/>
    <w:rsid w:val="007C3181"/>
    <w:rsid w:val="007C32EC"/>
    <w:rsid w:val="007C359B"/>
    <w:rsid w:val="007C3C3F"/>
    <w:rsid w:val="007C4262"/>
    <w:rsid w:val="007C426F"/>
    <w:rsid w:val="007C44C7"/>
    <w:rsid w:val="007C49AC"/>
    <w:rsid w:val="007C4B01"/>
    <w:rsid w:val="007C5029"/>
    <w:rsid w:val="007C52F0"/>
    <w:rsid w:val="007C5329"/>
    <w:rsid w:val="007C5864"/>
    <w:rsid w:val="007C594B"/>
    <w:rsid w:val="007C5963"/>
    <w:rsid w:val="007C5FEE"/>
    <w:rsid w:val="007C6272"/>
    <w:rsid w:val="007C70DF"/>
    <w:rsid w:val="007C7105"/>
    <w:rsid w:val="007C7133"/>
    <w:rsid w:val="007C72C1"/>
    <w:rsid w:val="007C72C6"/>
    <w:rsid w:val="007C72EC"/>
    <w:rsid w:val="007C77A0"/>
    <w:rsid w:val="007C7828"/>
    <w:rsid w:val="007C7E0E"/>
    <w:rsid w:val="007D049A"/>
    <w:rsid w:val="007D065C"/>
    <w:rsid w:val="007D067D"/>
    <w:rsid w:val="007D07D9"/>
    <w:rsid w:val="007D0A53"/>
    <w:rsid w:val="007D0B82"/>
    <w:rsid w:val="007D0E50"/>
    <w:rsid w:val="007D0FB0"/>
    <w:rsid w:val="007D1332"/>
    <w:rsid w:val="007D171E"/>
    <w:rsid w:val="007D191D"/>
    <w:rsid w:val="007D1934"/>
    <w:rsid w:val="007D1C8F"/>
    <w:rsid w:val="007D1C91"/>
    <w:rsid w:val="007D204C"/>
    <w:rsid w:val="007D22F3"/>
    <w:rsid w:val="007D2716"/>
    <w:rsid w:val="007D33DF"/>
    <w:rsid w:val="007D34AE"/>
    <w:rsid w:val="007D3536"/>
    <w:rsid w:val="007D3DA8"/>
    <w:rsid w:val="007D3DD4"/>
    <w:rsid w:val="007D3F94"/>
    <w:rsid w:val="007D46F5"/>
    <w:rsid w:val="007D4961"/>
    <w:rsid w:val="007D4E0F"/>
    <w:rsid w:val="007D52D4"/>
    <w:rsid w:val="007D539C"/>
    <w:rsid w:val="007D53E4"/>
    <w:rsid w:val="007D595C"/>
    <w:rsid w:val="007D5B39"/>
    <w:rsid w:val="007D5F2B"/>
    <w:rsid w:val="007D603B"/>
    <w:rsid w:val="007D6572"/>
    <w:rsid w:val="007D69FA"/>
    <w:rsid w:val="007D6D43"/>
    <w:rsid w:val="007D6E25"/>
    <w:rsid w:val="007D7345"/>
    <w:rsid w:val="007D77EB"/>
    <w:rsid w:val="007D7C20"/>
    <w:rsid w:val="007E09E3"/>
    <w:rsid w:val="007E0CEC"/>
    <w:rsid w:val="007E1273"/>
    <w:rsid w:val="007E12E5"/>
    <w:rsid w:val="007E13C3"/>
    <w:rsid w:val="007E183F"/>
    <w:rsid w:val="007E2140"/>
    <w:rsid w:val="007E2180"/>
    <w:rsid w:val="007E2492"/>
    <w:rsid w:val="007E2641"/>
    <w:rsid w:val="007E2750"/>
    <w:rsid w:val="007E2C8D"/>
    <w:rsid w:val="007E30A8"/>
    <w:rsid w:val="007E336C"/>
    <w:rsid w:val="007E372C"/>
    <w:rsid w:val="007E380A"/>
    <w:rsid w:val="007E3D9F"/>
    <w:rsid w:val="007E3DF6"/>
    <w:rsid w:val="007E3E2E"/>
    <w:rsid w:val="007E4034"/>
    <w:rsid w:val="007E4130"/>
    <w:rsid w:val="007E47A6"/>
    <w:rsid w:val="007E4909"/>
    <w:rsid w:val="007E4A68"/>
    <w:rsid w:val="007E4CE4"/>
    <w:rsid w:val="007E50FE"/>
    <w:rsid w:val="007E530D"/>
    <w:rsid w:val="007E5404"/>
    <w:rsid w:val="007E57C1"/>
    <w:rsid w:val="007E581D"/>
    <w:rsid w:val="007E5834"/>
    <w:rsid w:val="007E59AF"/>
    <w:rsid w:val="007E5A6F"/>
    <w:rsid w:val="007E5E8B"/>
    <w:rsid w:val="007E5E96"/>
    <w:rsid w:val="007E5FBC"/>
    <w:rsid w:val="007E6088"/>
    <w:rsid w:val="007E63DA"/>
    <w:rsid w:val="007E663B"/>
    <w:rsid w:val="007E68A4"/>
    <w:rsid w:val="007E6B1A"/>
    <w:rsid w:val="007E708B"/>
    <w:rsid w:val="007E71B1"/>
    <w:rsid w:val="007E7407"/>
    <w:rsid w:val="007E75A7"/>
    <w:rsid w:val="007E792C"/>
    <w:rsid w:val="007E7BE2"/>
    <w:rsid w:val="007E7D2A"/>
    <w:rsid w:val="007E7D6C"/>
    <w:rsid w:val="007E7E69"/>
    <w:rsid w:val="007F021F"/>
    <w:rsid w:val="007F0537"/>
    <w:rsid w:val="007F07E2"/>
    <w:rsid w:val="007F095C"/>
    <w:rsid w:val="007F0B26"/>
    <w:rsid w:val="007F0DB4"/>
    <w:rsid w:val="007F0F0F"/>
    <w:rsid w:val="007F117D"/>
    <w:rsid w:val="007F14D3"/>
    <w:rsid w:val="007F1846"/>
    <w:rsid w:val="007F234C"/>
    <w:rsid w:val="007F2684"/>
    <w:rsid w:val="007F274D"/>
    <w:rsid w:val="007F275C"/>
    <w:rsid w:val="007F2CC3"/>
    <w:rsid w:val="007F2CF9"/>
    <w:rsid w:val="007F2D01"/>
    <w:rsid w:val="007F2D5D"/>
    <w:rsid w:val="007F3258"/>
    <w:rsid w:val="007F3694"/>
    <w:rsid w:val="007F3ACE"/>
    <w:rsid w:val="007F40E7"/>
    <w:rsid w:val="007F4397"/>
    <w:rsid w:val="007F4AE6"/>
    <w:rsid w:val="007F4B25"/>
    <w:rsid w:val="007F4ECB"/>
    <w:rsid w:val="007F53D3"/>
    <w:rsid w:val="007F54A2"/>
    <w:rsid w:val="007F5727"/>
    <w:rsid w:val="007F595C"/>
    <w:rsid w:val="007F5E93"/>
    <w:rsid w:val="007F6434"/>
    <w:rsid w:val="007F6B52"/>
    <w:rsid w:val="007F6FC2"/>
    <w:rsid w:val="007F7328"/>
    <w:rsid w:val="007F799D"/>
    <w:rsid w:val="007F7EB8"/>
    <w:rsid w:val="007F7EE5"/>
    <w:rsid w:val="007FA367"/>
    <w:rsid w:val="008002F0"/>
    <w:rsid w:val="0080044F"/>
    <w:rsid w:val="00800541"/>
    <w:rsid w:val="008007AD"/>
    <w:rsid w:val="008009B1"/>
    <w:rsid w:val="00800AEC"/>
    <w:rsid w:val="008014D1"/>
    <w:rsid w:val="008014F8"/>
    <w:rsid w:val="00801C5E"/>
    <w:rsid w:val="00802019"/>
    <w:rsid w:val="008020CF"/>
    <w:rsid w:val="00802101"/>
    <w:rsid w:val="00802207"/>
    <w:rsid w:val="00802447"/>
    <w:rsid w:val="008030E8"/>
    <w:rsid w:val="00803298"/>
    <w:rsid w:val="008034AC"/>
    <w:rsid w:val="00803552"/>
    <w:rsid w:val="0080366B"/>
    <w:rsid w:val="00803948"/>
    <w:rsid w:val="00803EA0"/>
    <w:rsid w:val="00803EDD"/>
    <w:rsid w:val="00803F59"/>
    <w:rsid w:val="00804142"/>
    <w:rsid w:val="008042FF"/>
    <w:rsid w:val="008043F4"/>
    <w:rsid w:val="00804A84"/>
    <w:rsid w:val="00804CC4"/>
    <w:rsid w:val="00804DE6"/>
    <w:rsid w:val="00805498"/>
    <w:rsid w:val="0080557E"/>
    <w:rsid w:val="008056EB"/>
    <w:rsid w:val="00805A9E"/>
    <w:rsid w:val="00805AAA"/>
    <w:rsid w:val="00805B16"/>
    <w:rsid w:val="00805D1E"/>
    <w:rsid w:val="008061F7"/>
    <w:rsid w:val="0080627B"/>
    <w:rsid w:val="00806398"/>
    <w:rsid w:val="00806A25"/>
    <w:rsid w:val="00806E76"/>
    <w:rsid w:val="00807054"/>
    <w:rsid w:val="0080775C"/>
    <w:rsid w:val="00807CF3"/>
    <w:rsid w:val="00807E2C"/>
    <w:rsid w:val="00807E5E"/>
    <w:rsid w:val="00810363"/>
    <w:rsid w:val="0081052B"/>
    <w:rsid w:val="00810567"/>
    <w:rsid w:val="00810632"/>
    <w:rsid w:val="00810713"/>
    <w:rsid w:val="008108A5"/>
    <w:rsid w:val="00810A04"/>
    <w:rsid w:val="00810D29"/>
    <w:rsid w:val="008112D8"/>
    <w:rsid w:val="00812CD5"/>
    <w:rsid w:val="00812D17"/>
    <w:rsid w:val="00813AA8"/>
    <w:rsid w:val="00813C29"/>
    <w:rsid w:val="00813CE2"/>
    <w:rsid w:val="00813F1A"/>
    <w:rsid w:val="00814899"/>
    <w:rsid w:val="00814A42"/>
    <w:rsid w:val="0081567F"/>
    <w:rsid w:val="00815875"/>
    <w:rsid w:val="008158C8"/>
    <w:rsid w:val="00816412"/>
    <w:rsid w:val="0081673A"/>
    <w:rsid w:val="00816A33"/>
    <w:rsid w:val="008170D4"/>
    <w:rsid w:val="008171B9"/>
    <w:rsid w:val="00817295"/>
    <w:rsid w:val="008172CF"/>
    <w:rsid w:val="0081731D"/>
    <w:rsid w:val="00817918"/>
    <w:rsid w:val="00817CB4"/>
    <w:rsid w:val="00817E36"/>
    <w:rsid w:val="0082049B"/>
    <w:rsid w:val="008207A8"/>
    <w:rsid w:val="008209B3"/>
    <w:rsid w:val="00820B32"/>
    <w:rsid w:val="00820BE7"/>
    <w:rsid w:val="008210B1"/>
    <w:rsid w:val="00821153"/>
    <w:rsid w:val="00821192"/>
    <w:rsid w:val="00821200"/>
    <w:rsid w:val="00821398"/>
    <w:rsid w:val="008217FF"/>
    <w:rsid w:val="00821909"/>
    <w:rsid w:val="00821D07"/>
    <w:rsid w:val="00822184"/>
    <w:rsid w:val="008225B4"/>
    <w:rsid w:val="00822656"/>
    <w:rsid w:val="008227C3"/>
    <w:rsid w:val="00822C95"/>
    <w:rsid w:val="00822D6F"/>
    <w:rsid w:val="00822E8C"/>
    <w:rsid w:val="00822E93"/>
    <w:rsid w:val="00822EFC"/>
    <w:rsid w:val="0082306A"/>
    <w:rsid w:val="00823074"/>
    <w:rsid w:val="00823203"/>
    <w:rsid w:val="008232F4"/>
    <w:rsid w:val="008233DE"/>
    <w:rsid w:val="00823F26"/>
    <w:rsid w:val="0082412F"/>
    <w:rsid w:val="008243F3"/>
    <w:rsid w:val="0082497D"/>
    <w:rsid w:val="00824A15"/>
    <w:rsid w:val="00824A9F"/>
    <w:rsid w:val="00824CEE"/>
    <w:rsid w:val="00824DCC"/>
    <w:rsid w:val="00824DEE"/>
    <w:rsid w:val="00825DA3"/>
    <w:rsid w:val="00825E9C"/>
    <w:rsid w:val="00826068"/>
    <w:rsid w:val="0082640B"/>
    <w:rsid w:val="00826696"/>
    <w:rsid w:val="00826F3C"/>
    <w:rsid w:val="00826FBD"/>
    <w:rsid w:val="00827046"/>
    <w:rsid w:val="00827238"/>
    <w:rsid w:val="008273F0"/>
    <w:rsid w:val="008277E0"/>
    <w:rsid w:val="00827C93"/>
    <w:rsid w:val="00827F89"/>
    <w:rsid w:val="00830299"/>
    <w:rsid w:val="0083054A"/>
    <w:rsid w:val="00830834"/>
    <w:rsid w:val="00830AD4"/>
    <w:rsid w:val="00830CEE"/>
    <w:rsid w:val="00831228"/>
    <w:rsid w:val="00831302"/>
    <w:rsid w:val="00831EF0"/>
    <w:rsid w:val="00831F5A"/>
    <w:rsid w:val="008321C3"/>
    <w:rsid w:val="00832300"/>
    <w:rsid w:val="00832381"/>
    <w:rsid w:val="0083275C"/>
    <w:rsid w:val="0083287C"/>
    <w:rsid w:val="0083347F"/>
    <w:rsid w:val="00833679"/>
    <w:rsid w:val="008339D0"/>
    <w:rsid w:val="00833ADB"/>
    <w:rsid w:val="00833D39"/>
    <w:rsid w:val="00833F1B"/>
    <w:rsid w:val="00834C51"/>
    <w:rsid w:val="00834E21"/>
    <w:rsid w:val="00834F6D"/>
    <w:rsid w:val="00834FA4"/>
    <w:rsid w:val="008350B4"/>
    <w:rsid w:val="00835117"/>
    <w:rsid w:val="0083521C"/>
    <w:rsid w:val="00835558"/>
    <w:rsid w:val="00835A0A"/>
    <w:rsid w:val="00835BC1"/>
    <w:rsid w:val="00836010"/>
    <w:rsid w:val="008360DA"/>
    <w:rsid w:val="008375D5"/>
    <w:rsid w:val="00837905"/>
    <w:rsid w:val="00840153"/>
    <w:rsid w:val="008401CB"/>
    <w:rsid w:val="008407A8"/>
    <w:rsid w:val="00841588"/>
    <w:rsid w:val="008416AE"/>
    <w:rsid w:val="0084195A"/>
    <w:rsid w:val="00841A7B"/>
    <w:rsid w:val="00841B2E"/>
    <w:rsid w:val="00841CAD"/>
    <w:rsid w:val="00841D00"/>
    <w:rsid w:val="00841DB4"/>
    <w:rsid w:val="00841DF8"/>
    <w:rsid w:val="008425E8"/>
    <w:rsid w:val="00842AED"/>
    <w:rsid w:val="00842FFE"/>
    <w:rsid w:val="00843193"/>
    <w:rsid w:val="008432A3"/>
    <w:rsid w:val="008433A4"/>
    <w:rsid w:val="00843814"/>
    <w:rsid w:val="00843A25"/>
    <w:rsid w:val="00844034"/>
    <w:rsid w:val="00844577"/>
    <w:rsid w:val="00844590"/>
    <w:rsid w:val="00844591"/>
    <w:rsid w:val="00844CB0"/>
    <w:rsid w:val="00844F70"/>
    <w:rsid w:val="008454AD"/>
    <w:rsid w:val="008455B3"/>
    <w:rsid w:val="00845958"/>
    <w:rsid w:val="00845EE0"/>
    <w:rsid w:val="0084604C"/>
    <w:rsid w:val="00846238"/>
    <w:rsid w:val="00846654"/>
    <w:rsid w:val="008466C9"/>
    <w:rsid w:val="00846A23"/>
    <w:rsid w:val="00846B61"/>
    <w:rsid w:val="00846CFD"/>
    <w:rsid w:val="008470CE"/>
    <w:rsid w:val="00847185"/>
    <w:rsid w:val="00847188"/>
    <w:rsid w:val="00847479"/>
    <w:rsid w:val="00847A74"/>
    <w:rsid w:val="00847B0F"/>
    <w:rsid w:val="00847B52"/>
    <w:rsid w:val="00847ECB"/>
    <w:rsid w:val="00850007"/>
    <w:rsid w:val="0085012A"/>
    <w:rsid w:val="008501C0"/>
    <w:rsid w:val="00850D61"/>
    <w:rsid w:val="00850D82"/>
    <w:rsid w:val="00851092"/>
    <w:rsid w:val="0085150A"/>
    <w:rsid w:val="00851607"/>
    <w:rsid w:val="00851BF3"/>
    <w:rsid w:val="00851C2C"/>
    <w:rsid w:val="00851E37"/>
    <w:rsid w:val="00851FCE"/>
    <w:rsid w:val="008520B4"/>
    <w:rsid w:val="0085246A"/>
    <w:rsid w:val="00852763"/>
    <w:rsid w:val="008528CE"/>
    <w:rsid w:val="00852C39"/>
    <w:rsid w:val="00852CE0"/>
    <w:rsid w:val="00852CE2"/>
    <w:rsid w:val="00852EFC"/>
    <w:rsid w:val="00853666"/>
    <w:rsid w:val="00853760"/>
    <w:rsid w:val="008537C6"/>
    <w:rsid w:val="008538E7"/>
    <w:rsid w:val="00853CC7"/>
    <w:rsid w:val="00853F88"/>
    <w:rsid w:val="00854000"/>
    <w:rsid w:val="008540B8"/>
    <w:rsid w:val="00854BB1"/>
    <w:rsid w:val="00855456"/>
    <w:rsid w:val="00855506"/>
    <w:rsid w:val="00855C1C"/>
    <w:rsid w:val="00855E44"/>
    <w:rsid w:val="00855FB8"/>
    <w:rsid w:val="00855FD1"/>
    <w:rsid w:val="008561FB"/>
    <w:rsid w:val="0085679F"/>
    <w:rsid w:val="00856810"/>
    <w:rsid w:val="00856C56"/>
    <w:rsid w:val="00856D20"/>
    <w:rsid w:val="00857977"/>
    <w:rsid w:val="00857CB9"/>
    <w:rsid w:val="0086089F"/>
    <w:rsid w:val="0086094B"/>
    <w:rsid w:val="00860B38"/>
    <w:rsid w:val="00860DFD"/>
    <w:rsid w:val="00860EEB"/>
    <w:rsid w:val="008611FD"/>
    <w:rsid w:val="0086136C"/>
    <w:rsid w:val="008615B6"/>
    <w:rsid w:val="00861AC7"/>
    <w:rsid w:val="00861DD9"/>
    <w:rsid w:val="00861FBC"/>
    <w:rsid w:val="00862037"/>
    <w:rsid w:val="00862211"/>
    <w:rsid w:val="00862294"/>
    <w:rsid w:val="00862354"/>
    <w:rsid w:val="00862D46"/>
    <w:rsid w:val="00862E2F"/>
    <w:rsid w:val="00862E44"/>
    <w:rsid w:val="00862F73"/>
    <w:rsid w:val="00863258"/>
    <w:rsid w:val="00863878"/>
    <w:rsid w:val="00863CBD"/>
    <w:rsid w:val="00864434"/>
    <w:rsid w:val="008648BD"/>
    <w:rsid w:val="00864FC0"/>
    <w:rsid w:val="00865318"/>
    <w:rsid w:val="008654E8"/>
    <w:rsid w:val="00865776"/>
    <w:rsid w:val="00865B41"/>
    <w:rsid w:val="00865ECD"/>
    <w:rsid w:val="00865F88"/>
    <w:rsid w:val="00866302"/>
    <w:rsid w:val="00866502"/>
    <w:rsid w:val="00866682"/>
    <w:rsid w:val="00866793"/>
    <w:rsid w:val="00866FE7"/>
    <w:rsid w:val="008673A8"/>
    <w:rsid w:val="008673FC"/>
    <w:rsid w:val="008674BE"/>
    <w:rsid w:val="0086771E"/>
    <w:rsid w:val="00867D4C"/>
    <w:rsid w:val="00870297"/>
    <w:rsid w:val="00870C35"/>
    <w:rsid w:val="008715E1"/>
    <w:rsid w:val="008716CD"/>
    <w:rsid w:val="0087209E"/>
    <w:rsid w:val="00872325"/>
    <w:rsid w:val="008725CE"/>
    <w:rsid w:val="00872DB6"/>
    <w:rsid w:val="0087304B"/>
    <w:rsid w:val="00873305"/>
    <w:rsid w:val="0087337B"/>
    <w:rsid w:val="008733AE"/>
    <w:rsid w:val="00873A5F"/>
    <w:rsid w:val="00873E43"/>
    <w:rsid w:val="00873EA4"/>
    <w:rsid w:val="00873F32"/>
    <w:rsid w:val="00873F76"/>
    <w:rsid w:val="0087423F"/>
    <w:rsid w:val="0087448A"/>
    <w:rsid w:val="00874678"/>
    <w:rsid w:val="00874758"/>
    <w:rsid w:val="00874B3A"/>
    <w:rsid w:val="00874E00"/>
    <w:rsid w:val="00875136"/>
    <w:rsid w:val="0087542B"/>
    <w:rsid w:val="00875475"/>
    <w:rsid w:val="008757D4"/>
    <w:rsid w:val="00875988"/>
    <w:rsid w:val="00875D20"/>
    <w:rsid w:val="008764A5"/>
    <w:rsid w:val="00876B83"/>
    <w:rsid w:val="00876D3D"/>
    <w:rsid w:val="008772B0"/>
    <w:rsid w:val="008804C4"/>
    <w:rsid w:val="00880727"/>
    <w:rsid w:val="00880883"/>
    <w:rsid w:val="00880DE8"/>
    <w:rsid w:val="00880E99"/>
    <w:rsid w:val="00881048"/>
    <w:rsid w:val="008814EC"/>
    <w:rsid w:val="00881692"/>
    <w:rsid w:val="00881748"/>
    <w:rsid w:val="00882932"/>
    <w:rsid w:val="00882977"/>
    <w:rsid w:val="00882AC9"/>
    <w:rsid w:val="00882B73"/>
    <w:rsid w:val="00882E31"/>
    <w:rsid w:val="00882EF4"/>
    <w:rsid w:val="00882F2D"/>
    <w:rsid w:val="008834AD"/>
    <w:rsid w:val="00883A74"/>
    <w:rsid w:val="00883A93"/>
    <w:rsid w:val="00883C04"/>
    <w:rsid w:val="00883EF6"/>
    <w:rsid w:val="0088403E"/>
    <w:rsid w:val="008848FE"/>
    <w:rsid w:val="00884BAB"/>
    <w:rsid w:val="00885A9F"/>
    <w:rsid w:val="00885B16"/>
    <w:rsid w:val="00885DDD"/>
    <w:rsid w:val="0088618B"/>
    <w:rsid w:val="00886D79"/>
    <w:rsid w:val="00886E47"/>
    <w:rsid w:val="00886FA4"/>
    <w:rsid w:val="00887428"/>
    <w:rsid w:val="008877AA"/>
    <w:rsid w:val="00887809"/>
    <w:rsid w:val="00887927"/>
    <w:rsid w:val="00890082"/>
    <w:rsid w:val="00890310"/>
    <w:rsid w:val="00890395"/>
    <w:rsid w:val="008904EA"/>
    <w:rsid w:val="00890504"/>
    <w:rsid w:val="008909AD"/>
    <w:rsid w:val="00890CA0"/>
    <w:rsid w:val="00890EE6"/>
    <w:rsid w:val="00890FA0"/>
    <w:rsid w:val="0089136C"/>
    <w:rsid w:val="00891625"/>
    <w:rsid w:val="00891EEF"/>
    <w:rsid w:val="008922EE"/>
    <w:rsid w:val="0089236F"/>
    <w:rsid w:val="008928BE"/>
    <w:rsid w:val="00892A3D"/>
    <w:rsid w:val="00892A52"/>
    <w:rsid w:val="00892AD0"/>
    <w:rsid w:val="00893130"/>
    <w:rsid w:val="0089320B"/>
    <w:rsid w:val="00893299"/>
    <w:rsid w:val="008932E5"/>
    <w:rsid w:val="00893801"/>
    <w:rsid w:val="00893E8B"/>
    <w:rsid w:val="00893ECF"/>
    <w:rsid w:val="008941B3"/>
    <w:rsid w:val="008944F9"/>
    <w:rsid w:val="00894882"/>
    <w:rsid w:val="00894A8E"/>
    <w:rsid w:val="00894E97"/>
    <w:rsid w:val="008950FB"/>
    <w:rsid w:val="00895186"/>
    <w:rsid w:val="00895498"/>
    <w:rsid w:val="00895832"/>
    <w:rsid w:val="00895933"/>
    <w:rsid w:val="00895B53"/>
    <w:rsid w:val="00895E92"/>
    <w:rsid w:val="00895EE8"/>
    <w:rsid w:val="00895F9B"/>
    <w:rsid w:val="008967B0"/>
    <w:rsid w:val="00896B3F"/>
    <w:rsid w:val="00896D40"/>
    <w:rsid w:val="0089703E"/>
    <w:rsid w:val="00897223"/>
    <w:rsid w:val="008A0228"/>
    <w:rsid w:val="008A0749"/>
    <w:rsid w:val="008A0A86"/>
    <w:rsid w:val="008A0D49"/>
    <w:rsid w:val="008A0D77"/>
    <w:rsid w:val="008A0D9B"/>
    <w:rsid w:val="008A0F08"/>
    <w:rsid w:val="008A0FAD"/>
    <w:rsid w:val="008A1070"/>
    <w:rsid w:val="008A1147"/>
    <w:rsid w:val="008A141D"/>
    <w:rsid w:val="008A1DFA"/>
    <w:rsid w:val="008A1E82"/>
    <w:rsid w:val="008A2267"/>
    <w:rsid w:val="008A2395"/>
    <w:rsid w:val="008A24F2"/>
    <w:rsid w:val="008A2948"/>
    <w:rsid w:val="008A2C25"/>
    <w:rsid w:val="008A2E88"/>
    <w:rsid w:val="008A30A9"/>
    <w:rsid w:val="008A33C8"/>
    <w:rsid w:val="008A35D2"/>
    <w:rsid w:val="008A3E0F"/>
    <w:rsid w:val="008A3E32"/>
    <w:rsid w:val="008A447C"/>
    <w:rsid w:val="008A4B5B"/>
    <w:rsid w:val="008A4C13"/>
    <w:rsid w:val="008A55FC"/>
    <w:rsid w:val="008A5A0D"/>
    <w:rsid w:val="008A5A3C"/>
    <w:rsid w:val="008A6240"/>
    <w:rsid w:val="008A626A"/>
    <w:rsid w:val="008A6664"/>
    <w:rsid w:val="008A69EE"/>
    <w:rsid w:val="008A6AAC"/>
    <w:rsid w:val="008A6B07"/>
    <w:rsid w:val="008A6F71"/>
    <w:rsid w:val="008A7138"/>
    <w:rsid w:val="008A74B4"/>
    <w:rsid w:val="008A7531"/>
    <w:rsid w:val="008A7637"/>
    <w:rsid w:val="008A76B3"/>
    <w:rsid w:val="008A7B8D"/>
    <w:rsid w:val="008A7C5A"/>
    <w:rsid w:val="008A7EBA"/>
    <w:rsid w:val="008B0042"/>
    <w:rsid w:val="008B03AE"/>
    <w:rsid w:val="008B0434"/>
    <w:rsid w:val="008B056F"/>
    <w:rsid w:val="008B079B"/>
    <w:rsid w:val="008B0B07"/>
    <w:rsid w:val="008B0D41"/>
    <w:rsid w:val="008B11B5"/>
    <w:rsid w:val="008B1B9E"/>
    <w:rsid w:val="008B1DC3"/>
    <w:rsid w:val="008B2132"/>
    <w:rsid w:val="008B22A2"/>
    <w:rsid w:val="008B230A"/>
    <w:rsid w:val="008B248C"/>
    <w:rsid w:val="008B2613"/>
    <w:rsid w:val="008B2C4D"/>
    <w:rsid w:val="008B2DF0"/>
    <w:rsid w:val="008B33AD"/>
    <w:rsid w:val="008B35DB"/>
    <w:rsid w:val="008B369C"/>
    <w:rsid w:val="008B379D"/>
    <w:rsid w:val="008B45DD"/>
    <w:rsid w:val="008B478D"/>
    <w:rsid w:val="008B499E"/>
    <w:rsid w:val="008B4B06"/>
    <w:rsid w:val="008B4C7F"/>
    <w:rsid w:val="008B4F4E"/>
    <w:rsid w:val="008B502C"/>
    <w:rsid w:val="008B5263"/>
    <w:rsid w:val="008B53F7"/>
    <w:rsid w:val="008B54D3"/>
    <w:rsid w:val="008B5543"/>
    <w:rsid w:val="008B56B4"/>
    <w:rsid w:val="008B58EF"/>
    <w:rsid w:val="008B5F65"/>
    <w:rsid w:val="008B6145"/>
    <w:rsid w:val="008B62CD"/>
    <w:rsid w:val="008B6592"/>
    <w:rsid w:val="008B66A0"/>
    <w:rsid w:val="008B688D"/>
    <w:rsid w:val="008B68F3"/>
    <w:rsid w:val="008B6B7D"/>
    <w:rsid w:val="008B6BE5"/>
    <w:rsid w:val="008B6BE7"/>
    <w:rsid w:val="008B7122"/>
    <w:rsid w:val="008B71ED"/>
    <w:rsid w:val="008B737F"/>
    <w:rsid w:val="008B7870"/>
    <w:rsid w:val="008B78DF"/>
    <w:rsid w:val="008B7AE4"/>
    <w:rsid w:val="008B7B78"/>
    <w:rsid w:val="008B7CB4"/>
    <w:rsid w:val="008C0138"/>
    <w:rsid w:val="008C014E"/>
    <w:rsid w:val="008C0958"/>
    <w:rsid w:val="008C099A"/>
    <w:rsid w:val="008C0A4A"/>
    <w:rsid w:val="008C0DCD"/>
    <w:rsid w:val="008C1781"/>
    <w:rsid w:val="008C1782"/>
    <w:rsid w:val="008C2227"/>
    <w:rsid w:val="008C2539"/>
    <w:rsid w:val="008C26A2"/>
    <w:rsid w:val="008C295F"/>
    <w:rsid w:val="008C3068"/>
    <w:rsid w:val="008C33D5"/>
    <w:rsid w:val="008C359B"/>
    <w:rsid w:val="008C3961"/>
    <w:rsid w:val="008C406B"/>
    <w:rsid w:val="008C4341"/>
    <w:rsid w:val="008C43B4"/>
    <w:rsid w:val="008C449B"/>
    <w:rsid w:val="008C4768"/>
    <w:rsid w:val="008C48F2"/>
    <w:rsid w:val="008C4C8C"/>
    <w:rsid w:val="008C4E13"/>
    <w:rsid w:val="008C5061"/>
    <w:rsid w:val="008C5649"/>
    <w:rsid w:val="008C5658"/>
    <w:rsid w:val="008C5EA4"/>
    <w:rsid w:val="008C6127"/>
    <w:rsid w:val="008C6483"/>
    <w:rsid w:val="008C65EA"/>
    <w:rsid w:val="008C6796"/>
    <w:rsid w:val="008C69EA"/>
    <w:rsid w:val="008C6F67"/>
    <w:rsid w:val="008C75C1"/>
    <w:rsid w:val="008C7D27"/>
    <w:rsid w:val="008C7E48"/>
    <w:rsid w:val="008D02C2"/>
    <w:rsid w:val="008D0485"/>
    <w:rsid w:val="008D0834"/>
    <w:rsid w:val="008D09C8"/>
    <w:rsid w:val="008D09D3"/>
    <w:rsid w:val="008D0E86"/>
    <w:rsid w:val="008D0ED7"/>
    <w:rsid w:val="008D0F5C"/>
    <w:rsid w:val="008D10A1"/>
    <w:rsid w:val="008D1245"/>
    <w:rsid w:val="008D17F2"/>
    <w:rsid w:val="008D191E"/>
    <w:rsid w:val="008D1CE8"/>
    <w:rsid w:val="008D203B"/>
    <w:rsid w:val="008D2239"/>
    <w:rsid w:val="008D231E"/>
    <w:rsid w:val="008D25B9"/>
    <w:rsid w:val="008D2745"/>
    <w:rsid w:val="008D2B85"/>
    <w:rsid w:val="008D2C20"/>
    <w:rsid w:val="008D2F7D"/>
    <w:rsid w:val="008D3868"/>
    <w:rsid w:val="008D41F4"/>
    <w:rsid w:val="008D4220"/>
    <w:rsid w:val="008D45B2"/>
    <w:rsid w:val="008D4730"/>
    <w:rsid w:val="008D4876"/>
    <w:rsid w:val="008D54CD"/>
    <w:rsid w:val="008D5979"/>
    <w:rsid w:val="008D5C8F"/>
    <w:rsid w:val="008D6103"/>
    <w:rsid w:val="008D6419"/>
    <w:rsid w:val="008D6A7C"/>
    <w:rsid w:val="008D7B73"/>
    <w:rsid w:val="008E090B"/>
    <w:rsid w:val="008E0983"/>
    <w:rsid w:val="008E1318"/>
    <w:rsid w:val="008E153F"/>
    <w:rsid w:val="008E1966"/>
    <w:rsid w:val="008E1A3C"/>
    <w:rsid w:val="008E1AF4"/>
    <w:rsid w:val="008E2641"/>
    <w:rsid w:val="008E2798"/>
    <w:rsid w:val="008E2CE8"/>
    <w:rsid w:val="008E2F20"/>
    <w:rsid w:val="008E39B5"/>
    <w:rsid w:val="008E3A84"/>
    <w:rsid w:val="008E4179"/>
    <w:rsid w:val="008E4E13"/>
    <w:rsid w:val="008E4F54"/>
    <w:rsid w:val="008E4FF3"/>
    <w:rsid w:val="008E5190"/>
    <w:rsid w:val="008E5204"/>
    <w:rsid w:val="008E5279"/>
    <w:rsid w:val="008E537F"/>
    <w:rsid w:val="008E53EB"/>
    <w:rsid w:val="008E5484"/>
    <w:rsid w:val="008E54A5"/>
    <w:rsid w:val="008E586D"/>
    <w:rsid w:val="008E58D1"/>
    <w:rsid w:val="008E62EB"/>
    <w:rsid w:val="008E69B1"/>
    <w:rsid w:val="008E6B82"/>
    <w:rsid w:val="008E70F2"/>
    <w:rsid w:val="008E74A9"/>
    <w:rsid w:val="008E776B"/>
    <w:rsid w:val="008E7B33"/>
    <w:rsid w:val="008E7B8D"/>
    <w:rsid w:val="008F003A"/>
    <w:rsid w:val="008F071E"/>
    <w:rsid w:val="008F0906"/>
    <w:rsid w:val="008F0920"/>
    <w:rsid w:val="008F0B48"/>
    <w:rsid w:val="008F1359"/>
    <w:rsid w:val="008F14AD"/>
    <w:rsid w:val="008F1934"/>
    <w:rsid w:val="008F203F"/>
    <w:rsid w:val="008F2542"/>
    <w:rsid w:val="008F26AD"/>
    <w:rsid w:val="008F2C95"/>
    <w:rsid w:val="008F2ED3"/>
    <w:rsid w:val="008F3150"/>
    <w:rsid w:val="008F39F1"/>
    <w:rsid w:val="008F4137"/>
    <w:rsid w:val="008F42DD"/>
    <w:rsid w:val="008F43A3"/>
    <w:rsid w:val="008F44F2"/>
    <w:rsid w:val="008F48D5"/>
    <w:rsid w:val="008F4FBE"/>
    <w:rsid w:val="008F5223"/>
    <w:rsid w:val="008F5271"/>
    <w:rsid w:val="008F5553"/>
    <w:rsid w:val="008F58D3"/>
    <w:rsid w:val="008F6450"/>
    <w:rsid w:val="008F6783"/>
    <w:rsid w:val="008F6788"/>
    <w:rsid w:val="008F6B8A"/>
    <w:rsid w:val="008F6C22"/>
    <w:rsid w:val="008F712B"/>
    <w:rsid w:val="008F719F"/>
    <w:rsid w:val="008F72DD"/>
    <w:rsid w:val="008F7453"/>
    <w:rsid w:val="008F78AA"/>
    <w:rsid w:val="0090018E"/>
    <w:rsid w:val="00900320"/>
    <w:rsid w:val="0090041A"/>
    <w:rsid w:val="009006E7"/>
    <w:rsid w:val="00900B29"/>
    <w:rsid w:val="00900FB8"/>
    <w:rsid w:val="00901202"/>
    <w:rsid w:val="0090175B"/>
    <w:rsid w:val="009018B2"/>
    <w:rsid w:val="0090195B"/>
    <w:rsid w:val="00901ADC"/>
    <w:rsid w:val="00901B40"/>
    <w:rsid w:val="00902292"/>
    <w:rsid w:val="00902362"/>
    <w:rsid w:val="009024D6"/>
    <w:rsid w:val="00902B85"/>
    <w:rsid w:val="00902C52"/>
    <w:rsid w:val="00902E87"/>
    <w:rsid w:val="00903C02"/>
    <w:rsid w:val="00904153"/>
    <w:rsid w:val="00904258"/>
    <w:rsid w:val="009042A2"/>
    <w:rsid w:val="009043FC"/>
    <w:rsid w:val="009049F2"/>
    <w:rsid w:val="00904A01"/>
    <w:rsid w:val="00904A0A"/>
    <w:rsid w:val="00904E39"/>
    <w:rsid w:val="00904F51"/>
    <w:rsid w:val="009050C1"/>
    <w:rsid w:val="009052C6"/>
    <w:rsid w:val="00905C27"/>
    <w:rsid w:val="00905D2F"/>
    <w:rsid w:val="009064DD"/>
    <w:rsid w:val="009066E5"/>
    <w:rsid w:val="00906A06"/>
    <w:rsid w:val="00906A4E"/>
    <w:rsid w:val="00906AC4"/>
    <w:rsid w:val="00906CD7"/>
    <w:rsid w:val="0090707E"/>
    <w:rsid w:val="00907418"/>
    <w:rsid w:val="00907672"/>
    <w:rsid w:val="009077D2"/>
    <w:rsid w:val="009078CC"/>
    <w:rsid w:val="009079DA"/>
    <w:rsid w:val="009079E3"/>
    <w:rsid w:val="00907AD2"/>
    <w:rsid w:val="00907DEF"/>
    <w:rsid w:val="00907F73"/>
    <w:rsid w:val="0091052E"/>
    <w:rsid w:val="00911388"/>
    <w:rsid w:val="00911A30"/>
    <w:rsid w:val="00911D65"/>
    <w:rsid w:val="00912104"/>
    <w:rsid w:val="00912289"/>
    <w:rsid w:val="00912346"/>
    <w:rsid w:val="009124CC"/>
    <w:rsid w:val="00912881"/>
    <w:rsid w:val="00912A5B"/>
    <w:rsid w:val="00912B9A"/>
    <w:rsid w:val="00913009"/>
    <w:rsid w:val="009132C7"/>
    <w:rsid w:val="00913850"/>
    <w:rsid w:val="00913AC7"/>
    <w:rsid w:val="00913F76"/>
    <w:rsid w:val="009146E3"/>
    <w:rsid w:val="00914A6A"/>
    <w:rsid w:val="00914BD1"/>
    <w:rsid w:val="00914CE6"/>
    <w:rsid w:val="00915128"/>
    <w:rsid w:val="0091537E"/>
    <w:rsid w:val="009153D0"/>
    <w:rsid w:val="009156FF"/>
    <w:rsid w:val="00915872"/>
    <w:rsid w:val="00915D4B"/>
    <w:rsid w:val="00916218"/>
    <w:rsid w:val="0091655F"/>
    <w:rsid w:val="00916993"/>
    <w:rsid w:val="009169D1"/>
    <w:rsid w:val="00916C91"/>
    <w:rsid w:val="00916D4B"/>
    <w:rsid w:val="00916E69"/>
    <w:rsid w:val="00916F56"/>
    <w:rsid w:val="009172EA"/>
    <w:rsid w:val="0091772E"/>
    <w:rsid w:val="00917801"/>
    <w:rsid w:val="009178C5"/>
    <w:rsid w:val="00917A62"/>
    <w:rsid w:val="0092006B"/>
    <w:rsid w:val="00920327"/>
    <w:rsid w:val="00920909"/>
    <w:rsid w:val="00920AD6"/>
    <w:rsid w:val="00920C03"/>
    <w:rsid w:val="00921336"/>
    <w:rsid w:val="00921986"/>
    <w:rsid w:val="00921A53"/>
    <w:rsid w:val="00921BCC"/>
    <w:rsid w:val="00921C6C"/>
    <w:rsid w:val="009221B5"/>
    <w:rsid w:val="00922973"/>
    <w:rsid w:val="00922AD6"/>
    <w:rsid w:val="00922F73"/>
    <w:rsid w:val="009230E8"/>
    <w:rsid w:val="009232CF"/>
    <w:rsid w:val="009239E8"/>
    <w:rsid w:val="00923D7E"/>
    <w:rsid w:val="00924024"/>
    <w:rsid w:val="009245DC"/>
    <w:rsid w:val="0092472E"/>
    <w:rsid w:val="0092487A"/>
    <w:rsid w:val="00924B95"/>
    <w:rsid w:val="00924C5F"/>
    <w:rsid w:val="00925455"/>
    <w:rsid w:val="009259A9"/>
    <w:rsid w:val="00925F09"/>
    <w:rsid w:val="009260C6"/>
    <w:rsid w:val="0092633C"/>
    <w:rsid w:val="00926491"/>
    <w:rsid w:val="009264EB"/>
    <w:rsid w:val="00926614"/>
    <w:rsid w:val="00926647"/>
    <w:rsid w:val="00926656"/>
    <w:rsid w:val="00926B4C"/>
    <w:rsid w:val="00927039"/>
    <w:rsid w:val="00927265"/>
    <w:rsid w:val="00927498"/>
    <w:rsid w:val="0092751A"/>
    <w:rsid w:val="00927762"/>
    <w:rsid w:val="00927A7B"/>
    <w:rsid w:val="00927AE2"/>
    <w:rsid w:val="00927B17"/>
    <w:rsid w:val="00927B92"/>
    <w:rsid w:val="00927E97"/>
    <w:rsid w:val="0093008B"/>
    <w:rsid w:val="0093018A"/>
    <w:rsid w:val="009301E2"/>
    <w:rsid w:val="009305B6"/>
    <w:rsid w:val="009305F4"/>
    <w:rsid w:val="00930711"/>
    <w:rsid w:val="00930A09"/>
    <w:rsid w:val="00930AF1"/>
    <w:rsid w:val="00930BC0"/>
    <w:rsid w:val="00930C7D"/>
    <w:rsid w:val="009311D3"/>
    <w:rsid w:val="009311F8"/>
    <w:rsid w:val="0093127D"/>
    <w:rsid w:val="009319C4"/>
    <w:rsid w:val="00931A0D"/>
    <w:rsid w:val="00932028"/>
    <w:rsid w:val="00932133"/>
    <w:rsid w:val="009321BF"/>
    <w:rsid w:val="009322E6"/>
    <w:rsid w:val="0093243B"/>
    <w:rsid w:val="0093257E"/>
    <w:rsid w:val="00932712"/>
    <w:rsid w:val="00932F7C"/>
    <w:rsid w:val="00932FAF"/>
    <w:rsid w:val="00933015"/>
    <w:rsid w:val="009334D8"/>
    <w:rsid w:val="00933535"/>
    <w:rsid w:val="009335BF"/>
    <w:rsid w:val="00933925"/>
    <w:rsid w:val="00933D96"/>
    <w:rsid w:val="00934B1A"/>
    <w:rsid w:val="00934C0E"/>
    <w:rsid w:val="0093517D"/>
    <w:rsid w:val="00935316"/>
    <w:rsid w:val="009357E0"/>
    <w:rsid w:val="00935C22"/>
    <w:rsid w:val="0093695F"/>
    <w:rsid w:val="00936C6F"/>
    <w:rsid w:val="00936E69"/>
    <w:rsid w:val="00937CAD"/>
    <w:rsid w:val="00937D67"/>
    <w:rsid w:val="00937DD5"/>
    <w:rsid w:val="00937FD1"/>
    <w:rsid w:val="00940156"/>
    <w:rsid w:val="00940388"/>
    <w:rsid w:val="009405DC"/>
    <w:rsid w:val="00940825"/>
    <w:rsid w:val="00940AED"/>
    <w:rsid w:val="00940C2A"/>
    <w:rsid w:val="00940F21"/>
    <w:rsid w:val="00941688"/>
    <w:rsid w:val="00941D6F"/>
    <w:rsid w:val="00941EBA"/>
    <w:rsid w:val="009429FF"/>
    <w:rsid w:val="00942CE0"/>
    <w:rsid w:val="0094306D"/>
    <w:rsid w:val="009432B4"/>
    <w:rsid w:val="0094378E"/>
    <w:rsid w:val="009439D3"/>
    <w:rsid w:val="00943DCA"/>
    <w:rsid w:val="0094489D"/>
    <w:rsid w:val="009448E9"/>
    <w:rsid w:val="00944AB8"/>
    <w:rsid w:val="00944BCD"/>
    <w:rsid w:val="00945CB6"/>
    <w:rsid w:val="00945D1B"/>
    <w:rsid w:val="00945DFF"/>
    <w:rsid w:val="0094638B"/>
    <w:rsid w:val="009466D7"/>
    <w:rsid w:val="00947013"/>
    <w:rsid w:val="0094719A"/>
    <w:rsid w:val="009476B5"/>
    <w:rsid w:val="0094780B"/>
    <w:rsid w:val="009478E5"/>
    <w:rsid w:val="0094799C"/>
    <w:rsid w:val="00947A9B"/>
    <w:rsid w:val="00947B46"/>
    <w:rsid w:val="00950182"/>
    <w:rsid w:val="00950910"/>
    <w:rsid w:val="00950F74"/>
    <w:rsid w:val="0095106A"/>
    <w:rsid w:val="009513A7"/>
    <w:rsid w:val="00951841"/>
    <w:rsid w:val="00951C11"/>
    <w:rsid w:val="00951DD7"/>
    <w:rsid w:val="00951E2A"/>
    <w:rsid w:val="00952185"/>
    <w:rsid w:val="00952250"/>
    <w:rsid w:val="009523F6"/>
    <w:rsid w:val="00952BAF"/>
    <w:rsid w:val="00953094"/>
    <w:rsid w:val="00953304"/>
    <w:rsid w:val="00953723"/>
    <w:rsid w:val="009537BD"/>
    <w:rsid w:val="00953948"/>
    <w:rsid w:val="00953A53"/>
    <w:rsid w:val="009540DB"/>
    <w:rsid w:val="00954647"/>
    <w:rsid w:val="00954716"/>
    <w:rsid w:val="009547E9"/>
    <w:rsid w:val="00955461"/>
    <w:rsid w:val="00956091"/>
    <w:rsid w:val="00956898"/>
    <w:rsid w:val="00956C7B"/>
    <w:rsid w:val="00956D7F"/>
    <w:rsid w:val="00956F1D"/>
    <w:rsid w:val="009605AF"/>
    <w:rsid w:val="0096081C"/>
    <w:rsid w:val="00960A20"/>
    <w:rsid w:val="00960BBA"/>
    <w:rsid w:val="00960CCA"/>
    <w:rsid w:val="00960F30"/>
    <w:rsid w:val="00960F4A"/>
    <w:rsid w:val="00961273"/>
    <w:rsid w:val="00961376"/>
    <w:rsid w:val="009617BC"/>
    <w:rsid w:val="00961857"/>
    <w:rsid w:val="00961915"/>
    <w:rsid w:val="00961A1D"/>
    <w:rsid w:val="009622EB"/>
    <w:rsid w:val="009623DE"/>
    <w:rsid w:val="00962553"/>
    <w:rsid w:val="0096285A"/>
    <w:rsid w:val="009629A8"/>
    <w:rsid w:val="009629B9"/>
    <w:rsid w:val="00962BBD"/>
    <w:rsid w:val="00962E90"/>
    <w:rsid w:val="00962F0F"/>
    <w:rsid w:val="00963435"/>
    <w:rsid w:val="0096385C"/>
    <w:rsid w:val="00963949"/>
    <w:rsid w:val="009639D7"/>
    <w:rsid w:val="00963A3C"/>
    <w:rsid w:val="00963D90"/>
    <w:rsid w:val="00963DB5"/>
    <w:rsid w:val="00963E0B"/>
    <w:rsid w:val="00963E2A"/>
    <w:rsid w:val="009643ED"/>
    <w:rsid w:val="009648DD"/>
    <w:rsid w:val="00964A2E"/>
    <w:rsid w:val="00965089"/>
    <w:rsid w:val="009653AA"/>
    <w:rsid w:val="00965D84"/>
    <w:rsid w:val="00965D91"/>
    <w:rsid w:val="00965DF5"/>
    <w:rsid w:val="00966248"/>
    <w:rsid w:val="009663A5"/>
    <w:rsid w:val="0096652F"/>
    <w:rsid w:val="0096668D"/>
    <w:rsid w:val="00966BFD"/>
    <w:rsid w:val="00966C2D"/>
    <w:rsid w:val="00966CEF"/>
    <w:rsid w:val="00966E24"/>
    <w:rsid w:val="009670BE"/>
    <w:rsid w:val="009670D2"/>
    <w:rsid w:val="00967596"/>
    <w:rsid w:val="00967829"/>
    <w:rsid w:val="00967849"/>
    <w:rsid w:val="00967D22"/>
    <w:rsid w:val="00967E61"/>
    <w:rsid w:val="0096E0AD"/>
    <w:rsid w:val="00970315"/>
    <w:rsid w:val="009705DC"/>
    <w:rsid w:val="009708D6"/>
    <w:rsid w:val="00971168"/>
    <w:rsid w:val="00971371"/>
    <w:rsid w:val="00971AF8"/>
    <w:rsid w:val="00971DF6"/>
    <w:rsid w:val="009721B9"/>
    <w:rsid w:val="009723DD"/>
    <w:rsid w:val="009724D9"/>
    <w:rsid w:val="00972513"/>
    <w:rsid w:val="009732C5"/>
    <w:rsid w:val="00973400"/>
    <w:rsid w:val="0097347F"/>
    <w:rsid w:val="0097359D"/>
    <w:rsid w:val="00973746"/>
    <w:rsid w:val="009738F3"/>
    <w:rsid w:val="0097390E"/>
    <w:rsid w:val="0097398F"/>
    <w:rsid w:val="00973C1D"/>
    <w:rsid w:val="00973C7C"/>
    <w:rsid w:val="00973E0D"/>
    <w:rsid w:val="00973EBA"/>
    <w:rsid w:val="009741F1"/>
    <w:rsid w:val="009744AF"/>
    <w:rsid w:val="009746BA"/>
    <w:rsid w:val="0097495F"/>
    <w:rsid w:val="00974E83"/>
    <w:rsid w:val="00974FF7"/>
    <w:rsid w:val="0097582A"/>
    <w:rsid w:val="00975901"/>
    <w:rsid w:val="00976013"/>
    <w:rsid w:val="009761A9"/>
    <w:rsid w:val="0097624D"/>
    <w:rsid w:val="0097632E"/>
    <w:rsid w:val="00976F50"/>
    <w:rsid w:val="00977090"/>
    <w:rsid w:val="0097734C"/>
    <w:rsid w:val="009775EA"/>
    <w:rsid w:val="0097783F"/>
    <w:rsid w:val="00977B40"/>
    <w:rsid w:val="009804E5"/>
    <w:rsid w:val="0098071A"/>
    <w:rsid w:val="00981087"/>
    <w:rsid w:val="009814E8"/>
    <w:rsid w:val="00982142"/>
    <w:rsid w:val="009823AE"/>
    <w:rsid w:val="00982768"/>
    <w:rsid w:val="00982A19"/>
    <w:rsid w:val="00982C98"/>
    <w:rsid w:val="00982DD0"/>
    <w:rsid w:val="009831E7"/>
    <w:rsid w:val="009832F0"/>
    <w:rsid w:val="00983D1C"/>
    <w:rsid w:val="009840DC"/>
    <w:rsid w:val="0098436C"/>
    <w:rsid w:val="0098467A"/>
    <w:rsid w:val="0098477B"/>
    <w:rsid w:val="0098477E"/>
    <w:rsid w:val="00984799"/>
    <w:rsid w:val="00984909"/>
    <w:rsid w:val="00984C01"/>
    <w:rsid w:val="00984F14"/>
    <w:rsid w:val="0098502A"/>
    <w:rsid w:val="0098517D"/>
    <w:rsid w:val="009856A1"/>
    <w:rsid w:val="009858E0"/>
    <w:rsid w:val="00985ABD"/>
    <w:rsid w:val="00985C45"/>
    <w:rsid w:val="00985D19"/>
    <w:rsid w:val="00985E17"/>
    <w:rsid w:val="00985FF6"/>
    <w:rsid w:val="009865DA"/>
    <w:rsid w:val="00986698"/>
    <w:rsid w:val="00986CA4"/>
    <w:rsid w:val="00986D2A"/>
    <w:rsid w:val="00987D01"/>
    <w:rsid w:val="00990296"/>
    <w:rsid w:val="00990373"/>
    <w:rsid w:val="00990564"/>
    <w:rsid w:val="00990909"/>
    <w:rsid w:val="00990D15"/>
    <w:rsid w:val="0099101D"/>
    <w:rsid w:val="009915E1"/>
    <w:rsid w:val="00991CFA"/>
    <w:rsid w:val="0099227B"/>
    <w:rsid w:val="0099251A"/>
    <w:rsid w:val="00992A9D"/>
    <w:rsid w:val="00992AA0"/>
    <w:rsid w:val="00992B30"/>
    <w:rsid w:val="00992EA3"/>
    <w:rsid w:val="00992F82"/>
    <w:rsid w:val="0099324F"/>
    <w:rsid w:val="009939A7"/>
    <w:rsid w:val="00993A86"/>
    <w:rsid w:val="00993ABA"/>
    <w:rsid w:val="00993D5C"/>
    <w:rsid w:val="00993DA6"/>
    <w:rsid w:val="009941F3"/>
    <w:rsid w:val="009943C2"/>
    <w:rsid w:val="00994439"/>
    <w:rsid w:val="00994497"/>
    <w:rsid w:val="00994BBB"/>
    <w:rsid w:val="00994BCB"/>
    <w:rsid w:val="00994E57"/>
    <w:rsid w:val="00994EEC"/>
    <w:rsid w:val="00994F5C"/>
    <w:rsid w:val="00994F69"/>
    <w:rsid w:val="0099520D"/>
    <w:rsid w:val="00995325"/>
    <w:rsid w:val="00995411"/>
    <w:rsid w:val="00995516"/>
    <w:rsid w:val="009958FB"/>
    <w:rsid w:val="0099595E"/>
    <w:rsid w:val="00995B5C"/>
    <w:rsid w:val="00995E93"/>
    <w:rsid w:val="00996821"/>
    <w:rsid w:val="0099689A"/>
    <w:rsid w:val="00996AC0"/>
    <w:rsid w:val="00996CAC"/>
    <w:rsid w:val="0099708E"/>
    <w:rsid w:val="00997B32"/>
    <w:rsid w:val="00997C64"/>
    <w:rsid w:val="00997CF6"/>
    <w:rsid w:val="00997E76"/>
    <w:rsid w:val="00997F63"/>
    <w:rsid w:val="009A0138"/>
    <w:rsid w:val="009A098D"/>
    <w:rsid w:val="009A0AD1"/>
    <w:rsid w:val="009A0C01"/>
    <w:rsid w:val="009A0E10"/>
    <w:rsid w:val="009A10C6"/>
    <w:rsid w:val="009A1149"/>
    <w:rsid w:val="009A15C6"/>
    <w:rsid w:val="009A1618"/>
    <w:rsid w:val="009A1647"/>
    <w:rsid w:val="009A16A5"/>
    <w:rsid w:val="009A1A78"/>
    <w:rsid w:val="009A1B35"/>
    <w:rsid w:val="009A1F03"/>
    <w:rsid w:val="009A224F"/>
    <w:rsid w:val="009A2459"/>
    <w:rsid w:val="009A26E0"/>
    <w:rsid w:val="009A294A"/>
    <w:rsid w:val="009A2FB2"/>
    <w:rsid w:val="009A2FD4"/>
    <w:rsid w:val="009A329E"/>
    <w:rsid w:val="009A3DA6"/>
    <w:rsid w:val="009A3DB2"/>
    <w:rsid w:val="009A42F4"/>
    <w:rsid w:val="009A4397"/>
    <w:rsid w:val="009A4791"/>
    <w:rsid w:val="009A4AC7"/>
    <w:rsid w:val="009A4F9A"/>
    <w:rsid w:val="009A5151"/>
    <w:rsid w:val="009A5268"/>
    <w:rsid w:val="009A59A2"/>
    <w:rsid w:val="009A5A73"/>
    <w:rsid w:val="009A5A83"/>
    <w:rsid w:val="009A63F7"/>
    <w:rsid w:val="009A67FB"/>
    <w:rsid w:val="009A6C55"/>
    <w:rsid w:val="009A6DB5"/>
    <w:rsid w:val="009A7097"/>
    <w:rsid w:val="009A70F0"/>
    <w:rsid w:val="009A7161"/>
    <w:rsid w:val="009A71B0"/>
    <w:rsid w:val="009A7216"/>
    <w:rsid w:val="009A74F6"/>
    <w:rsid w:val="009A76AC"/>
    <w:rsid w:val="009A771A"/>
    <w:rsid w:val="009A799E"/>
    <w:rsid w:val="009A7F24"/>
    <w:rsid w:val="009B0200"/>
    <w:rsid w:val="009B02DC"/>
    <w:rsid w:val="009B0396"/>
    <w:rsid w:val="009B09B5"/>
    <w:rsid w:val="009B0BBF"/>
    <w:rsid w:val="009B0D25"/>
    <w:rsid w:val="009B1320"/>
    <w:rsid w:val="009B1383"/>
    <w:rsid w:val="009B14E7"/>
    <w:rsid w:val="009B1BED"/>
    <w:rsid w:val="009B1FFE"/>
    <w:rsid w:val="009B23D6"/>
    <w:rsid w:val="009B24BA"/>
    <w:rsid w:val="009B290A"/>
    <w:rsid w:val="009B2ACB"/>
    <w:rsid w:val="009B2C87"/>
    <w:rsid w:val="009B2DAD"/>
    <w:rsid w:val="009B3022"/>
    <w:rsid w:val="009B348A"/>
    <w:rsid w:val="009B35C0"/>
    <w:rsid w:val="009B37A1"/>
    <w:rsid w:val="009B3C03"/>
    <w:rsid w:val="009B4093"/>
    <w:rsid w:val="009B4394"/>
    <w:rsid w:val="009B43C3"/>
    <w:rsid w:val="009B44F6"/>
    <w:rsid w:val="009B4B37"/>
    <w:rsid w:val="009B4EBB"/>
    <w:rsid w:val="009B4FAE"/>
    <w:rsid w:val="009B559D"/>
    <w:rsid w:val="009B571F"/>
    <w:rsid w:val="009B5AD8"/>
    <w:rsid w:val="009B601A"/>
    <w:rsid w:val="009B6264"/>
    <w:rsid w:val="009B698F"/>
    <w:rsid w:val="009B6AC2"/>
    <w:rsid w:val="009B6D6F"/>
    <w:rsid w:val="009B6DCA"/>
    <w:rsid w:val="009B6EFA"/>
    <w:rsid w:val="009B6FF4"/>
    <w:rsid w:val="009B7020"/>
    <w:rsid w:val="009B7325"/>
    <w:rsid w:val="009B74F9"/>
    <w:rsid w:val="009B754B"/>
    <w:rsid w:val="009B7800"/>
    <w:rsid w:val="009B7864"/>
    <w:rsid w:val="009C028A"/>
    <w:rsid w:val="009C0B15"/>
    <w:rsid w:val="009C0BA5"/>
    <w:rsid w:val="009C0D61"/>
    <w:rsid w:val="009C129B"/>
    <w:rsid w:val="009C18F4"/>
    <w:rsid w:val="009C1A0C"/>
    <w:rsid w:val="009C1F03"/>
    <w:rsid w:val="009C2147"/>
    <w:rsid w:val="009C22C6"/>
    <w:rsid w:val="009C2E04"/>
    <w:rsid w:val="009C2FB4"/>
    <w:rsid w:val="009C3071"/>
    <w:rsid w:val="009C3093"/>
    <w:rsid w:val="009C314A"/>
    <w:rsid w:val="009C35FE"/>
    <w:rsid w:val="009C3667"/>
    <w:rsid w:val="009C3970"/>
    <w:rsid w:val="009C3FE3"/>
    <w:rsid w:val="009C4311"/>
    <w:rsid w:val="009C45E9"/>
    <w:rsid w:val="009C4927"/>
    <w:rsid w:val="009C5107"/>
    <w:rsid w:val="009C51E6"/>
    <w:rsid w:val="009C5384"/>
    <w:rsid w:val="009C5990"/>
    <w:rsid w:val="009C5BE7"/>
    <w:rsid w:val="009C6173"/>
    <w:rsid w:val="009C61CF"/>
    <w:rsid w:val="009C6CE3"/>
    <w:rsid w:val="009C6D83"/>
    <w:rsid w:val="009C6DD1"/>
    <w:rsid w:val="009C7422"/>
    <w:rsid w:val="009C7567"/>
    <w:rsid w:val="009CEFA4"/>
    <w:rsid w:val="009D0124"/>
    <w:rsid w:val="009D04F4"/>
    <w:rsid w:val="009D0598"/>
    <w:rsid w:val="009D069B"/>
    <w:rsid w:val="009D0C56"/>
    <w:rsid w:val="009D0C80"/>
    <w:rsid w:val="009D0D81"/>
    <w:rsid w:val="009D0E7D"/>
    <w:rsid w:val="009D0F76"/>
    <w:rsid w:val="009D12C2"/>
    <w:rsid w:val="009D17AC"/>
    <w:rsid w:val="009D1C9D"/>
    <w:rsid w:val="009D215B"/>
    <w:rsid w:val="009D2212"/>
    <w:rsid w:val="009D2241"/>
    <w:rsid w:val="009D23F4"/>
    <w:rsid w:val="009D28F6"/>
    <w:rsid w:val="009D2B45"/>
    <w:rsid w:val="009D2BE3"/>
    <w:rsid w:val="009D2F3A"/>
    <w:rsid w:val="009D306B"/>
    <w:rsid w:val="009D363D"/>
    <w:rsid w:val="009D3CF2"/>
    <w:rsid w:val="009D3E04"/>
    <w:rsid w:val="009D3E3D"/>
    <w:rsid w:val="009D3E79"/>
    <w:rsid w:val="009D3EDF"/>
    <w:rsid w:val="009D46ED"/>
    <w:rsid w:val="009D4896"/>
    <w:rsid w:val="009D49B3"/>
    <w:rsid w:val="009D4B93"/>
    <w:rsid w:val="009D4D48"/>
    <w:rsid w:val="009D571F"/>
    <w:rsid w:val="009D594D"/>
    <w:rsid w:val="009D5C40"/>
    <w:rsid w:val="009D5CAB"/>
    <w:rsid w:val="009D5ECC"/>
    <w:rsid w:val="009D6C41"/>
    <w:rsid w:val="009D6CBF"/>
    <w:rsid w:val="009D6D42"/>
    <w:rsid w:val="009D6FB1"/>
    <w:rsid w:val="009D77B6"/>
    <w:rsid w:val="009D783C"/>
    <w:rsid w:val="009D7963"/>
    <w:rsid w:val="009D7BDB"/>
    <w:rsid w:val="009E006E"/>
    <w:rsid w:val="009E0285"/>
    <w:rsid w:val="009E0340"/>
    <w:rsid w:val="009E074A"/>
    <w:rsid w:val="009E0926"/>
    <w:rsid w:val="009E12D1"/>
    <w:rsid w:val="009E1522"/>
    <w:rsid w:val="009E1B4A"/>
    <w:rsid w:val="009E1C93"/>
    <w:rsid w:val="009E2749"/>
    <w:rsid w:val="009E2EE3"/>
    <w:rsid w:val="009E3E68"/>
    <w:rsid w:val="009E41C8"/>
    <w:rsid w:val="009E4A2E"/>
    <w:rsid w:val="009E4E7C"/>
    <w:rsid w:val="009E526A"/>
    <w:rsid w:val="009E5374"/>
    <w:rsid w:val="009E53B0"/>
    <w:rsid w:val="009E5C9B"/>
    <w:rsid w:val="009E61F4"/>
    <w:rsid w:val="009E6442"/>
    <w:rsid w:val="009E659A"/>
    <w:rsid w:val="009E660A"/>
    <w:rsid w:val="009E66AE"/>
    <w:rsid w:val="009E6E06"/>
    <w:rsid w:val="009E763A"/>
    <w:rsid w:val="009E7737"/>
    <w:rsid w:val="009E7798"/>
    <w:rsid w:val="009E79E5"/>
    <w:rsid w:val="009E7AC5"/>
    <w:rsid w:val="009E7C87"/>
    <w:rsid w:val="009E7DFE"/>
    <w:rsid w:val="009F0747"/>
    <w:rsid w:val="009F0A38"/>
    <w:rsid w:val="009F0A45"/>
    <w:rsid w:val="009F0E87"/>
    <w:rsid w:val="009F0F44"/>
    <w:rsid w:val="009F0FF6"/>
    <w:rsid w:val="009F134B"/>
    <w:rsid w:val="009F1472"/>
    <w:rsid w:val="009F19EE"/>
    <w:rsid w:val="009F1D37"/>
    <w:rsid w:val="009F22F1"/>
    <w:rsid w:val="009F22F7"/>
    <w:rsid w:val="009F2455"/>
    <w:rsid w:val="009F2D16"/>
    <w:rsid w:val="009F2E17"/>
    <w:rsid w:val="009F39DF"/>
    <w:rsid w:val="009F3BC6"/>
    <w:rsid w:val="009F3CA7"/>
    <w:rsid w:val="009F3D0C"/>
    <w:rsid w:val="009F3F78"/>
    <w:rsid w:val="009F415F"/>
    <w:rsid w:val="009F41E4"/>
    <w:rsid w:val="009F4251"/>
    <w:rsid w:val="009F43AE"/>
    <w:rsid w:val="009F4C68"/>
    <w:rsid w:val="009F5116"/>
    <w:rsid w:val="009F5154"/>
    <w:rsid w:val="009F545D"/>
    <w:rsid w:val="009F54E5"/>
    <w:rsid w:val="009F5A07"/>
    <w:rsid w:val="009F5BB4"/>
    <w:rsid w:val="009F5BCF"/>
    <w:rsid w:val="009F5F08"/>
    <w:rsid w:val="009F61A8"/>
    <w:rsid w:val="009F6284"/>
    <w:rsid w:val="009F63A3"/>
    <w:rsid w:val="009F64C2"/>
    <w:rsid w:val="009F68B7"/>
    <w:rsid w:val="009F69B7"/>
    <w:rsid w:val="009F6D06"/>
    <w:rsid w:val="009F75C5"/>
    <w:rsid w:val="009F79F1"/>
    <w:rsid w:val="00A0085B"/>
    <w:rsid w:val="00A00A4C"/>
    <w:rsid w:val="00A00A93"/>
    <w:rsid w:val="00A00DCB"/>
    <w:rsid w:val="00A00EB4"/>
    <w:rsid w:val="00A012C6"/>
    <w:rsid w:val="00A01424"/>
    <w:rsid w:val="00A018D2"/>
    <w:rsid w:val="00A01A15"/>
    <w:rsid w:val="00A01A9B"/>
    <w:rsid w:val="00A01AAA"/>
    <w:rsid w:val="00A01E03"/>
    <w:rsid w:val="00A020F8"/>
    <w:rsid w:val="00A02313"/>
    <w:rsid w:val="00A02342"/>
    <w:rsid w:val="00A0268B"/>
    <w:rsid w:val="00A029B2"/>
    <w:rsid w:val="00A03081"/>
    <w:rsid w:val="00A038A1"/>
    <w:rsid w:val="00A039B0"/>
    <w:rsid w:val="00A03D8A"/>
    <w:rsid w:val="00A03E40"/>
    <w:rsid w:val="00A03F45"/>
    <w:rsid w:val="00A04076"/>
    <w:rsid w:val="00A0420B"/>
    <w:rsid w:val="00A044B8"/>
    <w:rsid w:val="00A04C2E"/>
    <w:rsid w:val="00A04EBE"/>
    <w:rsid w:val="00A04FD1"/>
    <w:rsid w:val="00A05029"/>
    <w:rsid w:val="00A05088"/>
    <w:rsid w:val="00A0528D"/>
    <w:rsid w:val="00A05748"/>
    <w:rsid w:val="00A05856"/>
    <w:rsid w:val="00A05A19"/>
    <w:rsid w:val="00A063D8"/>
    <w:rsid w:val="00A064E4"/>
    <w:rsid w:val="00A0669C"/>
    <w:rsid w:val="00A06764"/>
    <w:rsid w:val="00A0689E"/>
    <w:rsid w:val="00A06B10"/>
    <w:rsid w:val="00A06D19"/>
    <w:rsid w:val="00A06D9A"/>
    <w:rsid w:val="00A0701C"/>
    <w:rsid w:val="00A075D9"/>
    <w:rsid w:val="00A10308"/>
    <w:rsid w:val="00A10368"/>
    <w:rsid w:val="00A1056E"/>
    <w:rsid w:val="00A10614"/>
    <w:rsid w:val="00A1078D"/>
    <w:rsid w:val="00A110A0"/>
    <w:rsid w:val="00A11537"/>
    <w:rsid w:val="00A1168F"/>
    <w:rsid w:val="00A11796"/>
    <w:rsid w:val="00A11BF1"/>
    <w:rsid w:val="00A11EB1"/>
    <w:rsid w:val="00A1219E"/>
    <w:rsid w:val="00A124A1"/>
    <w:rsid w:val="00A124AC"/>
    <w:rsid w:val="00A12A49"/>
    <w:rsid w:val="00A12BEC"/>
    <w:rsid w:val="00A12C03"/>
    <w:rsid w:val="00A12C9C"/>
    <w:rsid w:val="00A12EBA"/>
    <w:rsid w:val="00A12EC6"/>
    <w:rsid w:val="00A12F6A"/>
    <w:rsid w:val="00A1301E"/>
    <w:rsid w:val="00A13030"/>
    <w:rsid w:val="00A1339C"/>
    <w:rsid w:val="00A13985"/>
    <w:rsid w:val="00A13D47"/>
    <w:rsid w:val="00A13D93"/>
    <w:rsid w:val="00A13FA9"/>
    <w:rsid w:val="00A1492A"/>
    <w:rsid w:val="00A14AC8"/>
    <w:rsid w:val="00A14AE5"/>
    <w:rsid w:val="00A152E4"/>
    <w:rsid w:val="00A155D3"/>
    <w:rsid w:val="00A15738"/>
    <w:rsid w:val="00A15AA2"/>
    <w:rsid w:val="00A15B0A"/>
    <w:rsid w:val="00A15C99"/>
    <w:rsid w:val="00A15F8F"/>
    <w:rsid w:val="00A16035"/>
    <w:rsid w:val="00A162D6"/>
    <w:rsid w:val="00A16585"/>
    <w:rsid w:val="00A1676C"/>
    <w:rsid w:val="00A16D79"/>
    <w:rsid w:val="00A16F58"/>
    <w:rsid w:val="00A17724"/>
    <w:rsid w:val="00A17B78"/>
    <w:rsid w:val="00A17D5C"/>
    <w:rsid w:val="00A17E2C"/>
    <w:rsid w:val="00A17F55"/>
    <w:rsid w:val="00A20543"/>
    <w:rsid w:val="00A20DAF"/>
    <w:rsid w:val="00A217D9"/>
    <w:rsid w:val="00A218D8"/>
    <w:rsid w:val="00A21CEA"/>
    <w:rsid w:val="00A21FCD"/>
    <w:rsid w:val="00A2203B"/>
    <w:rsid w:val="00A2287A"/>
    <w:rsid w:val="00A22C2B"/>
    <w:rsid w:val="00A22D79"/>
    <w:rsid w:val="00A23003"/>
    <w:rsid w:val="00A232C7"/>
    <w:rsid w:val="00A232DD"/>
    <w:rsid w:val="00A23370"/>
    <w:rsid w:val="00A23436"/>
    <w:rsid w:val="00A23506"/>
    <w:rsid w:val="00A23636"/>
    <w:rsid w:val="00A23651"/>
    <w:rsid w:val="00A237F2"/>
    <w:rsid w:val="00A23DAD"/>
    <w:rsid w:val="00A23F4C"/>
    <w:rsid w:val="00A23F8F"/>
    <w:rsid w:val="00A24AC5"/>
    <w:rsid w:val="00A24AF2"/>
    <w:rsid w:val="00A24E6C"/>
    <w:rsid w:val="00A25610"/>
    <w:rsid w:val="00A256CB"/>
    <w:rsid w:val="00A25E78"/>
    <w:rsid w:val="00A25F00"/>
    <w:rsid w:val="00A25F6E"/>
    <w:rsid w:val="00A26030"/>
    <w:rsid w:val="00A260FA"/>
    <w:rsid w:val="00A26118"/>
    <w:rsid w:val="00A26470"/>
    <w:rsid w:val="00A2653A"/>
    <w:rsid w:val="00A268DC"/>
    <w:rsid w:val="00A26A47"/>
    <w:rsid w:val="00A26B53"/>
    <w:rsid w:val="00A26B8B"/>
    <w:rsid w:val="00A26DB8"/>
    <w:rsid w:val="00A26E1B"/>
    <w:rsid w:val="00A27DE4"/>
    <w:rsid w:val="00A301AA"/>
    <w:rsid w:val="00A30342"/>
    <w:rsid w:val="00A30592"/>
    <w:rsid w:val="00A30695"/>
    <w:rsid w:val="00A30709"/>
    <w:rsid w:val="00A307C5"/>
    <w:rsid w:val="00A30E83"/>
    <w:rsid w:val="00A311CC"/>
    <w:rsid w:val="00A318BD"/>
    <w:rsid w:val="00A31DB8"/>
    <w:rsid w:val="00A3223F"/>
    <w:rsid w:val="00A32A66"/>
    <w:rsid w:val="00A32C7D"/>
    <w:rsid w:val="00A332BE"/>
    <w:rsid w:val="00A332E9"/>
    <w:rsid w:val="00A337A3"/>
    <w:rsid w:val="00A3391E"/>
    <w:rsid w:val="00A33B6C"/>
    <w:rsid w:val="00A33CC6"/>
    <w:rsid w:val="00A33FBF"/>
    <w:rsid w:val="00A3415F"/>
    <w:rsid w:val="00A343DA"/>
    <w:rsid w:val="00A34534"/>
    <w:rsid w:val="00A347FF"/>
    <w:rsid w:val="00A34ABF"/>
    <w:rsid w:val="00A34C86"/>
    <w:rsid w:val="00A34E49"/>
    <w:rsid w:val="00A3552E"/>
    <w:rsid w:val="00A3566E"/>
    <w:rsid w:val="00A35A00"/>
    <w:rsid w:val="00A35FC1"/>
    <w:rsid w:val="00A3611E"/>
    <w:rsid w:val="00A3620F"/>
    <w:rsid w:val="00A3636C"/>
    <w:rsid w:val="00A36371"/>
    <w:rsid w:val="00A363E7"/>
    <w:rsid w:val="00A36B65"/>
    <w:rsid w:val="00A36C0D"/>
    <w:rsid w:val="00A3715A"/>
    <w:rsid w:val="00A3723C"/>
    <w:rsid w:val="00A372B9"/>
    <w:rsid w:val="00A3746C"/>
    <w:rsid w:val="00A37646"/>
    <w:rsid w:val="00A37797"/>
    <w:rsid w:val="00A3790A"/>
    <w:rsid w:val="00A379CC"/>
    <w:rsid w:val="00A37C3D"/>
    <w:rsid w:val="00A37DBA"/>
    <w:rsid w:val="00A39A3E"/>
    <w:rsid w:val="00A40169"/>
    <w:rsid w:val="00A4033F"/>
    <w:rsid w:val="00A40750"/>
    <w:rsid w:val="00A40CBE"/>
    <w:rsid w:val="00A411E4"/>
    <w:rsid w:val="00A41332"/>
    <w:rsid w:val="00A415D8"/>
    <w:rsid w:val="00A41B3A"/>
    <w:rsid w:val="00A41EAC"/>
    <w:rsid w:val="00A42234"/>
    <w:rsid w:val="00A4244E"/>
    <w:rsid w:val="00A4249C"/>
    <w:rsid w:val="00A42532"/>
    <w:rsid w:val="00A4290B"/>
    <w:rsid w:val="00A42C6F"/>
    <w:rsid w:val="00A431F9"/>
    <w:rsid w:val="00A43865"/>
    <w:rsid w:val="00A43E9F"/>
    <w:rsid w:val="00A440F7"/>
    <w:rsid w:val="00A4469D"/>
    <w:rsid w:val="00A45A54"/>
    <w:rsid w:val="00A46143"/>
    <w:rsid w:val="00A4614D"/>
    <w:rsid w:val="00A46183"/>
    <w:rsid w:val="00A46230"/>
    <w:rsid w:val="00A46248"/>
    <w:rsid w:val="00A46E72"/>
    <w:rsid w:val="00A47267"/>
    <w:rsid w:val="00A477A4"/>
    <w:rsid w:val="00A47B24"/>
    <w:rsid w:val="00A47BDF"/>
    <w:rsid w:val="00A47CE3"/>
    <w:rsid w:val="00A47F9F"/>
    <w:rsid w:val="00A50052"/>
    <w:rsid w:val="00A5028B"/>
    <w:rsid w:val="00A504B2"/>
    <w:rsid w:val="00A50E31"/>
    <w:rsid w:val="00A510B9"/>
    <w:rsid w:val="00A5144D"/>
    <w:rsid w:val="00A5153C"/>
    <w:rsid w:val="00A51761"/>
    <w:rsid w:val="00A51EC7"/>
    <w:rsid w:val="00A521A4"/>
    <w:rsid w:val="00A5267C"/>
    <w:rsid w:val="00A529D6"/>
    <w:rsid w:val="00A52F52"/>
    <w:rsid w:val="00A52F5B"/>
    <w:rsid w:val="00A53508"/>
    <w:rsid w:val="00A537AB"/>
    <w:rsid w:val="00A53883"/>
    <w:rsid w:val="00A5448D"/>
    <w:rsid w:val="00A54838"/>
    <w:rsid w:val="00A54D26"/>
    <w:rsid w:val="00A54D5E"/>
    <w:rsid w:val="00A54F08"/>
    <w:rsid w:val="00A54FF7"/>
    <w:rsid w:val="00A55397"/>
    <w:rsid w:val="00A5539C"/>
    <w:rsid w:val="00A564D5"/>
    <w:rsid w:val="00A5688D"/>
    <w:rsid w:val="00A56A7F"/>
    <w:rsid w:val="00A56BE7"/>
    <w:rsid w:val="00A57193"/>
    <w:rsid w:val="00A57968"/>
    <w:rsid w:val="00A57A8F"/>
    <w:rsid w:val="00A57F9F"/>
    <w:rsid w:val="00A606DB"/>
    <w:rsid w:val="00A60820"/>
    <w:rsid w:val="00A60936"/>
    <w:rsid w:val="00A60AE3"/>
    <w:rsid w:val="00A60B03"/>
    <w:rsid w:val="00A61063"/>
    <w:rsid w:val="00A6123D"/>
    <w:rsid w:val="00A61482"/>
    <w:rsid w:val="00A61CB4"/>
    <w:rsid w:val="00A61E59"/>
    <w:rsid w:val="00A61FA2"/>
    <w:rsid w:val="00A6220C"/>
    <w:rsid w:val="00A622A7"/>
    <w:rsid w:val="00A6236C"/>
    <w:rsid w:val="00A62894"/>
    <w:rsid w:val="00A62939"/>
    <w:rsid w:val="00A629C3"/>
    <w:rsid w:val="00A62A49"/>
    <w:rsid w:val="00A62E38"/>
    <w:rsid w:val="00A62F65"/>
    <w:rsid w:val="00A63288"/>
    <w:rsid w:val="00A63298"/>
    <w:rsid w:val="00A635DC"/>
    <w:rsid w:val="00A6389C"/>
    <w:rsid w:val="00A63AA2"/>
    <w:rsid w:val="00A63B54"/>
    <w:rsid w:val="00A63E83"/>
    <w:rsid w:val="00A63EFE"/>
    <w:rsid w:val="00A63F19"/>
    <w:rsid w:val="00A63FC4"/>
    <w:rsid w:val="00A63FF0"/>
    <w:rsid w:val="00A6407D"/>
    <w:rsid w:val="00A640CE"/>
    <w:rsid w:val="00A642C6"/>
    <w:rsid w:val="00A64B66"/>
    <w:rsid w:val="00A653F7"/>
    <w:rsid w:val="00A65600"/>
    <w:rsid w:val="00A659AE"/>
    <w:rsid w:val="00A65DAE"/>
    <w:rsid w:val="00A65EFC"/>
    <w:rsid w:val="00A662BB"/>
    <w:rsid w:val="00A6647A"/>
    <w:rsid w:val="00A6651A"/>
    <w:rsid w:val="00A66A8D"/>
    <w:rsid w:val="00A673CA"/>
    <w:rsid w:val="00A6767D"/>
    <w:rsid w:val="00A67BDF"/>
    <w:rsid w:val="00A68206"/>
    <w:rsid w:val="00A6CCC1"/>
    <w:rsid w:val="00A70441"/>
    <w:rsid w:val="00A7050B"/>
    <w:rsid w:val="00A70A66"/>
    <w:rsid w:val="00A70AF6"/>
    <w:rsid w:val="00A70E0C"/>
    <w:rsid w:val="00A712DD"/>
    <w:rsid w:val="00A7147B"/>
    <w:rsid w:val="00A71BDB"/>
    <w:rsid w:val="00A71CA0"/>
    <w:rsid w:val="00A71F1B"/>
    <w:rsid w:val="00A72016"/>
    <w:rsid w:val="00A729D0"/>
    <w:rsid w:val="00A72D8D"/>
    <w:rsid w:val="00A72F20"/>
    <w:rsid w:val="00A73545"/>
    <w:rsid w:val="00A73586"/>
    <w:rsid w:val="00A7386B"/>
    <w:rsid w:val="00A73AA1"/>
    <w:rsid w:val="00A73AB4"/>
    <w:rsid w:val="00A73C8D"/>
    <w:rsid w:val="00A73D75"/>
    <w:rsid w:val="00A7479A"/>
    <w:rsid w:val="00A749AC"/>
    <w:rsid w:val="00A74B0D"/>
    <w:rsid w:val="00A74C3B"/>
    <w:rsid w:val="00A74DB1"/>
    <w:rsid w:val="00A75055"/>
    <w:rsid w:val="00A7505B"/>
    <w:rsid w:val="00A753C2"/>
    <w:rsid w:val="00A7578D"/>
    <w:rsid w:val="00A75A3C"/>
    <w:rsid w:val="00A75B4A"/>
    <w:rsid w:val="00A75BAA"/>
    <w:rsid w:val="00A75C07"/>
    <w:rsid w:val="00A75C48"/>
    <w:rsid w:val="00A75D8B"/>
    <w:rsid w:val="00A75FFD"/>
    <w:rsid w:val="00A7620C"/>
    <w:rsid w:val="00A764CA"/>
    <w:rsid w:val="00A76751"/>
    <w:rsid w:val="00A76A35"/>
    <w:rsid w:val="00A76B28"/>
    <w:rsid w:val="00A76EF8"/>
    <w:rsid w:val="00A77236"/>
    <w:rsid w:val="00A776AC"/>
    <w:rsid w:val="00A776B7"/>
    <w:rsid w:val="00A7783F"/>
    <w:rsid w:val="00A77934"/>
    <w:rsid w:val="00A803FA"/>
    <w:rsid w:val="00A8053F"/>
    <w:rsid w:val="00A8057A"/>
    <w:rsid w:val="00A80B39"/>
    <w:rsid w:val="00A80B5A"/>
    <w:rsid w:val="00A80CD9"/>
    <w:rsid w:val="00A80E61"/>
    <w:rsid w:val="00A8174E"/>
    <w:rsid w:val="00A8190E"/>
    <w:rsid w:val="00A81C9D"/>
    <w:rsid w:val="00A82303"/>
    <w:rsid w:val="00A824DF"/>
    <w:rsid w:val="00A82709"/>
    <w:rsid w:val="00A82CD3"/>
    <w:rsid w:val="00A82EE9"/>
    <w:rsid w:val="00A83285"/>
    <w:rsid w:val="00A832E8"/>
    <w:rsid w:val="00A8382B"/>
    <w:rsid w:val="00A8390E"/>
    <w:rsid w:val="00A83998"/>
    <w:rsid w:val="00A839F7"/>
    <w:rsid w:val="00A83C63"/>
    <w:rsid w:val="00A83CB1"/>
    <w:rsid w:val="00A83E18"/>
    <w:rsid w:val="00A83EE2"/>
    <w:rsid w:val="00A841E7"/>
    <w:rsid w:val="00A8448F"/>
    <w:rsid w:val="00A84700"/>
    <w:rsid w:val="00A84823"/>
    <w:rsid w:val="00A84A3D"/>
    <w:rsid w:val="00A84C2C"/>
    <w:rsid w:val="00A84D1B"/>
    <w:rsid w:val="00A85206"/>
    <w:rsid w:val="00A8537F"/>
    <w:rsid w:val="00A85944"/>
    <w:rsid w:val="00A85C89"/>
    <w:rsid w:val="00A863A6"/>
    <w:rsid w:val="00A863F7"/>
    <w:rsid w:val="00A866CA"/>
    <w:rsid w:val="00A866CF"/>
    <w:rsid w:val="00A86766"/>
    <w:rsid w:val="00A86EF4"/>
    <w:rsid w:val="00A87197"/>
    <w:rsid w:val="00A872C6"/>
    <w:rsid w:val="00A874E7"/>
    <w:rsid w:val="00A9044B"/>
    <w:rsid w:val="00A90450"/>
    <w:rsid w:val="00A90656"/>
    <w:rsid w:val="00A9078E"/>
    <w:rsid w:val="00A90A4F"/>
    <w:rsid w:val="00A90A73"/>
    <w:rsid w:val="00A90B69"/>
    <w:rsid w:val="00A90B81"/>
    <w:rsid w:val="00A90D3E"/>
    <w:rsid w:val="00A91538"/>
    <w:rsid w:val="00A915C9"/>
    <w:rsid w:val="00A91BB3"/>
    <w:rsid w:val="00A91C02"/>
    <w:rsid w:val="00A91C5D"/>
    <w:rsid w:val="00A91E22"/>
    <w:rsid w:val="00A91F7C"/>
    <w:rsid w:val="00A922D9"/>
    <w:rsid w:val="00A92530"/>
    <w:rsid w:val="00A9274A"/>
    <w:rsid w:val="00A93399"/>
    <w:rsid w:val="00A9384D"/>
    <w:rsid w:val="00A94078"/>
    <w:rsid w:val="00A9466D"/>
    <w:rsid w:val="00A94E3C"/>
    <w:rsid w:val="00A94F4A"/>
    <w:rsid w:val="00A9526A"/>
    <w:rsid w:val="00A955C7"/>
    <w:rsid w:val="00A959C4"/>
    <w:rsid w:val="00A95AE4"/>
    <w:rsid w:val="00A95D57"/>
    <w:rsid w:val="00A960E6"/>
    <w:rsid w:val="00A961A1"/>
    <w:rsid w:val="00A963F8"/>
    <w:rsid w:val="00A96543"/>
    <w:rsid w:val="00A966DF"/>
    <w:rsid w:val="00A967FC"/>
    <w:rsid w:val="00A96819"/>
    <w:rsid w:val="00A96963"/>
    <w:rsid w:val="00A969F1"/>
    <w:rsid w:val="00A96CF3"/>
    <w:rsid w:val="00A96D44"/>
    <w:rsid w:val="00A9729E"/>
    <w:rsid w:val="00A97B6E"/>
    <w:rsid w:val="00A97C8E"/>
    <w:rsid w:val="00A97EA2"/>
    <w:rsid w:val="00A9B76E"/>
    <w:rsid w:val="00AA01E4"/>
    <w:rsid w:val="00AA02EF"/>
    <w:rsid w:val="00AA1126"/>
    <w:rsid w:val="00AA1746"/>
    <w:rsid w:val="00AA187E"/>
    <w:rsid w:val="00AA246D"/>
    <w:rsid w:val="00AA32EA"/>
    <w:rsid w:val="00AA3442"/>
    <w:rsid w:val="00AA3BB6"/>
    <w:rsid w:val="00AA3D27"/>
    <w:rsid w:val="00AA3D77"/>
    <w:rsid w:val="00AA3EE4"/>
    <w:rsid w:val="00AA4118"/>
    <w:rsid w:val="00AA4153"/>
    <w:rsid w:val="00AA4319"/>
    <w:rsid w:val="00AA43F6"/>
    <w:rsid w:val="00AA44E1"/>
    <w:rsid w:val="00AA4500"/>
    <w:rsid w:val="00AA45C1"/>
    <w:rsid w:val="00AA4741"/>
    <w:rsid w:val="00AA4835"/>
    <w:rsid w:val="00AA49FA"/>
    <w:rsid w:val="00AA508F"/>
    <w:rsid w:val="00AA50A4"/>
    <w:rsid w:val="00AA50F6"/>
    <w:rsid w:val="00AA5C42"/>
    <w:rsid w:val="00AA5DA4"/>
    <w:rsid w:val="00AA5E5F"/>
    <w:rsid w:val="00AA621B"/>
    <w:rsid w:val="00AA6D9F"/>
    <w:rsid w:val="00AA6F98"/>
    <w:rsid w:val="00AA73C2"/>
    <w:rsid w:val="00AA7442"/>
    <w:rsid w:val="00AA764A"/>
    <w:rsid w:val="00AA790C"/>
    <w:rsid w:val="00AA7E3B"/>
    <w:rsid w:val="00AA7FCD"/>
    <w:rsid w:val="00AB0371"/>
    <w:rsid w:val="00AB0A6A"/>
    <w:rsid w:val="00AB0A95"/>
    <w:rsid w:val="00AB0CB6"/>
    <w:rsid w:val="00AB0F5E"/>
    <w:rsid w:val="00AB1474"/>
    <w:rsid w:val="00AB1DBA"/>
    <w:rsid w:val="00AB205D"/>
    <w:rsid w:val="00AB21E3"/>
    <w:rsid w:val="00AB222F"/>
    <w:rsid w:val="00AB24F6"/>
    <w:rsid w:val="00AB2728"/>
    <w:rsid w:val="00AB2A0C"/>
    <w:rsid w:val="00AB2CD4"/>
    <w:rsid w:val="00AB2D6B"/>
    <w:rsid w:val="00AB37CE"/>
    <w:rsid w:val="00AB397E"/>
    <w:rsid w:val="00AB3BE2"/>
    <w:rsid w:val="00AB3D02"/>
    <w:rsid w:val="00AB4288"/>
    <w:rsid w:val="00AB4293"/>
    <w:rsid w:val="00AB43BC"/>
    <w:rsid w:val="00AB468F"/>
    <w:rsid w:val="00AB4726"/>
    <w:rsid w:val="00AB47A0"/>
    <w:rsid w:val="00AB4866"/>
    <w:rsid w:val="00AB4A35"/>
    <w:rsid w:val="00AB4FC2"/>
    <w:rsid w:val="00AB5DCF"/>
    <w:rsid w:val="00AB6067"/>
    <w:rsid w:val="00AB61CF"/>
    <w:rsid w:val="00AB623F"/>
    <w:rsid w:val="00AB6638"/>
    <w:rsid w:val="00AB672E"/>
    <w:rsid w:val="00AB68BB"/>
    <w:rsid w:val="00AB6D5E"/>
    <w:rsid w:val="00AB6F43"/>
    <w:rsid w:val="00AB7914"/>
    <w:rsid w:val="00AB7A61"/>
    <w:rsid w:val="00AB7A9E"/>
    <w:rsid w:val="00AB7ACA"/>
    <w:rsid w:val="00AB7C95"/>
    <w:rsid w:val="00AC02BD"/>
    <w:rsid w:val="00AC0520"/>
    <w:rsid w:val="00AC0580"/>
    <w:rsid w:val="00AC064B"/>
    <w:rsid w:val="00AC072A"/>
    <w:rsid w:val="00AC0DF7"/>
    <w:rsid w:val="00AC0F3F"/>
    <w:rsid w:val="00AC0FA1"/>
    <w:rsid w:val="00AC113C"/>
    <w:rsid w:val="00AC11AB"/>
    <w:rsid w:val="00AC1250"/>
    <w:rsid w:val="00AC1446"/>
    <w:rsid w:val="00AC1915"/>
    <w:rsid w:val="00AC1B48"/>
    <w:rsid w:val="00AC20FF"/>
    <w:rsid w:val="00AC21D7"/>
    <w:rsid w:val="00AC2310"/>
    <w:rsid w:val="00AC294A"/>
    <w:rsid w:val="00AC2D1E"/>
    <w:rsid w:val="00AC35AA"/>
    <w:rsid w:val="00AC3A9B"/>
    <w:rsid w:val="00AC3E59"/>
    <w:rsid w:val="00AC3F5E"/>
    <w:rsid w:val="00AC4F1B"/>
    <w:rsid w:val="00AC4F29"/>
    <w:rsid w:val="00AC4F56"/>
    <w:rsid w:val="00AC5316"/>
    <w:rsid w:val="00AC5339"/>
    <w:rsid w:val="00AC58ED"/>
    <w:rsid w:val="00AC6591"/>
    <w:rsid w:val="00AC67C8"/>
    <w:rsid w:val="00AC6B49"/>
    <w:rsid w:val="00AC6B73"/>
    <w:rsid w:val="00AC6D10"/>
    <w:rsid w:val="00AC6DCE"/>
    <w:rsid w:val="00AC70AE"/>
    <w:rsid w:val="00AC716E"/>
    <w:rsid w:val="00AC7312"/>
    <w:rsid w:val="00AC761C"/>
    <w:rsid w:val="00AC79AF"/>
    <w:rsid w:val="00AC7C87"/>
    <w:rsid w:val="00AD0031"/>
    <w:rsid w:val="00AD0383"/>
    <w:rsid w:val="00AD0CBB"/>
    <w:rsid w:val="00AD1032"/>
    <w:rsid w:val="00AD144B"/>
    <w:rsid w:val="00AD1AEC"/>
    <w:rsid w:val="00AD1BC1"/>
    <w:rsid w:val="00AD1C58"/>
    <w:rsid w:val="00AD1E3F"/>
    <w:rsid w:val="00AD1E9A"/>
    <w:rsid w:val="00AD1FBB"/>
    <w:rsid w:val="00AD2266"/>
    <w:rsid w:val="00AD26C7"/>
    <w:rsid w:val="00AD2AD0"/>
    <w:rsid w:val="00AD2DF5"/>
    <w:rsid w:val="00AD3145"/>
    <w:rsid w:val="00AD3150"/>
    <w:rsid w:val="00AD355C"/>
    <w:rsid w:val="00AD35CC"/>
    <w:rsid w:val="00AD36B1"/>
    <w:rsid w:val="00AD377F"/>
    <w:rsid w:val="00AD3960"/>
    <w:rsid w:val="00AD3B0E"/>
    <w:rsid w:val="00AD3B7A"/>
    <w:rsid w:val="00AD3C79"/>
    <w:rsid w:val="00AD3D59"/>
    <w:rsid w:val="00AD3D8F"/>
    <w:rsid w:val="00AD4080"/>
    <w:rsid w:val="00AD4716"/>
    <w:rsid w:val="00AD4795"/>
    <w:rsid w:val="00AD4C40"/>
    <w:rsid w:val="00AD4CAA"/>
    <w:rsid w:val="00AD4F63"/>
    <w:rsid w:val="00AD55C2"/>
    <w:rsid w:val="00AD5B26"/>
    <w:rsid w:val="00AD60FB"/>
    <w:rsid w:val="00AD64F5"/>
    <w:rsid w:val="00AD660A"/>
    <w:rsid w:val="00AD680E"/>
    <w:rsid w:val="00AD6F0E"/>
    <w:rsid w:val="00AD7335"/>
    <w:rsid w:val="00AD749B"/>
    <w:rsid w:val="00AD7785"/>
    <w:rsid w:val="00AD7B00"/>
    <w:rsid w:val="00AD7B23"/>
    <w:rsid w:val="00AD7E27"/>
    <w:rsid w:val="00AE0E38"/>
    <w:rsid w:val="00AE0F79"/>
    <w:rsid w:val="00AE1288"/>
    <w:rsid w:val="00AE140F"/>
    <w:rsid w:val="00AE163B"/>
    <w:rsid w:val="00AE1831"/>
    <w:rsid w:val="00AE1A74"/>
    <w:rsid w:val="00AE1BD6"/>
    <w:rsid w:val="00AE1D64"/>
    <w:rsid w:val="00AE2667"/>
    <w:rsid w:val="00AE37ED"/>
    <w:rsid w:val="00AE4170"/>
    <w:rsid w:val="00AE444B"/>
    <w:rsid w:val="00AE44E5"/>
    <w:rsid w:val="00AE494F"/>
    <w:rsid w:val="00AE4B02"/>
    <w:rsid w:val="00AE510B"/>
    <w:rsid w:val="00AE655E"/>
    <w:rsid w:val="00AE6771"/>
    <w:rsid w:val="00AE68D1"/>
    <w:rsid w:val="00AE69A8"/>
    <w:rsid w:val="00AE6C9E"/>
    <w:rsid w:val="00AE6EB2"/>
    <w:rsid w:val="00AE6EBA"/>
    <w:rsid w:val="00AE70CD"/>
    <w:rsid w:val="00AE7229"/>
    <w:rsid w:val="00AE73CB"/>
    <w:rsid w:val="00AE7432"/>
    <w:rsid w:val="00AE77DB"/>
    <w:rsid w:val="00AE78C9"/>
    <w:rsid w:val="00AE79A4"/>
    <w:rsid w:val="00AE7BD1"/>
    <w:rsid w:val="00AE7D64"/>
    <w:rsid w:val="00AE7E91"/>
    <w:rsid w:val="00AF04CB"/>
    <w:rsid w:val="00AF04DC"/>
    <w:rsid w:val="00AF0818"/>
    <w:rsid w:val="00AF0D35"/>
    <w:rsid w:val="00AF1072"/>
    <w:rsid w:val="00AF1074"/>
    <w:rsid w:val="00AF119D"/>
    <w:rsid w:val="00AF1718"/>
    <w:rsid w:val="00AF189D"/>
    <w:rsid w:val="00AF1AFA"/>
    <w:rsid w:val="00AF1B1F"/>
    <w:rsid w:val="00AF1CA9"/>
    <w:rsid w:val="00AF1CDC"/>
    <w:rsid w:val="00AF2489"/>
    <w:rsid w:val="00AF24C1"/>
    <w:rsid w:val="00AF2605"/>
    <w:rsid w:val="00AF2955"/>
    <w:rsid w:val="00AF2A8B"/>
    <w:rsid w:val="00AF2AA5"/>
    <w:rsid w:val="00AF2E8D"/>
    <w:rsid w:val="00AF3028"/>
    <w:rsid w:val="00AF32CA"/>
    <w:rsid w:val="00AF34DA"/>
    <w:rsid w:val="00AF36FB"/>
    <w:rsid w:val="00AF375F"/>
    <w:rsid w:val="00AF3907"/>
    <w:rsid w:val="00AF3E06"/>
    <w:rsid w:val="00AF3EBE"/>
    <w:rsid w:val="00AF43DE"/>
    <w:rsid w:val="00AF4417"/>
    <w:rsid w:val="00AF4699"/>
    <w:rsid w:val="00AF4A9E"/>
    <w:rsid w:val="00AF4F23"/>
    <w:rsid w:val="00AF5102"/>
    <w:rsid w:val="00AF51D8"/>
    <w:rsid w:val="00AF5420"/>
    <w:rsid w:val="00AF5457"/>
    <w:rsid w:val="00AF5A0D"/>
    <w:rsid w:val="00AF5ECC"/>
    <w:rsid w:val="00AF61D3"/>
    <w:rsid w:val="00AF63C3"/>
    <w:rsid w:val="00AF650E"/>
    <w:rsid w:val="00AF6716"/>
    <w:rsid w:val="00AF67A5"/>
    <w:rsid w:val="00AF70E9"/>
    <w:rsid w:val="00AF72D4"/>
    <w:rsid w:val="00AF7419"/>
    <w:rsid w:val="00AF7587"/>
    <w:rsid w:val="00AF759A"/>
    <w:rsid w:val="00AF7811"/>
    <w:rsid w:val="00AF7AE5"/>
    <w:rsid w:val="00AF7B67"/>
    <w:rsid w:val="00AF7BBD"/>
    <w:rsid w:val="00AF7D70"/>
    <w:rsid w:val="00B000A4"/>
    <w:rsid w:val="00B00225"/>
    <w:rsid w:val="00B0069B"/>
    <w:rsid w:val="00B006E7"/>
    <w:rsid w:val="00B00B42"/>
    <w:rsid w:val="00B00FD5"/>
    <w:rsid w:val="00B012F7"/>
    <w:rsid w:val="00B015BD"/>
    <w:rsid w:val="00B015CD"/>
    <w:rsid w:val="00B01616"/>
    <w:rsid w:val="00B01769"/>
    <w:rsid w:val="00B01C7E"/>
    <w:rsid w:val="00B01E62"/>
    <w:rsid w:val="00B02305"/>
    <w:rsid w:val="00B02426"/>
    <w:rsid w:val="00B0289D"/>
    <w:rsid w:val="00B037BB"/>
    <w:rsid w:val="00B039B5"/>
    <w:rsid w:val="00B04131"/>
    <w:rsid w:val="00B0422F"/>
    <w:rsid w:val="00B045BE"/>
    <w:rsid w:val="00B0482B"/>
    <w:rsid w:val="00B04A34"/>
    <w:rsid w:val="00B04C08"/>
    <w:rsid w:val="00B04CCA"/>
    <w:rsid w:val="00B05381"/>
    <w:rsid w:val="00B059D2"/>
    <w:rsid w:val="00B05D4E"/>
    <w:rsid w:val="00B05D99"/>
    <w:rsid w:val="00B05DBE"/>
    <w:rsid w:val="00B060D8"/>
    <w:rsid w:val="00B062DE"/>
    <w:rsid w:val="00B0636F"/>
    <w:rsid w:val="00B06CFE"/>
    <w:rsid w:val="00B0726F"/>
    <w:rsid w:val="00B075B6"/>
    <w:rsid w:val="00B07808"/>
    <w:rsid w:val="00B07BBB"/>
    <w:rsid w:val="00B07F14"/>
    <w:rsid w:val="00B07FCA"/>
    <w:rsid w:val="00B1026B"/>
    <w:rsid w:val="00B103D8"/>
    <w:rsid w:val="00B1052C"/>
    <w:rsid w:val="00B10580"/>
    <w:rsid w:val="00B105DF"/>
    <w:rsid w:val="00B1071A"/>
    <w:rsid w:val="00B10773"/>
    <w:rsid w:val="00B10C39"/>
    <w:rsid w:val="00B10C3C"/>
    <w:rsid w:val="00B10D78"/>
    <w:rsid w:val="00B10EE2"/>
    <w:rsid w:val="00B1193B"/>
    <w:rsid w:val="00B11BCB"/>
    <w:rsid w:val="00B120F5"/>
    <w:rsid w:val="00B12514"/>
    <w:rsid w:val="00B12797"/>
    <w:rsid w:val="00B128A9"/>
    <w:rsid w:val="00B12B16"/>
    <w:rsid w:val="00B12B27"/>
    <w:rsid w:val="00B13ADB"/>
    <w:rsid w:val="00B13C45"/>
    <w:rsid w:val="00B144DE"/>
    <w:rsid w:val="00B14555"/>
    <w:rsid w:val="00B14662"/>
    <w:rsid w:val="00B14920"/>
    <w:rsid w:val="00B14E8B"/>
    <w:rsid w:val="00B15297"/>
    <w:rsid w:val="00B1548A"/>
    <w:rsid w:val="00B15FFB"/>
    <w:rsid w:val="00B1672D"/>
    <w:rsid w:val="00B16917"/>
    <w:rsid w:val="00B16CC1"/>
    <w:rsid w:val="00B17FA4"/>
    <w:rsid w:val="00B2035E"/>
    <w:rsid w:val="00B203DE"/>
    <w:rsid w:val="00B206BC"/>
    <w:rsid w:val="00B209CE"/>
    <w:rsid w:val="00B20BE5"/>
    <w:rsid w:val="00B20C2D"/>
    <w:rsid w:val="00B212ED"/>
    <w:rsid w:val="00B21740"/>
    <w:rsid w:val="00B2179B"/>
    <w:rsid w:val="00B21972"/>
    <w:rsid w:val="00B2217D"/>
    <w:rsid w:val="00B22234"/>
    <w:rsid w:val="00B22632"/>
    <w:rsid w:val="00B22C13"/>
    <w:rsid w:val="00B22CEA"/>
    <w:rsid w:val="00B22E44"/>
    <w:rsid w:val="00B232AA"/>
    <w:rsid w:val="00B23371"/>
    <w:rsid w:val="00B236AE"/>
    <w:rsid w:val="00B2372D"/>
    <w:rsid w:val="00B23897"/>
    <w:rsid w:val="00B23EC5"/>
    <w:rsid w:val="00B23EE7"/>
    <w:rsid w:val="00B24183"/>
    <w:rsid w:val="00B247F2"/>
    <w:rsid w:val="00B249F3"/>
    <w:rsid w:val="00B24D03"/>
    <w:rsid w:val="00B2569D"/>
    <w:rsid w:val="00B25D02"/>
    <w:rsid w:val="00B260E0"/>
    <w:rsid w:val="00B260F9"/>
    <w:rsid w:val="00B269B3"/>
    <w:rsid w:val="00B26B2F"/>
    <w:rsid w:val="00B26E22"/>
    <w:rsid w:val="00B26F16"/>
    <w:rsid w:val="00B27750"/>
    <w:rsid w:val="00B277BD"/>
    <w:rsid w:val="00B27B24"/>
    <w:rsid w:val="00B27C02"/>
    <w:rsid w:val="00B27CA6"/>
    <w:rsid w:val="00B27CC1"/>
    <w:rsid w:val="00B2B3A3"/>
    <w:rsid w:val="00B300B8"/>
    <w:rsid w:val="00B30ACA"/>
    <w:rsid w:val="00B30E8F"/>
    <w:rsid w:val="00B30F68"/>
    <w:rsid w:val="00B31273"/>
    <w:rsid w:val="00B31850"/>
    <w:rsid w:val="00B31BA3"/>
    <w:rsid w:val="00B31C5D"/>
    <w:rsid w:val="00B31DC3"/>
    <w:rsid w:val="00B31F94"/>
    <w:rsid w:val="00B322DE"/>
    <w:rsid w:val="00B32883"/>
    <w:rsid w:val="00B32B86"/>
    <w:rsid w:val="00B32CE3"/>
    <w:rsid w:val="00B333CB"/>
    <w:rsid w:val="00B33DB0"/>
    <w:rsid w:val="00B33E22"/>
    <w:rsid w:val="00B33F38"/>
    <w:rsid w:val="00B346AF"/>
    <w:rsid w:val="00B3474E"/>
    <w:rsid w:val="00B349FE"/>
    <w:rsid w:val="00B34DA5"/>
    <w:rsid w:val="00B34FA8"/>
    <w:rsid w:val="00B35018"/>
    <w:rsid w:val="00B35E7E"/>
    <w:rsid w:val="00B363D7"/>
    <w:rsid w:val="00B3640C"/>
    <w:rsid w:val="00B3649F"/>
    <w:rsid w:val="00B364DD"/>
    <w:rsid w:val="00B3652E"/>
    <w:rsid w:val="00B367FC"/>
    <w:rsid w:val="00B370A4"/>
    <w:rsid w:val="00B3716F"/>
    <w:rsid w:val="00B372DF"/>
    <w:rsid w:val="00B375EE"/>
    <w:rsid w:val="00B377B2"/>
    <w:rsid w:val="00B37C12"/>
    <w:rsid w:val="00B37CB2"/>
    <w:rsid w:val="00B40195"/>
    <w:rsid w:val="00B403E7"/>
    <w:rsid w:val="00B40912"/>
    <w:rsid w:val="00B40C76"/>
    <w:rsid w:val="00B41347"/>
    <w:rsid w:val="00B41F44"/>
    <w:rsid w:val="00B4359F"/>
    <w:rsid w:val="00B43EBB"/>
    <w:rsid w:val="00B43F4B"/>
    <w:rsid w:val="00B43F71"/>
    <w:rsid w:val="00B4431B"/>
    <w:rsid w:val="00B447CA"/>
    <w:rsid w:val="00B44C9B"/>
    <w:rsid w:val="00B4518F"/>
    <w:rsid w:val="00B452AE"/>
    <w:rsid w:val="00B453A1"/>
    <w:rsid w:val="00B4582E"/>
    <w:rsid w:val="00B4585B"/>
    <w:rsid w:val="00B45B92"/>
    <w:rsid w:val="00B45FD2"/>
    <w:rsid w:val="00B467D4"/>
    <w:rsid w:val="00B469DE"/>
    <w:rsid w:val="00B46BD1"/>
    <w:rsid w:val="00B46C5F"/>
    <w:rsid w:val="00B46EF7"/>
    <w:rsid w:val="00B46F45"/>
    <w:rsid w:val="00B47087"/>
    <w:rsid w:val="00B47428"/>
    <w:rsid w:val="00B4784D"/>
    <w:rsid w:val="00B47C12"/>
    <w:rsid w:val="00B47C6F"/>
    <w:rsid w:val="00B47D08"/>
    <w:rsid w:val="00B47EFC"/>
    <w:rsid w:val="00B50292"/>
    <w:rsid w:val="00B50677"/>
    <w:rsid w:val="00B50755"/>
    <w:rsid w:val="00B50D9B"/>
    <w:rsid w:val="00B50E6C"/>
    <w:rsid w:val="00B50EDE"/>
    <w:rsid w:val="00B5110D"/>
    <w:rsid w:val="00B51504"/>
    <w:rsid w:val="00B5196E"/>
    <w:rsid w:val="00B51AC5"/>
    <w:rsid w:val="00B522B5"/>
    <w:rsid w:val="00B5234E"/>
    <w:rsid w:val="00B5263E"/>
    <w:rsid w:val="00B526BE"/>
    <w:rsid w:val="00B527AB"/>
    <w:rsid w:val="00B52A7E"/>
    <w:rsid w:val="00B52B64"/>
    <w:rsid w:val="00B52F20"/>
    <w:rsid w:val="00B52F58"/>
    <w:rsid w:val="00B5350F"/>
    <w:rsid w:val="00B5370C"/>
    <w:rsid w:val="00B53755"/>
    <w:rsid w:val="00B53954"/>
    <w:rsid w:val="00B53A77"/>
    <w:rsid w:val="00B53AA6"/>
    <w:rsid w:val="00B53BE1"/>
    <w:rsid w:val="00B53CD4"/>
    <w:rsid w:val="00B53CF2"/>
    <w:rsid w:val="00B53D23"/>
    <w:rsid w:val="00B53F50"/>
    <w:rsid w:val="00B541F8"/>
    <w:rsid w:val="00B54808"/>
    <w:rsid w:val="00B54885"/>
    <w:rsid w:val="00B54924"/>
    <w:rsid w:val="00B54B58"/>
    <w:rsid w:val="00B551BE"/>
    <w:rsid w:val="00B553C3"/>
    <w:rsid w:val="00B55431"/>
    <w:rsid w:val="00B5555F"/>
    <w:rsid w:val="00B56132"/>
    <w:rsid w:val="00B5691A"/>
    <w:rsid w:val="00B56CA9"/>
    <w:rsid w:val="00B57385"/>
    <w:rsid w:val="00B577F4"/>
    <w:rsid w:val="00B579E5"/>
    <w:rsid w:val="00B57B58"/>
    <w:rsid w:val="00B60418"/>
    <w:rsid w:val="00B607F7"/>
    <w:rsid w:val="00B608B7"/>
    <w:rsid w:val="00B60920"/>
    <w:rsid w:val="00B61056"/>
    <w:rsid w:val="00B6112B"/>
    <w:rsid w:val="00B6119F"/>
    <w:rsid w:val="00B612B5"/>
    <w:rsid w:val="00B61409"/>
    <w:rsid w:val="00B614B9"/>
    <w:rsid w:val="00B61BC2"/>
    <w:rsid w:val="00B61C18"/>
    <w:rsid w:val="00B61CD8"/>
    <w:rsid w:val="00B61DD1"/>
    <w:rsid w:val="00B61E10"/>
    <w:rsid w:val="00B61EF4"/>
    <w:rsid w:val="00B6209D"/>
    <w:rsid w:val="00B6242F"/>
    <w:rsid w:val="00B62671"/>
    <w:rsid w:val="00B626F3"/>
    <w:rsid w:val="00B62F3D"/>
    <w:rsid w:val="00B62F75"/>
    <w:rsid w:val="00B63022"/>
    <w:rsid w:val="00B63115"/>
    <w:rsid w:val="00B6374D"/>
    <w:rsid w:val="00B639B9"/>
    <w:rsid w:val="00B63A01"/>
    <w:rsid w:val="00B645C8"/>
    <w:rsid w:val="00B64921"/>
    <w:rsid w:val="00B649B9"/>
    <w:rsid w:val="00B651B9"/>
    <w:rsid w:val="00B65B54"/>
    <w:rsid w:val="00B65B7E"/>
    <w:rsid w:val="00B65D68"/>
    <w:rsid w:val="00B660F6"/>
    <w:rsid w:val="00B666C3"/>
    <w:rsid w:val="00B671A8"/>
    <w:rsid w:val="00B673CB"/>
    <w:rsid w:val="00B67439"/>
    <w:rsid w:val="00B675D5"/>
    <w:rsid w:val="00B6774A"/>
    <w:rsid w:val="00B678E5"/>
    <w:rsid w:val="00B67E2E"/>
    <w:rsid w:val="00B70801"/>
    <w:rsid w:val="00B70869"/>
    <w:rsid w:val="00B70A59"/>
    <w:rsid w:val="00B715BC"/>
    <w:rsid w:val="00B71A36"/>
    <w:rsid w:val="00B721BA"/>
    <w:rsid w:val="00B7227B"/>
    <w:rsid w:val="00B72390"/>
    <w:rsid w:val="00B7257A"/>
    <w:rsid w:val="00B72640"/>
    <w:rsid w:val="00B72B75"/>
    <w:rsid w:val="00B72EC5"/>
    <w:rsid w:val="00B7316D"/>
    <w:rsid w:val="00B731DD"/>
    <w:rsid w:val="00B73226"/>
    <w:rsid w:val="00B73614"/>
    <w:rsid w:val="00B7397D"/>
    <w:rsid w:val="00B73A23"/>
    <w:rsid w:val="00B74521"/>
    <w:rsid w:val="00B748A2"/>
    <w:rsid w:val="00B748F4"/>
    <w:rsid w:val="00B74921"/>
    <w:rsid w:val="00B74BDB"/>
    <w:rsid w:val="00B74CC3"/>
    <w:rsid w:val="00B7534B"/>
    <w:rsid w:val="00B756CF"/>
    <w:rsid w:val="00B757C2"/>
    <w:rsid w:val="00B75A6A"/>
    <w:rsid w:val="00B76F9B"/>
    <w:rsid w:val="00B76FF3"/>
    <w:rsid w:val="00B770F8"/>
    <w:rsid w:val="00B77DE3"/>
    <w:rsid w:val="00B77E4B"/>
    <w:rsid w:val="00B800C7"/>
    <w:rsid w:val="00B80544"/>
    <w:rsid w:val="00B809BD"/>
    <w:rsid w:val="00B809F1"/>
    <w:rsid w:val="00B80FC1"/>
    <w:rsid w:val="00B811A3"/>
    <w:rsid w:val="00B8137B"/>
    <w:rsid w:val="00B8193A"/>
    <w:rsid w:val="00B81996"/>
    <w:rsid w:val="00B81BC3"/>
    <w:rsid w:val="00B81D89"/>
    <w:rsid w:val="00B81F90"/>
    <w:rsid w:val="00B823E0"/>
    <w:rsid w:val="00B828A1"/>
    <w:rsid w:val="00B82B57"/>
    <w:rsid w:val="00B82DA1"/>
    <w:rsid w:val="00B83702"/>
    <w:rsid w:val="00B83750"/>
    <w:rsid w:val="00B83E0A"/>
    <w:rsid w:val="00B83E31"/>
    <w:rsid w:val="00B840CB"/>
    <w:rsid w:val="00B84326"/>
    <w:rsid w:val="00B847D7"/>
    <w:rsid w:val="00B84828"/>
    <w:rsid w:val="00B84E97"/>
    <w:rsid w:val="00B84EEC"/>
    <w:rsid w:val="00B851EB"/>
    <w:rsid w:val="00B854C5"/>
    <w:rsid w:val="00B85801"/>
    <w:rsid w:val="00B85B86"/>
    <w:rsid w:val="00B860BC"/>
    <w:rsid w:val="00B865A7"/>
    <w:rsid w:val="00B86AF8"/>
    <w:rsid w:val="00B86C6C"/>
    <w:rsid w:val="00B86CB1"/>
    <w:rsid w:val="00B8713E"/>
    <w:rsid w:val="00B873E6"/>
    <w:rsid w:val="00B87A7C"/>
    <w:rsid w:val="00B87B8F"/>
    <w:rsid w:val="00B9045F"/>
    <w:rsid w:val="00B90543"/>
    <w:rsid w:val="00B90C66"/>
    <w:rsid w:val="00B90CE9"/>
    <w:rsid w:val="00B90E00"/>
    <w:rsid w:val="00B912BF"/>
    <w:rsid w:val="00B913A8"/>
    <w:rsid w:val="00B91E27"/>
    <w:rsid w:val="00B92093"/>
    <w:rsid w:val="00B924F8"/>
    <w:rsid w:val="00B924FE"/>
    <w:rsid w:val="00B9267A"/>
    <w:rsid w:val="00B928CC"/>
    <w:rsid w:val="00B92C8E"/>
    <w:rsid w:val="00B93077"/>
    <w:rsid w:val="00B93574"/>
    <w:rsid w:val="00B93866"/>
    <w:rsid w:val="00B93888"/>
    <w:rsid w:val="00B93998"/>
    <w:rsid w:val="00B93E06"/>
    <w:rsid w:val="00B93E27"/>
    <w:rsid w:val="00B9401A"/>
    <w:rsid w:val="00B9436D"/>
    <w:rsid w:val="00B946EC"/>
    <w:rsid w:val="00B94787"/>
    <w:rsid w:val="00B9484B"/>
    <w:rsid w:val="00B94D6C"/>
    <w:rsid w:val="00B94FF7"/>
    <w:rsid w:val="00B95293"/>
    <w:rsid w:val="00B95537"/>
    <w:rsid w:val="00B955D2"/>
    <w:rsid w:val="00B95FE5"/>
    <w:rsid w:val="00B960B9"/>
    <w:rsid w:val="00B96737"/>
    <w:rsid w:val="00B9676B"/>
    <w:rsid w:val="00B969C6"/>
    <w:rsid w:val="00B96B8E"/>
    <w:rsid w:val="00B96C84"/>
    <w:rsid w:val="00B970A1"/>
    <w:rsid w:val="00B97B01"/>
    <w:rsid w:val="00B97B17"/>
    <w:rsid w:val="00BA06B9"/>
    <w:rsid w:val="00BA0CC5"/>
    <w:rsid w:val="00BA0E73"/>
    <w:rsid w:val="00BA0FF6"/>
    <w:rsid w:val="00BA1196"/>
    <w:rsid w:val="00BA1A79"/>
    <w:rsid w:val="00BA1BD8"/>
    <w:rsid w:val="00BA1BE9"/>
    <w:rsid w:val="00BA1D55"/>
    <w:rsid w:val="00BA1DFC"/>
    <w:rsid w:val="00BA1F2F"/>
    <w:rsid w:val="00BA220C"/>
    <w:rsid w:val="00BA2314"/>
    <w:rsid w:val="00BA23F2"/>
    <w:rsid w:val="00BA244F"/>
    <w:rsid w:val="00BA2B88"/>
    <w:rsid w:val="00BA2BF1"/>
    <w:rsid w:val="00BA2D13"/>
    <w:rsid w:val="00BA2F09"/>
    <w:rsid w:val="00BA30ED"/>
    <w:rsid w:val="00BA3197"/>
    <w:rsid w:val="00BA3821"/>
    <w:rsid w:val="00BA3B20"/>
    <w:rsid w:val="00BA3EB0"/>
    <w:rsid w:val="00BA3F10"/>
    <w:rsid w:val="00BA4035"/>
    <w:rsid w:val="00BA4051"/>
    <w:rsid w:val="00BA48BA"/>
    <w:rsid w:val="00BA4975"/>
    <w:rsid w:val="00BA4D0B"/>
    <w:rsid w:val="00BA5280"/>
    <w:rsid w:val="00BA556B"/>
    <w:rsid w:val="00BA5684"/>
    <w:rsid w:val="00BA5F57"/>
    <w:rsid w:val="00BA5F60"/>
    <w:rsid w:val="00BA6140"/>
    <w:rsid w:val="00BA628E"/>
    <w:rsid w:val="00BA67B7"/>
    <w:rsid w:val="00BA6B77"/>
    <w:rsid w:val="00BA70DB"/>
    <w:rsid w:val="00BA717E"/>
    <w:rsid w:val="00BA726E"/>
    <w:rsid w:val="00BA77EF"/>
    <w:rsid w:val="00BA78F0"/>
    <w:rsid w:val="00BA7ADA"/>
    <w:rsid w:val="00BB03A7"/>
    <w:rsid w:val="00BB068C"/>
    <w:rsid w:val="00BB0C75"/>
    <w:rsid w:val="00BB0F3D"/>
    <w:rsid w:val="00BB0F78"/>
    <w:rsid w:val="00BB11EC"/>
    <w:rsid w:val="00BB12BF"/>
    <w:rsid w:val="00BB14AB"/>
    <w:rsid w:val="00BB15AE"/>
    <w:rsid w:val="00BB1698"/>
    <w:rsid w:val="00BB16D4"/>
    <w:rsid w:val="00BB174E"/>
    <w:rsid w:val="00BB1969"/>
    <w:rsid w:val="00BB1CEA"/>
    <w:rsid w:val="00BB2017"/>
    <w:rsid w:val="00BB228C"/>
    <w:rsid w:val="00BB2444"/>
    <w:rsid w:val="00BB29FF"/>
    <w:rsid w:val="00BB31DE"/>
    <w:rsid w:val="00BB33CF"/>
    <w:rsid w:val="00BB3653"/>
    <w:rsid w:val="00BB3985"/>
    <w:rsid w:val="00BB3B71"/>
    <w:rsid w:val="00BB3FBB"/>
    <w:rsid w:val="00BB45EB"/>
    <w:rsid w:val="00BB4BDD"/>
    <w:rsid w:val="00BB4BEB"/>
    <w:rsid w:val="00BB54FD"/>
    <w:rsid w:val="00BB562E"/>
    <w:rsid w:val="00BB579A"/>
    <w:rsid w:val="00BB5D1E"/>
    <w:rsid w:val="00BB60CC"/>
    <w:rsid w:val="00BB6B4F"/>
    <w:rsid w:val="00BB6BAF"/>
    <w:rsid w:val="00BB6C33"/>
    <w:rsid w:val="00BB741F"/>
    <w:rsid w:val="00BB75A5"/>
    <w:rsid w:val="00BB75F2"/>
    <w:rsid w:val="00BB7837"/>
    <w:rsid w:val="00BB787A"/>
    <w:rsid w:val="00BB7BB0"/>
    <w:rsid w:val="00BB7C41"/>
    <w:rsid w:val="00BB7FBE"/>
    <w:rsid w:val="00BC03B0"/>
    <w:rsid w:val="00BC04EB"/>
    <w:rsid w:val="00BC0F23"/>
    <w:rsid w:val="00BC0FB3"/>
    <w:rsid w:val="00BC0FC5"/>
    <w:rsid w:val="00BC1121"/>
    <w:rsid w:val="00BC1330"/>
    <w:rsid w:val="00BC1421"/>
    <w:rsid w:val="00BC16CE"/>
    <w:rsid w:val="00BC1849"/>
    <w:rsid w:val="00BC18BB"/>
    <w:rsid w:val="00BC1BBD"/>
    <w:rsid w:val="00BC20FD"/>
    <w:rsid w:val="00BC21EA"/>
    <w:rsid w:val="00BC22AE"/>
    <w:rsid w:val="00BC22D7"/>
    <w:rsid w:val="00BC24B4"/>
    <w:rsid w:val="00BC260B"/>
    <w:rsid w:val="00BC26AD"/>
    <w:rsid w:val="00BC2C5E"/>
    <w:rsid w:val="00BC30C1"/>
    <w:rsid w:val="00BC3404"/>
    <w:rsid w:val="00BC35BE"/>
    <w:rsid w:val="00BC3707"/>
    <w:rsid w:val="00BC3782"/>
    <w:rsid w:val="00BC3A7B"/>
    <w:rsid w:val="00BC3E04"/>
    <w:rsid w:val="00BC42E4"/>
    <w:rsid w:val="00BC45FE"/>
    <w:rsid w:val="00BC461D"/>
    <w:rsid w:val="00BC4832"/>
    <w:rsid w:val="00BC4E0E"/>
    <w:rsid w:val="00BC4E52"/>
    <w:rsid w:val="00BC4EE9"/>
    <w:rsid w:val="00BC512E"/>
    <w:rsid w:val="00BC53D9"/>
    <w:rsid w:val="00BC554F"/>
    <w:rsid w:val="00BC572D"/>
    <w:rsid w:val="00BC5BC3"/>
    <w:rsid w:val="00BC5F59"/>
    <w:rsid w:val="00BC68B4"/>
    <w:rsid w:val="00BC68B6"/>
    <w:rsid w:val="00BC6C12"/>
    <w:rsid w:val="00BC71B3"/>
    <w:rsid w:val="00BC7810"/>
    <w:rsid w:val="00BC78C9"/>
    <w:rsid w:val="00BD0403"/>
    <w:rsid w:val="00BD05A7"/>
    <w:rsid w:val="00BD09E1"/>
    <w:rsid w:val="00BD0DA0"/>
    <w:rsid w:val="00BD0E18"/>
    <w:rsid w:val="00BD0E4E"/>
    <w:rsid w:val="00BD0EA9"/>
    <w:rsid w:val="00BD0F3A"/>
    <w:rsid w:val="00BD1083"/>
    <w:rsid w:val="00BD134E"/>
    <w:rsid w:val="00BD13B9"/>
    <w:rsid w:val="00BD13CF"/>
    <w:rsid w:val="00BD17F0"/>
    <w:rsid w:val="00BD1D5A"/>
    <w:rsid w:val="00BD1ECB"/>
    <w:rsid w:val="00BD1EF6"/>
    <w:rsid w:val="00BD2091"/>
    <w:rsid w:val="00BD20B2"/>
    <w:rsid w:val="00BD21FF"/>
    <w:rsid w:val="00BD2358"/>
    <w:rsid w:val="00BD25C1"/>
    <w:rsid w:val="00BD2959"/>
    <w:rsid w:val="00BD29C9"/>
    <w:rsid w:val="00BD2A7F"/>
    <w:rsid w:val="00BD2ADB"/>
    <w:rsid w:val="00BD31FA"/>
    <w:rsid w:val="00BD3432"/>
    <w:rsid w:val="00BD3640"/>
    <w:rsid w:val="00BD3670"/>
    <w:rsid w:val="00BD36B4"/>
    <w:rsid w:val="00BD3D87"/>
    <w:rsid w:val="00BD41F7"/>
    <w:rsid w:val="00BD42B0"/>
    <w:rsid w:val="00BD45E2"/>
    <w:rsid w:val="00BD499D"/>
    <w:rsid w:val="00BD52F0"/>
    <w:rsid w:val="00BD5819"/>
    <w:rsid w:val="00BD5AD6"/>
    <w:rsid w:val="00BD6026"/>
    <w:rsid w:val="00BD6207"/>
    <w:rsid w:val="00BD6353"/>
    <w:rsid w:val="00BD6641"/>
    <w:rsid w:val="00BD66A1"/>
    <w:rsid w:val="00BD67DB"/>
    <w:rsid w:val="00BD693E"/>
    <w:rsid w:val="00BD6FA2"/>
    <w:rsid w:val="00BD79A8"/>
    <w:rsid w:val="00BD7F4A"/>
    <w:rsid w:val="00BE0306"/>
    <w:rsid w:val="00BE0415"/>
    <w:rsid w:val="00BE05C8"/>
    <w:rsid w:val="00BE0729"/>
    <w:rsid w:val="00BE0A33"/>
    <w:rsid w:val="00BE0A82"/>
    <w:rsid w:val="00BE0AE1"/>
    <w:rsid w:val="00BE0E4C"/>
    <w:rsid w:val="00BE0F59"/>
    <w:rsid w:val="00BE120B"/>
    <w:rsid w:val="00BE123E"/>
    <w:rsid w:val="00BE1474"/>
    <w:rsid w:val="00BE18D6"/>
    <w:rsid w:val="00BE2123"/>
    <w:rsid w:val="00BE2237"/>
    <w:rsid w:val="00BE251C"/>
    <w:rsid w:val="00BE2571"/>
    <w:rsid w:val="00BE278A"/>
    <w:rsid w:val="00BE2BA4"/>
    <w:rsid w:val="00BE2E50"/>
    <w:rsid w:val="00BE2F3B"/>
    <w:rsid w:val="00BE305E"/>
    <w:rsid w:val="00BE325D"/>
    <w:rsid w:val="00BE3400"/>
    <w:rsid w:val="00BE3AC9"/>
    <w:rsid w:val="00BE4020"/>
    <w:rsid w:val="00BE4035"/>
    <w:rsid w:val="00BE416A"/>
    <w:rsid w:val="00BE4373"/>
    <w:rsid w:val="00BE50BB"/>
    <w:rsid w:val="00BE54E5"/>
    <w:rsid w:val="00BE5731"/>
    <w:rsid w:val="00BE5B5A"/>
    <w:rsid w:val="00BE5CE7"/>
    <w:rsid w:val="00BE5D1A"/>
    <w:rsid w:val="00BE6366"/>
    <w:rsid w:val="00BE6B42"/>
    <w:rsid w:val="00BE6C7E"/>
    <w:rsid w:val="00BE6CE1"/>
    <w:rsid w:val="00BE6D46"/>
    <w:rsid w:val="00BE6EA5"/>
    <w:rsid w:val="00BE6ECE"/>
    <w:rsid w:val="00BE73DA"/>
    <w:rsid w:val="00BE7975"/>
    <w:rsid w:val="00BE7B7B"/>
    <w:rsid w:val="00BE7F6A"/>
    <w:rsid w:val="00BF038D"/>
    <w:rsid w:val="00BF092D"/>
    <w:rsid w:val="00BF09A3"/>
    <w:rsid w:val="00BF0D1A"/>
    <w:rsid w:val="00BF10B7"/>
    <w:rsid w:val="00BF174F"/>
    <w:rsid w:val="00BF175C"/>
    <w:rsid w:val="00BF1904"/>
    <w:rsid w:val="00BF22E8"/>
    <w:rsid w:val="00BF2382"/>
    <w:rsid w:val="00BF25B2"/>
    <w:rsid w:val="00BF2756"/>
    <w:rsid w:val="00BF2C34"/>
    <w:rsid w:val="00BF2C8D"/>
    <w:rsid w:val="00BF3160"/>
    <w:rsid w:val="00BF3338"/>
    <w:rsid w:val="00BF37B6"/>
    <w:rsid w:val="00BF3C24"/>
    <w:rsid w:val="00BF3D34"/>
    <w:rsid w:val="00BF3FDF"/>
    <w:rsid w:val="00BF43B7"/>
    <w:rsid w:val="00BF449C"/>
    <w:rsid w:val="00BF496D"/>
    <w:rsid w:val="00BF4CC0"/>
    <w:rsid w:val="00BF4F6A"/>
    <w:rsid w:val="00BF4F6C"/>
    <w:rsid w:val="00BF50C5"/>
    <w:rsid w:val="00BF54EA"/>
    <w:rsid w:val="00BF59E8"/>
    <w:rsid w:val="00BF5BB2"/>
    <w:rsid w:val="00BF61CB"/>
    <w:rsid w:val="00BF61FE"/>
    <w:rsid w:val="00BF625A"/>
    <w:rsid w:val="00BF68D3"/>
    <w:rsid w:val="00BF6E36"/>
    <w:rsid w:val="00BF7079"/>
    <w:rsid w:val="00BF77ED"/>
    <w:rsid w:val="00BF78F0"/>
    <w:rsid w:val="00BF7BE5"/>
    <w:rsid w:val="00BF7E5D"/>
    <w:rsid w:val="00C00172"/>
    <w:rsid w:val="00C0041F"/>
    <w:rsid w:val="00C0042C"/>
    <w:rsid w:val="00C009FC"/>
    <w:rsid w:val="00C00A48"/>
    <w:rsid w:val="00C00B03"/>
    <w:rsid w:val="00C00C9E"/>
    <w:rsid w:val="00C00F78"/>
    <w:rsid w:val="00C00F99"/>
    <w:rsid w:val="00C01E41"/>
    <w:rsid w:val="00C01EB6"/>
    <w:rsid w:val="00C02845"/>
    <w:rsid w:val="00C02D4B"/>
    <w:rsid w:val="00C02D81"/>
    <w:rsid w:val="00C02D9E"/>
    <w:rsid w:val="00C02E30"/>
    <w:rsid w:val="00C02EDC"/>
    <w:rsid w:val="00C03876"/>
    <w:rsid w:val="00C0395C"/>
    <w:rsid w:val="00C03B53"/>
    <w:rsid w:val="00C04075"/>
    <w:rsid w:val="00C04254"/>
    <w:rsid w:val="00C043FE"/>
    <w:rsid w:val="00C04567"/>
    <w:rsid w:val="00C046C6"/>
    <w:rsid w:val="00C0486B"/>
    <w:rsid w:val="00C049E0"/>
    <w:rsid w:val="00C04E9C"/>
    <w:rsid w:val="00C05097"/>
    <w:rsid w:val="00C051DB"/>
    <w:rsid w:val="00C05375"/>
    <w:rsid w:val="00C05B50"/>
    <w:rsid w:val="00C05C37"/>
    <w:rsid w:val="00C062D4"/>
    <w:rsid w:val="00C063B6"/>
    <w:rsid w:val="00C06426"/>
    <w:rsid w:val="00C06847"/>
    <w:rsid w:val="00C068AF"/>
    <w:rsid w:val="00C06BE9"/>
    <w:rsid w:val="00C06EED"/>
    <w:rsid w:val="00C07361"/>
    <w:rsid w:val="00C0759E"/>
    <w:rsid w:val="00C07E98"/>
    <w:rsid w:val="00C07EE3"/>
    <w:rsid w:val="00C10567"/>
    <w:rsid w:val="00C108D4"/>
    <w:rsid w:val="00C10B14"/>
    <w:rsid w:val="00C1164D"/>
    <w:rsid w:val="00C11A16"/>
    <w:rsid w:val="00C11A51"/>
    <w:rsid w:val="00C123D0"/>
    <w:rsid w:val="00C12585"/>
    <w:rsid w:val="00C125FF"/>
    <w:rsid w:val="00C128FE"/>
    <w:rsid w:val="00C1298B"/>
    <w:rsid w:val="00C12A4B"/>
    <w:rsid w:val="00C12CE0"/>
    <w:rsid w:val="00C12ECB"/>
    <w:rsid w:val="00C13081"/>
    <w:rsid w:val="00C134A1"/>
    <w:rsid w:val="00C134D5"/>
    <w:rsid w:val="00C13693"/>
    <w:rsid w:val="00C13ACC"/>
    <w:rsid w:val="00C13DD8"/>
    <w:rsid w:val="00C13ECD"/>
    <w:rsid w:val="00C141D9"/>
    <w:rsid w:val="00C141F0"/>
    <w:rsid w:val="00C142B6"/>
    <w:rsid w:val="00C145A1"/>
    <w:rsid w:val="00C1472A"/>
    <w:rsid w:val="00C148F0"/>
    <w:rsid w:val="00C14A70"/>
    <w:rsid w:val="00C14AC3"/>
    <w:rsid w:val="00C14DA2"/>
    <w:rsid w:val="00C14F33"/>
    <w:rsid w:val="00C14FB3"/>
    <w:rsid w:val="00C1515F"/>
    <w:rsid w:val="00C157D7"/>
    <w:rsid w:val="00C158BC"/>
    <w:rsid w:val="00C15B6F"/>
    <w:rsid w:val="00C16164"/>
    <w:rsid w:val="00C167CE"/>
    <w:rsid w:val="00C16987"/>
    <w:rsid w:val="00C169CD"/>
    <w:rsid w:val="00C16BE8"/>
    <w:rsid w:val="00C16F9C"/>
    <w:rsid w:val="00C170A7"/>
    <w:rsid w:val="00C17179"/>
    <w:rsid w:val="00C1730A"/>
    <w:rsid w:val="00C1766D"/>
    <w:rsid w:val="00C17730"/>
    <w:rsid w:val="00C17B07"/>
    <w:rsid w:val="00C17BBB"/>
    <w:rsid w:val="00C17FD1"/>
    <w:rsid w:val="00C2015A"/>
    <w:rsid w:val="00C2025C"/>
    <w:rsid w:val="00C2069F"/>
    <w:rsid w:val="00C20A63"/>
    <w:rsid w:val="00C20BFC"/>
    <w:rsid w:val="00C20DBC"/>
    <w:rsid w:val="00C20DF5"/>
    <w:rsid w:val="00C21007"/>
    <w:rsid w:val="00C210FF"/>
    <w:rsid w:val="00C21255"/>
    <w:rsid w:val="00C2146F"/>
    <w:rsid w:val="00C218ED"/>
    <w:rsid w:val="00C21B78"/>
    <w:rsid w:val="00C21BFA"/>
    <w:rsid w:val="00C21E54"/>
    <w:rsid w:val="00C22024"/>
    <w:rsid w:val="00C220A8"/>
    <w:rsid w:val="00C220B1"/>
    <w:rsid w:val="00C2291A"/>
    <w:rsid w:val="00C23155"/>
    <w:rsid w:val="00C2375D"/>
    <w:rsid w:val="00C23762"/>
    <w:rsid w:val="00C23F5D"/>
    <w:rsid w:val="00C241F7"/>
    <w:rsid w:val="00C24379"/>
    <w:rsid w:val="00C24917"/>
    <w:rsid w:val="00C24EA7"/>
    <w:rsid w:val="00C24FDF"/>
    <w:rsid w:val="00C25105"/>
    <w:rsid w:val="00C2516C"/>
    <w:rsid w:val="00C251C9"/>
    <w:rsid w:val="00C25976"/>
    <w:rsid w:val="00C25A2C"/>
    <w:rsid w:val="00C25B28"/>
    <w:rsid w:val="00C25D2D"/>
    <w:rsid w:val="00C25F98"/>
    <w:rsid w:val="00C263D9"/>
    <w:rsid w:val="00C26892"/>
    <w:rsid w:val="00C2726A"/>
    <w:rsid w:val="00C27340"/>
    <w:rsid w:val="00C2799F"/>
    <w:rsid w:val="00C27B12"/>
    <w:rsid w:val="00C30055"/>
    <w:rsid w:val="00C3007F"/>
    <w:rsid w:val="00C30C68"/>
    <w:rsid w:val="00C31218"/>
    <w:rsid w:val="00C31647"/>
    <w:rsid w:val="00C31B2B"/>
    <w:rsid w:val="00C31B43"/>
    <w:rsid w:val="00C31C96"/>
    <w:rsid w:val="00C324A6"/>
    <w:rsid w:val="00C327F8"/>
    <w:rsid w:val="00C32AD2"/>
    <w:rsid w:val="00C32C6A"/>
    <w:rsid w:val="00C32F3C"/>
    <w:rsid w:val="00C33120"/>
    <w:rsid w:val="00C3376E"/>
    <w:rsid w:val="00C339C5"/>
    <w:rsid w:val="00C33B14"/>
    <w:rsid w:val="00C340B6"/>
    <w:rsid w:val="00C342B6"/>
    <w:rsid w:val="00C34721"/>
    <w:rsid w:val="00C347F7"/>
    <w:rsid w:val="00C34918"/>
    <w:rsid w:val="00C34982"/>
    <w:rsid w:val="00C34A3E"/>
    <w:rsid w:val="00C34A7E"/>
    <w:rsid w:val="00C34B5D"/>
    <w:rsid w:val="00C34ECB"/>
    <w:rsid w:val="00C34FC8"/>
    <w:rsid w:val="00C35339"/>
    <w:rsid w:val="00C358F9"/>
    <w:rsid w:val="00C35A78"/>
    <w:rsid w:val="00C35D98"/>
    <w:rsid w:val="00C3628D"/>
    <w:rsid w:val="00C3641F"/>
    <w:rsid w:val="00C3642A"/>
    <w:rsid w:val="00C36445"/>
    <w:rsid w:val="00C3647A"/>
    <w:rsid w:val="00C3699D"/>
    <w:rsid w:val="00C36C8B"/>
    <w:rsid w:val="00C370C1"/>
    <w:rsid w:val="00C370F9"/>
    <w:rsid w:val="00C375A7"/>
    <w:rsid w:val="00C3767A"/>
    <w:rsid w:val="00C3782B"/>
    <w:rsid w:val="00C37C10"/>
    <w:rsid w:val="00C37E69"/>
    <w:rsid w:val="00C4001E"/>
    <w:rsid w:val="00C4013B"/>
    <w:rsid w:val="00C404C0"/>
    <w:rsid w:val="00C4052F"/>
    <w:rsid w:val="00C40971"/>
    <w:rsid w:val="00C40C48"/>
    <w:rsid w:val="00C4118C"/>
    <w:rsid w:val="00C41401"/>
    <w:rsid w:val="00C418F5"/>
    <w:rsid w:val="00C4190D"/>
    <w:rsid w:val="00C41975"/>
    <w:rsid w:val="00C41CD2"/>
    <w:rsid w:val="00C4223F"/>
    <w:rsid w:val="00C428FF"/>
    <w:rsid w:val="00C429E7"/>
    <w:rsid w:val="00C42CC0"/>
    <w:rsid w:val="00C42F72"/>
    <w:rsid w:val="00C43163"/>
    <w:rsid w:val="00C4335E"/>
    <w:rsid w:val="00C43662"/>
    <w:rsid w:val="00C43CF9"/>
    <w:rsid w:val="00C43D37"/>
    <w:rsid w:val="00C443F9"/>
    <w:rsid w:val="00C44865"/>
    <w:rsid w:val="00C44C33"/>
    <w:rsid w:val="00C44FB3"/>
    <w:rsid w:val="00C4540A"/>
    <w:rsid w:val="00C45512"/>
    <w:rsid w:val="00C4559B"/>
    <w:rsid w:val="00C45A24"/>
    <w:rsid w:val="00C45A97"/>
    <w:rsid w:val="00C45BF3"/>
    <w:rsid w:val="00C45E21"/>
    <w:rsid w:val="00C46514"/>
    <w:rsid w:val="00C46572"/>
    <w:rsid w:val="00C46AF0"/>
    <w:rsid w:val="00C46E1F"/>
    <w:rsid w:val="00C47A26"/>
    <w:rsid w:val="00C47CB2"/>
    <w:rsid w:val="00C50175"/>
    <w:rsid w:val="00C5026F"/>
    <w:rsid w:val="00C504CF"/>
    <w:rsid w:val="00C50A74"/>
    <w:rsid w:val="00C511A0"/>
    <w:rsid w:val="00C511DB"/>
    <w:rsid w:val="00C5135C"/>
    <w:rsid w:val="00C51743"/>
    <w:rsid w:val="00C51DA8"/>
    <w:rsid w:val="00C521FF"/>
    <w:rsid w:val="00C52285"/>
    <w:rsid w:val="00C52334"/>
    <w:rsid w:val="00C5263F"/>
    <w:rsid w:val="00C528BE"/>
    <w:rsid w:val="00C52EA2"/>
    <w:rsid w:val="00C52F5C"/>
    <w:rsid w:val="00C5315B"/>
    <w:rsid w:val="00C53301"/>
    <w:rsid w:val="00C533C0"/>
    <w:rsid w:val="00C533C5"/>
    <w:rsid w:val="00C53985"/>
    <w:rsid w:val="00C53B7F"/>
    <w:rsid w:val="00C540DC"/>
    <w:rsid w:val="00C54CC9"/>
    <w:rsid w:val="00C54CDF"/>
    <w:rsid w:val="00C55196"/>
    <w:rsid w:val="00C5520E"/>
    <w:rsid w:val="00C55815"/>
    <w:rsid w:val="00C55C8D"/>
    <w:rsid w:val="00C55D74"/>
    <w:rsid w:val="00C56479"/>
    <w:rsid w:val="00C564B7"/>
    <w:rsid w:val="00C564EE"/>
    <w:rsid w:val="00C567EB"/>
    <w:rsid w:val="00C568DE"/>
    <w:rsid w:val="00C5695B"/>
    <w:rsid w:val="00C56E11"/>
    <w:rsid w:val="00C57157"/>
    <w:rsid w:val="00C571D3"/>
    <w:rsid w:val="00C571DA"/>
    <w:rsid w:val="00C57262"/>
    <w:rsid w:val="00C57315"/>
    <w:rsid w:val="00C57455"/>
    <w:rsid w:val="00C575DD"/>
    <w:rsid w:val="00C576E2"/>
    <w:rsid w:val="00C57C72"/>
    <w:rsid w:val="00C60887"/>
    <w:rsid w:val="00C60A61"/>
    <w:rsid w:val="00C60ED6"/>
    <w:rsid w:val="00C611BE"/>
    <w:rsid w:val="00C616A7"/>
    <w:rsid w:val="00C618A6"/>
    <w:rsid w:val="00C61BB7"/>
    <w:rsid w:val="00C61C88"/>
    <w:rsid w:val="00C61F78"/>
    <w:rsid w:val="00C622B1"/>
    <w:rsid w:val="00C625BA"/>
    <w:rsid w:val="00C6288A"/>
    <w:rsid w:val="00C62976"/>
    <w:rsid w:val="00C62A86"/>
    <w:rsid w:val="00C62B22"/>
    <w:rsid w:val="00C62C5F"/>
    <w:rsid w:val="00C62FB7"/>
    <w:rsid w:val="00C63573"/>
    <w:rsid w:val="00C635D3"/>
    <w:rsid w:val="00C6364A"/>
    <w:rsid w:val="00C637A4"/>
    <w:rsid w:val="00C639B7"/>
    <w:rsid w:val="00C63D4E"/>
    <w:rsid w:val="00C64242"/>
    <w:rsid w:val="00C649DB"/>
    <w:rsid w:val="00C64BC8"/>
    <w:rsid w:val="00C64EF6"/>
    <w:rsid w:val="00C65302"/>
    <w:rsid w:val="00C6555A"/>
    <w:rsid w:val="00C65A2E"/>
    <w:rsid w:val="00C65CB2"/>
    <w:rsid w:val="00C6608D"/>
    <w:rsid w:val="00C6629C"/>
    <w:rsid w:val="00C664E3"/>
    <w:rsid w:val="00C668A0"/>
    <w:rsid w:val="00C673A7"/>
    <w:rsid w:val="00C6757C"/>
    <w:rsid w:val="00C67735"/>
    <w:rsid w:val="00C677AC"/>
    <w:rsid w:val="00C677B3"/>
    <w:rsid w:val="00C67916"/>
    <w:rsid w:val="00C67D5D"/>
    <w:rsid w:val="00C67FD4"/>
    <w:rsid w:val="00C70065"/>
    <w:rsid w:val="00C704DD"/>
    <w:rsid w:val="00C705D8"/>
    <w:rsid w:val="00C7125D"/>
    <w:rsid w:val="00C7146F"/>
    <w:rsid w:val="00C71739"/>
    <w:rsid w:val="00C717F4"/>
    <w:rsid w:val="00C719A7"/>
    <w:rsid w:val="00C71C15"/>
    <w:rsid w:val="00C71C1E"/>
    <w:rsid w:val="00C71D5A"/>
    <w:rsid w:val="00C71E79"/>
    <w:rsid w:val="00C71FF5"/>
    <w:rsid w:val="00C72211"/>
    <w:rsid w:val="00C7239C"/>
    <w:rsid w:val="00C7249D"/>
    <w:rsid w:val="00C724C7"/>
    <w:rsid w:val="00C728E8"/>
    <w:rsid w:val="00C72A72"/>
    <w:rsid w:val="00C72AE8"/>
    <w:rsid w:val="00C72C49"/>
    <w:rsid w:val="00C72C5C"/>
    <w:rsid w:val="00C72E74"/>
    <w:rsid w:val="00C73379"/>
    <w:rsid w:val="00C74115"/>
    <w:rsid w:val="00C74130"/>
    <w:rsid w:val="00C74418"/>
    <w:rsid w:val="00C744AA"/>
    <w:rsid w:val="00C74502"/>
    <w:rsid w:val="00C74518"/>
    <w:rsid w:val="00C7453D"/>
    <w:rsid w:val="00C746A7"/>
    <w:rsid w:val="00C7478B"/>
    <w:rsid w:val="00C748A1"/>
    <w:rsid w:val="00C74EB5"/>
    <w:rsid w:val="00C7539D"/>
    <w:rsid w:val="00C754B2"/>
    <w:rsid w:val="00C757C6"/>
    <w:rsid w:val="00C75EA6"/>
    <w:rsid w:val="00C763CE"/>
    <w:rsid w:val="00C768CB"/>
    <w:rsid w:val="00C76CAF"/>
    <w:rsid w:val="00C776C3"/>
    <w:rsid w:val="00C80938"/>
    <w:rsid w:val="00C80A79"/>
    <w:rsid w:val="00C80B41"/>
    <w:rsid w:val="00C80BCF"/>
    <w:rsid w:val="00C80F26"/>
    <w:rsid w:val="00C81C9E"/>
    <w:rsid w:val="00C81E21"/>
    <w:rsid w:val="00C81E38"/>
    <w:rsid w:val="00C81F1D"/>
    <w:rsid w:val="00C82335"/>
    <w:rsid w:val="00C82A51"/>
    <w:rsid w:val="00C82BF8"/>
    <w:rsid w:val="00C82C70"/>
    <w:rsid w:val="00C82F98"/>
    <w:rsid w:val="00C832EF"/>
    <w:rsid w:val="00C83311"/>
    <w:rsid w:val="00C83324"/>
    <w:rsid w:val="00C8337E"/>
    <w:rsid w:val="00C83642"/>
    <w:rsid w:val="00C83828"/>
    <w:rsid w:val="00C838B3"/>
    <w:rsid w:val="00C83C4F"/>
    <w:rsid w:val="00C83C53"/>
    <w:rsid w:val="00C840E5"/>
    <w:rsid w:val="00C84281"/>
    <w:rsid w:val="00C845AE"/>
    <w:rsid w:val="00C8477D"/>
    <w:rsid w:val="00C84B69"/>
    <w:rsid w:val="00C84C12"/>
    <w:rsid w:val="00C851C9"/>
    <w:rsid w:val="00C85496"/>
    <w:rsid w:val="00C855F0"/>
    <w:rsid w:val="00C8596C"/>
    <w:rsid w:val="00C859AE"/>
    <w:rsid w:val="00C8639A"/>
    <w:rsid w:val="00C865C9"/>
    <w:rsid w:val="00C86744"/>
    <w:rsid w:val="00C86AF8"/>
    <w:rsid w:val="00C86E84"/>
    <w:rsid w:val="00C876BF"/>
    <w:rsid w:val="00C87A20"/>
    <w:rsid w:val="00C87A8A"/>
    <w:rsid w:val="00C87A97"/>
    <w:rsid w:val="00C87FB7"/>
    <w:rsid w:val="00C90055"/>
    <w:rsid w:val="00C904E2"/>
    <w:rsid w:val="00C905B6"/>
    <w:rsid w:val="00C906E7"/>
    <w:rsid w:val="00C9079B"/>
    <w:rsid w:val="00C90B3B"/>
    <w:rsid w:val="00C90EA0"/>
    <w:rsid w:val="00C90EF6"/>
    <w:rsid w:val="00C91215"/>
    <w:rsid w:val="00C91471"/>
    <w:rsid w:val="00C91C55"/>
    <w:rsid w:val="00C91D3B"/>
    <w:rsid w:val="00C91EEA"/>
    <w:rsid w:val="00C9231E"/>
    <w:rsid w:val="00C924BB"/>
    <w:rsid w:val="00C92747"/>
    <w:rsid w:val="00C9315D"/>
    <w:rsid w:val="00C93202"/>
    <w:rsid w:val="00C936E0"/>
    <w:rsid w:val="00C93ADC"/>
    <w:rsid w:val="00C93DD8"/>
    <w:rsid w:val="00C93E33"/>
    <w:rsid w:val="00C94212"/>
    <w:rsid w:val="00C94AB0"/>
    <w:rsid w:val="00C95043"/>
    <w:rsid w:val="00C9544E"/>
    <w:rsid w:val="00C9545D"/>
    <w:rsid w:val="00C955BF"/>
    <w:rsid w:val="00C9566C"/>
    <w:rsid w:val="00C9636E"/>
    <w:rsid w:val="00C96AA8"/>
    <w:rsid w:val="00C96AD4"/>
    <w:rsid w:val="00C96C9A"/>
    <w:rsid w:val="00C96CFD"/>
    <w:rsid w:val="00C97130"/>
    <w:rsid w:val="00C971A7"/>
    <w:rsid w:val="00C97292"/>
    <w:rsid w:val="00C97722"/>
    <w:rsid w:val="00C97795"/>
    <w:rsid w:val="00C977B1"/>
    <w:rsid w:val="00CA09A5"/>
    <w:rsid w:val="00CA0CD0"/>
    <w:rsid w:val="00CA1BEE"/>
    <w:rsid w:val="00CA1D93"/>
    <w:rsid w:val="00CA23C5"/>
    <w:rsid w:val="00CA240B"/>
    <w:rsid w:val="00CA25F7"/>
    <w:rsid w:val="00CA2728"/>
    <w:rsid w:val="00CA29B7"/>
    <w:rsid w:val="00CA2C0D"/>
    <w:rsid w:val="00CA2F41"/>
    <w:rsid w:val="00CA3950"/>
    <w:rsid w:val="00CA3ACC"/>
    <w:rsid w:val="00CA3EA3"/>
    <w:rsid w:val="00CA3EC6"/>
    <w:rsid w:val="00CA423E"/>
    <w:rsid w:val="00CA43A0"/>
    <w:rsid w:val="00CA466A"/>
    <w:rsid w:val="00CA4793"/>
    <w:rsid w:val="00CA48CD"/>
    <w:rsid w:val="00CA48EA"/>
    <w:rsid w:val="00CA4B77"/>
    <w:rsid w:val="00CA4C85"/>
    <w:rsid w:val="00CA5119"/>
    <w:rsid w:val="00CA53A2"/>
    <w:rsid w:val="00CA58D6"/>
    <w:rsid w:val="00CA58FA"/>
    <w:rsid w:val="00CA5902"/>
    <w:rsid w:val="00CA5F65"/>
    <w:rsid w:val="00CA6567"/>
    <w:rsid w:val="00CA66D7"/>
    <w:rsid w:val="00CA6861"/>
    <w:rsid w:val="00CA69B6"/>
    <w:rsid w:val="00CA6A75"/>
    <w:rsid w:val="00CA6F56"/>
    <w:rsid w:val="00CB0209"/>
    <w:rsid w:val="00CB0507"/>
    <w:rsid w:val="00CB05A0"/>
    <w:rsid w:val="00CB0751"/>
    <w:rsid w:val="00CB0825"/>
    <w:rsid w:val="00CB0D55"/>
    <w:rsid w:val="00CB0EBA"/>
    <w:rsid w:val="00CB10D1"/>
    <w:rsid w:val="00CB1581"/>
    <w:rsid w:val="00CB15D2"/>
    <w:rsid w:val="00CB22D3"/>
    <w:rsid w:val="00CB247F"/>
    <w:rsid w:val="00CB257F"/>
    <w:rsid w:val="00CB27F6"/>
    <w:rsid w:val="00CB2EF3"/>
    <w:rsid w:val="00CB358A"/>
    <w:rsid w:val="00CB3782"/>
    <w:rsid w:val="00CB39BE"/>
    <w:rsid w:val="00CB3C70"/>
    <w:rsid w:val="00CB3CA8"/>
    <w:rsid w:val="00CB3EB9"/>
    <w:rsid w:val="00CB4134"/>
    <w:rsid w:val="00CB42A8"/>
    <w:rsid w:val="00CB44C2"/>
    <w:rsid w:val="00CB4BCD"/>
    <w:rsid w:val="00CB4D9E"/>
    <w:rsid w:val="00CB4DB2"/>
    <w:rsid w:val="00CB4F04"/>
    <w:rsid w:val="00CB5714"/>
    <w:rsid w:val="00CB5805"/>
    <w:rsid w:val="00CB58D8"/>
    <w:rsid w:val="00CB598C"/>
    <w:rsid w:val="00CB59D1"/>
    <w:rsid w:val="00CB5CC1"/>
    <w:rsid w:val="00CB65C7"/>
    <w:rsid w:val="00CB6F37"/>
    <w:rsid w:val="00CB6F5C"/>
    <w:rsid w:val="00CB74C4"/>
    <w:rsid w:val="00CB75BF"/>
    <w:rsid w:val="00CB7648"/>
    <w:rsid w:val="00CB76D7"/>
    <w:rsid w:val="00CB77B2"/>
    <w:rsid w:val="00CB78CD"/>
    <w:rsid w:val="00CB7E06"/>
    <w:rsid w:val="00CC003F"/>
    <w:rsid w:val="00CC062C"/>
    <w:rsid w:val="00CC0893"/>
    <w:rsid w:val="00CC09A7"/>
    <w:rsid w:val="00CC11AD"/>
    <w:rsid w:val="00CC1246"/>
    <w:rsid w:val="00CC1492"/>
    <w:rsid w:val="00CC16C2"/>
    <w:rsid w:val="00CC17CD"/>
    <w:rsid w:val="00CC184C"/>
    <w:rsid w:val="00CC1A36"/>
    <w:rsid w:val="00CC1AF7"/>
    <w:rsid w:val="00CC1D9D"/>
    <w:rsid w:val="00CC1F94"/>
    <w:rsid w:val="00CC2012"/>
    <w:rsid w:val="00CC2105"/>
    <w:rsid w:val="00CC27AD"/>
    <w:rsid w:val="00CC28DF"/>
    <w:rsid w:val="00CC2D34"/>
    <w:rsid w:val="00CC2DEE"/>
    <w:rsid w:val="00CC2EB4"/>
    <w:rsid w:val="00CC36D1"/>
    <w:rsid w:val="00CC42F5"/>
    <w:rsid w:val="00CC455F"/>
    <w:rsid w:val="00CC4654"/>
    <w:rsid w:val="00CC46F9"/>
    <w:rsid w:val="00CC47C6"/>
    <w:rsid w:val="00CC49BD"/>
    <w:rsid w:val="00CC49E6"/>
    <w:rsid w:val="00CC4A8C"/>
    <w:rsid w:val="00CC5283"/>
    <w:rsid w:val="00CC541B"/>
    <w:rsid w:val="00CC5460"/>
    <w:rsid w:val="00CC5795"/>
    <w:rsid w:val="00CC5D18"/>
    <w:rsid w:val="00CC5D54"/>
    <w:rsid w:val="00CC5F6C"/>
    <w:rsid w:val="00CC6062"/>
    <w:rsid w:val="00CC6646"/>
    <w:rsid w:val="00CC6660"/>
    <w:rsid w:val="00CC66E9"/>
    <w:rsid w:val="00CC690B"/>
    <w:rsid w:val="00CC690E"/>
    <w:rsid w:val="00CC6A20"/>
    <w:rsid w:val="00CC6C04"/>
    <w:rsid w:val="00CC6E2F"/>
    <w:rsid w:val="00CC6EE0"/>
    <w:rsid w:val="00CC73C9"/>
    <w:rsid w:val="00CC7573"/>
    <w:rsid w:val="00CC7E4F"/>
    <w:rsid w:val="00CD055D"/>
    <w:rsid w:val="00CD09AD"/>
    <w:rsid w:val="00CD112C"/>
    <w:rsid w:val="00CD13DF"/>
    <w:rsid w:val="00CD149F"/>
    <w:rsid w:val="00CD1529"/>
    <w:rsid w:val="00CD1856"/>
    <w:rsid w:val="00CD1A46"/>
    <w:rsid w:val="00CD1C30"/>
    <w:rsid w:val="00CD1DD4"/>
    <w:rsid w:val="00CD1F76"/>
    <w:rsid w:val="00CD2253"/>
    <w:rsid w:val="00CD24B8"/>
    <w:rsid w:val="00CD2501"/>
    <w:rsid w:val="00CD2512"/>
    <w:rsid w:val="00CD2753"/>
    <w:rsid w:val="00CD2B47"/>
    <w:rsid w:val="00CD2D4D"/>
    <w:rsid w:val="00CD3270"/>
    <w:rsid w:val="00CD33E8"/>
    <w:rsid w:val="00CD33FB"/>
    <w:rsid w:val="00CD34D3"/>
    <w:rsid w:val="00CD3622"/>
    <w:rsid w:val="00CD39FA"/>
    <w:rsid w:val="00CD3CB2"/>
    <w:rsid w:val="00CD44EC"/>
    <w:rsid w:val="00CD48B6"/>
    <w:rsid w:val="00CD4DC3"/>
    <w:rsid w:val="00CD4F3C"/>
    <w:rsid w:val="00CD4F66"/>
    <w:rsid w:val="00CD50B5"/>
    <w:rsid w:val="00CD50C3"/>
    <w:rsid w:val="00CD52A5"/>
    <w:rsid w:val="00CD5542"/>
    <w:rsid w:val="00CD5691"/>
    <w:rsid w:val="00CD59A5"/>
    <w:rsid w:val="00CD5A9E"/>
    <w:rsid w:val="00CD68BD"/>
    <w:rsid w:val="00CD6A2E"/>
    <w:rsid w:val="00CD6B3E"/>
    <w:rsid w:val="00CD6FC6"/>
    <w:rsid w:val="00CD722D"/>
    <w:rsid w:val="00CD7695"/>
    <w:rsid w:val="00CD7C77"/>
    <w:rsid w:val="00CE0236"/>
    <w:rsid w:val="00CE03E8"/>
    <w:rsid w:val="00CE0524"/>
    <w:rsid w:val="00CE05CC"/>
    <w:rsid w:val="00CE08B5"/>
    <w:rsid w:val="00CE09B7"/>
    <w:rsid w:val="00CE0C0C"/>
    <w:rsid w:val="00CE11AE"/>
    <w:rsid w:val="00CE122D"/>
    <w:rsid w:val="00CE123F"/>
    <w:rsid w:val="00CE135F"/>
    <w:rsid w:val="00CE14EF"/>
    <w:rsid w:val="00CE17AF"/>
    <w:rsid w:val="00CE1A16"/>
    <w:rsid w:val="00CE1B8A"/>
    <w:rsid w:val="00CE28B0"/>
    <w:rsid w:val="00CE2CE5"/>
    <w:rsid w:val="00CE30DA"/>
    <w:rsid w:val="00CE3234"/>
    <w:rsid w:val="00CE3437"/>
    <w:rsid w:val="00CE34E2"/>
    <w:rsid w:val="00CE3C26"/>
    <w:rsid w:val="00CE3F63"/>
    <w:rsid w:val="00CE453E"/>
    <w:rsid w:val="00CE45FD"/>
    <w:rsid w:val="00CE4758"/>
    <w:rsid w:val="00CE47A1"/>
    <w:rsid w:val="00CE5337"/>
    <w:rsid w:val="00CE549C"/>
    <w:rsid w:val="00CE55F4"/>
    <w:rsid w:val="00CE56AB"/>
    <w:rsid w:val="00CE57C1"/>
    <w:rsid w:val="00CE5A47"/>
    <w:rsid w:val="00CE5C33"/>
    <w:rsid w:val="00CE5F26"/>
    <w:rsid w:val="00CE6015"/>
    <w:rsid w:val="00CE61A6"/>
    <w:rsid w:val="00CE6292"/>
    <w:rsid w:val="00CE6791"/>
    <w:rsid w:val="00CE68C1"/>
    <w:rsid w:val="00CE6B8E"/>
    <w:rsid w:val="00CE7127"/>
    <w:rsid w:val="00CE714C"/>
    <w:rsid w:val="00CE71E2"/>
    <w:rsid w:val="00CE7300"/>
    <w:rsid w:val="00CE7452"/>
    <w:rsid w:val="00CE74B3"/>
    <w:rsid w:val="00CE7CAF"/>
    <w:rsid w:val="00CE7F3A"/>
    <w:rsid w:val="00CF0558"/>
    <w:rsid w:val="00CF0A27"/>
    <w:rsid w:val="00CF14E8"/>
    <w:rsid w:val="00CF197F"/>
    <w:rsid w:val="00CF1D2E"/>
    <w:rsid w:val="00CF1DD4"/>
    <w:rsid w:val="00CF1E9C"/>
    <w:rsid w:val="00CF1F6B"/>
    <w:rsid w:val="00CF1F9F"/>
    <w:rsid w:val="00CF1FD2"/>
    <w:rsid w:val="00CF29AF"/>
    <w:rsid w:val="00CF2AF8"/>
    <w:rsid w:val="00CF2BB1"/>
    <w:rsid w:val="00CF2BE8"/>
    <w:rsid w:val="00CF3B81"/>
    <w:rsid w:val="00CF3DC5"/>
    <w:rsid w:val="00CF4296"/>
    <w:rsid w:val="00CF43A6"/>
    <w:rsid w:val="00CF46AF"/>
    <w:rsid w:val="00CF4B1F"/>
    <w:rsid w:val="00CF4B6B"/>
    <w:rsid w:val="00CF4E84"/>
    <w:rsid w:val="00CF50F5"/>
    <w:rsid w:val="00CF5273"/>
    <w:rsid w:val="00CF531C"/>
    <w:rsid w:val="00CF5403"/>
    <w:rsid w:val="00CF5C77"/>
    <w:rsid w:val="00CF5DB8"/>
    <w:rsid w:val="00CF62CC"/>
    <w:rsid w:val="00CF64D7"/>
    <w:rsid w:val="00CF68CE"/>
    <w:rsid w:val="00CF6FBB"/>
    <w:rsid w:val="00CF705B"/>
    <w:rsid w:val="00CF710B"/>
    <w:rsid w:val="00CF73BB"/>
    <w:rsid w:val="00CF747F"/>
    <w:rsid w:val="00CF7A34"/>
    <w:rsid w:val="00CF7B55"/>
    <w:rsid w:val="00CF7FE8"/>
    <w:rsid w:val="00CF7FF8"/>
    <w:rsid w:val="00D00452"/>
    <w:rsid w:val="00D008B4"/>
    <w:rsid w:val="00D0113B"/>
    <w:rsid w:val="00D0144C"/>
    <w:rsid w:val="00D018EB"/>
    <w:rsid w:val="00D01B22"/>
    <w:rsid w:val="00D01F1D"/>
    <w:rsid w:val="00D02513"/>
    <w:rsid w:val="00D02FB2"/>
    <w:rsid w:val="00D03442"/>
    <w:rsid w:val="00D03902"/>
    <w:rsid w:val="00D03AB0"/>
    <w:rsid w:val="00D03AFB"/>
    <w:rsid w:val="00D042C2"/>
    <w:rsid w:val="00D04477"/>
    <w:rsid w:val="00D046A5"/>
    <w:rsid w:val="00D04DCE"/>
    <w:rsid w:val="00D04E52"/>
    <w:rsid w:val="00D053CA"/>
    <w:rsid w:val="00D05469"/>
    <w:rsid w:val="00D05536"/>
    <w:rsid w:val="00D055DE"/>
    <w:rsid w:val="00D057E1"/>
    <w:rsid w:val="00D05CE7"/>
    <w:rsid w:val="00D066D8"/>
    <w:rsid w:val="00D06E6D"/>
    <w:rsid w:val="00D07003"/>
    <w:rsid w:val="00D07529"/>
    <w:rsid w:val="00D07902"/>
    <w:rsid w:val="00D07D63"/>
    <w:rsid w:val="00D07D6B"/>
    <w:rsid w:val="00D07EF9"/>
    <w:rsid w:val="00D0B94D"/>
    <w:rsid w:val="00D1028D"/>
    <w:rsid w:val="00D10298"/>
    <w:rsid w:val="00D106AE"/>
    <w:rsid w:val="00D10C13"/>
    <w:rsid w:val="00D11593"/>
    <w:rsid w:val="00D1189E"/>
    <w:rsid w:val="00D11A09"/>
    <w:rsid w:val="00D11B0E"/>
    <w:rsid w:val="00D11D57"/>
    <w:rsid w:val="00D12414"/>
    <w:rsid w:val="00D129F3"/>
    <w:rsid w:val="00D12ABC"/>
    <w:rsid w:val="00D12D67"/>
    <w:rsid w:val="00D13279"/>
    <w:rsid w:val="00D13A2C"/>
    <w:rsid w:val="00D13E37"/>
    <w:rsid w:val="00D14533"/>
    <w:rsid w:val="00D147F6"/>
    <w:rsid w:val="00D148A1"/>
    <w:rsid w:val="00D14E14"/>
    <w:rsid w:val="00D1501B"/>
    <w:rsid w:val="00D15636"/>
    <w:rsid w:val="00D1573F"/>
    <w:rsid w:val="00D15926"/>
    <w:rsid w:val="00D1598A"/>
    <w:rsid w:val="00D159B3"/>
    <w:rsid w:val="00D15ADC"/>
    <w:rsid w:val="00D160C9"/>
    <w:rsid w:val="00D16316"/>
    <w:rsid w:val="00D16BB6"/>
    <w:rsid w:val="00D16EA1"/>
    <w:rsid w:val="00D16EC9"/>
    <w:rsid w:val="00D172CC"/>
    <w:rsid w:val="00D1762A"/>
    <w:rsid w:val="00D17E90"/>
    <w:rsid w:val="00D20998"/>
    <w:rsid w:val="00D20A32"/>
    <w:rsid w:val="00D20EB4"/>
    <w:rsid w:val="00D20FE2"/>
    <w:rsid w:val="00D21063"/>
    <w:rsid w:val="00D21439"/>
    <w:rsid w:val="00D21D5A"/>
    <w:rsid w:val="00D22142"/>
    <w:rsid w:val="00D222B8"/>
    <w:rsid w:val="00D2234D"/>
    <w:rsid w:val="00D2277A"/>
    <w:rsid w:val="00D22B56"/>
    <w:rsid w:val="00D22BD3"/>
    <w:rsid w:val="00D22C13"/>
    <w:rsid w:val="00D22E50"/>
    <w:rsid w:val="00D22F11"/>
    <w:rsid w:val="00D22F65"/>
    <w:rsid w:val="00D2336E"/>
    <w:rsid w:val="00D233A8"/>
    <w:rsid w:val="00D233C2"/>
    <w:rsid w:val="00D238AB"/>
    <w:rsid w:val="00D24092"/>
    <w:rsid w:val="00D242EF"/>
    <w:rsid w:val="00D24739"/>
    <w:rsid w:val="00D247AE"/>
    <w:rsid w:val="00D247E7"/>
    <w:rsid w:val="00D2495A"/>
    <w:rsid w:val="00D24CD9"/>
    <w:rsid w:val="00D25074"/>
    <w:rsid w:val="00D25079"/>
    <w:rsid w:val="00D25344"/>
    <w:rsid w:val="00D25969"/>
    <w:rsid w:val="00D25D3C"/>
    <w:rsid w:val="00D260A0"/>
    <w:rsid w:val="00D267F0"/>
    <w:rsid w:val="00D26A58"/>
    <w:rsid w:val="00D26D40"/>
    <w:rsid w:val="00D26EE0"/>
    <w:rsid w:val="00D26FAA"/>
    <w:rsid w:val="00D27434"/>
    <w:rsid w:val="00D2743C"/>
    <w:rsid w:val="00D276EE"/>
    <w:rsid w:val="00D276F0"/>
    <w:rsid w:val="00D30024"/>
    <w:rsid w:val="00D3019C"/>
    <w:rsid w:val="00D30916"/>
    <w:rsid w:val="00D309F1"/>
    <w:rsid w:val="00D30AAE"/>
    <w:rsid w:val="00D30ABB"/>
    <w:rsid w:val="00D30ADB"/>
    <w:rsid w:val="00D30BC8"/>
    <w:rsid w:val="00D3118F"/>
    <w:rsid w:val="00D3182F"/>
    <w:rsid w:val="00D31987"/>
    <w:rsid w:val="00D31BFF"/>
    <w:rsid w:val="00D31C9D"/>
    <w:rsid w:val="00D3240B"/>
    <w:rsid w:val="00D324A3"/>
    <w:rsid w:val="00D3254D"/>
    <w:rsid w:val="00D329C3"/>
    <w:rsid w:val="00D32A69"/>
    <w:rsid w:val="00D33430"/>
    <w:rsid w:val="00D3387D"/>
    <w:rsid w:val="00D33A57"/>
    <w:rsid w:val="00D33CF7"/>
    <w:rsid w:val="00D33FD5"/>
    <w:rsid w:val="00D34320"/>
    <w:rsid w:val="00D34DB8"/>
    <w:rsid w:val="00D34F77"/>
    <w:rsid w:val="00D350F9"/>
    <w:rsid w:val="00D35281"/>
    <w:rsid w:val="00D3574F"/>
    <w:rsid w:val="00D3576D"/>
    <w:rsid w:val="00D35D1F"/>
    <w:rsid w:val="00D35ED3"/>
    <w:rsid w:val="00D36434"/>
    <w:rsid w:val="00D36875"/>
    <w:rsid w:val="00D36A0D"/>
    <w:rsid w:val="00D36A5F"/>
    <w:rsid w:val="00D36B2F"/>
    <w:rsid w:val="00D36CD1"/>
    <w:rsid w:val="00D3766D"/>
    <w:rsid w:val="00D37706"/>
    <w:rsid w:val="00D37B53"/>
    <w:rsid w:val="00D37B84"/>
    <w:rsid w:val="00D37CAF"/>
    <w:rsid w:val="00D400E0"/>
    <w:rsid w:val="00D405D4"/>
    <w:rsid w:val="00D406D5"/>
    <w:rsid w:val="00D4071A"/>
    <w:rsid w:val="00D40823"/>
    <w:rsid w:val="00D41181"/>
    <w:rsid w:val="00D41374"/>
    <w:rsid w:val="00D41623"/>
    <w:rsid w:val="00D41B94"/>
    <w:rsid w:val="00D41DC6"/>
    <w:rsid w:val="00D4226D"/>
    <w:rsid w:val="00D422DA"/>
    <w:rsid w:val="00D4253F"/>
    <w:rsid w:val="00D42FD9"/>
    <w:rsid w:val="00D43109"/>
    <w:rsid w:val="00D43214"/>
    <w:rsid w:val="00D43427"/>
    <w:rsid w:val="00D439AD"/>
    <w:rsid w:val="00D43A1A"/>
    <w:rsid w:val="00D43DD5"/>
    <w:rsid w:val="00D43E94"/>
    <w:rsid w:val="00D4400A"/>
    <w:rsid w:val="00D44941"/>
    <w:rsid w:val="00D44D52"/>
    <w:rsid w:val="00D44E6D"/>
    <w:rsid w:val="00D44FCE"/>
    <w:rsid w:val="00D45105"/>
    <w:rsid w:val="00D45892"/>
    <w:rsid w:val="00D45C5F"/>
    <w:rsid w:val="00D45D0C"/>
    <w:rsid w:val="00D45EAD"/>
    <w:rsid w:val="00D46284"/>
    <w:rsid w:val="00D46428"/>
    <w:rsid w:val="00D46487"/>
    <w:rsid w:val="00D464CD"/>
    <w:rsid w:val="00D46654"/>
    <w:rsid w:val="00D467D0"/>
    <w:rsid w:val="00D46A46"/>
    <w:rsid w:val="00D46ECF"/>
    <w:rsid w:val="00D47264"/>
    <w:rsid w:val="00D47BA1"/>
    <w:rsid w:val="00D47C0E"/>
    <w:rsid w:val="00D500A9"/>
    <w:rsid w:val="00D50720"/>
    <w:rsid w:val="00D507E4"/>
    <w:rsid w:val="00D50A30"/>
    <w:rsid w:val="00D50A9F"/>
    <w:rsid w:val="00D50BF0"/>
    <w:rsid w:val="00D50C38"/>
    <w:rsid w:val="00D50E78"/>
    <w:rsid w:val="00D51609"/>
    <w:rsid w:val="00D51809"/>
    <w:rsid w:val="00D5183C"/>
    <w:rsid w:val="00D52680"/>
    <w:rsid w:val="00D527A0"/>
    <w:rsid w:val="00D52AC1"/>
    <w:rsid w:val="00D52D58"/>
    <w:rsid w:val="00D5317F"/>
    <w:rsid w:val="00D533C1"/>
    <w:rsid w:val="00D534E1"/>
    <w:rsid w:val="00D53724"/>
    <w:rsid w:val="00D53BEF"/>
    <w:rsid w:val="00D53E8C"/>
    <w:rsid w:val="00D541D9"/>
    <w:rsid w:val="00D54244"/>
    <w:rsid w:val="00D54448"/>
    <w:rsid w:val="00D54DC5"/>
    <w:rsid w:val="00D54ECF"/>
    <w:rsid w:val="00D54F68"/>
    <w:rsid w:val="00D5500B"/>
    <w:rsid w:val="00D557F3"/>
    <w:rsid w:val="00D55831"/>
    <w:rsid w:val="00D55C75"/>
    <w:rsid w:val="00D55CCD"/>
    <w:rsid w:val="00D55D6E"/>
    <w:rsid w:val="00D55E51"/>
    <w:rsid w:val="00D56557"/>
    <w:rsid w:val="00D56560"/>
    <w:rsid w:val="00D56A4A"/>
    <w:rsid w:val="00D56A89"/>
    <w:rsid w:val="00D56AD1"/>
    <w:rsid w:val="00D574D2"/>
    <w:rsid w:val="00D57967"/>
    <w:rsid w:val="00D579C9"/>
    <w:rsid w:val="00D57E42"/>
    <w:rsid w:val="00D60194"/>
    <w:rsid w:val="00D60272"/>
    <w:rsid w:val="00D602B4"/>
    <w:rsid w:val="00D60340"/>
    <w:rsid w:val="00D60353"/>
    <w:rsid w:val="00D605FB"/>
    <w:rsid w:val="00D60734"/>
    <w:rsid w:val="00D617C3"/>
    <w:rsid w:val="00D617CB"/>
    <w:rsid w:val="00D61843"/>
    <w:rsid w:val="00D61DBB"/>
    <w:rsid w:val="00D6219D"/>
    <w:rsid w:val="00D62447"/>
    <w:rsid w:val="00D62640"/>
    <w:rsid w:val="00D626C6"/>
    <w:rsid w:val="00D62BDD"/>
    <w:rsid w:val="00D62DDB"/>
    <w:rsid w:val="00D630BC"/>
    <w:rsid w:val="00D63310"/>
    <w:rsid w:val="00D63853"/>
    <w:rsid w:val="00D63C71"/>
    <w:rsid w:val="00D63D35"/>
    <w:rsid w:val="00D6430A"/>
    <w:rsid w:val="00D64709"/>
    <w:rsid w:val="00D6483C"/>
    <w:rsid w:val="00D64871"/>
    <w:rsid w:val="00D651FA"/>
    <w:rsid w:val="00D6544F"/>
    <w:rsid w:val="00D655BE"/>
    <w:rsid w:val="00D659E1"/>
    <w:rsid w:val="00D65D60"/>
    <w:rsid w:val="00D669B8"/>
    <w:rsid w:val="00D66F25"/>
    <w:rsid w:val="00D6754B"/>
    <w:rsid w:val="00D675DF"/>
    <w:rsid w:val="00D67987"/>
    <w:rsid w:val="00D67E6F"/>
    <w:rsid w:val="00D7041A"/>
    <w:rsid w:val="00D705F3"/>
    <w:rsid w:val="00D70D2C"/>
    <w:rsid w:val="00D70EF0"/>
    <w:rsid w:val="00D713AD"/>
    <w:rsid w:val="00D71427"/>
    <w:rsid w:val="00D71C39"/>
    <w:rsid w:val="00D71CD9"/>
    <w:rsid w:val="00D722B6"/>
    <w:rsid w:val="00D72FE5"/>
    <w:rsid w:val="00D7315B"/>
    <w:rsid w:val="00D7343F"/>
    <w:rsid w:val="00D7347A"/>
    <w:rsid w:val="00D739B6"/>
    <w:rsid w:val="00D73FB2"/>
    <w:rsid w:val="00D73FF1"/>
    <w:rsid w:val="00D741E9"/>
    <w:rsid w:val="00D743B0"/>
    <w:rsid w:val="00D748D0"/>
    <w:rsid w:val="00D7490A"/>
    <w:rsid w:val="00D74EE9"/>
    <w:rsid w:val="00D74F6D"/>
    <w:rsid w:val="00D74F94"/>
    <w:rsid w:val="00D75177"/>
    <w:rsid w:val="00D754D2"/>
    <w:rsid w:val="00D759C7"/>
    <w:rsid w:val="00D75E1E"/>
    <w:rsid w:val="00D762F6"/>
    <w:rsid w:val="00D763FA"/>
    <w:rsid w:val="00D7679F"/>
    <w:rsid w:val="00D768EA"/>
    <w:rsid w:val="00D76F37"/>
    <w:rsid w:val="00D77AF2"/>
    <w:rsid w:val="00D77DA5"/>
    <w:rsid w:val="00D80736"/>
    <w:rsid w:val="00D8074A"/>
    <w:rsid w:val="00D807C9"/>
    <w:rsid w:val="00D807DA"/>
    <w:rsid w:val="00D80A31"/>
    <w:rsid w:val="00D80C13"/>
    <w:rsid w:val="00D80C41"/>
    <w:rsid w:val="00D811B0"/>
    <w:rsid w:val="00D815E7"/>
    <w:rsid w:val="00D81C57"/>
    <w:rsid w:val="00D81DF5"/>
    <w:rsid w:val="00D823E6"/>
    <w:rsid w:val="00D82761"/>
    <w:rsid w:val="00D82830"/>
    <w:rsid w:val="00D82A36"/>
    <w:rsid w:val="00D82CD3"/>
    <w:rsid w:val="00D82D2D"/>
    <w:rsid w:val="00D82E8C"/>
    <w:rsid w:val="00D83090"/>
    <w:rsid w:val="00D8310E"/>
    <w:rsid w:val="00D831DB"/>
    <w:rsid w:val="00D834FE"/>
    <w:rsid w:val="00D836AE"/>
    <w:rsid w:val="00D83EB8"/>
    <w:rsid w:val="00D83F95"/>
    <w:rsid w:val="00D841E8"/>
    <w:rsid w:val="00D844F0"/>
    <w:rsid w:val="00D84A14"/>
    <w:rsid w:val="00D84B05"/>
    <w:rsid w:val="00D84BA8"/>
    <w:rsid w:val="00D855AE"/>
    <w:rsid w:val="00D85753"/>
    <w:rsid w:val="00D858A6"/>
    <w:rsid w:val="00D85C1E"/>
    <w:rsid w:val="00D86010"/>
    <w:rsid w:val="00D865A7"/>
    <w:rsid w:val="00D8681B"/>
    <w:rsid w:val="00D868FF"/>
    <w:rsid w:val="00D8690F"/>
    <w:rsid w:val="00D86A88"/>
    <w:rsid w:val="00D86F5E"/>
    <w:rsid w:val="00D87191"/>
    <w:rsid w:val="00D87396"/>
    <w:rsid w:val="00D87461"/>
    <w:rsid w:val="00D878EB"/>
    <w:rsid w:val="00D87CDF"/>
    <w:rsid w:val="00D90130"/>
    <w:rsid w:val="00D90BF4"/>
    <w:rsid w:val="00D90F0D"/>
    <w:rsid w:val="00D911BB"/>
    <w:rsid w:val="00D91513"/>
    <w:rsid w:val="00D916C4"/>
    <w:rsid w:val="00D917E9"/>
    <w:rsid w:val="00D91803"/>
    <w:rsid w:val="00D91949"/>
    <w:rsid w:val="00D91B26"/>
    <w:rsid w:val="00D91C6C"/>
    <w:rsid w:val="00D91E11"/>
    <w:rsid w:val="00D92026"/>
    <w:rsid w:val="00D9237C"/>
    <w:rsid w:val="00D92446"/>
    <w:rsid w:val="00D924C2"/>
    <w:rsid w:val="00D925BA"/>
    <w:rsid w:val="00D9295B"/>
    <w:rsid w:val="00D92F2F"/>
    <w:rsid w:val="00D93094"/>
    <w:rsid w:val="00D932D3"/>
    <w:rsid w:val="00D939DD"/>
    <w:rsid w:val="00D93A7E"/>
    <w:rsid w:val="00D93A8A"/>
    <w:rsid w:val="00D93DA8"/>
    <w:rsid w:val="00D94054"/>
    <w:rsid w:val="00D94160"/>
    <w:rsid w:val="00D942FE"/>
    <w:rsid w:val="00D94340"/>
    <w:rsid w:val="00D94378"/>
    <w:rsid w:val="00D94932"/>
    <w:rsid w:val="00D94A30"/>
    <w:rsid w:val="00D94DFF"/>
    <w:rsid w:val="00D94E8E"/>
    <w:rsid w:val="00D95630"/>
    <w:rsid w:val="00D95668"/>
    <w:rsid w:val="00D95AC3"/>
    <w:rsid w:val="00D95AF8"/>
    <w:rsid w:val="00D95B38"/>
    <w:rsid w:val="00D95C93"/>
    <w:rsid w:val="00D96089"/>
    <w:rsid w:val="00D96095"/>
    <w:rsid w:val="00D960E8"/>
    <w:rsid w:val="00D96566"/>
    <w:rsid w:val="00D96AFB"/>
    <w:rsid w:val="00D96E19"/>
    <w:rsid w:val="00D97D82"/>
    <w:rsid w:val="00D97FE3"/>
    <w:rsid w:val="00D98A27"/>
    <w:rsid w:val="00DA01C4"/>
    <w:rsid w:val="00DA041A"/>
    <w:rsid w:val="00DA0472"/>
    <w:rsid w:val="00DA055C"/>
    <w:rsid w:val="00DA0715"/>
    <w:rsid w:val="00DA0AC2"/>
    <w:rsid w:val="00DA0CCC"/>
    <w:rsid w:val="00DA0D60"/>
    <w:rsid w:val="00DA0DD9"/>
    <w:rsid w:val="00DA1569"/>
    <w:rsid w:val="00DA15CC"/>
    <w:rsid w:val="00DA20D0"/>
    <w:rsid w:val="00DA2389"/>
    <w:rsid w:val="00DA2540"/>
    <w:rsid w:val="00DA2BA1"/>
    <w:rsid w:val="00DA2C3B"/>
    <w:rsid w:val="00DA2CC2"/>
    <w:rsid w:val="00DA32A1"/>
    <w:rsid w:val="00DA32AC"/>
    <w:rsid w:val="00DA348B"/>
    <w:rsid w:val="00DA3D31"/>
    <w:rsid w:val="00DA3E29"/>
    <w:rsid w:val="00DA3FBD"/>
    <w:rsid w:val="00DA433B"/>
    <w:rsid w:val="00DA4B64"/>
    <w:rsid w:val="00DA5108"/>
    <w:rsid w:val="00DA548A"/>
    <w:rsid w:val="00DA58B1"/>
    <w:rsid w:val="00DA5A01"/>
    <w:rsid w:val="00DA5D89"/>
    <w:rsid w:val="00DA5FBC"/>
    <w:rsid w:val="00DA606B"/>
    <w:rsid w:val="00DA6A85"/>
    <w:rsid w:val="00DA6E66"/>
    <w:rsid w:val="00DA7040"/>
    <w:rsid w:val="00DA70E7"/>
    <w:rsid w:val="00DA70F2"/>
    <w:rsid w:val="00DA7481"/>
    <w:rsid w:val="00DA7676"/>
    <w:rsid w:val="00DA7841"/>
    <w:rsid w:val="00DA7A30"/>
    <w:rsid w:val="00DA7ADD"/>
    <w:rsid w:val="00DA7E07"/>
    <w:rsid w:val="00DB01E3"/>
    <w:rsid w:val="00DB02A9"/>
    <w:rsid w:val="00DB0414"/>
    <w:rsid w:val="00DB087A"/>
    <w:rsid w:val="00DB0883"/>
    <w:rsid w:val="00DB0A9C"/>
    <w:rsid w:val="00DB0FB3"/>
    <w:rsid w:val="00DB1BE8"/>
    <w:rsid w:val="00DB1EBF"/>
    <w:rsid w:val="00DB20F2"/>
    <w:rsid w:val="00DB22B1"/>
    <w:rsid w:val="00DB2361"/>
    <w:rsid w:val="00DB2477"/>
    <w:rsid w:val="00DB2C42"/>
    <w:rsid w:val="00DB2D43"/>
    <w:rsid w:val="00DB2D97"/>
    <w:rsid w:val="00DB333A"/>
    <w:rsid w:val="00DB3469"/>
    <w:rsid w:val="00DB3884"/>
    <w:rsid w:val="00DB3A94"/>
    <w:rsid w:val="00DB3C87"/>
    <w:rsid w:val="00DB3D0C"/>
    <w:rsid w:val="00DB3DF0"/>
    <w:rsid w:val="00DB3DFE"/>
    <w:rsid w:val="00DB458F"/>
    <w:rsid w:val="00DB46D2"/>
    <w:rsid w:val="00DB4A21"/>
    <w:rsid w:val="00DB4AB1"/>
    <w:rsid w:val="00DB5123"/>
    <w:rsid w:val="00DB5331"/>
    <w:rsid w:val="00DB54C4"/>
    <w:rsid w:val="00DB56B9"/>
    <w:rsid w:val="00DB57A1"/>
    <w:rsid w:val="00DB5810"/>
    <w:rsid w:val="00DB5D44"/>
    <w:rsid w:val="00DB5E9B"/>
    <w:rsid w:val="00DB6888"/>
    <w:rsid w:val="00DB7200"/>
    <w:rsid w:val="00DB72DA"/>
    <w:rsid w:val="00DB7D45"/>
    <w:rsid w:val="00DB7E39"/>
    <w:rsid w:val="00DB7ED8"/>
    <w:rsid w:val="00DC0099"/>
    <w:rsid w:val="00DC066D"/>
    <w:rsid w:val="00DC0A06"/>
    <w:rsid w:val="00DC12E5"/>
    <w:rsid w:val="00DC1373"/>
    <w:rsid w:val="00DC142B"/>
    <w:rsid w:val="00DC15BB"/>
    <w:rsid w:val="00DC16F4"/>
    <w:rsid w:val="00DC1917"/>
    <w:rsid w:val="00DC1C8C"/>
    <w:rsid w:val="00DC1E44"/>
    <w:rsid w:val="00DC2F0F"/>
    <w:rsid w:val="00DC30D1"/>
    <w:rsid w:val="00DC3629"/>
    <w:rsid w:val="00DC3BC9"/>
    <w:rsid w:val="00DC3F36"/>
    <w:rsid w:val="00DC4557"/>
    <w:rsid w:val="00DC4D35"/>
    <w:rsid w:val="00DC4EA5"/>
    <w:rsid w:val="00DC51D9"/>
    <w:rsid w:val="00DC5469"/>
    <w:rsid w:val="00DC5589"/>
    <w:rsid w:val="00DC5D16"/>
    <w:rsid w:val="00DC5DEA"/>
    <w:rsid w:val="00DC607C"/>
    <w:rsid w:val="00DC608D"/>
    <w:rsid w:val="00DC697A"/>
    <w:rsid w:val="00DC6B00"/>
    <w:rsid w:val="00DC6E96"/>
    <w:rsid w:val="00DC71ED"/>
    <w:rsid w:val="00DC71F5"/>
    <w:rsid w:val="00DC7346"/>
    <w:rsid w:val="00DC7C5B"/>
    <w:rsid w:val="00DC7F3C"/>
    <w:rsid w:val="00DD0365"/>
    <w:rsid w:val="00DD062D"/>
    <w:rsid w:val="00DD064A"/>
    <w:rsid w:val="00DD0AEE"/>
    <w:rsid w:val="00DD0CD8"/>
    <w:rsid w:val="00DD1040"/>
    <w:rsid w:val="00DD159D"/>
    <w:rsid w:val="00DD1830"/>
    <w:rsid w:val="00DD1867"/>
    <w:rsid w:val="00DD1FAB"/>
    <w:rsid w:val="00DD1FBA"/>
    <w:rsid w:val="00DD20AC"/>
    <w:rsid w:val="00DD215D"/>
    <w:rsid w:val="00DD2181"/>
    <w:rsid w:val="00DD24BE"/>
    <w:rsid w:val="00DD25EC"/>
    <w:rsid w:val="00DD26D5"/>
    <w:rsid w:val="00DD2786"/>
    <w:rsid w:val="00DD2807"/>
    <w:rsid w:val="00DD28C3"/>
    <w:rsid w:val="00DD299C"/>
    <w:rsid w:val="00DD2BA2"/>
    <w:rsid w:val="00DD3097"/>
    <w:rsid w:val="00DD3125"/>
    <w:rsid w:val="00DD3276"/>
    <w:rsid w:val="00DD3389"/>
    <w:rsid w:val="00DD3E7B"/>
    <w:rsid w:val="00DD4652"/>
    <w:rsid w:val="00DD4DD7"/>
    <w:rsid w:val="00DD4FE0"/>
    <w:rsid w:val="00DD5555"/>
    <w:rsid w:val="00DD5A64"/>
    <w:rsid w:val="00DD5B21"/>
    <w:rsid w:val="00DD5BEB"/>
    <w:rsid w:val="00DD623E"/>
    <w:rsid w:val="00DD6316"/>
    <w:rsid w:val="00DD6C02"/>
    <w:rsid w:val="00DD6E82"/>
    <w:rsid w:val="00DD7002"/>
    <w:rsid w:val="00DD72D9"/>
    <w:rsid w:val="00DD72F5"/>
    <w:rsid w:val="00DD74D3"/>
    <w:rsid w:val="00DD74E9"/>
    <w:rsid w:val="00DD77D4"/>
    <w:rsid w:val="00DD7C05"/>
    <w:rsid w:val="00DD7F47"/>
    <w:rsid w:val="00DD7F87"/>
    <w:rsid w:val="00DD7F97"/>
    <w:rsid w:val="00DE12F7"/>
    <w:rsid w:val="00DE13B8"/>
    <w:rsid w:val="00DE19AD"/>
    <w:rsid w:val="00DE201D"/>
    <w:rsid w:val="00DE20F6"/>
    <w:rsid w:val="00DE2152"/>
    <w:rsid w:val="00DE2172"/>
    <w:rsid w:val="00DE2659"/>
    <w:rsid w:val="00DE2797"/>
    <w:rsid w:val="00DE27CB"/>
    <w:rsid w:val="00DE2B36"/>
    <w:rsid w:val="00DE3343"/>
    <w:rsid w:val="00DE366F"/>
    <w:rsid w:val="00DE408E"/>
    <w:rsid w:val="00DE4382"/>
    <w:rsid w:val="00DE44E8"/>
    <w:rsid w:val="00DE473E"/>
    <w:rsid w:val="00DE4B19"/>
    <w:rsid w:val="00DE4D9E"/>
    <w:rsid w:val="00DE4E58"/>
    <w:rsid w:val="00DE505A"/>
    <w:rsid w:val="00DE5177"/>
    <w:rsid w:val="00DE5665"/>
    <w:rsid w:val="00DE685E"/>
    <w:rsid w:val="00DE68B7"/>
    <w:rsid w:val="00DE69FD"/>
    <w:rsid w:val="00DE6B6A"/>
    <w:rsid w:val="00DE6B94"/>
    <w:rsid w:val="00DE6C2D"/>
    <w:rsid w:val="00DE6E2A"/>
    <w:rsid w:val="00DE71A9"/>
    <w:rsid w:val="00DE7640"/>
    <w:rsid w:val="00DE78B0"/>
    <w:rsid w:val="00DE7DB9"/>
    <w:rsid w:val="00DE7F72"/>
    <w:rsid w:val="00DF05EF"/>
    <w:rsid w:val="00DF0616"/>
    <w:rsid w:val="00DF0672"/>
    <w:rsid w:val="00DF0A2D"/>
    <w:rsid w:val="00DF1125"/>
    <w:rsid w:val="00DF11EB"/>
    <w:rsid w:val="00DF152F"/>
    <w:rsid w:val="00DF16F7"/>
    <w:rsid w:val="00DF17B0"/>
    <w:rsid w:val="00DF1AEA"/>
    <w:rsid w:val="00DF223E"/>
    <w:rsid w:val="00DF25FB"/>
    <w:rsid w:val="00DF2725"/>
    <w:rsid w:val="00DF3163"/>
    <w:rsid w:val="00DF33C5"/>
    <w:rsid w:val="00DF3680"/>
    <w:rsid w:val="00DF371F"/>
    <w:rsid w:val="00DF423C"/>
    <w:rsid w:val="00DF4467"/>
    <w:rsid w:val="00DF4A97"/>
    <w:rsid w:val="00DF5B60"/>
    <w:rsid w:val="00DF5B8F"/>
    <w:rsid w:val="00DF5D97"/>
    <w:rsid w:val="00DF6013"/>
    <w:rsid w:val="00DF6190"/>
    <w:rsid w:val="00DF635A"/>
    <w:rsid w:val="00DF6623"/>
    <w:rsid w:val="00DF6724"/>
    <w:rsid w:val="00DF6962"/>
    <w:rsid w:val="00DF6C48"/>
    <w:rsid w:val="00DF6EFF"/>
    <w:rsid w:val="00DF73E6"/>
    <w:rsid w:val="00DF773F"/>
    <w:rsid w:val="00DF78B2"/>
    <w:rsid w:val="00DF79A4"/>
    <w:rsid w:val="00DF7B4E"/>
    <w:rsid w:val="00DF7CCB"/>
    <w:rsid w:val="00DF7E62"/>
    <w:rsid w:val="00DF7E80"/>
    <w:rsid w:val="00DF7F34"/>
    <w:rsid w:val="00E00061"/>
    <w:rsid w:val="00E007A3"/>
    <w:rsid w:val="00E009DA"/>
    <w:rsid w:val="00E00A83"/>
    <w:rsid w:val="00E00AB9"/>
    <w:rsid w:val="00E00C85"/>
    <w:rsid w:val="00E00EE0"/>
    <w:rsid w:val="00E00F7A"/>
    <w:rsid w:val="00E012B1"/>
    <w:rsid w:val="00E01338"/>
    <w:rsid w:val="00E01B05"/>
    <w:rsid w:val="00E01C34"/>
    <w:rsid w:val="00E01D72"/>
    <w:rsid w:val="00E01E2E"/>
    <w:rsid w:val="00E01FD7"/>
    <w:rsid w:val="00E023EC"/>
    <w:rsid w:val="00E0278E"/>
    <w:rsid w:val="00E027FF"/>
    <w:rsid w:val="00E0281E"/>
    <w:rsid w:val="00E0305A"/>
    <w:rsid w:val="00E03379"/>
    <w:rsid w:val="00E036DD"/>
    <w:rsid w:val="00E03FB3"/>
    <w:rsid w:val="00E040B3"/>
    <w:rsid w:val="00E04113"/>
    <w:rsid w:val="00E0469C"/>
    <w:rsid w:val="00E04E2C"/>
    <w:rsid w:val="00E05211"/>
    <w:rsid w:val="00E05441"/>
    <w:rsid w:val="00E054D1"/>
    <w:rsid w:val="00E056F6"/>
    <w:rsid w:val="00E05714"/>
    <w:rsid w:val="00E05906"/>
    <w:rsid w:val="00E05967"/>
    <w:rsid w:val="00E05F4C"/>
    <w:rsid w:val="00E062AD"/>
    <w:rsid w:val="00E0682D"/>
    <w:rsid w:val="00E06833"/>
    <w:rsid w:val="00E0684C"/>
    <w:rsid w:val="00E06BAA"/>
    <w:rsid w:val="00E06C6A"/>
    <w:rsid w:val="00E07441"/>
    <w:rsid w:val="00E0753B"/>
    <w:rsid w:val="00E07598"/>
    <w:rsid w:val="00E076E1"/>
    <w:rsid w:val="00E07846"/>
    <w:rsid w:val="00E07E20"/>
    <w:rsid w:val="00E07E26"/>
    <w:rsid w:val="00E07F70"/>
    <w:rsid w:val="00E10666"/>
    <w:rsid w:val="00E107BB"/>
    <w:rsid w:val="00E10844"/>
    <w:rsid w:val="00E10C22"/>
    <w:rsid w:val="00E10D2C"/>
    <w:rsid w:val="00E11099"/>
    <w:rsid w:val="00E1127A"/>
    <w:rsid w:val="00E12724"/>
    <w:rsid w:val="00E127E7"/>
    <w:rsid w:val="00E12D4A"/>
    <w:rsid w:val="00E12E70"/>
    <w:rsid w:val="00E13E1D"/>
    <w:rsid w:val="00E13ED3"/>
    <w:rsid w:val="00E1413C"/>
    <w:rsid w:val="00E1461D"/>
    <w:rsid w:val="00E14A7D"/>
    <w:rsid w:val="00E14B76"/>
    <w:rsid w:val="00E14BAD"/>
    <w:rsid w:val="00E150E1"/>
    <w:rsid w:val="00E152FA"/>
    <w:rsid w:val="00E15490"/>
    <w:rsid w:val="00E16137"/>
    <w:rsid w:val="00E16363"/>
    <w:rsid w:val="00E16600"/>
    <w:rsid w:val="00E16AAD"/>
    <w:rsid w:val="00E16EF2"/>
    <w:rsid w:val="00E16F75"/>
    <w:rsid w:val="00E17460"/>
    <w:rsid w:val="00E179F1"/>
    <w:rsid w:val="00E17F58"/>
    <w:rsid w:val="00E20091"/>
    <w:rsid w:val="00E2087E"/>
    <w:rsid w:val="00E20E4A"/>
    <w:rsid w:val="00E21008"/>
    <w:rsid w:val="00E21654"/>
    <w:rsid w:val="00E21A6C"/>
    <w:rsid w:val="00E21D50"/>
    <w:rsid w:val="00E22697"/>
    <w:rsid w:val="00E227B4"/>
    <w:rsid w:val="00E22B6C"/>
    <w:rsid w:val="00E22BC4"/>
    <w:rsid w:val="00E22BFF"/>
    <w:rsid w:val="00E22E34"/>
    <w:rsid w:val="00E22E48"/>
    <w:rsid w:val="00E22EB6"/>
    <w:rsid w:val="00E230F8"/>
    <w:rsid w:val="00E23863"/>
    <w:rsid w:val="00E23A6E"/>
    <w:rsid w:val="00E23C2F"/>
    <w:rsid w:val="00E23EB9"/>
    <w:rsid w:val="00E24899"/>
    <w:rsid w:val="00E24EEE"/>
    <w:rsid w:val="00E2501A"/>
    <w:rsid w:val="00E25390"/>
    <w:rsid w:val="00E2599B"/>
    <w:rsid w:val="00E25C0F"/>
    <w:rsid w:val="00E25E99"/>
    <w:rsid w:val="00E25F59"/>
    <w:rsid w:val="00E262D0"/>
    <w:rsid w:val="00E26393"/>
    <w:rsid w:val="00E26474"/>
    <w:rsid w:val="00E266CC"/>
    <w:rsid w:val="00E26AF4"/>
    <w:rsid w:val="00E26DD4"/>
    <w:rsid w:val="00E27333"/>
    <w:rsid w:val="00E27343"/>
    <w:rsid w:val="00E27A2A"/>
    <w:rsid w:val="00E27B2C"/>
    <w:rsid w:val="00E27CC7"/>
    <w:rsid w:val="00E30065"/>
    <w:rsid w:val="00E30309"/>
    <w:rsid w:val="00E307CB"/>
    <w:rsid w:val="00E30AA7"/>
    <w:rsid w:val="00E30DAE"/>
    <w:rsid w:val="00E30EEC"/>
    <w:rsid w:val="00E30F12"/>
    <w:rsid w:val="00E31098"/>
    <w:rsid w:val="00E310A6"/>
    <w:rsid w:val="00E311A1"/>
    <w:rsid w:val="00E31BAD"/>
    <w:rsid w:val="00E31F40"/>
    <w:rsid w:val="00E32055"/>
    <w:rsid w:val="00E32184"/>
    <w:rsid w:val="00E32468"/>
    <w:rsid w:val="00E325FC"/>
    <w:rsid w:val="00E32874"/>
    <w:rsid w:val="00E32B8A"/>
    <w:rsid w:val="00E32DEA"/>
    <w:rsid w:val="00E332C2"/>
    <w:rsid w:val="00E3341E"/>
    <w:rsid w:val="00E33435"/>
    <w:rsid w:val="00E334BF"/>
    <w:rsid w:val="00E33E11"/>
    <w:rsid w:val="00E3409B"/>
    <w:rsid w:val="00E3409C"/>
    <w:rsid w:val="00E34158"/>
    <w:rsid w:val="00E344B7"/>
    <w:rsid w:val="00E35310"/>
    <w:rsid w:val="00E3577A"/>
    <w:rsid w:val="00E35C9F"/>
    <w:rsid w:val="00E361C8"/>
    <w:rsid w:val="00E36516"/>
    <w:rsid w:val="00E369D0"/>
    <w:rsid w:val="00E36B2A"/>
    <w:rsid w:val="00E36E02"/>
    <w:rsid w:val="00E36EF0"/>
    <w:rsid w:val="00E37509"/>
    <w:rsid w:val="00E376FC"/>
    <w:rsid w:val="00E378B3"/>
    <w:rsid w:val="00E37A3A"/>
    <w:rsid w:val="00E37CAC"/>
    <w:rsid w:val="00E37E59"/>
    <w:rsid w:val="00E4022D"/>
    <w:rsid w:val="00E404E2"/>
    <w:rsid w:val="00E4063B"/>
    <w:rsid w:val="00E406C1"/>
    <w:rsid w:val="00E406FE"/>
    <w:rsid w:val="00E4091F"/>
    <w:rsid w:val="00E409F2"/>
    <w:rsid w:val="00E40BA7"/>
    <w:rsid w:val="00E410B5"/>
    <w:rsid w:val="00E41419"/>
    <w:rsid w:val="00E41638"/>
    <w:rsid w:val="00E418C0"/>
    <w:rsid w:val="00E418FF"/>
    <w:rsid w:val="00E41964"/>
    <w:rsid w:val="00E419B9"/>
    <w:rsid w:val="00E41B13"/>
    <w:rsid w:val="00E42126"/>
    <w:rsid w:val="00E426AC"/>
    <w:rsid w:val="00E42C23"/>
    <w:rsid w:val="00E42C87"/>
    <w:rsid w:val="00E42EEE"/>
    <w:rsid w:val="00E42F0F"/>
    <w:rsid w:val="00E4336B"/>
    <w:rsid w:val="00E4354A"/>
    <w:rsid w:val="00E43662"/>
    <w:rsid w:val="00E439A6"/>
    <w:rsid w:val="00E43C7B"/>
    <w:rsid w:val="00E43D8F"/>
    <w:rsid w:val="00E43F3C"/>
    <w:rsid w:val="00E442DD"/>
    <w:rsid w:val="00E444A2"/>
    <w:rsid w:val="00E450ED"/>
    <w:rsid w:val="00E45678"/>
    <w:rsid w:val="00E45AB2"/>
    <w:rsid w:val="00E45C47"/>
    <w:rsid w:val="00E45FA9"/>
    <w:rsid w:val="00E460B5"/>
    <w:rsid w:val="00E46167"/>
    <w:rsid w:val="00E465B7"/>
    <w:rsid w:val="00E4666F"/>
    <w:rsid w:val="00E4671C"/>
    <w:rsid w:val="00E46D61"/>
    <w:rsid w:val="00E47200"/>
    <w:rsid w:val="00E47295"/>
    <w:rsid w:val="00E47813"/>
    <w:rsid w:val="00E47B32"/>
    <w:rsid w:val="00E47D6A"/>
    <w:rsid w:val="00E50C4C"/>
    <w:rsid w:val="00E50F49"/>
    <w:rsid w:val="00E51010"/>
    <w:rsid w:val="00E5103C"/>
    <w:rsid w:val="00E516FE"/>
    <w:rsid w:val="00E51A5C"/>
    <w:rsid w:val="00E51E0D"/>
    <w:rsid w:val="00E51F5E"/>
    <w:rsid w:val="00E51F8D"/>
    <w:rsid w:val="00E52037"/>
    <w:rsid w:val="00E522CB"/>
    <w:rsid w:val="00E528FA"/>
    <w:rsid w:val="00E5299D"/>
    <w:rsid w:val="00E52CAD"/>
    <w:rsid w:val="00E52F17"/>
    <w:rsid w:val="00E5302C"/>
    <w:rsid w:val="00E5326E"/>
    <w:rsid w:val="00E532CB"/>
    <w:rsid w:val="00E533E0"/>
    <w:rsid w:val="00E53496"/>
    <w:rsid w:val="00E5358B"/>
    <w:rsid w:val="00E537BC"/>
    <w:rsid w:val="00E53BB2"/>
    <w:rsid w:val="00E53FDE"/>
    <w:rsid w:val="00E540BB"/>
    <w:rsid w:val="00E54140"/>
    <w:rsid w:val="00E5444B"/>
    <w:rsid w:val="00E544D1"/>
    <w:rsid w:val="00E54A96"/>
    <w:rsid w:val="00E54C24"/>
    <w:rsid w:val="00E54C5D"/>
    <w:rsid w:val="00E54E7B"/>
    <w:rsid w:val="00E5512E"/>
    <w:rsid w:val="00E5554E"/>
    <w:rsid w:val="00E55A68"/>
    <w:rsid w:val="00E55ABE"/>
    <w:rsid w:val="00E5621F"/>
    <w:rsid w:val="00E56437"/>
    <w:rsid w:val="00E5661B"/>
    <w:rsid w:val="00E56891"/>
    <w:rsid w:val="00E568C4"/>
    <w:rsid w:val="00E56D35"/>
    <w:rsid w:val="00E56D98"/>
    <w:rsid w:val="00E56F29"/>
    <w:rsid w:val="00E56F4A"/>
    <w:rsid w:val="00E572E3"/>
    <w:rsid w:val="00E57A43"/>
    <w:rsid w:val="00E57AE7"/>
    <w:rsid w:val="00E601B8"/>
    <w:rsid w:val="00E6075F"/>
    <w:rsid w:val="00E607AB"/>
    <w:rsid w:val="00E60CC4"/>
    <w:rsid w:val="00E60EA7"/>
    <w:rsid w:val="00E615B5"/>
    <w:rsid w:val="00E61C50"/>
    <w:rsid w:val="00E61D56"/>
    <w:rsid w:val="00E61E69"/>
    <w:rsid w:val="00E62131"/>
    <w:rsid w:val="00E62280"/>
    <w:rsid w:val="00E6249C"/>
    <w:rsid w:val="00E626C7"/>
    <w:rsid w:val="00E62CB9"/>
    <w:rsid w:val="00E62D95"/>
    <w:rsid w:val="00E62E95"/>
    <w:rsid w:val="00E63092"/>
    <w:rsid w:val="00E630AC"/>
    <w:rsid w:val="00E63253"/>
    <w:rsid w:val="00E6385B"/>
    <w:rsid w:val="00E63B8D"/>
    <w:rsid w:val="00E63D7B"/>
    <w:rsid w:val="00E63DED"/>
    <w:rsid w:val="00E64047"/>
    <w:rsid w:val="00E644A7"/>
    <w:rsid w:val="00E64550"/>
    <w:rsid w:val="00E64777"/>
    <w:rsid w:val="00E64D2D"/>
    <w:rsid w:val="00E65278"/>
    <w:rsid w:val="00E65333"/>
    <w:rsid w:val="00E65BD2"/>
    <w:rsid w:val="00E65C66"/>
    <w:rsid w:val="00E65DD3"/>
    <w:rsid w:val="00E65E9F"/>
    <w:rsid w:val="00E663EC"/>
    <w:rsid w:val="00E66825"/>
    <w:rsid w:val="00E668AE"/>
    <w:rsid w:val="00E66F15"/>
    <w:rsid w:val="00E6760C"/>
    <w:rsid w:val="00E6786C"/>
    <w:rsid w:val="00E67B47"/>
    <w:rsid w:val="00E67CED"/>
    <w:rsid w:val="00E67D3B"/>
    <w:rsid w:val="00E70031"/>
    <w:rsid w:val="00E705A0"/>
    <w:rsid w:val="00E708C8"/>
    <w:rsid w:val="00E70974"/>
    <w:rsid w:val="00E70B94"/>
    <w:rsid w:val="00E70F14"/>
    <w:rsid w:val="00E715E3"/>
    <w:rsid w:val="00E716E5"/>
    <w:rsid w:val="00E71CEB"/>
    <w:rsid w:val="00E71D13"/>
    <w:rsid w:val="00E722A6"/>
    <w:rsid w:val="00E72588"/>
    <w:rsid w:val="00E729FF"/>
    <w:rsid w:val="00E72B80"/>
    <w:rsid w:val="00E72EB6"/>
    <w:rsid w:val="00E7319B"/>
    <w:rsid w:val="00E73BCD"/>
    <w:rsid w:val="00E746D0"/>
    <w:rsid w:val="00E74947"/>
    <w:rsid w:val="00E74A47"/>
    <w:rsid w:val="00E74B11"/>
    <w:rsid w:val="00E752C9"/>
    <w:rsid w:val="00E75945"/>
    <w:rsid w:val="00E75A5E"/>
    <w:rsid w:val="00E75F5A"/>
    <w:rsid w:val="00E7601F"/>
    <w:rsid w:val="00E765C7"/>
    <w:rsid w:val="00E768F3"/>
    <w:rsid w:val="00E76A45"/>
    <w:rsid w:val="00E76AC0"/>
    <w:rsid w:val="00E76EEC"/>
    <w:rsid w:val="00E7728A"/>
    <w:rsid w:val="00E775B5"/>
    <w:rsid w:val="00E779B3"/>
    <w:rsid w:val="00E77CA9"/>
    <w:rsid w:val="00E77EBB"/>
    <w:rsid w:val="00E77ECE"/>
    <w:rsid w:val="00E800A9"/>
    <w:rsid w:val="00E80430"/>
    <w:rsid w:val="00E8059B"/>
    <w:rsid w:val="00E807A9"/>
    <w:rsid w:val="00E80EE2"/>
    <w:rsid w:val="00E810F6"/>
    <w:rsid w:val="00E81109"/>
    <w:rsid w:val="00E811C7"/>
    <w:rsid w:val="00E8138F"/>
    <w:rsid w:val="00E81468"/>
    <w:rsid w:val="00E8155F"/>
    <w:rsid w:val="00E818D6"/>
    <w:rsid w:val="00E81C67"/>
    <w:rsid w:val="00E822B6"/>
    <w:rsid w:val="00E826ED"/>
    <w:rsid w:val="00E82F68"/>
    <w:rsid w:val="00E8300A"/>
    <w:rsid w:val="00E83042"/>
    <w:rsid w:val="00E8310E"/>
    <w:rsid w:val="00E833D1"/>
    <w:rsid w:val="00E83480"/>
    <w:rsid w:val="00E83537"/>
    <w:rsid w:val="00E839DA"/>
    <w:rsid w:val="00E83A01"/>
    <w:rsid w:val="00E83B23"/>
    <w:rsid w:val="00E83D6D"/>
    <w:rsid w:val="00E83FA4"/>
    <w:rsid w:val="00E84335"/>
    <w:rsid w:val="00E84347"/>
    <w:rsid w:val="00E8505D"/>
    <w:rsid w:val="00E85085"/>
    <w:rsid w:val="00E85D27"/>
    <w:rsid w:val="00E85D2B"/>
    <w:rsid w:val="00E85E10"/>
    <w:rsid w:val="00E85EA5"/>
    <w:rsid w:val="00E85EAD"/>
    <w:rsid w:val="00E86461"/>
    <w:rsid w:val="00E8662B"/>
    <w:rsid w:val="00E86D6F"/>
    <w:rsid w:val="00E86D94"/>
    <w:rsid w:val="00E8700B"/>
    <w:rsid w:val="00E87A9F"/>
    <w:rsid w:val="00E87F78"/>
    <w:rsid w:val="00E87FF9"/>
    <w:rsid w:val="00E900D8"/>
    <w:rsid w:val="00E90103"/>
    <w:rsid w:val="00E90245"/>
    <w:rsid w:val="00E9027F"/>
    <w:rsid w:val="00E902F6"/>
    <w:rsid w:val="00E9043E"/>
    <w:rsid w:val="00E90641"/>
    <w:rsid w:val="00E91433"/>
    <w:rsid w:val="00E91696"/>
    <w:rsid w:val="00E916EC"/>
    <w:rsid w:val="00E91821"/>
    <w:rsid w:val="00E91D5F"/>
    <w:rsid w:val="00E91F84"/>
    <w:rsid w:val="00E92281"/>
    <w:rsid w:val="00E92A6A"/>
    <w:rsid w:val="00E92A8B"/>
    <w:rsid w:val="00E92D2E"/>
    <w:rsid w:val="00E92FA4"/>
    <w:rsid w:val="00E9331E"/>
    <w:rsid w:val="00E934F1"/>
    <w:rsid w:val="00E9352A"/>
    <w:rsid w:val="00E93BAF"/>
    <w:rsid w:val="00E93EC5"/>
    <w:rsid w:val="00E94259"/>
    <w:rsid w:val="00E9445A"/>
    <w:rsid w:val="00E94942"/>
    <w:rsid w:val="00E94AFA"/>
    <w:rsid w:val="00E95299"/>
    <w:rsid w:val="00E954F6"/>
    <w:rsid w:val="00E957D3"/>
    <w:rsid w:val="00E95C1D"/>
    <w:rsid w:val="00E95CE1"/>
    <w:rsid w:val="00E95DB1"/>
    <w:rsid w:val="00E96101"/>
    <w:rsid w:val="00E96148"/>
    <w:rsid w:val="00E96603"/>
    <w:rsid w:val="00E969F2"/>
    <w:rsid w:val="00E96DD4"/>
    <w:rsid w:val="00E96E09"/>
    <w:rsid w:val="00E9721C"/>
    <w:rsid w:val="00E97517"/>
    <w:rsid w:val="00E9776A"/>
    <w:rsid w:val="00E979A0"/>
    <w:rsid w:val="00E97A72"/>
    <w:rsid w:val="00E97E3B"/>
    <w:rsid w:val="00EA0407"/>
    <w:rsid w:val="00EA0500"/>
    <w:rsid w:val="00EA09B3"/>
    <w:rsid w:val="00EA103C"/>
    <w:rsid w:val="00EA1573"/>
    <w:rsid w:val="00EA2003"/>
    <w:rsid w:val="00EA271C"/>
    <w:rsid w:val="00EA27E3"/>
    <w:rsid w:val="00EA28B5"/>
    <w:rsid w:val="00EA2EC8"/>
    <w:rsid w:val="00EA3385"/>
    <w:rsid w:val="00EA33EB"/>
    <w:rsid w:val="00EA37CC"/>
    <w:rsid w:val="00EA3823"/>
    <w:rsid w:val="00EA3B1B"/>
    <w:rsid w:val="00EA4362"/>
    <w:rsid w:val="00EA4472"/>
    <w:rsid w:val="00EA4A0A"/>
    <w:rsid w:val="00EA4B1C"/>
    <w:rsid w:val="00EA4B27"/>
    <w:rsid w:val="00EA52D9"/>
    <w:rsid w:val="00EA5378"/>
    <w:rsid w:val="00EA5A61"/>
    <w:rsid w:val="00EA5C83"/>
    <w:rsid w:val="00EA5E48"/>
    <w:rsid w:val="00EA611F"/>
    <w:rsid w:val="00EA61FE"/>
    <w:rsid w:val="00EA653D"/>
    <w:rsid w:val="00EA679F"/>
    <w:rsid w:val="00EA6A2D"/>
    <w:rsid w:val="00EA6B96"/>
    <w:rsid w:val="00EA6C22"/>
    <w:rsid w:val="00EA6D03"/>
    <w:rsid w:val="00EA6DF9"/>
    <w:rsid w:val="00EA70B7"/>
    <w:rsid w:val="00EA716F"/>
    <w:rsid w:val="00EA7331"/>
    <w:rsid w:val="00EA7356"/>
    <w:rsid w:val="00EA735F"/>
    <w:rsid w:val="00EA73D1"/>
    <w:rsid w:val="00EA74DD"/>
    <w:rsid w:val="00EA7815"/>
    <w:rsid w:val="00EA7A5C"/>
    <w:rsid w:val="00EB03F8"/>
    <w:rsid w:val="00EB0667"/>
    <w:rsid w:val="00EB0764"/>
    <w:rsid w:val="00EB0A80"/>
    <w:rsid w:val="00EB0DE7"/>
    <w:rsid w:val="00EB10ED"/>
    <w:rsid w:val="00EB1275"/>
    <w:rsid w:val="00EB169C"/>
    <w:rsid w:val="00EB1D93"/>
    <w:rsid w:val="00EB1DB4"/>
    <w:rsid w:val="00EB1E99"/>
    <w:rsid w:val="00EB2D51"/>
    <w:rsid w:val="00EB3124"/>
    <w:rsid w:val="00EB3291"/>
    <w:rsid w:val="00EB3339"/>
    <w:rsid w:val="00EB359D"/>
    <w:rsid w:val="00EB3981"/>
    <w:rsid w:val="00EB3DDD"/>
    <w:rsid w:val="00EB3E82"/>
    <w:rsid w:val="00EB4269"/>
    <w:rsid w:val="00EB43A9"/>
    <w:rsid w:val="00EB4638"/>
    <w:rsid w:val="00EB48A3"/>
    <w:rsid w:val="00EB4A49"/>
    <w:rsid w:val="00EB4F08"/>
    <w:rsid w:val="00EB53EA"/>
    <w:rsid w:val="00EB545A"/>
    <w:rsid w:val="00EB55C7"/>
    <w:rsid w:val="00EB56C2"/>
    <w:rsid w:val="00EB59ED"/>
    <w:rsid w:val="00EB5AE2"/>
    <w:rsid w:val="00EB5D9E"/>
    <w:rsid w:val="00EB5F18"/>
    <w:rsid w:val="00EB5FA5"/>
    <w:rsid w:val="00EB6124"/>
    <w:rsid w:val="00EB6176"/>
    <w:rsid w:val="00EB6763"/>
    <w:rsid w:val="00EB68C0"/>
    <w:rsid w:val="00EB6A7E"/>
    <w:rsid w:val="00EB6B2F"/>
    <w:rsid w:val="00EB6C7C"/>
    <w:rsid w:val="00EB6DE3"/>
    <w:rsid w:val="00EB7825"/>
    <w:rsid w:val="00EC02EF"/>
    <w:rsid w:val="00EC0487"/>
    <w:rsid w:val="00EC05FC"/>
    <w:rsid w:val="00EC0BF9"/>
    <w:rsid w:val="00EC0D36"/>
    <w:rsid w:val="00EC0F85"/>
    <w:rsid w:val="00EC1393"/>
    <w:rsid w:val="00EC1477"/>
    <w:rsid w:val="00EC190E"/>
    <w:rsid w:val="00EC1A13"/>
    <w:rsid w:val="00EC1A74"/>
    <w:rsid w:val="00EC1F51"/>
    <w:rsid w:val="00EC2018"/>
    <w:rsid w:val="00EC2382"/>
    <w:rsid w:val="00EC2717"/>
    <w:rsid w:val="00EC275B"/>
    <w:rsid w:val="00EC27DE"/>
    <w:rsid w:val="00EC2BE4"/>
    <w:rsid w:val="00EC347A"/>
    <w:rsid w:val="00EC3647"/>
    <w:rsid w:val="00EC3B59"/>
    <w:rsid w:val="00EC3F6D"/>
    <w:rsid w:val="00EC40D1"/>
    <w:rsid w:val="00EC431B"/>
    <w:rsid w:val="00EC446B"/>
    <w:rsid w:val="00EC474D"/>
    <w:rsid w:val="00EC479E"/>
    <w:rsid w:val="00EC47AB"/>
    <w:rsid w:val="00EC496E"/>
    <w:rsid w:val="00EC4E6B"/>
    <w:rsid w:val="00EC5388"/>
    <w:rsid w:val="00EC55FA"/>
    <w:rsid w:val="00EC5610"/>
    <w:rsid w:val="00EC5897"/>
    <w:rsid w:val="00EC58C0"/>
    <w:rsid w:val="00EC672E"/>
    <w:rsid w:val="00EC6783"/>
    <w:rsid w:val="00EC678B"/>
    <w:rsid w:val="00EC6BB8"/>
    <w:rsid w:val="00EC6C15"/>
    <w:rsid w:val="00EC6C93"/>
    <w:rsid w:val="00EC6F41"/>
    <w:rsid w:val="00EC7392"/>
    <w:rsid w:val="00EC7467"/>
    <w:rsid w:val="00EC7641"/>
    <w:rsid w:val="00EC77F5"/>
    <w:rsid w:val="00EC7BF2"/>
    <w:rsid w:val="00EC7C2C"/>
    <w:rsid w:val="00EC7D82"/>
    <w:rsid w:val="00ED0900"/>
    <w:rsid w:val="00ED0B3D"/>
    <w:rsid w:val="00ED0EC5"/>
    <w:rsid w:val="00ED0FF5"/>
    <w:rsid w:val="00ED1111"/>
    <w:rsid w:val="00ED11D6"/>
    <w:rsid w:val="00ED1A83"/>
    <w:rsid w:val="00ED1E3E"/>
    <w:rsid w:val="00ED1ED3"/>
    <w:rsid w:val="00ED1FDD"/>
    <w:rsid w:val="00ED2049"/>
    <w:rsid w:val="00ED21EE"/>
    <w:rsid w:val="00ED2B62"/>
    <w:rsid w:val="00ED2B8E"/>
    <w:rsid w:val="00ED2D8C"/>
    <w:rsid w:val="00ED31E4"/>
    <w:rsid w:val="00ED33F3"/>
    <w:rsid w:val="00ED35CA"/>
    <w:rsid w:val="00ED36B6"/>
    <w:rsid w:val="00ED3805"/>
    <w:rsid w:val="00ED3815"/>
    <w:rsid w:val="00ED3895"/>
    <w:rsid w:val="00ED3AE2"/>
    <w:rsid w:val="00ED3B1A"/>
    <w:rsid w:val="00ED4BB9"/>
    <w:rsid w:val="00ED4CA9"/>
    <w:rsid w:val="00ED4CFC"/>
    <w:rsid w:val="00ED4E2F"/>
    <w:rsid w:val="00ED55D2"/>
    <w:rsid w:val="00ED5783"/>
    <w:rsid w:val="00ED5B89"/>
    <w:rsid w:val="00ED5C12"/>
    <w:rsid w:val="00ED5C67"/>
    <w:rsid w:val="00ED626C"/>
    <w:rsid w:val="00ED6CBA"/>
    <w:rsid w:val="00ED727A"/>
    <w:rsid w:val="00ED76E5"/>
    <w:rsid w:val="00ED7D2E"/>
    <w:rsid w:val="00ED7D3D"/>
    <w:rsid w:val="00ED7ECA"/>
    <w:rsid w:val="00EE0513"/>
    <w:rsid w:val="00EE062E"/>
    <w:rsid w:val="00EE076A"/>
    <w:rsid w:val="00EE0A86"/>
    <w:rsid w:val="00EE0D13"/>
    <w:rsid w:val="00EE12B3"/>
    <w:rsid w:val="00EE1593"/>
    <w:rsid w:val="00EE1801"/>
    <w:rsid w:val="00EE19BA"/>
    <w:rsid w:val="00EE1CD3"/>
    <w:rsid w:val="00EE1EB3"/>
    <w:rsid w:val="00EE24BB"/>
    <w:rsid w:val="00EE2B72"/>
    <w:rsid w:val="00EE2C61"/>
    <w:rsid w:val="00EE2E4F"/>
    <w:rsid w:val="00EE343F"/>
    <w:rsid w:val="00EE38C2"/>
    <w:rsid w:val="00EE39F1"/>
    <w:rsid w:val="00EE4531"/>
    <w:rsid w:val="00EE4958"/>
    <w:rsid w:val="00EE4B2E"/>
    <w:rsid w:val="00EE4DE0"/>
    <w:rsid w:val="00EE4F30"/>
    <w:rsid w:val="00EE50E1"/>
    <w:rsid w:val="00EE54CB"/>
    <w:rsid w:val="00EE5528"/>
    <w:rsid w:val="00EE5930"/>
    <w:rsid w:val="00EE5997"/>
    <w:rsid w:val="00EE5DC1"/>
    <w:rsid w:val="00EE5F67"/>
    <w:rsid w:val="00EE625E"/>
    <w:rsid w:val="00EE7225"/>
    <w:rsid w:val="00EE74C3"/>
    <w:rsid w:val="00EE793A"/>
    <w:rsid w:val="00EE7996"/>
    <w:rsid w:val="00EE7DB5"/>
    <w:rsid w:val="00EE7EED"/>
    <w:rsid w:val="00EF0016"/>
    <w:rsid w:val="00EF002E"/>
    <w:rsid w:val="00EF0179"/>
    <w:rsid w:val="00EF0199"/>
    <w:rsid w:val="00EF082E"/>
    <w:rsid w:val="00EF0B02"/>
    <w:rsid w:val="00EF0C54"/>
    <w:rsid w:val="00EF0DE4"/>
    <w:rsid w:val="00EF0E14"/>
    <w:rsid w:val="00EF1000"/>
    <w:rsid w:val="00EF12BB"/>
    <w:rsid w:val="00EF15F8"/>
    <w:rsid w:val="00EF1A17"/>
    <w:rsid w:val="00EF26C3"/>
    <w:rsid w:val="00EF2800"/>
    <w:rsid w:val="00EF2957"/>
    <w:rsid w:val="00EF2985"/>
    <w:rsid w:val="00EF2CCD"/>
    <w:rsid w:val="00EF2D14"/>
    <w:rsid w:val="00EF2D7C"/>
    <w:rsid w:val="00EF2E78"/>
    <w:rsid w:val="00EF2F01"/>
    <w:rsid w:val="00EF324E"/>
    <w:rsid w:val="00EF33D0"/>
    <w:rsid w:val="00EF34B3"/>
    <w:rsid w:val="00EF35AE"/>
    <w:rsid w:val="00EF391F"/>
    <w:rsid w:val="00EF3B18"/>
    <w:rsid w:val="00EF3DEB"/>
    <w:rsid w:val="00EF43CA"/>
    <w:rsid w:val="00EF4C3A"/>
    <w:rsid w:val="00EF4CD1"/>
    <w:rsid w:val="00EF4D38"/>
    <w:rsid w:val="00EF4FE6"/>
    <w:rsid w:val="00EF5E70"/>
    <w:rsid w:val="00EF62AC"/>
    <w:rsid w:val="00EF6948"/>
    <w:rsid w:val="00EF6DB9"/>
    <w:rsid w:val="00EF6DCB"/>
    <w:rsid w:val="00EF753D"/>
    <w:rsid w:val="00EF7649"/>
    <w:rsid w:val="00EF78E6"/>
    <w:rsid w:val="00EF7AFF"/>
    <w:rsid w:val="00EF7CA1"/>
    <w:rsid w:val="00EF7D1A"/>
    <w:rsid w:val="00F000B0"/>
    <w:rsid w:val="00F00C12"/>
    <w:rsid w:val="00F00C1A"/>
    <w:rsid w:val="00F00F97"/>
    <w:rsid w:val="00F0123F"/>
    <w:rsid w:val="00F01252"/>
    <w:rsid w:val="00F014BB"/>
    <w:rsid w:val="00F01B15"/>
    <w:rsid w:val="00F02017"/>
    <w:rsid w:val="00F0205D"/>
    <w:rsid w:val="00F02443"/>
    <w:rsid w:val="00F02B4F"/>
    <w:rsid w:val="00F02C53"/>
    <w:rsid w:val="00F03156"/>
    <w:rsid w:val="00F03A2F"/>
    <w:rsid w:val="00F03A52"/>
    <w:rsid w:val="00F03A78"/>
    <w:rsid w:val="00F03C19"/>
    <w:rsid w:val="00F048D6"/>
    <w:rsid w:val="00F04ADB"/>
    <w:rsid w:val="00F04E32"/>
    <w:rsid w:val="00F04F02"/>
    <w:rsid w:val="00F04F3E"/>
    <w:rsid w:val="00F05155"/>
    <w:rsid w:val="00F05317"/>
    <w:rsid w:val="00F053DD"/>
    <w:rsid w:val="00F05596"/>
    <w:rsid w:val="00F057AE"/>
    <w:rsid w:val="00F059D2"/>
    <w:rsid w:val="00F05D26"/>
    <w:rsid w:val="00F064AA"/>
    <w:rsid w:val="00F068BF"/>
    <w:rsid w:val="00F06C80"/>
    <w:rsid w:val="00F06CFF"/>
    <w:rsid w:val="00F06E79"/>
    <w:rsid w:val="00F0706E"/>
    <w:rsid w:val="00F0712A"/>
    <w:rsid w:val="00F073AD"/>
    <w:rsid w:val="00F0752D"/>
    <w:rsid w:val="00F075B5"/>
    <w:rsid w:val="00F079E1"/>
    <w:rsid w:val="00F07A87"/>
    <w:rsid w:val="00F07C90"/>
    <w:rsid w:val="00F07EBD"/>
    <w:rsid w:val="00F07F6C"/>
    <w:rsid w:val="00F10030"/>
    <w:rsid w:val="00F1055D"/>
    <w:rsid w:val="00F105B8"/>
    <w:rsid w:val="00F11011"/>
    <w:rsid w:val="00F1145C"/>
    <w:rsid w:val="00F11916"/>
    <w:rsid w:val="00F11B2B"/>
    <w:rsid w:val="00F11C79"/>
    <w:rsid w:val="00F11CB3"/>
    <w:rsid w:val="00F12224"/>
    <w:rsid w:val="00F125D0"/>
    <w:rsid w:val="00F12678"/>
    <w:rsid w:val="00F12986"/>
    <w:rsid w:val="00F134E1"/>
    <w:rsid w:val="00F138A3"/>
    <w:rsid w:val="00F13B7D"/>
    <w:rsid w:val="00F14040"/>
    <w:rsid w:val="00F1406D"/>
    <w:rsid w:val="00F14533"/>
    <w:rsid w:val="00F149C8"/>
    <w:rsid w:val="00F149F8"/>
    <w:rsid w:val="00F14C03"/>
    <w:rsid w:val="00F14FD0"/>
    <w:rsid w:val="00F158EC"/>
    <w:rsid w:val="00F15D12"/>
    <w:rsid w:val="00F163B7"/>
    <w:rsid w:val="00F16A59"/>
    <w:rsid w:val="00F16DE9"/>
    <w:rsid w:val="00F16E9B"/>
    <w:rsid w:val="00F17144"/>
    <w:rsid w:val="00F17A80"/>
    <w:rsid w:val="00F17AC8"/>
    <w:rsid w:val="00F17B15"/>
    <w:rsid w:val="00F17CB5"/>
    <w:rsid w:val="00F17D32"/>
    <w:rsid w:val="00F17F8C"/>
    <w:rsid w:val="00F20115"/>
    <w:rsid w:val="00F202D4"/>
    <w:rsid w:val="00F20840"/>
    <w:rsid w:val="00F20A4C"/>
    <w:rsid w:val="00F20BB9"/>
    <w:rsid w:val="00F2113F"/>
    <w:rsid w:val="00F213E6"/>
    <w:rsid w:val="00F21782"/>
    <w:rsid w:val="00F217AE"/>
    <w:rsid w:val="00F21E4B"/>
    <w:rsid w:val="00F226D7"/>
    <w:rsid w:val="00F22722"/>
    <w:rsid w:val="00F229FF"/>
    <w:rsid w:val="00F22A1D"/>
    <w:rsid w:val="00F22AED"/>
    <w:rsid w:val="00F22EAA"/>
    <w:rsid w:val="00F22F0E"/>
    <w:rsid w:val="00F232AA"/>
    <w:rsid w:val="00F23850"/>
    <w:rsid w:val="00F23878"/>
    <w:rsid w:val="00F23895"/>
    <w:rsid w:val="00F23B83"/>
    <w:rsid w:val="00F240B8"/>
    <w:rsid w:val="00F240E4"/>
    <w:rsid w:val="00F246AD"/>
    <w:rsid w:val="00F24782"/>
    <w:rsid w:val="00F24986"/>
    <w:rsid w:val="00F24DB8"/>
    <w:rsid w:val="00F24E05"/>
    <w:rsid w:val="00F254EB"/>
    <w:rsid w:val="00F25716"/>
    <w:rsid w:val="00F2576C"/>
    <w:rsid w:val="00F25A2D"/>
    <w:rsid w:val="00F25A57"/>
    <w:rsid w:val="00F25C2C"/>
    <w:rsid w:val="00F2623D"/>
    <w:rsid w:val="00F26318"/>
    <w:rsid w:val="00F2633E"/>
    <w:rsid w:val="00F2655A"/>
    <w:rsid w:val="00F26580"/>
    <w:rsid w:val="00F2670F"/>
    <w:rsid w:val="00F26C7D"/>
    <w:rsid w:val="00F26ED3"/>
    <w:rsid w:val="00F26F64"/>
    <w:rsid w:val="00F27446"/>
    <w:rsid w:val="00F275C7"/>
    <w:rsid w:val="00F2764E"/>
    <w:rsid w:val="00F278C6"/>
    <w:rsid w:val="00F27AB5"/>
    <w:rsid w:val="00F27C76"/>
    <w:rsid w:val="00F27D34"/>
    <w:rsid w:val="00F30439"/>
    <w:rsid w:val="00F30598"/>
    <w:rsid w:val="00F30A67"/>
    <w:rsid w:val="00F30B69"/>
    <w:rsid w:val="00F3134B"/>
    <w:rsid w:val="00F31D0A"/>
    <w:rsid w:val="00F31DB4"/>
    <w:rsid w:val="00F3200D"/>
    <w:rsid w:val="00F32877"/>
    <w:rsid w:val="00F32AA7"/>
    <w:rsid w:val="00F3326C"/>
    <w:rsid w:val="00F332E9"/>
    <w:rsid w:val="00F33515"/>
    <w:rsid w:val="00F33D2D"/>
    <w:rsid w:val="00F33EA1"/>
    <w:rsid w:val="00F3407C"/>
    <w:rsid w:val="00F3481B"/>
    <w:rsid w:val="00F34B31"/>
    <w:rsid w:val="00F34E20"/>
    <w:rsid w:val="00F34ED2"/>
    <w:rsid w:val="00F35106"/>
    <w:rsid w:val="00F3510F"/>
    <w:rsid w:val="00F35441"/>
    <w:rsid w:val="00F35493"/>
    <w:rsid w:val="00F35560"/>
    <w:rsid w:val="00F3569E"/>
    <w:rsid w:val="00F35A6F"/>
    <w:rsid w:val="00F35AF1"/>
    <w:rsid w:val="00F35C42"/>
    <w:rsid w:val="00F3619D"/>
    <w:rsid w:val="00F36453"/>
    <w:rsid w:val="00F3664A"/>
    <w:rsid w:val="00F36725"/>
    <w:rsid w:val="00F36A34"/>
    <w:rsid w:val="00F36E34"/>
    <w:rsid w:val="00F36F9F"/>
    <w:rsid w:val="00F36FB3"/>
    <w:rsid w:val="00F37100"/>
    <w:rsid w:val="00F37327"/>
    <w:rsid w:val="00F3743E"/>
    <w:rsid w:val="00F374B7"/>
    <w:rsid w:val="00F37A5C"/>
    <w:rsid w:val="00F37DF0"/>
    <w:rsid w:val="00F37F44"/>
    <w:rsid w:val="00F401B5"/>
    <w:rsid w:val="00F4050B"/>
    <w:rsid w:val="00F4057C"/>
    <w:rsid w:val="00F4089A"/>
    <w:rsid w:val="00F40C51"/>
    <w:rsid w:val="00F41125"/>
    <w:rsid w:val="00F41243"/>
    <w:rsid w:val="00F412FA"/>
    <w:rsid w:val="00F41936"/>
    <w:rsid w:val="00F41A4B"/>
    <w:rsid w:val="00F41D73"/>
    <w:rsid w:val="00F42268"/>
    <w:rsid w:val="00F4232B"/>
    <w:rsid w:val="00F425D6"/>
    <w:rsid w:val="00F427AD"/>
    <w:rsid w:val="00F4287B"/>
    <w:rsid w:val="00F42B3A"/>
    <w:rsid w:val="00F4381A"/>
    <w:rsid w:val="00F43D19"/>
    <w:rsid w:val="00F43E64"/>
    <w:rsid w:val="00F43EBC"/>
    <w:rsid w:val="00F44034"/>
    <w:rsid w:val="00F4408F"/>
    <w:rsid w:val="00F4425F"/>
    <w:rsid w:val="00F447E2"/>
    <w:rsid w:val="00F44857"/>
    <w:rsid w:val="00F449BE"/>
    <w:rsid w:val="00F44BE1"/>
    <w:rsid w:val="00F45840"/>
    <w:rsid w:val="00F45881"/>
    <w:rsid w:val="00F45B4B"/>
    <w:rsid w:val="00F45CEC"/>
    <w:rsid w:val="00F466C8"/>
    <w:rsid w:val="00F46C63"/>
    <w:rsid w:val="00F46C93"/>
    <w:rsid w:val="00F46D2C"/>
    <w:rsid w:val="00F46E1C"/>
    <w:rsid w:val="00F46EDA"/>
    <w:rsid w:val="00F47A7A"/>
    <w:rsid w:val="00F47BDD"/>
    <w:rsid w:val="00F50332"/>
    <w:rsid w:val="00F51452"/>
    <w:rsid w:val="00F51845"/>
    <w:rsid w:val="00F51A0C"/>
    <w:rsid w:val="00F51C0D"/>
    <w:rsid w:val="00F51E72"/>
    <w:rsid w:val="00F524AD"/>
    <w:rsid w:val="00F528B0"/>
    <w:rsid w:val="00F5292D"/>
    <w:rsid w:val="00F529D7"/>
    <w:rsid w:val="00F53823"/>
    <w:rsid w:val="00F53B5E"/>
    <w:rsid w:val="00F53BE2"/>
    <w:rsid w:val="00F549AE"/>
    <w:rsid w:val="00F549CC"/>
    <w:rsid w:val="00F54EFB"/>
    <w:rsid w:val="00F552C4"/>
    <w:rsid w:val="00F55371"/>
    <w:rsid w:val="00F5592E"/>
    <w:rsid w:val="00F55CB0"/>
    <w:rsid w:val="00F55E01"/>
    <w:rsid w:val="00F55E31"/>
    <w:rsid w:val="00F5646D"/>
    <w:rsid w:val="00F56857"/>
    <w:rsid w:val="00F571CA"/>
    <w:rsid w:val="00F571EB"/>
    <w:rsid w:val="00F57355"/>
    <w:rsid w:val="00F5760D"/>
    <w:rsid w:val="00F5793A"/>
    <w:rsid w:val="00F57AFB"/>
    <w:rsid w:val="00F57BA9"/>
    <w:rsid w:val="00F57C3C"/>
    <w:rsid w:val="00F607EE"/>
    <w:rsid w:val="00F60AA3"/>
    <w:rsid w:val="00F61221"/>
    <w:rsid w:val="00F612FE"/>
    <w:rsid w:val="00F614AD"/>
    <w:rsid w:val="00F619E7"/>
    <w:rsid w:val="00F61B03"/>
    <w:rsid w:val="00F6240F"/>
    <w:rsid w:val="00F62AD5"/>
    <w:rsid w:val="00F62C62"/>
    <w:rsid w:val="00F62C64"/>
    <w:rsid w:val="00F6304A"/>
    <w:rsid w:val="00F63728"/>
    <w:rsid w:val="00F63889"/>
    <w:rsid w:val="00F641FB"/>
    <w:rsid w:val="00F642EB"/>
    <w:rsid w:val="00F64363"/>
    <w:rsid w:val="00F644DA"/>
    <w:rsid w:val="00F64721"/>
    <w:rsid w:val="00F648C5"/>
    <w:rsid w:val="00F649F9"/>
    <w:rsid w:val="00F64AC9"/>
    <w:rsid w:val="00F6511E"/>
    <w:rsid w:val="00F651A1"/>
    <w:rsid w:val="00F653C1"/>
    <w:rsid w:val="00F65542"/>
    <w:rsid w:val="00F65893"/>
    <w:rsid w:val="00F65E3A"/>
    <w:rsid w:val="00F65EB2"/>
    <w:rsid w:val="00F65EF9"/>
    <w:rsid w:val="00F6627B"/>
    <w:rsid w:val="00F66286"/>
    <w:rsid w:val="00F666CC"/>
    <w:rsid w:val="00F6683B"/>
    <w:rsid w:val="00F668F9"/>
    <w:rsid w:val="00F66D00"/>
    <w:rsid w:val="00F66FA1"/>
    <w:rsid w:val="00F66FED"/>
    <w:rsid w:val="00F67287"/>
    <w:rsid w:val="00F6773B"/>
    <w:rsid w:val="00F67769"/>
    <w:rsid w:val="00F67B1F"/>
    <w:rsid w:val="00F7035F"/>
    <w:rsid w:val="00F70547"/>
    <w:rsid w:val="00F705CE"/>
    <w:rsid w:val="00F706E7"/>
    <w:rsid w:val="00F707E1"/>
    <w:rsid w:val="00F708EE"/>
    <w:rsid w:val="00F70B81"/>
    <w:rsid w:val="00F70D03"/>
    <w:rsid w:val="00F710B6"/>
    <w:rsid w:val="00F71304"/>
    <w:rsid w:val="00F715BF"/>
    <w:rsid w:val="00F716E3"/>
    <w:rsid w:val="00F720F4"/>
    <w:rsid w:val="00F72163"/>
    <w:rsid w:val="00F7223D"/>
    <w:rsid w:val="00F72278"/>
    <w:rsid w:val="00F724BA"/>
    <w:rsid w:val="00F72651"/>
    <w:rsid w:val="00F726AC"/>
    <w:rsid w:val="00F72DC5"/>
    <w:rsid w:val="00F733AA"/>
    <w:rsid w:val="00F73405"/>
    <w:rsid w:val="00F73523"/>
    <w:rsid w:val="00F73784"/>
    <w:rsid w:val="00F73A25"/>
    <w:rsid w:val="00F746F0"/>
    <w:rsid w:val="00F746FC"/>
    <w:rsid w:val="00F747E8"/>
    <w:rsid w:val="00F749F3"/>
    <w:rsid w:val="00F74A83"/>
    <w:rsid w:val="00F74B9B"/>
    <w:rsid w:val="00F74DE0"/>
    <w:rsid w:val="00F74F4C"/>
    <w:rsid w:val="00F7550C"/>
    <w:rsid w:val="00F760FE"/>
    <w:rsid w:val="00F76686"/>
    <w:rsid w:val="00F7692B"/>
    <w:rsid w:val="00F76A90"/>
    <w:rsid w:val="00F77048"/>
    <w:rsid w:val="00F770B5"/>
    <w:rsid w:val="00F7716E"/>
    <w:rsid w:val="00F77535"/>
    <w:rsid w:val="00F77E4C"/>
    <w:rsid w:val="00F80277"/>
    <w:rsid w:val="00F80307"/>
    <w:rsid w:val="00F808BD"/>
    <w:rsid w:val="00F80A08"/>
    <w:rsid w:val="00F80D7E"/>
    <w:rsid w:val="00F817B5"/>
    <w:rsid w:val="00F81ABB"/>
    <w:rsid w:val="00F81C1B"/>
    <w:rsid w:val="00F81CBE"/>
    <w:rsid w:val="00F82404"/>
    <w:rsid w:val="00F826F5"/>
    <w:rsid w:val="00F82900"/>
    <w:rsid w:val="00F82B00"/>
    <w:rsid w:val="00F82D1B"/>
    <w:rsid w:val="00F82D5E"/>
    <w:rsid w:val="00F82EDE"/>
    <w:rsid w:val="00F838DC"/>
    <w:rsid w:val="00F83E69"/>
    <w:rsid w:val="00F83E82"/>
    <w:rsid w:val="00F83F80"/>
    <w:rsid w:val="00F83FC6"/>
    <w:rsid w:val="00F8406F"/>
    <w:rsid w:val="00F8431E"/>
    <w:rsid w:val="00F84549"/>
    <w:rsid w:val="00F8510E"/>
    <w:rsid w:val="00F854A6"/>
    <w:rsid w:val="00F860A1"/>
    <w:rsid w:val="00F860EA"/>
    <w:rsid w:val="00F865F9"/>
    <w:rsid w:val="00F86A22"/>
    <w:rsid w:val="00F87091"/>
    <w:rsid w:val="00F87234"/>
    <w:rsid w:val="00F8741A"/>
    <w:rsid w:val="00F87661"/>
    <w:rsid w:val="00F877C2"/>
    <w:rsid w:val="00F8797D"/>
    <w:rsid w:val="00F90470"/>
    <w:rsid w:val="00F910E3"/>
    <w:rsid w:val="00F91213"/>
    <w:rsid w:val="00F91352"/>
    <w:rsid w:val="00F91771"/>
    <w:rsid w:val="00F91EA2"/>
    <w:rsid w:val="00F9205C"/>
    <w:rsid w:val="00F929E9"/>
    <w:rsid w:val="00F92CFC"/>
    <w:rsid w:val="00F92EC2"/>
    <w:rsid w:val="00F93398"/>
    <w:rsid w:val="00F936D7"/>
    <w:rsid w:val="00F93A92"/>
    <w:rsid w:val="00F93CD7"/>
    <w:rsid w:val="00F93F7B"/>
    <w:rsid w:val="00F94203"/>
    <w:rsid w:val="00F94840"/>
    <w:rsid w:val="00F94C7F"/>
    <w:rsid w:val="00F95137"/>
    <w:rsid w:val="00F95140"/>
    <w:rsid w:val="00F9590F"/>
    <w:rsid w:val="00F95A53"/>
    <w:rsid w:val="00F95D32"/>
    <w:rsid w:val="00F95FFD"/>
    <w:rsid w:val="00F96393"/>
    <w:rsid w:val="00F96762"/>
    <w:rsid w:val="00F97179"/>
    <w:rsid w:val="00F971BD"/>
    <w:rsid w:val="00F976C4"/>
    <w:rsid w:val="00F976D8"/>
    <w:rsid w:val="00F97BFB"/>
    <w:rsid w:val="00FA0337"/>
    <w:rsid w:val="00FA05C3"/>
    <w:rsid w:val="00FA06A4"/>
    <w:rsid w:val="00FA0B0F"/>
    <w:rsid w:val="00FA145C"/>
    <w:rsid w:val="00FA1520"/>
    <w:rsid w:val="00FA1780"/>
    <w:rsid w:val="00FA18F7"/>
    <w:rsid w:val="00FA1CAF"/>
    <w:rsid w:val="00FA1DD3"/>
    <w:rsid w:val="00FA1E61"/>
    <w:rsid w:val="00FA1FC4"/>
    <w:rsid w:val="00FA2103"/>
    <w:rsid w:val="00FA212C"/>
    <w:rsid w:val="00FA22C0"/>
    <w:rsid w:val="00FA2934"/>
    <w:rsid w:val="00FA2B66"/>
    <w:rsid w:val="00FA2B6E"/>
    <w:rsid w:val="00FA2BC3"/>
    <w:rsid w:val="00FA2DDE"/>
    <w:rsid w:val="00FA33E1"/>
    <w:rsid w:val="00FA35FF"/>
    <w:rsid w:val="00FA3A8A"/>
    <w:rsid w:val="00FA3B3D"/>
    <w:rsid w:val="00FA3B79"/>
    <w:rsid w:val="00FA3CB2"/>
    <w:rsid w:val="00FA4310"/>
    <w:rsid w:val="00FA45C3"/>
    <w:rsid w:val="00FA4693"/>
    <w:rsid w:val="00FA4800"/>
    <w:rsid w:val="00FA490B"/>
    <w:rsid w:val="00FA4931"/>
    <w:rsid w:val="00FA4C57"/>
    <w:rsid w:val="00FA5203"/>
    <w:rsid w:val="00FA5422"/>
    <w:rsid w:val="00FA5661"/>
    <w:rsid w:val="00FA5A06"/>
    <w:rsid w:val="00FA5B2A"/>
    <w:rsid w:val="00FA6254"/>
    <w:rsid w:val="00FA669D"/>
    <w:rsid w:val="00FA6942"/>
    <w:rsid w:val="00FA6A7A"/>
    <w:rsid w:val="00FA6AC5"/>
    <w:rsid w:val="00FA6D69"/>
    <w:rsid w:val="00FA705E"/>
    <w:rsid w:val="00FA76F3"/>
    <w:rsid w:val="00FA7704"/>
    <w:rsid w:val="00FA7C05"/>
    <w:rsid w:val="00FA7C37"/>
    <w:rsid w:val="00FA7D1F"/>
    <w:rsid w:val="00FA7E68"/>
    <w:rsid w:val="00FA7FD8"/>
    <w:rsid w:val="00FB0603"/>
    <w:rsid w:val="00FB0D7B"/>
    <w:rsid w:val="00FB0DDE"/>
    <w:rsid w:val="00FB1B1F"/>
    <w:rsid w:val="00FB1B96"/>
    <w:rsid w:val="00FB1FEA"/>
    <w:rsid w:val="00FB2276"/>
    <w:rsid w:val="00FB23BC"/>
    <w:rsid w:val="00FB2560"/>
    <w:rsid w:val="00FB2621"/>
    <w:rsid w:val="00FB2FC8"/>
    <w:rsid w:val="00FB2FE2"/>
    <w:rsid w:val="00FB30CB"/>
    <w:rsid w:val="00FB3555"/>
    <w:rsid w:val="00FB35AD"/>
    <w:rsid w:val="00FB38BD"/>
    <w:rsid w:val="00FB3F2D"/>
    <w:rsid w:val="00FB4190"/>
    <w:rsid w:val="00FB45D3"/>
    <w:rsid w:val="00FB4656"/>
    <w:rsid w:val="00FB48C5"/>
    <w:rsid w:val="00FB4A1D"/>
    <w:rsid w:val="00FB4B19"/>
    <w:rsid w:val="00FB5247"/>
    <w:rsid w:val="00FB5506"/>
    <w:rsid w:val="00FB5621"/>
    <w:rsid w:val="00FB5986"/>
    <w:rsid w:val="00FB5A14"/>
    <w:rsid w:val="00FB5C41"/>
    <w:rsid w:val="00FB5EF5"/>
    <w:rsid w:val="00FB5FAE"/>
    <w:rsid w:val="00FB6241"/>
    <w:rsid w:val="00FB6344"/>
    <w:rsid w:val="00FB6558"/>
    <w:rsid w:val="00FB69BA"/>
    <w:rsid w:val="00FB69CA"/>
    <w:rsid w:val="00FB6F67"/>
    <w:rsid w:val="00FB6F91"/>
    <w:rsid w:val="00FB6FDD"/>
    <w:rsid w:val="00FB71B0"/>
    <w:rsid w:val="00FB7311"/>
    <w:rsid w:val="00FB748A"/>
    <w:rsid w:val="00FB7693"/>
    <w:rsid w:val="00FB77F2"/>
    <w:rsid w:val="00FB7D8B"/>
    <w:rsid w:val="00FC0509"/>
    <w:rsid w:val="00FC0997"/>
    <w:rsid w:val="00FC0F23"/>
    <w:rsid w:val="00FC0F88"/>
    <w:rsid w:val="00FC1174"/>
    <w:rsid w:val="00FC1420"/>
    <w:rsid w:val="00FC1B5C"/>
    <w:rsid w:val="00FC2030"/>
    <w:rsid w:val="00FC273F"/>
    <w:rsid w:val="00FC2872"/>
    <w:rsid w:val="00FC2D66"/>
    <w:rsid w:val="00FC38D3"/>
    <w:rsid w:val="00FC39D5"/>
    <w:rsid w:val="00FC3D2E"/>
    <w:rsid w:val="00FC3DE7"/>
    <w:rsid w:val="00FC3FA5"/>
    <w:rsid w:val="00FC4091"/>
    <w:rsid w:val="00FC460C"/>
    <w:rsid w:val="00FC471E"/>
    <w:rsid w:val="00FC496B"/>
    <w:rsid w:val="00FC4A11"/>
    <w:rsid w:val="00FC4BF8"/>
    <w:rsid w:val="00FC4F73"/>
    <w:rsid w:val="00FC5054"/>
    <w:rsid w:val="00FC5258"/>
    <w:rsid w:val="00FC559E"/>
    <w:rsid w:val="00FC58E7"/>
    <w:rsid w:val="00FC5B8D"/>
    <w:rsid w:val="00FC5BB5"/>
    <w:rsid w:val="00FC60CC"/>
    <w:rsid w:val="00FC6385"/>
    <w:rsid w:val="00FC63BE"/>
    <w:rsid w:val="00FC660F"/>
    <w:rsid w:val="00FC6A72"/>
    <w:rsid w:val="00FC6C62"/>
    <w:rsid w:val="00FC6D26"/>
    <w:rsid w:val="00FC6D6E"/>
    <w:rsid w:val="00FC6FE6"/>
    <w:rsid w:val="00FC70DF"/>
    <w:rsid w:val="00FC719A"/>
    <w:rsid w:val="00FC744C"/>
    <w:rsid w:val="00FC759D"/>
    <w:rsid w:val="00FC7A84"/>
    <w:rsid w:val="00FC7C6C"/>
    <w:rsid w:val="00FC7F38"/>
    <w:rsid w:val="00FD008B"/>
    <w:rsid w:val="00FD01E2"/>
    <w:rsid w:val="00FD0245"/>
    <w:rsid w:val="00FD06C7"/>
    <w:rsid w:val="00FD088C"/>
    <w:rsid w:val="00FD0904"/>
    <w:rsid w:val="00FD09F0"/>
    <w:rsid w:val="00FD0A6D"/>
    <w:rsid w:val="00FD0AB9"/>
    <w:rsid w:val="00FD0DA4"/>
    <w:rsid w:val="00FD0DC2"/>
    <w:rsid w:val="00FD1634"/>
    <w:rsid w:val="00FD172D"/>
    <w:rsid w:val="00FD1A3F"/>
    <w:rsid w:val="00FD1AB1"/>
    <w:rsid w:val="00FD1B77"/>
    <w:rsid w:val="00FD1CCD"/>
    <w:rsid w:val="00FD1F92"/>
    <w:rsid w:val="00FD247A"/>
    <w:rsid w:val="00FD25D2"/>
    <w:rsid w:val="00FD3881"/>
    <w:rsid w:val="00FD3C1D"/>
    <w:rsid w:val="00FD3F03"/>
    <w:rsid w:val="00FD3F30"/>
    <w:rsid w:val="00FD425A"/>
    <w:rsid w:val="00FD4FFD"/>
    <w:rsid w:val="00FD5373"/>
    <w:rsid w:val="00FD5537"/>
    <w:rsid w:val="00FD57A3"/>
    <w:rsid w:val="00FD57A8"/>
    <w:rsid w:val="00FD605F"/>
    <w:rsid w:val="00FD6099"/>
    <w:rsid w:val="00FD6241"/>
    <w:rsid w:val="00FD65D5"/>
    <w:rsid w:val="00FD6611"/>
    <w:rsid w:val="00FD6CBC"/>
    <w:rsid w:val="00FD6DA0"/>
    <w:rsid w:val="00FD6DF4"/>
    <w:rsid w:val="00FD6E3E"/>
    <w:rsid w:val="00FD70AC"/>
    <w:rsid w:val="00FD7610"/>
    <w:rsid w:val="00FD79CD"/>
    <w:rsid w:val="00FD7AA2"/>
    <w:rsid w:val="00FD7B3F"/>
    <w:rsid w:val="00FD7CD4"/>
    <w:rsid w:val="00FD7E32"/>
    <w:rsid w:val="00FE036E"/>
    <w:rsid w:val="00FE0397"/>
    <w:rsid w:val="00FE089B"/>
    <w:rsid w:val="00FE0B13"/>
    <w:rsid w:val="00FE0B25"/>
    <w:rsid w:val="00FE0B8B"/>
    <w:rsid w:val="00FE0D23"/>
    <w:rsid w:val="00FE0EE1"/>
    <w:rsid w:val="00FE1107"/>
    <w:rsid w:val="00FE1456"/>
    <w:rsid w:val="00FE1831"/>
    <w:rsid w:val="00FE1CF5"/>
    <w:rsid w:val="00FE2273"/>
    <w:rsid w:val="00FE26C8"/>
    <w:rsid w:val="00FE2865"/>
    <w:rsid w:val="00FE28C2"/>
    <w:rsid w:val="00FE296F"/>
    <w:rsid w:val="00FE2D5D"/>
    <w:rsid w:val="00FE2E5E"/>
    <w:rsid w:val="00FE2E8E"/>
    <w:rsid w:val="00FE2F7C"/>
    <w:rsid w:val="00FE31A2"/>
    <w:rsid w:val="00FE3543"/>
    <w:rsid w:val="00FE3A77"/>
    <w:rsid w:val="00FE3AC1"/>
    <w:rsid w:val="00FE40FD"/>
    <w:rsid w:val="00FE419F"/>
    <w:rsid w:val="00FE42CE"/>
    <w:rsid w:val="00FE42F0"/>
    <w:rsid w:val="00FE4490"/>
    <w:rsid w:val="00FE48AE"/>
    <w:rsid w:val="00FE492C"/>
    <w:rsid w:val="00FE4F75"/>
    <w:rsid w:val="00FE51D1"/>
    <w:rsid w:val="00FE54E1"/>
    <w:rsid w:val="00FE557E"/>
    <w:rsid w:val="00FE57E3"/>
    <w:rsid w:val="00FE5F47"/>
    <w:rsid w:val="00FE61F1"/>
    <w:rsid w:val="00FE678D"/>
    <w:rsid w:val="00FE69C7"/>
    <w:rsid w:val="00FE6A96"/>
    <w:rsid w:val="00FE6B74"/>
    <w:rsid w:val="00FE6CEF"/>
    <w:rsid w:val="00FE70B9"/>
    <w:rsid w:val="00FE7655"/>
    <w:rsid w:val="00FE7B49"/>
    <w:rsid w:val="00FE7F13"/>
    <w:rsid w:val="00FF008D"/>
    <w:rsid w:val="00FF018D"/>
    <w:rsid w:val="00FF049F"/>
    <w:rsid w:val="00FF09F8"/>
    <w:rsid w:val="00FF1779"/>
    <w:rsid w:val="00FF1798"/>
    <w:rsid w:val="00FF1A62"/>
    <w:rsid w:val="00FF1B46"/>
    <w:rsid w:val="00FF21F6"/>
    <w:rsid w:val="00FF2325"/>
    <w:rsid w:val="00FF241A"/>
    <w:rsid w:val="00FF2624"/>
    <w:rsid w:val="00FF298D"/>
    <w:rsid w:val="00FF2B0B"/>
    <w:rsid w:val="00FF2CC1"/>
    <w:rsid w:val="00FF2DB4"/>
    <w:rsid w:val="00FF314F"/>
    <w:rsid w:val="00FF31E1"/>
    <w:rsid w:val="00FF3239"/>
    <w:rsid w:val="00FF32CC"/>
    <w:rsid w:val="00FF3C0E"/>
    <w:rsid w:val="00FF3D0A"/>
    <w:rsid w:val="00FF3DC6"/>
    <w:rsid w:val="00FF3FC3"/>
    <w:rsid w:val="00FF42DC"/>
    <w:rsid w:val="00FF4324"/>
    <w:rsid w:val="00FF46AC"/>
    <w:rsid w:val="00FF4770"/>
    <w:rsid w:val="00FF4E2B"/>
    <w:rsid w:val="00FF4E5B"/>
    <w:rsid w:val="00FF4F28"/>
    <w:rsid w:val="00FF5391"/>
    <w:rsid w:val="00FF53AC"/>
    <w:rsid w:val="00FF5594"/>
    <w:rsid w:val="00FF5A3D"/>
    <w:rsid w:val="00FF5B40"/>
    <w:rsid w:val="00FF5CDC"/>
    <w:rsid w:val="00FF6009"/>
    <w:rsid w:val="00FF6236"/>
    <w:rsid w:val="00FF632D"/>
    <w:rsid w:val="00FF652B"/>
    <w:rsid w:val="00FF6535"/>
    <w:rsid w:val="00FF6735"/>
    <w:rsid w:val="00FF695C"/>
    <w:rsid w:val="00FF6BE6"/>
    <w:rsid w:val="00FF6ED4"/>
    <w:rsid w:val="00FF779F"/>
    <w:rsid w:val="00FF781B"/>
    <w:rsid w:val="00FF7C00"/>
    <w:rsid w:val="00FF7D7A"/>
    <w:rsid w:val="00FF7E97"/>
    <w:rsid w:val="00FF7FA8"/>
    <w:rsid w:val="0105D20E"/>
    <w:rsid w:val="010B93AF"/>
    <w:rsid w:val="010B9CAD"/>
    <w:rsid w:val="010D25DB"/>
    <w:rsid w:val="0116D33A"/>
    <w:rsid w:val="0116E62B"/>
    <w:rsid w:val="011B50A7"/>
    <w:rsid w:val="011F49F3"/>
    <w:rsid w:val="01211307"/>
    <w:rsid w:val="01333133"/>
    <w:rsid w:val="014D0778"/>
    <w:rsid w:val="014ED230"/>
    <w:rsid w:val="014F2DE9"/>
    <w:rsid w:val="0152E5DA"/>
    <w:rsid w:val="0169E607"/>
    <w:rsid w:val="016AE4C9"/>
    <w:rsid w:val="017CDFC8"/>
    <w:rsid w:val="0183010F"/>
    <w:rsid w:val="01848C9B"/>
    <w:rsid w:val="018614A2"/>
    <w:rsid w:val="01907AFE"/>
    <w:rsid w:val="01914796"/>
    <w:rsid w:val="0194A201"/>
    <w:rsid w:val="01953E0F"/>
    <w:rsid w:val="01B45183"/>
    <w:rsid w:val="01B8BF09"/>
    <w:rsid w:val="01BD21BD"/>
    <w:rsid w:val="01C256AC"/>
    <w:rsid w:val="01C62A99"/>
    <w:rsid w:val="01CABAE4"/>
    <w:rsid w:val="01D3FBDF"/>
    <w:rsid w:val="01D6E99B"/>
    <w:rsid w:val="01DEB814"/>
    <w:rsid w:val="01E02461"/>
    <w:rsid w:val="01EC8B4F"/>
    <w:rsid w:val="01ECAA7C"/>
    <w:rsid w:val="01F8A0A2"/>
    <w:rsid w:val="01FB7649"/>
    <w:rsid w:val="02104769"/>
    <w:rsid w:val="021C4297"/>
    <w:rsid w:val="0236B4FF"/>
    <w:rsid w:val="023C039A"/>
    <w:rsid w:val="0241262A"/>
    <w:rsid w:val="024C9EA0"/>
    <w:rsid w:val="024DD9B7"/>
    <w:rsid w:val="025027BB"/>
    <w:rsid w:val="0250D5EE"/>
    <w:rsid w:val="02513610"/>
    <w:rsid w:val="0253CED6"/>
    <w:rsid w:val="0258B30B"/>
    <w:rsid w:val="0258F3F6"/>
    <w:rsid w:val="02626D0D"/>
    <w:rsid w:val="026984D3"/>
    <w:rsid w:val="02900A32"/>
    <w:rsid w:val="02AC280B"/>
    <w:rsid w:val="02CA3ADC"/>
    <w:rsid w:val="02CD8F4A"/>
    <w:rsid w:val="02E122D4"/>
    <w:rsid w:val="02F34215"/>
    <w:rsid w:val="02F85A72"/>
    <w:rsid w:val="0309F967"/>
    <w:rsid w:val="030B4E5C"/>
    <w:rsid w:val="031161C0"/>
    <w:rsid w:val="03311360"/>
    <w:rsid w:val="034235B0"/>
    <w:rsid w:val="034D8879"/>
    <w:rsid w:val="0357ADF1"/>
    <w:rsid w:val="03675418"/>
    <w:rsid w:val="036BC1D5"/>
    <w:rsid w:val="036F95D5"/>
    <w:rsid w:val="03833C88"/>
    <w:rsid w:val="038C34D3"/>
    <w:rsid w:val="038D4E99"/>
    <w:rsid w:val="03A17841"/>
    <w:rsid w:val="03B1CCA0"/>
    <w:rsid w:val="03B45157"/>
    <w:rsid w:val="03B6CF56"/>
    <w:rsid w:val="03C2FE30"/>
    <w:rsid w:val="03C9B88C"/>
    <w:rsid w:val="03CE7DCD"/>
    <w:rsid w:val="03CF58A1"/>
    <w:rsid w:val="03DB78FD"/>
    <w:rsid w:val="03DBC6F2"/>
    <w:rsid w:val="03F7EE0B"/>
    <w:rsid w:val="03F898D6"/>
    <w:rsid w:val="03FAE4C8"/>
    <w:rsid w:val="0401E60F"/>
    <w:rsid w:val="04074D36"/>
    <w:rsid w:val="040B6CC0"/>
    <w:rsid w:val="040CADA3"/>
    <w:rsid w:val="040CE9B2"/>
    <w:rsid w:val="040E0177"/>
    <w:rsid w:val="042B943D"/>
    <w:rsid w:val="0440743F"/>
    <w:rsid w:val="04413C23"/>
    <w:rsid w:val="04422ED3"/>
    <w:rsid w:val="0442A5C1"/>
    <w:rsid w:val="04598F38"/>
    <w:rsid w:val="045FD0E5"/>
    <w:rsid w:val="0461087E"/>
    <w:rsid w:val="0462728B"/>
    <w:rsid w:val="0476F9BB"/>
    <w:rsid w:val="04773588"/>
    <w:rsid w:val="047D626C"/>
    <w:rsid w:val="0483C208"/>
    <w:rsid w:val="0488FDDA"/>
    <w:rsid w:val="048C01D2"/>
    <w:rsid w:val="048FB5F7"/>
    <w:rsid w:val="04914F31"/>
    <w:rsid w:val="04A374C8"/>
    <w:rsid w:val="04ACE34A"/>
    <w:rsid w:val="04AFFFAC"/>
    <w:rsid w:val="04B58AD6"/>
    <w:rsid w:val="04BB04A7"/>
    <w:rsid w:val="04BC9B99"/>
    <w:rsid w:val="04BCF4FC"/>
    <w:rsid w:val="04C0A614"/>
    <w:rsid w:val="04C58AFD"/>
    <w:rsid w:val="04DD8A9D"/>
    <w:rsid w:val="04EF0589"/>
    <w:rsid w:val="04F21003"/>
    <w:rsid w:val="04F38EF6"/>
    <w:rsid w:val="04FD480D"/>
    <w:rsid w:val="050C71D2"/>
    <w:rsid w:val="0511DE24"/>
    <w:rsid w:val="051E8562"/>
    <w:rsid w:val="0530929B"/>
    <w:rsid w:val="0533B65C"/>
    <w:rsid w:val="05342832"/>
    <w:rsid w:val="055FCCFB"/>
    <w:rsid w:val="0567B2E1"/>
    <w:rsid w:val="056BC576"/>
    <w:rsid w:val="056CD4DD"/>
    <w:rsid w:val="056DAD90"/>
    <w:rsid w:val="056EAC63"/>
    <w:rsid w:val="0571EF28"/>
    <w:rsid w:val="05788A29"/>
    <w:rsid w:val="05812F3D"/>
    <w:rsid w:val="05A273FE"/>
    <w:rsid w:val="05AD746A"/>
    <w:rsid w:val="05B1DC81"/>
    <w:rsid w:val="05B2FDE3"/>
    <w:rsid w:val="05B35CE6"/>
    <w:rsid w:val="05BD0448"/>
    <w:rsid w:val="05C7EC07"/>
    <w:rsid w:val="05CD7C3B"/>
    <w:rsid w:val="05D262BF"/>
    <w:rsid w:val="05D26B96"/>
    <w:rsid w:val="05D45A2E"/>
    <w:rsid w:val="05DD3331"/>
    <w:rsid w:val="05F56775"/>
    <w:rsid w:val="05F6C70C"/>
    <w:rsid w:val="05FE4FC0"/>
    <w:rsid w:val="06079FAF"/>
    <w:rsid w:val="06089462"/>
    <w:rsid w:val="060F4309"/>
    <w:rsid w:val="061E4220"/>
    <w:rsid w:val="0624BCDE"/>
    <w:rsid w:val="06271C21"/>
    <w:rsid w:val="063B66F9"/>
    <w:rsid w:val="063FA8E7"/>
    <w:rsid w:val="0647ECF0"/>
    <w:rsid w:val="06545E79"/>
    <w:rsid w:val="066BD977"/>
    <w:rsid w:val="067FEB92"/>
    <w:rsid w:val="0699FF1A"/>
    <w:rsid w:val="06B2DA03"/>
    <w:rsid w:val="06BD1820"/>
    <w:rsid w:val="06C53DDF"/>
    <w:rsid w:val="06DA1BF1"/>
    <w:rsid w:val="06DD51E7"/>
    <w:rsid w:val="06E89B28"/>
    <w:rsid w:val="06EB661B"/>
    <w:rsid w:val="06EC9A40"/>
    <w:rsid w:val="070B0947"/>
    <w:rsid w:val="070E85D5"/>
    <w:rsid w:val="07132637"/>
    <w:rsid w:val="0729512B"/>
    <w:rsid w:val="07343013"/>
    <w:rsid w:val="074417DD"/>
    <w:rsid w:val="0747B997"/>
    <w:rsid w:val="075510C0"/>
    <w:rsid w:val="0757570F"/>
    <w:rsid w:val="0764C8C1"/>
    <w:rsid w:val="076D648F"/>
    <w:rsid w:val="0773EE75"/>
    <w:rsid w:val="07860C11"/>
    <w:rsid w:val="07932066"/>
    <w:rsid w:val="0798B495"/>
    <w:rsid w:val="079A5045"/>
    <w:rsid w:val="079AEF3E"/>
    <w:rsid w:val="079C4D74"/>
    <w:rsid w:val="079ED35F"/>
    <w:rsid w:val="07B24495"/>
    <w:rsid w:val="07B44E9C"/>
    <w:rsid w:val="07BE6587"/>
    <w:rsid w:val="07C68657"/>
    <w:rsid w:val="07D65286"/>
    <w:rsid w:val="07D815AC"/>
    <w:rsid w:val="07D8FDC6"/>
    <w:rsid w:val="07E7546B"/>
    <w:rsid w:val="07EF3291"/>
    <w:rsid w:val="080B2949"/>
    <w:rsid w:val="08165341"/>
    <w:rsid w:val="08287132"/>
    <w:rsid w:val="0846C034"/>
    <w:rsid w:val="08570798"/>
    <w:rsid w:val="0858A64C"/>
    <w:rsid w:val="085A0F11"/>
    <w:rsid w:val="0867E20C"/>
    <w:rsid w:val="086C33EA"/>
    <w:rsid w:val="086EDAE2"/>
    <w:rsid w:val="086F3C17"/>
    <w:rsid w:val="086F75B2"/>
    <w:rsid w:val="08785319"/>
    <w:rsid w:val="0889B3E0"/>
    <w:rsid w:val="08A532F8"/>
    <w:rsid w:val="08A8CEDF"/>
    <w:rsid w:val="08B29ECD"/>
    <w:rsid w:val="08BEA6E7"/>
    <w:rsid w:val="08C8E983"/>
    <w:rsid w:val="08CE967C"/>
    <w:rsid w:val="08D44BC7"/>
    <w:rsid w:val="08D6FC73"/>
    <w:rsid w:val="08E97166"/>
    <w:rsid w:val="08EA137F"/>
    <w:rsid w:val="08ED6E8F"/>
    <w:rsid w:val="08F327F0"/>
    <w:rsid w:val="08F6490A"/>
    <w:rsid w:val="08F7D52A"/>
    <w:rsid w:val="09007BFB"/>
    <w:rsid w:val="090573A0"/>
    <w:rsid w:val="090EFD24"/>
    <w:rsid w:val="09121EA1"/>
    <w:rsid w:val="091A7300"/>
    <w:rsid w:val="0921799D"/>
    <w:rsid w:val="092D23F0"/>
    <w:rsid w:val="09390B6D"/>
    <w:rsid w:val="093999E3"/>
    <w:rsid w:val="093A992A"/>
    <w:rsid w:val="0942DD28"/>
    <w:rsid w:val="0952D8B2"/>
    <w:rsid w:val="09547239"/>
    <w:rsid w:val="0977ADB8"/>
    <w:rsid w:val="097912E6"/>
    <w:rsid w:val="097A61FD"/>
    <w:rsid w:val="097CD01C"/>
    <w:rsid w:val="097D1A1F"/>
    <w:rsid w:val="0985B2B8"/>
    <w:rsid w:val="098DF9E8"/>
    <w:rsid w:val="098F9CEE"/>
    <w:rsid w:val="099CEDBE"/>
    <w:rsid w:val="099CFF35"/>
    <w:rsid w:val="09CBA602"/>
    <w:rsid w:val="09CCF0B3"/>
    <w:rsid w:val="09D466D5"/>
    <w:rsid w:val="09D5AEED"/>
    <w:rsid w:val="09EC579A"/>
    <w:rsid w:val="09F771CA"/>
    <w:rsid w:val="0A15B878"/>
    <w:rsid w:val="0A2116B6"/>
    <w:rsid w:val="0A2AD4A0"/>
    <w:rsid w:val="0A32FCBA"/>
    <w:rsid w:val="0A3A1867"/>
    <w:rsid w:val="0A52C3EC"/>
    <w:rsid w:val="0A564CB4"/>
    <w:rsid w:val="0A5BCCE9"/>
    <w:rsid w:val="0A653CF7"/>
    <w:rsid w:val="0A740F43"/>
    <w:rsid w:val="0A80C901"/>
    <w:rsid w:val="0A88BA41"/>
    <w:rsid w:val="0A8FA87E"/>
    <w:rsid w:val="0A922470"/>
    <w:rsid w:val="0A9CC273"/>
    <w:rsid w:val="0A9E7CD7"/>
    <w:rsid w:val="0AA40482"/>
    <w:rsid w:val="0AAE6986"/>
    <w:rsid w:val="0AB54022"/>
    <w:rsid w:val="0ABB1778"/>
    <w:rsid w:val="0AC47101"/>
    <w:rsid w:val="0AC56426"/>
    <w:rsid w:val="0AE7B3DC"/>
    <w:rsid w:val="0AF08605"/>
    <w:rsid w:val="0B1C9EA4"/>
    <w:rsid w:val="0B29BCCF"/>
    <w:rsid w:val="0B3C54D9"/>
    <w:rsid w:val="0B44A88D"/>
    <w:rsid w:val="0B55CF4E"/>
    <w:rsid w:val="0B5F2267"/>
    <w:rsid w:val="0B7516FF"/>
    <w:rsid w:val="0B86007D"/>
    <w:rsid w:val="0B8F31A6"/>
    <w:rsid w:val="0BA30EE3"/>
    <w:rsid w:val="0BAA1756"/>
    <w:rsid w:val="0BAD0233"/>
    <w:rsid w:val="0BB28539"/>
    <w:rsid w:val="0BC96A2E"/>
    <w:rsid w:val="0BC9A6EA"/>
    <w:rsid w:val="0BE8D4D9"/>
    <w:rsid w:val="0BEE4367"/>
    <w:rsid w:val="0BF605F4"/>
    <w:rsid w:val="0BF92D7F"/>
    <w:rsid w:val="0BFDC0FA"/>
    <w:rsid w:val="0C1575ED"/>
    <w:rsid w:val="0C17BDEC"/>
    <w:rsid w:val="0C304C68"/>
    <w:rsid w:val="0C3B0D77"/>
    <w:rsid w:val="0C4CF3E2"/>
    <w:rsid w:val="0C5CFA00"/>
    <w:rsid w:val="0C7838CF"/>
    <w:rsid w:val="0C7CC769"/>
    <w:rsid w:val="0C817E44"/>
    <w:rsid w:val="0C8745E5"/>
    <w:rsid w:val="0C94814A"/>
    <w:rsid w:val="0CA1DB40"/>
    <w:rsid w:val="0CA49BA0"/>
    <w:rsid w:val="0CA6A135"/>
    <w:rsid w:val="0CA701F6"/>
    <w:rsid w:val="0CA71572"/>
    <w:rsid w:val="0CB3AFA7"/>
    <w:rsid w:val="0CB71874"/>
    <w:rsid w:val="0CC012B0"/>
    <w:rsid w:val="0CC8A14C"/>
    <w:rsid w:val="0CCF3AE7"/>
    <w:rsid w:val="0CD78708"/>
    <w:rsid w:val="0CD8C149"/>
    <w:rsid w:val="0CE3C409"/>
    <w:rsid w:val="0CE3FDF2"/>
    <w:rsid w:val="0CE4A75B"/>
    <w:rsid w:val="0CF3C07A"/>
    <w:rsid w:val="0CF4B2FF"/>
    <w:rsid w:val="0D04E552"/>
    <w:rsid w:val="0D06D0D8"/>
    <w:rsid w:val="0D14BA26"/>
    <w:rsid w:val="0D19DBDD"/>
    <w:rsid w:val="0D200D91"/>
    <w:rsid w:val="0D33B54E"/>
    <w:rsid w:val="0D353BCB"/>
    <w:rsid w:val="0D395952"/>
    <w:rsid w:val="0D72626C"/>
    <w:rsid w:val="0D7DCE0C"/>
    <w:rsid w:val="0D823FB4"/>
    <w:rsid w:val="0D83C223"/>
    <w:rsid w:val="0D8C6A08"/>
    <w:rsid w:val="0D8D431E"/>
    <w:rsid w:val="0D9D070C"/>
    <w:rsid w:val="0DA02702"/>
    <w:rsid w:val="0DA6ECFD"/>
    <w:rsid w:val="0DA8A836"/>
    <w:rsid w:val="0DAE7D7C"/>
    <w:rsid w:val="0DB99A30"/>
    <w:rsid w:val="0DC114A9"/>
    <w:rsid w:val="0DC3F03E"/>
    <w:rsid w:val="0E00F99B"/>
    <w:rsid w:val="0E02D3F7"/>
    <w:rsid w:val="0E154DBD"/>
    <w:rsid w:val="0E1934BC"/>
    <w:rsid w:val="0E1DEF66"/>
    <w:rsid w:val="0E2299AF"/>
    <w:rsid w:val="0E23A293"/>
    <w:rsid w:val="0E24087E"/>
    <w:rsid w:val="0E2C5171"/>
    <w:rsid w:val="0E2FAAE0"/>
    <w:rsid w:val="0E373741"/>
    <w:rsid w:val="0E37645D"/>
    <w:rsid w:val="0E3A9E10"/>
    <w:rsid w:val="0E3EB81E"/>
    <w:rsid w:val="0E470807"/>
    <w:rsid w:val="0E470C1A"/>
    <w:rsid w:val="0E546E87"/>
    <w:rsid w:val="0E5519BB"/>
    <w:rsid w:val="0E57F1E4"/>
    <w:rsid w:val="0E8475EE"/>
    <w:rsid w:val="0EAC0AF6"/>
    <w:rsid w:val="0EC64551"/>
    <w:rsid w:val="0EE90D8A"/>
    <w:rsid w:val="0EEEC7F5"/>
    <w:rsid w:val="0EF87F71"/>
    <w:rsid w:val="0EFBBDA4"/>
    <w:rsid w:val="0F0685B4"/>
    <w:rsid w:val="0F0A04D3"/>
    <w:rsid w:val="0F0CF71D"/>
    <w:rsid w:val="0F11DD60"/>
    <w:rsid w:val="0F157BDB"/>
    <w:rsid w:val="0F1956E2"/>
    <w:rsid w:val="0F222890"/>
    <w:rsid w:val="0F2DB525"/>
    <w:rsid w:val="0F38BEDC"/>
    <w:rsid w:val="0F3AD08D"/>
    <w:rsid w:val="0F3B3987"/>
    <w:rsid w:val="0F3CF375"/>
    <w:rsid w:val="0F3F24C7"/>
    <w:rsid w:val="0F43D88C"/>
    <w:rsid w:val="0F49782C"/>
    <w:rsid w:val="0F4BB417"/>
    <w:rsid w:val="0F4BCC31"/>
    <w:rsid w:val="0F51CBE3"/>
    <w:rsid w:val="0F536C8E"/>
    <w:rsid w:val="0F550A68"/>
    <w:rsid w:val="0F59E805"/>
    <w:rsid w:val="0F60EB6F"/>
    <w:rsid w:val="0F833053"/>
    <w:rsid w:val="0FA98A1E"/>
    <w:rsid w:val="0FC06238"/>
    <w:rsid w:val="0FC30C30"/>
    <w:rsid w:val="0FC3D16B"/>
    <w:rsid w:val="0FC4E0F6"/>
    <w:rsid w:val="0FC4ECB6"/>
    <w:rsid w:val="0FC7DB5C"/>
    <w:rsid w:val="0FCF3BC7"/>
    <w:rsid w:val="0FDE4B03"/>
    <w:rsid w:val="0FE10983"/>
    <w:rsid w:val="0FE19C09"/>
    <w:rsid w:val="0FEC8BDC"/>
    <w:rsid w:val="0FEE5E63"/>
    <w:rsid w:val="0FEEA322"/>
    <w:rsid w:val="0FF9667F"/>
    <w:rsid w:val="0FFA3A65"/>
    <w:rsid w:val="1016CB32"/>
    <w:rsid w:val="1019A924"/>
    <w:rsid w:val="101E2D76"/>
    <w:rsid w:val="1026C0E1"/>
    <w:rsid w:val="1029F1DE"/>
    <w:rsid w:val="102B571B"/>
    <w:rsid w:val="102E6034"/>
    <w:rsid w:val="1037EC7C"/>
    <w:rsid w:val="10464647"/>
    <w:rsid w:val="10575BEB"/>
    <w:rsid w:val="105844AF"/>
    <w:rsid w:val="105C3502"/>
    <w:rsid w:val="1062F31A"/>
    <w:rsid w:val="10707E82"/>
    <w:rsid w:val="1075CA7D"/>
    <w:rsid w:val="1078F642"/>
    <w:rsid w:val="107B3660"/>
    <w:rsid w:val="1080B200"/>
    <w:rsid w:val="108F382A"/>
    <w:rsid w:val="1099C776"/>
    <w:rsid w:val="10A65FBE"/>
    <w:rsid w:val="10ABEBBD"/>
    <w:rsid w:val="10B8058F"/>
    <w:rsid w:val="10BB808A"/>
    <w:rsid w:val="10BD4D19"/>
    <w:rsid w:val="10BDBA01"/>
    <w:rsid w:val="10BE1A6E"/>
    <w:rsid w:val="10C0FEBE"/>
    <w:rsid w:val="10E00807"/>
    <w:rsid w:val="10E2A667"/>
    <w:rsid w:val="10EB609E"/>
    <w:rsid w:val="10F04191"/>
    <w:rsid w:val="10F20B90"/>
    <w:rsid w:val="10F25E61"/>
    <w:rsid w:val="10FC2257"/>
    <w:rsid w:val="111528F8"/>
    <w:rsid w:val="111CB645"/>
    <w:rsid w:val="11233A6F"/>
    <w:rsid w:val="11251C91"/>
    <w:rsid w:val="1128E375"/>
    <w:rsid w:val="1136198D"/>
    <w:rsid w:val="113701F3"/>
    <w:rsid w:val="1137C6C2"/>
    <w:rsid w:val="113B4F86"/>
    <w:rsid w:val="113E5DD6"/>
    <w:rsid w:val="114555B1"/>
    <w:rsid w:val="1155DD32"/>
    <w:rsid w:val="117AF261"/>
    <w:rsid w:val="1188A9E6"/>
    <w:rsid w:val="118FFDC3"/>
    <w:rsid w:val="11909F97"/>
    <w:rsid w:val="11925340"/>
    <w:rsid w:val="1192A6FF"/>
    <w:rsid w:val="11969413"/>
    <w:rsid w:val="11976A54"/>
    <w:rsid w:val="119874A1"/>
    <w:rsid w:val="119DAE6D"/>
    <w:rsid w:val="11A03839"/>
    <w:rsid w:val="11AB6DD6"/>
    <w:rsid w:val="11BD8886"/>
    <w:rsid w:val="11DCAF89"/>
    <w:rsid w:val="11E00CE5"/>
    <w:rsid w:val="11E9A1C7"/>
    <w:rsid w:val="11EDDA86"/>
    <w:rsid w:val="11EE5284"/>
    <w:rsid w:val="11FFE7BF"/>
    <w:rsid w:val="120D08C6"/>
    <w:rsid w:val="12174236"/>
    <w:rsid w:val="12247A04"/>
    <w:rsid w:val="1227D8C0"/>
    <w:rsid w:val="1228016A"/>
    <w:rsid w:val="122ED79F"/>
    <w:rsid w:val="1241027E"/>
    <w:rsid w:val="1241B918"/>
    <w:rsid w:val="1247D1A8"/>
    <w:rsid w:val="12531C19"/>
    <w:rsid w:val="1253D939"/>
    <w:rsid w:val="125A7D56"/>
    <w:rsid w:val="1260C171"/>
    <w:rsid w:val="126646BE"/>
    <w:rsid w:val="1271A453"/>
    <w:rsid w:val="127B46A9"/>
    <w:rsid w:val="1287F65D"/>
    <w:rsid w:val="1296778C"/>
    <w:rsid w:val="1298886C"/>
    <w:rsid w:val="12A95CF6"/>
    <w:rsid w:val="12AA69BE"/>
    <w:rsid w:val="12BEC3F2"/>
    <w:rsid w:val="12C3F42B"/>
    <w:rsid w:val="12E5C797"/>
    <w:rsid w:val="12E8FD13"/>
    <w:rsid w:val="12F91D11"/>
    <w:rsid w:val="1308FD38"/>
    <w:rsid w:val="13172583"/>
    <w:rsid w:val="1319FC10"/>
    <w:rsid w:val="13215E63"/>
    <w:rsid w:val="1322741F"/>
    <w:rsid w:val="1322957D"/>
    <w:rsid w:val="1328E278"/>
    <w:rsid w:val="1331DC7A"/>
    <w:rsid w:val="1333FC74"/>
    <w:rsid w:val="13353718"/>
    <w:rsid w:val="13386969"/>
    <w:rsid w:val="133CA3EC"/>
    <w:rsid w:val="1367D9A8"/>
    <w:rsid w:val="136ADF68"/>
    <w:rsid w:val="13754A50"/>
    <w:rsid w:val="1375E57C"/>
    <w:rsid w:val="1377C77D"/>
    <w:rsid w:val="1386A57B"/>
    <w:rsid w:val="13941018"/>
    <w:rsid w:val="13AAE7BF"/>
    <w:rsid w:val="13B151AA"/>
    <w:rsid w:val="13B6A95E"/>
    <w:rsid w:val="13B8DBE9"/>
    <w:rsid w:val="13D3F88A"/>
    <w:rsid w:val="13DA5B35"/>
    <w:rsid w:val="13DBEB13"/>
    <w:rsid w:val="13E83979"/>
    <w:rsid w:val="13F94700"/>
    <w:rsid w:val="1405BAD3"/>
    <w:rsid w:val="140D14A8"/>
    <w:rsid w:val="140E6419"/>
    <w:rsid w:val="141385AC"/>
    <w:rsid w:val="14169915"/>
    <w:rsid w:val="144CD160"/>
    <w:rsid w:val="14534BAA"/>
    <w:rsid w:val="145844AE"/>
    <w:rsid w:val="145C1110"/>
    <w:rsid w:val="146017C2"/>
    <w:rsid w:val="14667F6F"/>
    <w:rsid w:val="146A9DB7"/>
    <w:rsid w:val="147BE149"/>
    <w:rsid w:val="147C5836"/>
    <w:rsid w:val="147DCB11"/>
    <w:rsid w:val="147E03E1"/>
    <w:rsid w:val="14906020"/>
    <w:rsid w:val="1493AB62"/>
    <w:rsid w:val="14941760"/>
    <w:rsid w:val="1495A8BB"/>
    <w:rsid w:val="14971A7F"/>
    <w:rsid w:val="149E47C8"/>
    <w:rsid w:val="14A5760D"/>
    <w:rsid w:val="14AC789E"/>
    <w:rsid w:val="14B96FA3"/>
    <w:rsid w:val="14BB4D9F"/>
    <w:rsid w:val="14DB0445"/>
    <w:rsid w:val="14E6526B"/>
    <w:rsid w:val="14E8A210"/>
    <w:rsid w:val="14F6E0EC"/>
    <w:rsid w:val="14FAD9A7"/>
    <w:rsid w:val="150276E6"/>
    <w:rsid w:val="15083F67"/>
    <w:rsid w:val="150ADF4B"/>
    <w:rsid w:val="150CA525"/>
    <w:rsid w:val="15160617"/>
    <w:rsid w:val="151FA5A6"/>
    <w:rsid w:val="15218358"/>
    <w:rsid w:val="152DECC8"/>
    <w:rsid w:val="153BA56A"/>
    <w:rsid w:val="153C4E35"/>
    <w:rsid w:val="1545A6F6"/>
    <w:rsid w:val="15503354"/>
    <w:rsid w:val="1559D01D"/>
    <w:rsid w:val="155AAC9D"/>
    <w:rsid w:val="155CC87D"/>
    <w:rsid w:val="15622745"/>
    <w:rsid w:val="15747534"/>
    <w:rsid w:val="1582F283"/>
    <w:rsid w:val="15882D38"/>
    <w:rsid w:val="15889C70"/>
    <w:rsid w:val="159A1A64"/>
    <w:rsid w:val="159B12C0"/>
    <w:rsid w:val="15AC4FD8"/>
    <w:rsid w:val="15AEE162"/>
    <w:rsid w:val="15BA3A42"/>
    <w:rsid w:val="15C77669"/>
    <w:rsid w:val="15CFA72A"/>
    <w:rsid w:val="15D0968E"/>
    <w:rsid w:val="15E5FC06"/>
    <w:rsid w:val="15F79775"/>
    <w:rsid w:val="15FDA05F"/>
    <w:rsid w:val="1605CAEE"/>
    <w:rsid w:val="161D086C"/>
    <w:rsid w:val="1645CC8B"/>
    <w:rsid w:val="1647D9BD"/>
    <w:rsid w:val="164BEE55"/>
    <w:rsid w:val="164BF6F8"/>
    <w:rsid w:val="1652DC11"/>
    <w:rsid w:val="16581266"/>
    <w:rsid w:val="165E6622"/>
    <w:rsid w:val="16623721"/>
    <w:rsid w:val="16712D92"/>
    <w:rsid w:val="1682EA67"/>
    <w:rsid w:val="1696597B"/>
    <w:rsid w:val="16975813"/>
    <w:rsid w:val="1698B0C2"/>
    <w:rsid w:val="169E88D0"/>
    <w:rsid w:val="16A78C92"/>
    <w:rsid w:val="16B605DF"/>
    <w:rsid w:val="16B978E4"/>
    <w:rsid w:val="16BE47F5"/>
    <w:rsid w:val="16BF973D"/>
    <w:rsid w:val="16C0193B"/>
    <w:rsid w:val="16C9C411"/>
    <w:rsid w:val="16D01758"/>
    <w:rsid w:val="16D10EC4"/>
    <w:rsid w:val="16DCCC02"/>
    <w:rsid w:val="16E24641"/>
    <w:rsid w:val="16E73635"/>
    <w:rsid w:val="16F5C87F"/>
    <w:rsid w:val="16F90A74"/>
    <w:rsid w:val="1701B5D7"/>
    <w:rsid w:val="170B149B"/>
    <w:rsid w:val="1712BD9D"/>
    <w:rsid w:val="1720B4EE"/>
    <w:rsid w:val="17242DFB"/>
    <w:rsid w:val="1724EA3A"/>
    <w:rsid w:val="17303565"/>
    <w:rsid w:val="173185A4"/>
    <w:rsid w:val="1731AFF5"/>
    <w:rsid w:val="17336444"/>
    <w:rsid w:val="173438EB"/>
    <w:rsid w:val="174D19A0"/>
    <w:rsid w:val="174E21AD"/>
    <w:rsid w:val="175118F8"/>
    <w:rsid w:val="17533F74"/>
    <w:rsid w:val="176C5062"/>
    <w:rsid w:val="176CCF89"/>
    <w:rsid w:val="1772A0A7"/>
    <w:rsid w:val="1774CE78"/>
    <w:rsid w:val="1777A59E"/>
    <w:rsid w:val="177FD40D"/>
    <w:rsid w:val="17814012"/>
    <w:rsid w:val="178A2E2A"/>
    <w:rsid w:val="179683E4"/>
    <w:rsid w:val="17BC01A4"/>
    <w:rsid w:val="17CDDFDF"/>
    <w:rsid w:val="17DD1B25"/>
    <w:rsid w:val="18045E99"/>
    <w:rsid w:val="181483F2"/>
    <w:rsid w:val="18149CB8"/>
    <w:rsid w:val="18183252"/>
    <w:rsid w:val="181DFAFC"/>
    <w:rsid w:val="1821AC6E"/>
    <w:rsid w:val="1821BEC6"/>
    <w:rsid w:val="18223C55"/>
    <w:rsid w:val="18257043"/>
    <w:rsid w:val="18272A33"/>
    <w:rsid w:val="1827A12E"/>
    <w:rsid w:val="18284C20"/>
    <w:rsid w:val="1832A911"/>
    <w:rsid w:val="1834C6BA"/>
    <w:rsid w:val="18356638"/>
    <w:rsid w:val="183BCC33"/>
    <w:rsid w:val="184C9775"/>
    <w:rsid w:val="184CA06E"/>
    <w:rsid w:val="1857094B"/>
    <w:rsid w:val="185C12FB"/>
    <w:rsid w:val="186609C4"/>
    <w:rsid w:val="18682670"/>
    <w:rsid w:val="1868DC34"/>
    <w:rsid w:val="186BC0C3"/>
    <w:rsid w:val="18903227"/>
    <w:rsid w:val="1896FC85"/>
    <w:rsid w:val="189A6B9C"/>
    <w:rsid w:val="189CB54D"/>
    <w:rsid w:val="189D3D35"/>
    <w:rsid w:val="18A9A860"/>
    <w:rsid w:val="18B49CF5"/>
    <w:rsid w:val="18BA9A6F"/>
    <w:rsid w:val="18C037CD"/>
    <w:rsid w:val="18C85481"/>
    <w:rsid w:val="18CE8B6C"/>
    <w:rsid w:val="18D38BBE"/>
    <w:rsid w:val="18DEC949"/>
    <w:rsid w:val="18F68762"/>
    <w:rsid w:val="18FD266F"/>
    <w:rsid w:val="18FFEC50"/>
    <w:rsid w:val="1908174C"/>
    <w:rsid w:val="1911EAD1"/>
    <w:rsid w:val="191725FD"/>
    <w:rsid w:val="1919F9C3"/>
    <w:rsid w:val="1931949E"/>
    <w:rsid w:val="1931E35A"/>
    <w:rsid w:val="1939E9E4"/>
    <w:rsid w:val="193C2EE0"/>
    <w:rsid w:val="193D52D3"/>
    <w:rsid w:val="194DB68D"/>
    <w:rsid w:val="195D2454"/>
    <w:rsid w:val="195DE1D9"/>
    <w:rsid w:val="1972A147"/>
    <w:rsid w:val="19839830"/>
    <w:rsid w:val="19887895"/>
    <w:rsid w:val="198A47FF"/>
    <w:rsid w:val="198FA251"/>
    <w:rsid w:val="1993BD3C"/>
    <w:rsid w:val="1995AAAF"/>
    <w:rsid w:val="199C494E"/>
    <w:rsid w:val="19A4B125"/>
    <w:rsid w:val="19A718E4"/>
    <w:rsid w:val="19A792EF"/>
    <w:rsid w:val="19B3E24B"/>
    <w:rsid w:val="19DC0A8F"/>
    <w:rsid w:val="19DFF73B"/>
    <w:rsid w:val="19EB700F"/>
    <w:rsid w:val="19F37414"/>
    <w:rsid w:val="1A002D02"/>
    <w:rsid w:val="1A01BBA5"/>
    <w:rsid w:val="1A092D05"/>
    <w:rsid w:val="1A0B26D7"/>
    <w:rsid w:val="1A0E4DFA"/>
    <w:rsid w:val="1A16F92F"/>
    <w:rsid w:val="1A1DD856"/>
    <w:rsid w:val="1A225881"/>
    <w:rsid w:val="1A258684"/>
    <w:rsid w:val="1A33424A"/>
    <w:rsid w:val="1A362CA5"/>
    <w:rsid w:val="1A4227EC"/>
    <w:rsid w:val="1A58E8E3"/>
    <w:rsid w:val="1A7926E8"/>
    <w:rsid w:val="1A87BF58"/>
    <w:rsid w:val="1A8AA7E2"/>
    <w:rsid w:val="1A95B588"/>
    <w:rsid w:val="1AB3894D"/>
    <w:rsid w:val="1AB9A8F0"/>
    <w:rsid w:val="1AE3C141"/>
    <w:rsid w:val="1AEA52A5"/>
    <w:rsid w:val="1AF6908C"/>
    <w:rsid w:val="1B072DAF"/>
    <w:rsid w:val="1B07DBA5"/>
    <w:rsid w:val="1B09989F"/>
    <w:rsid w:val="1B0A94EF"/>
    <w:rsid w:val="1B14F95F"/>
    <w:rsid w:val="1B177922"/>
    <w:rsid w:val="1B19C6B2"/>
    <w:rsid w:val="1B1FFFD4"/>
    <w:rsid w:val="1B24E83C"/>
    <w:rsid w:val="1B2847BD"/>
    <w:rsid w:val="1B30FFC5"/>
    <w:rsid w:val="1B399C27"/>
    <w:rsid w:val="1B606490"/>
    <w:rsid w:val="1B688A8D"/>
    <w:rsid w:val="1B6994C3"/>
    <w:rsid w:val="1B7F5D48"/>
    <w:rsid w:val="1BA7E2E4"/>
    <w:rsid w:val="1BAA9C1B"/>
    <w:rsid w:val="1BAE8230"/>
    <w:rsid w:val="1BAE8A0A"/>
    <w:rsid w:val="1BAF0969"/>
    <w:rsid w:val="1BB454CC"/>
    <w:rsid w:val="1BB737AD"/>
    <w:rsid w:val="1BBD675D"/>
    <w:rsid w:val="1BCD3FFF"/>
    <w:rsid w:val="1BD4D815"/>
    <w:rsid w:val="1BDE889C"/>
    <w:rsid w:val="1BDF8DD0"/>
    <w:rsid w:val="1BE7CF61"/>
    <w:rsid w:val="1C0B2E30"/>
    <w:rsid w:val="1C195718"/>
    <w:rsid w:val="1C2367DA"/>
    <w:rsid w:val="1C3245A8"/>
    <w:rsid w:val="1C46EBA0"/>
    <w:rsid w:val="1C4A48C3"/>
    <w:rsid w:val="1C5AB8EF"/>
    <w:rsid w:val="1C5B59C2"/>
    <w:rsid w:val="1C7EF902"/>
    <w:rsid w:val="1C82BC8B"/>
    <w:rsid w:val="1CAB5A0E"/>
    <w:rsid w:val="1CAFCEC1"/>
    <w:rsid w:val="1CC028F6"/>
    <w:rsid w:val="1CC53E77"/>
    <w:rsid w:val="1CC8A3AF"/>
    <w:rsid w:val="1CDF4DA2"/>
    <w:rsid w:val="1CFCE326"/>
    <w:rsid w:val="1D079F29"/>
    <w:rsid w:val="1D0BD1BC"/>
    <w:rsid w:val="1D16BB40"/>
    <w:rsid w:val="1D171B0A"/>
    <w:rsid w:val="1D2C28B3"/>
    <w:rsid w:val="1D42FA04"/>
    <w:rsid w:val="1D50D1EB"/>
    <w:rsid w:val="1D562EB4"/>
    <w:rsid w:val="1D62B6E3"/>
    <w:rsid w:val="1D6A5FB7"/>
    <w:rsid w:val="1D729B37"/>
    <w:rsid w:val="1D7D758D"/>
    <w:rsid w:val="1D868F45"/>
    <w:rsid w:val="1D87FDD7"/>
    <w:rsid w:val="1D8C5306"/>
    <w:rsid w:val="1D9976C6"/>
    <w:rsid w:val="1DBF4C9E"/>
    <w:rsid w:val="1DC23E6B"/>
    <w:rsid w:val="1DC58399"/>
    <w:rsid w:val="1DD1AB20"/>
    <w:rsid w:val="1DEFB756"/>
    <w:rsid w:val="1DF83CDD"/>
    <w:rsid w:val="1DFB17F9"/>
    <w:rsid w:val="1DFC4E98"/>
    <w:rsid w:val="1E05C8A0"/>
    <w:rsid w:val="1E08B949"/>
    <w:rsid w:val="1E0A4A73"/>
    <w:rsid w:val="1E0D8FB0"/>
    <w:rsid w:val="1E1F51FE"/>
    <w:rsid w:val="1E278EEC"/>
    <w:rsid w:val="1E280BB8"/>
    <w:rsid w:val="1E2D77B8"/>
    <w:rsid w:val="1E3EEB2B"/>
    <w:rsid w:val="1E64CD40"/>
    <w:rsid w:val="1E6ABAC4"/>
    <w:rsid w:val="1E6B4700"/>
    <w:rsid w:val="1E74030F"/>
    <w:rsid w:val="1E77410A"/>
    <w:rsid w:val="1E84D214"/>
    <w:rsid w:val="1E882628"/>
    <w:rsid w:val="1E94BE07"/>
    <w:rsid w:val="1E95335E"/>
    <w:rsid w:val="1E95DC2D"/>
    <w:rsid w:val="1E9E63A6"/>
    <w:rsid w:val="1EA3E14E"/>
    <w:rsid w:val="1EA850BD"/>
    <w:rsid w:val="1EA8A3A3"/>
    <w:rsid w:val="1EB711EF"/>
    <w:rsid w:val="1EBCC346"/>
    <w:rsid w:val="1EBEFD5B"/>
    <w:rsid w:val="1EC78233"/>
    <w:rsid w:val="1EFA32A7"/>
    <w:rsid w:val="1F033BED"/>
    <w:rsid w:val="1F059F06"/>
    <w:rsid w:val="1F1240EE"/>
    <w:rsid w:val="1F1F0496"/>
    <w:rsid w:val="1F4737EC"/>
    <w:rsid w:val="1F4AC528"/>
    <w:rsid w:val="1F4AEEA1"/>
    <w:rsid w:val="1F4BAC5B"/>
    <w:rsid w:val="1F566545"/>
    <w:rsid w:val="1F610C83"/>
    <w:rsid w:val="1F6B6D20"/>
    <w:rsid w:val="1F749656"/>
    <w:rsid w:val="1F82D6DE"/>
    <w:rsid w:val="1F836D4A"/>
    <w:rsid w:val="1F95FF96"/>
    <w:rsid w:val="1F9CE174"/>
    <w:rsid w:val="1FDB3823"/>
    <w:rsid w:val="1FE11AEC"/>
    <w:rsid w:val="1FE59B37"/>
    <w:rsid w:val="1FEAEFD4"/>
    <w:rsid w:val="2001D66A"/>
    <w:rsid w:val="200F5860"/>
    <w:rsid w:val="2016312B"/>
    <w:rsid w:val="203AE582"/>
    <w:rsid w:val="20451F8B"/>
    <w:rsid w:val="2051F78A"/>
    <w:rsid w:val="2065A93E"/>
    <w:rsid w:val="2068EBC5"/>
    <w:rsid w:val="207D975A"/>
    <w:rsid w:val="207F6561"/>
    <w:rsid w:val="208C8E51"/>
    <w:rsid w:val="20A33FFB"/>
    <w:rsid w:val="20B318A8"/>
    <w:rsid w:val="20B6948A"/>
    <w:rsid w:val="20BC622A"/>
    <w:rsid w:val="20C62B99"/>
    <w:rsid w:val="20D368B8"/>
    <w:rsid w:val="20E1D21D"/>
    <w:rsid w:val="20E5B378"/>
    <w:rsid w:val="20F31D85"/>
    <w:rsid w:val="20F602C0"/>
    <w:rsid w:val="21019695"/>
    <w:rsid w:val="210ADB4A"/>
    <w:rsid w:val="210AE494"/>
    <w:rsid w:val="2110C850"/>
    <w:rsid w:val="2114E494"/>
    <w:rsid w:val="2119E151"/>
    <w:rsid w:val="2123689D"/>
    <w:rsid w:val="2134171F"/>
    <w:rsid w:val="2145556B"/>
    <w:rsid w:val="2148CCB6"/>
    <w:rsid w:val="2149759F"/>
    <w:rsid w:val="214C4D1A"/>
    <w:rsid w:val="21580ED2"/>
    <w:rsid w:val="2178D581"/>
    <w:rsid w:val="217FC91B"/>
    <w:rsid w:val="21888D8E"/>
    <w:rsid w:val="218EBDBE"/>
    <w:rsid w:val="219BA96E"/>
    <w:rsid w:val="219D8BC2"/>
    <w:rsid w:val="21A03438"/>
    <w:rsid w:val="21A463A3"/>
    <w:rsid w:val="21AB46EF"/>
    <w:rsid w:val="21C0142E"/>
    <w:rsid w:val="21C0156F"/>
    <w:rsid w:val="21C285E1"/>
    <w:rsid w:val="21C32513"/>
    <w:rsid w:val="21C36249"/>
    <w:rsid w:val="21D8FE14"/>
    <w:rsid w:val="21EB6D46"/>
    <w:rsid w:val="21F48C7A"/>
    <w:rsid w:val="21F7592D"/>
    <w:rsid w:val="21FDD269"/>
    <w:rsid w:val="21FFD394"/>
    <w:rsid w:val="220781ED"/>
    <w:rsid w:val="220B675C"/>
    <w:rsid w:val="220DDB51"/>
    <w:rsid w:val="2216B0FE"/>
    <w:rsid w:val="2217F3C9"/>
    <w:rsid w:val="2220E01A"/>
    <w:rsid w:val="222AFBFB"/>
    <w:rsid w:val="222EBAFC"/>
    <w:rsid w:val="2238A571"/>
    <w:rsid w:val="2241379C"/>
    <w:rsid w:val="2245A5DA"/>
    <w:rsid w:val="2260CD99"/>
    <w:rsid w:val="22650296"/>
    <w:rsid w:val="2275B683"/>
    <w:rsid w:val="228A6ED4"/>
    <w:rsid w:val="228AEF20"/>
    <w:rsid w:val="229AB9CE"/>
    <w:rsid w:val="229C572F"/>
    <w:rsid w:val="229D728D"/>
    <w:rsid w:val="22AAD1D7"/>
    <w:rsid w:val="22B78BB6"/>
    <w:rsid w:val="22BDC8A0"/>
    <w:rsid w:val="22C7A0BE"/>
    <w:rsid w:val="22D58E20"/>
    <w:rsid w:val="22D861DB"/>
    <w:rsid w:val="22E42724"/>
    <w:rsid w:val="22EC0F5D"/>
    <w:rsid w:val="22F9B181"/>
    <w:rsid w:val="22FA88F9"/>
    <w:rsid w:val="2300DEAB"/>
    <w:rsid w:val="230A023A"/>
    <w:rsid w:val="230E42EE"/>
    <w:rsid w:val="231B1A6D"/>
    <w:rsid w:val="23262AC0"/>
    <w:rsid w:val="2328BAB4"/>
    <w:rsid w:val="2331B066"/>
    <w:rsid w:val="234869BB"/>
    <w:rsid w:val="2353DCE2"/>
    <w:rsid w:val="235F9E8A"/>
    <w:rsid w:val="2374AE50"/>
    <w:rsid w:val="237CEF85"/>
    <w:rsid w:val="23861190"/>
    <w:rsid w:val="23943374"/>
    <w:rsid w:val="23989724"/>
    <w:rsid w:val="239B101A"/>
    <w:rsid w:val="239BF7AD"/>
    <w:rsid w:val="23A55F6E"/>
    <w:rsid w:val="23AA3136"/>
    <w:rsid w:val="23AB671D"/>
    <w:rsid w:val="23B716A7"/>
    <w:rsid w:val="23BA7219"/>
    <w:rsid w:val="23D06E7F"/>
    <w:rsid w:val="23DA748C"/>
    <w:rsid w:val="23E64E5B"/>
    <w:rsid w:val="23ECF3FC"/>
    <w:rsid w:val="23ED6B93"/>
    <w:rsid w:val="23EEF2D9"/>
    <w:rsid w:val="23F62118"/>
    <w:rsid w:val="23FE8679"/>
    <w:rsid w:val="2405B6F2"/>
    <w:rsid w:val="2407566F"/>
    <w:rsid w:val="240834D6"/>
    <w:rsid w:val="240B2D48"/>
    <w:rsid w:val="24148025"/>
    <w:rsid w:val="2414E162"/>
    <w:rsid w:val="241D572A"/>
    <w:rsid w:val="24302592"/>
    <w:rsid w:val="24343E35"/>
    <w:rsid w:val="2442DFAB"/>
    <w:rsid w:val="245A1E45"/>
    <w:rsid w:val="245AB94C"/>
    <w:rsid w:val="2464ECCE"/>
    <w:rsid w:val="246A4F19"/>
    <w:rsid w:val="246D1948"/>
    <w:rsid w:val="2470432F"/>
    <w:rsid w:val="2479324C"/>
    <w:rsid w:val="2486DC14"/>
    <w:rsid w:val="24921845"/>
    <w:rsid w:val="249C54E3"/>
    <w:rsid w:val="24C776C4"/>
    <w:rsid w:val="24E7C3B5"/>
    <w:rsid w:val="24EBE791"/>
    <w:rsid w:val="25043D51"/>
    <w:rsid w:val="25067E7A"/>
    <w:rsid w:val="253227A7"/>
    <w:rsid w:val="2534C7A2"/>
    <w:rsid w:val="25456270"/>
    <w:rsid w:val="2568935D"/>
    <w:rsid w:val="256AFF95"/>
    <w:rsid w:val="25713C59"/>
    <w:rsid w:val="2574D692"/>
    <w:rsid w:val="25761C36"/>
    <w:rsid w:val="25766A99"/>
    <w:rsid w:val="25873F81"/>
    <w:rsid w:val="25A5C032"/>
    <w:rsid w:val="25AEAEFE"/>
    <w:rsid w:val="25B71BD7"/>
    <w:rsid w:val="25C03381"/>
    <w:rsid w:val="25DC32BB"/>
    <w:rsid w:val="25DECB17"/>
    <w:rsid w:val="25EE71C8"/>
    <w:rsid w:val="2602E3B8"/>
    <w:rsid w:val="260FA56D"/>
    <w:rsid w:val="2611ACD3"/>
    <w:rsid w:val="2616A303"/>
    <w:rsid w:val="2619973C"/>
    <w:rsid w:val="261E69F1"/>
    <w:rsid w:val="26218032"/>
    <w:rsid w:val="26231C3F"/>
    <w:rsid w:val="26245E3D"/>
    <w:rsid w:val="262DBC13"/>
    <w:rsid w:val="2634E753"/>
    <w:rsid w:val="26391AF8"/>
    <w:rsid w:val="263BE189"/>
    <w:rsid w:val="263EADC8"/>
    <w:rsid w:val="26454100"/>
    <w:rsid w:val="2648A776"/>
    <w:rsid w:val="2648ECB1"/>
    <w:rsid w:val="264EF842"/>
    <w:rsid w:val="265165B0"/>
    <w:rsid w:val="265385F8"/>
    <w:rsid w:val="2660380A"/>
    <w:rsid w:val="267164EB"/>
    <w:rsid w:val="267A1663"/>
    <w:rsid w:val="267E6308"/>
    <w:rsid w:val="2684E65E"/>
    <w:rsid w:val="26885593"/>
    <w:rsid w:val="26983151"/>
    <w:rsid w:val="26A6B84E"/>
    <w:rsid w:val="26B36EE7"/>
    <w:rsid w:val="26B77D53"/>
    <w:rsid w:val="26B86A6F"/>
    <w:rsid w:val="26D24915"/>
    <w:rsid w:val="26D45955"/>
    <w:rsid w:val="26D5E931"/>
    <w:rsid w:val="26D714B5"/>
    <w:rsid w:val="26DC41E0"/>
    <w:rsid w:val="26E49650"/>
    <w:rsid w:val="26F4609A"/>
    <w:rsid w:val="26FA021B"/>
    <w:rsid w:val="26FC6961"/>
    <w:rsid w:val="270A6635"/>
    <w:rsid w:val="270D2FE8"/>
    <w:rsid w:val="27134CE3"/>
    <w:rsid w:val="273391FD"/>
    <w:rsid w:val="27365A49"/>
    <w:rsid w:val="27400DE7"/>
    <w:rsid w:val="275B5EC2"/>
    <w:rsid w:val="27619000"/>
    <w:rsid w:val="276AD643"/>
    <w:rsid w:val="277D08E7"/>
    <w:rsid w:val="278C934A"/>
    <w:rsid w:val="27A2D8CE"/>
    <w:rsid w:val="27B9E6A0"/>
    <w:rsid w:val="27BA88C2"/>
    <w:rsid w:val="27BDA958"/>
    <w:rsid w:val="27C0BB5F"/>
    <w:rsid w:val="27C53DD8"/>
    <w:rsid w:val="27D31749"/>
    <w:rsid w:val="27E2D8D3"/>
    <w:rsid w:val="27F25BC5"/>
    <w:rsid w:val="27FC0D1A"/>
    <w:rsid w:val="280D1432"/>
    <w:rsid w:val="2810AB77"/>
    <w:rsid w:val="28218CA8"/>
    <w:rsid w:val="2827B5F6"/>
    <w:rsid w:val="2839D094"/>
    <w:rsid w:val="2848BC1F"/>
    <w:rsid w:val="284D8991"/>
    <w:rsid w:val="285230A3"/>
    <w:rsid w:val="2868B86B"/>
    <w:rsid w:val="286E5DDD"/>
    <w:rsid w:val="28712510"/>
    <w:rsid w:val="28789887"/>
    <w:rsid w:val="287FB743"/>
    <w:rsid w:val="2882EB7D"/>
    <w:rsid w:val="28842BD4"/>
    <w:rsid w:val="2884E8D6"/>
    <w:rsid w:val="288D7CA9"/>
    <w:rsid w:val="28A662D1"/>
    <w:rsid w:val="28B0255B"/>
    <w:rsid w:val="28B740D1"/>
    <w:rsid w:val="28BF617A"/>
    <w:rsid w:val="28D1E5C2"/>
    <w:rsid w:val="28D299A7"/>
    <w:rsid w:val="28D522A1"/>
    <w:rsid w:val="28E27931"/>
    <w:rsid w:val="28EBB76D"/>
    <w:rsid w:val="28FE1662"/>
    <w:rsid w:val="29042951"/>
    <w:rsid w:val="2913FF76"/>
    <w:rsid w:val="2919A126"/>
    <w:rsid w:val="291ACBD0"/>
    <w:rsid w:val="2920EFF5"/>
    <w:rsid w:val="2926ADB0"/>
    <w:rsid w:val="292E8BD0"/>
    <w:rsid w:val="2938F814"/>
    <w:rsid w:val="293F23DE"/>
    <w:rsid w:val="2948589C"/>
    <w:rsid w:val="294E5D28"/>
    <w:rsid w:val="294ECD27"/>
    <w:rsid w:val="29622B61"/>
    <w:rsid w:val="2967F2A5"/>
    <w:rsid w:val="2971CFBC"/>
    <w:rsid w:val="2981930D"/>
    <w:rsid w:val="298345A5"/>
    <w:rsid w:val="29896362"/>
    <w:rsid w:val="299223D4"/>
    <w:rsid w:val="29927A6C"/>
    <w:rsid w:val="299CFC5A"/>
    <w:rsid w:val="29AE7491"/>
    <w:rsid w:val="29AF817C"/>
    <w:rsid w:val="29B88A71"/>
    <w:rsid w:val="29BAD3D2"/>
    <w:rsid w:val="29C3052D"/>
    <w:rsid w:val="29C3F2AD"/>
    <w:rsid w:val="29CD250D"/>
    <w:rsid w:val="29DF1189"/>
    <w:rsid w:val="29E3D607"/>
    <w:rsid w:val="29EBC8F3"/>
    <w:rsid w:val="29F14298"/>
    <w:rsid w:val="29F924FD"/>
    <w:rsid w:val="29FBD610"/>
    <w:rsid w:val="2A000409"/>
    <w:rsid w:val="2A08264D"/>
    <w:rsid w:val="2A087023"/>
    <w:rsid w:val="2A130040"/>
    <w:rsid w:val="2A22472A"/>
    <w:rsid w:val="2A2F530A"/>
    <w:rsid w:val="2A2FBA45"/>
    <w:rsid w:val="2A30FB9F"/>
    <w:rsid w:val="2A315DA5"/>
    <w:rsid w:val="2A319EEA"/>
    <w:rsid w:val="2A397747"/>
    <w:rsid w:val="2A3A688D"/>
    <w:rsid w:val="2A3BBDDB"/>
    <w:rsid w:val="2A3EDEB8"/>
    <w:rsid w:val="2A47D560"/>
    <w:rsid w:val="2A53C1E5"/>
    <w:rsid w:val="2A57FADF"/>
    <w:rsid w:val="2A5E47C0"/>
    <w:rsid w:val="2A604DA2"/>
    <w:rsid w:val="2A66138D"/>
    <w:rsid w:val="2A68ADC4"/>
    <w:rsid w:val="2A699DC3"/>
    <w:rsid w:val="2A6A4953"/>
    <w:rsid w:val="2A72A8C4"/>
    <w:rsid w:val="2A787407"/>
    <w:rsid w:val="2A87350A"/>
    <w:rsid w:val="2A8B9733"/>
    <w:rsid w:val="2A8E124A"/>
    <w:rsid w:val="2A8F9B77"/>
    <w:rsid w:val="2A9A5A05"/>
    <w:rsid w:val="2A9B6B32"/>
    <w:rsid w:val="2AA5FA7C"/>
    <w:rsid w:val="2AAE61D8"/>
    <w:rsid w:val="2AB4E7C5"/>
    <w:rsid w:val="2AB63EF8"/>
    <w:rsid w:val="2AB92A6F"/>
    <w:rsid w:val="2ABB854C"/>
    <w:rsid w:val="2ABE5B74"/>
    <w:rsid w:val="2AC638F0"/>
    <w:rsid w:val="2AD31464"/>
    <w:rsid w:val="2AD4E4FA"/>
    <w:rsid w:val="2AE333AB"/>
    <w:rsid w:val="2AE65D84"/>
    <w:rsid w:val="2AE7488D"/>
    <w:rsid w:val="2AF76F67"/>
    <w:rsid w:val="2AFA8FD1"/>
    <w:rsid w:val="2AFE2173"/>
    <w:rsid w:val="2B03142E"/>
    <w:rsid w:val="2B07D74A"/>
    <w:rsid w:val="2B183979"/>
    <w:rsid w:val="2B186E7A"/>
    <w:rsid w:val="2B215B04"/>
    <w:rsid w:val="2B389CB5"/>
    <w:rsid w:val="2B3C4249"/>
    <w:rsid w:val="2B3EA915"/>
    <w:rsid w:val="2B450A47"/>
    <w:rsid w:val="2B465C2C"/>
    <w:rsid w:val="2B5512AA"/>
    <w:rsid w:val="2B6BF300"/>
    <w:rsid w:val="2B78F57F"/>
    <w:rsid w:val="2B8093A6"/>
    <w:rsid w:val="2B87DB29"/>
    <w:rsid w:val="2B8CC408"/>
    <w:rsid w:val="2B8DBEFA"/>
    <w:rsid w:val="2BA5D8CD"/>
    <w:rsid w:val="2BAFCD1D"/>
    <w:rsid w:val="2BB820F5"/>
    <w:rsid w:val="2BCE4771"/>
    <w:rsid w:val="2BCE69BA"/>
    <w:rsid w:val="2BD1391D"/>
    <w:rsid w:val="2BED6F33"/>
    <w:rsid w:val="2BEE7794"/>
    <w:rsid w:val="2BF22759"/>
    <w:rsid w:val="2C030466"/>
    <w:rsid w:val="2C0418F4"/>
    <w:rsid w:val="2C0531DD"/>
    <w:rsid w:val="2C0FA0E0"/>
    <w:rsid w:val="2C1A131B"/>
    <w:rsid w:val="2C21AA93"/>
    <w:rsid w:val="2C3B8FCC"/>
    <w:rsid w:val="2C434E11"/>
    <w:rsid w:val="2C457166"/>
    <w:rsid w:val="2C4E46FC"/>
    <w:rsid w:val="2C531CBE"/>
    <w:rsid w:val="2C5F83E3"/>
    <w:rsid w:val="2C694C44"/>
    <w:rsid w:val="2C7AF2E8"/>
    <w:rsid w:val="2C870560"/>
    <w:rsid w:val="2C8BF044"/>
    <w:rsid w:val="2CA079B4"/>
    <w:rsid w:val="2CA4DFD1"/>
    <w:rsid w:val="2CB8BF26"/>
    <w:rsid w:val="2CBC3BF0"/>
    <w:rsid w:val="2CC0B1DE"/>
    <w:rsid w:val="2CC56CAC"/>
    <w:rsid w:val="2CCB2787"/>
    <w:rsid w:val="2CCC6F25"/>
    <w:rsid w:val="2CD03AF6"/>
    <w:rsid w:val="2CE07CAF"/>
    <w:rsid w:val="2CE31A4D"/>
    <w:rsid w:val="2CF7CA42"/>
    <w:rsid w:val="2CFA45CA"/>
    <w:rsid w:val="2CFC1B72"/>
    <w:rsid w:val="2D108F35"/>
    <w:rsid w:val="2D247870"/>
    <w:rsid w:val="2D32DAEF"/>
    <w:rsid w:val="2D35FDD5"/>
    <w:rsid w:val="2D5ABB1C"/>
    <w:rsid w:val="2D5E766B"/>
    <w:rsid w:val="2D679B4D"/>
    <w:rsid w:val="2D68541D"/>
    <w:rsid w:val="2D6F0FDF"/>
    <w:rsid w:val="2D7092E9"/>
    <w:rsid w:val="2D77420E"/>
    <w:rsid w:val="2D7FE259"/>
    <w:rsid w:val="2D95F468"/>
    <w:rsid w:val="2D9BCD3D"/>
    <w:rsid w:val="2DA64F24"/>
    <w:rsid w:val="2DB2F097"/>
    <w:rsid w:val="2DBEF5ED"/>
    <w:rsid w:val="2DD070FF"/>
    <w:rsid w:val="2DE42A59"/>
    <w:rsid w:val="2DE5C879"/>
    <w:rsid w:val="2DEA3510"/>
    <w:rsid w:val="2DEE2DF2"/>
    <w:rsid w:val="2DF74C88"/>
    <w:rsid w:val="2DF9BF0D"/>
    <w:rsid w:val="2DFF6758"/>
    <w:rsid w:val="2E061D6B"/>
    <w:rsid w:val="2E0808B2"/>
    <w:rsid w:val="2E091A19"/>
    <w:rsid w:val="2E0F1E50"/>
    <w:rsid w:val="2E207DA8"/>
    <w:rsid w:val="2E2EA7C7"/>
    <w:rsid w:val="2E34294E"/>
    <w:rsid w:val="2E4013C3"/>
    <w:rsid w:val="2E4BFD54"/>
    <w:rsid w:val="2E50E05E"/>
    <w:rsid w:val="2E659FDA"/>
    <w:rsid w:val="2E6683E8"/>
    <w:rsid w:val="2E67813D"/>
    <w:rsid w:val="2E78462F"/>
    <w:rsid w:val="2E7CB1F9"/>
    <w:rsid w:val="2E974F5F"/>
    <w:rsid w:val="2EA12183"/>
    <w:rsid w:val="2EA7E291"/>
    <w:rsid w:val="2EB154C7"/>
    <w:rsid w:val="2EB85E2E"/>
    <w:rsid w:val="2EB9E36B"/>
    <w:rsid w:val="2EF561A0"/>
    <w:rsid w:val="2F07480A"/>
    <w:rsid w:val="2F0AAA32"/>
    <w:rsid w:val="2F1288B6"/>
    <w:rsid w:val="2F180BA7"/>
    <w:rsid w:val="2F1BCF22"/>
    <w:rsid w:val="2F1CE477"/>
    <w:rsid w:val="2F1DA812"/>
    <w:rsid w:val="2F214D6C"/>
    <w:rsid w:val="2F242751"/>
    <w:rsid w:val="2F35258E"/>
    <w:rsid w:val="2F35A1CB"/>
    <w:rsid w:val="2F41A086"/>
    <w:rsid w:val="2F54722B"/>
    <w:rsid w:val="2F55FD87"/>
    <w:rsid w:val="2F5BDC56"/>
    <w:rsid w:val="2F5E444E"/>
    <w:rsid w:val="2F5F3E29"/>
    <w:rsid w:val="2F65325A"/>
    <w:rsid w:val="2F66E91F"/>
    <w:rsid w:val="2F6B61F6"/>
    <w:rsid w:val="2F71D084"/>
    <w:rsid w:val="2F7F1EE3"/>
    <w:rsid w:val="2F89149F"/>
    <w:rsid w:val="2F8CA75D"/>
    <w:rsid w:val="2F964413"/>
    <w:rsid w:val="2F9F2CE8"/>
    <w:rsid w:val="2FA2C75E"/>
    <w:rsid w:val="2FA2D796"/>
    <w:rsid w:val="2FA53691"/>
    <w:rsid w:val="2FAFF64A"/>
    <w:rsid w:val="2FB95CA1"/>
    <w:rsid w:val="2FC2BB86"/>
    <w:rsid w:val="2FC7D8DD"/>
    <w:rsid w:val="2FC956E0"/>
    <w:rsid w:val="2FCBB058"/>
    <w:rsid w:val="2FDC521A"/>
    <w:rsid w:val="2FFFD899"/>
    <w:rsid w:val="30024917"/>
    <w:rsid w:val="30044FB2"/>
    <w:rsid w:val="30051B77"/>
    <w:rsid w:val="30128096"/>
    <w:rsid w:val="301584FB"/>
    <w:rsid w:val="301ABA36"/>
    <w:rsid w:val="3027C0D1"/>
    <w:rsid w:val="30432879"/>
    <w:rsid w:val="304C82F7"/>
    <w:rsid w:val="30569533"/>
    <w:rsid w:val="3056EDA6"/>
    <w:rsid w:val="3059F746"/>
    <w:rsid w:val="30733548"/>
    <w:rsid w:val="30766246"/>
    <w:rsid w:val="30856202"/>
    <w:rsid w:val="308969F3"/>
    <w:rsid w:val="308D0BFB"/>
    <w:rsid w:val="309AA9C1"/>
    <w:rsid w:val="30A472E8"/>
    <w:rsid w:val="30A4AD29"/>
    <w:rsid w:val="30ACC106"/>
    <w:rsid w:val="30AFE5BF"/>
    <w:rsid w:val="30B35C10"/>
    <w:rsid w:val="30BAD6AC"/>
    <w:rsid w:val="30BF0042"/>
    <w:rsid w:val="30BF6D2B"/>
    <w:rsid w:val="30C2F415"/>
    <w:rsid w:val="30C8DA1C"/>
    <w:rsid w:val="30C93863"/>
    <w:rsid w:val="30CB4160"/>
    <w:rsid w:val="30D8C9D1"/>
    <w:rsid w:val="30D94C74"/>
    <w:rsid w:val="30DB72D9"/>
    <w:rsid w:val="311A2F4A"/>
    <w:rsid w:val="311CEEA0"/>
    <w:rsid w:val="31266D07"/>
    <w:rsid w:val="3126B15A"/>
    <w:rsid w:val="312A5ADF"/>
    <w:rsid w:val="313EB105"/>
    <w:rsid w:val="314020C6"/>
    <w:rsid w:val="314AAD89"/>
    <w:rsid w:val="3151457D"/>
    <w:rsid w:val="3152BB4A"/>
    <w:rsid w:val="315E0B41"/>
    <w:rsid w:val="315F55F6"/>
    <w:rsid w:val="3169EBCF"/>
    <w:rsid w:val="316A424D"/>
    <w:rsid w:val="31719A3C"/>
    <w:rsid w:val="318357EB"/>
    <w:rsid w:val="319BEE26"/>
    <w:rsid w:val="31AB5437"/>
    <w:rsid w:val="31ACE58F"/>
    <w:rsid w:val="31AF8573"/>
    <w:rsid w:val="31C09436"/>
    <w:rsid w:val="31C7EF30"/>
    <w:rsid w:val="31C845D7"/>
    <w:rsid w:val="31CC4BEA"/>
    <w:rsid w:val="31D1179B"/>
    <w:rsid w:val="31D9C3AB"/>
    <w:rsid w:val="31DB1B33"/>
    <w:rsid w:val="31EFE82D"/>
    <w:rsid w:val="31F106DA"/>
    <w:rsid w:val="31FDE952"/>
    <w:rsid w:val="321EBC81"/>
    <w:rsid w:val="321F3D5D"/>
    <w:rsid w:val="32225A81"/>
    <w:rsid w:val="323ED279"/>
    <w:rsid w:val="32411599"/>
    <w:rsid w:val="32497980"/>
    <w:rsid w:val="325214F9"/>
    <w:rsid w:val="325713DF"/>
    <w:rsid w:val="3258757A"/>
    <w:rsid w:val="32651BAB"/>
    <w:rsid w:val="32665B83"/>
    <w:rsid w:val="328B200A"/>
    <w:rsid w:val="329CE4B3"/>
    <w:rsid w:val="32A2BB55"/>
    <w:rsid w:val="32A64019"/>
    <w:rsid w:val="32AA9106"/>
    <w:rsid w:val="32ABF40F"/>
    <w:rsid w:val="32C7BC64"/>
    <w:rsid w:val="32CA6FD9"/>
    <w:rsid w:val="32DF9194"/>
    <w:rsid w:val="32F12B03"/>
    <w:rsid w:val="33004B14"/>
    <w:rsid w:val="3303EA22"/>
    <w:rsid w:val="33144A6E"/>
    <w:rsid w:val="33165892"/>
    <w:rsid w:val="331F74A5"/>
    <w:rsid w:val="33284A31"/>
    <w:rsid w:val="332F5681"/>
    <w:rsid w:val="33396532"/>
    <w:rsid w:val="3345148E"/>
    <w:rsid w:val="3348C17E"/>
    <w:rsid w:val="334A6B2C"/>
    <w:rsid w:val="335382BD"/>
    <w:rsid w:val="33581310"/>
    <w:rsid w:val="33597986"/>
    <w:rsid w:val="335FE065"/>
    <w:rsid w:val="3373D749"/>
    <w:rsid w:val="33760BBA"/>
    <w:rsid w:val="337DF59A"/>
    <w:rsid w:val="3380B230"/>
    <w:rsid w:val="33865A42"/>
    <w:rsid w:val="339F7DF0"/>
    <w:rsid w:val="33B1E090"/>
    <w:rsid w:val="33BFE51C"/>
    <w:rsid w:val="33C730D7"/>
    <w:rsid w:val="33DEB7D1"/>
    <w:rsid w:val="33F22E30"/>
    <w:rsid w:val="33F3B021"/>
    <w:rsid w:val="33F5ED7C"/>
    <w:rsid w:val="33F7116C"/>
    <w:rsid w:val="33F7B483"/>
    <w:rsid w:val="33FD79E2"/>
    <w:rsid w:val="34045E15"/>
    <w:rsid w:val="3416FF05"/>
    <w:rsid w:val="341CA9E5"/>
    <w:rsid w:val="34221D20"/>
    <w:rsid w:val="343136E7"/>
    <w:rsid w:val="343696DC"/>
    <w:rsid w:val="3449836F"/>
    <w:rsid w:val="3450B2DC"/>
    <w:rsid w:val="3458455C"/>
    <w:rsid w:val="3466C59F"/>
    <w:rsid w:val="34671BF9"/>
    <w:rsid w:val="3469A54A"/>
    <w:rsid w:val="347679ED"/>
    <w:rsid w:val="347E9868"/>
    <w:rsid w:val="34A14CF6"/>
    <w:rsid w:val="34A34665"/>
    <w:rsid w:val="34CA1A30"/>
    <w:rsid w:val="34D837F8"/>
    <w:rsid w:val="34DBF07C"/>
    <w:rsid w:val="34FC04DA"/>
    <w:rsid w:val="35016B35"/>
    <w:rsid w:val="350B8EE9"/>
    <w:rsid w:val="35135C5B"/>
    <w:rsid w:val="3518E8D3"/>
    <w:rsid w:val="352AA150"/>
    <w:rsid w:val="352BF2A8"/>
    <w:rsid w:val="352DEC44"/>
    <w:rsid w:val="3547A7FD"/>
    <w:rsid w:val="354F37F0"/>
    <w:rsid w:val="35571D4E"/>
    <w:rsid w:val="356EB0B1"/>
    <w:rsid w:val="356F3B0C"/>
    <w:rsid w:val="35715737"/>
    <w:rsid w:val="358D5937"/>
    <w:rsid w:val="358F5D5F"/>
    <w:rsid w:val="35994C8D"/>
    <w:rsid w:val="359A6C9F"/>
    <w:rsid w:val="359C6F30"/>
    <w:rsid w:val="35A1924F"/>
    <w:rsid w:val="35AD2820"/>
    <w:rsid w:val="35BA9E5A"/>
    <w:rsid w:val="35BC9F0D"/>
    <w:rsid w:val="35BD2377"/>
    <w:rsid w:val="35BE60A5"/>
    <w:rsid w:val="35C339B1"/>
    <w:rsid w:val="35D017CC"/>
    <w:rsid w:val="35D71948"/>
    <w:rsid w:val="35DA62E0"/>
    <w:rsid w:val="35E17F42"/>
    <w:rsid w:val="35E4C3A5"/>
    <w:rsid w:val="35E6F4D2"/>
    <w:rsid w:val="35EDA9A1"/>
    <w:rsid w:val="35F52F30"/>
    <w:rsid w:val="35F65B3E"/>
    <w:rsid w:val="35FAC23B"/>
    <w:rsid w:val="35FC48F0"/>
    <w:rsid w:val="35FD90ED"/>
    <w:rsid w:val="3604CC76"/>
    <w:rsid w:val="36092702"/>
    <w:rsid w:val="362F9487"/>
    <w:rsid w:val="36303121"/>
    <w:rsid w:val="3633E681"/>
    <w:rsid w:val="364BD1DD"/>
    <w:rsid w:val="364F1A2B"/>
    <w:rsid w:val="366BF005"/>
    <w:rsid w:val="366F0653"/>
    <w:rsid w:val="36798DFB"/>
    <w:rsid w:val="36883119"/>
    <w:rsid w:val="369A63D2"/>
    <w:rsid w:val="369C4FCC"/>
    <w:rsid w:val="36AA47DD"/>
    <w:rsid w:val="36BF6CD1"/>
    <w:rsid w:val="36D282E6"/>
    <w:rsid w:val="36D933EF"/>
    <w:rsid w:val="36DAF8B2"/>
    <w:rsid w:val="36DBEC3B"/>
    <w:rsid w:val="36DEE344"/>
    <w:rsid w:val="36DF5ABF"/>
    <w:rsid w:val="36E9B5D5"/>
    <w:rsid w:val="36EC213E"/>
    <w:rsid w:val="36F1CAC6"/>
    <w:rsid w:val="36FAB99E"/>
    <w:rsid w:val="3702D91C"/>
    <w:rsid w:val="370E4F64"/>
    <w:rsid w:val="3715241B"/>
    <w:rsid w:val="3716A266"/>
    <w:rsid w:val="372D3F20"/>
    <w:rsid w:val="37356540"/>
    <w:rsid w:val="373B6B7A"/>
    <w:rsid w:val="374B94AB"/>
    <w:rsid w:val="3757C271"/>
    <w:rsid w:val="375DCEB7"/>
    <w:rsid w:val="376562B7"/>
    <w:rsid w:val="3769480D"/>
    <w:rsid w:val="3775EF1B"/>
    <w:rsid w:val="3776267E"/>
    <w:rsid w:val="37802163"/>
    <w:rsid w:val="378243D0"/>
    <w:rsid w:val="37965E2D"/>
    <w:rsid w:val="37A0E382"/>
    <w:rsid w:val="37A6EC8E"/>
    <w:rsid w:val="37B4E12E"/>
    <w:rsid w:val="37B8D1A0"/>
    <w:rsid w:val="37BB6522"/>
    <w:rsid w:val="37BF5D48"/>
    <w:rsid w:val="37C5E1D6"/>
    <w:rsid w:val="37C9FF0D"/>
    <w:rsid w:val="38052943"/>
    <w:rsid w:val="380CCD02"/>
    <w:rsid w:val="383A2D5D"/>
    <w:rsid w:val="383C2AA7"/>
    <w:rsid w:val="38415D2C"/>
    <w:rsid w:val="3849860B"/>
    <w:rsid w:val="384DD9FA"/>
    <w:rsid w:val="3851C23B"/>
    <w:rsid w:val="385375E0"/>
    <w:rsid w:val="3858C521"/>
    <w:rsid w:val="385A4913"/>
    <w:rsid w:val="385B9943"/>
    <w:rsid w:val="385D4B7B"/>
    <w:rsid w:val="385FB2BB"/>
    <w:rsid w:val="38649A34"/>
    <w:rsid w:val="387D9447"/>
    <w:rsid w:val="3880B49C"/>
    <w:rsid w:val="3880C2E4"/>
    <w:rsid w:val="38886A82"/>
    <w:rsid w:val="3890AC95"/>
    <w:rsid w:val="38983D66"/>
    <w:rsid w:val="38B8D4F8"/>
    <w:rsid w:val="38BBF7B5"/>
    <w:rsid w:val="38C6B17C"/>
    <w:rsid w:val="38CBEE8C"/>
    <w:rsid w:val="38EDAFF6"/>
    <w:rsid w:val="38F5296C"/>
    <w:rsid w:val="38F86DC9"/>
    <w:rsid w:val="38FDE350"/>
    <w:rsid w:val="390CA6C3"/>
    <w:rsid w:val="390F56AA"/>
    <w:rsid w:val="3911C8F8"/>
    <w:rsid w:val="39164B81"/>
    <w:rsid w:val="3917DEC5"/>
    <w:rsid w:val="391983B6"/>
    <w:rsid w:val="391CD545"/>
    <w:rsid w:val="391EE4E7"/>
    <w:rsid w:val="392EBCA7"/>
    <w:rsid w:val="39443BD5"/>
    <w:rsid w:val="3948A0EF"/>
    <w:rsid w:val="3952A9FE"/>
    <w:rsid w:val="3955F96E"/>
    <w:rsid w:val="3957F5F6"/>
    <w:rsid w:val="39587A3D"/>
    <w:rsid w:val="3964B1F2"/>
    <w:rsid w:val="397A18CD"/>
    <w:rsid w:val="39864480"/>
    <w:rsid w:val="398A3ED5"/>
    <w:rsid w:val="39A45ABE"/>
    <w:rsid w:val="39B800DD"/>
    <w:rsid w:val="39BD9F09"/>
    <w:rsid w:val="39C1BC41"/>
    <w:rsid w:val="39C6652C"/>
    <w:rsid w:val="39CD784A"/>
    <w:rsid w:val="39D0E755"/>
    <w:rsid w:val="39D7AD0A"/>
    <w:rsid w:val="39DCDDAA"/>
    <w:rsid w:val="39DD8E75"/>
    <w:rsid w:val="39EDC2B6"/>
    <w:rsid w:val="39EE30DE"/>
    <w:rsid w:val="39F33012"/>
    <w:rsid w:val="39F3C9D5"/>
    <w:rsid w:val="3A074FD1"/>
    <w:rsid w:val="3A191A9F"/>
    <w:rsid w:val="3A1D5E05"/>
    <w:rsid w:val="3A20C342"/>
    <w:rsid w:val="3A28F7E5"/>
    <w:rsid w:val="3A3753C5"/>
    <w:rsid w:val="3A3D7ACB"/>
    <w:rsid w:val="3A42E051"/>
    <w:rsid w:val="3A4BC120"/>
    <w:rsid w:val="3A4DF90E"/>
    <w:rsid w:val="3A60CA24"/>
    <w:rsid w:val="3A63F12B"/>
    <w:rsid w:val="3A67BD9A"/>
    <w:rsid w:val="3A6A3FC7"/>
    <w:rsid w:val="3A72C0A4"/>
    <w:rsid w:val="3A8AE788"/>
    <w:rsid w:val="3A91D2C8"/>
    <w:rsid w:val="3A9290D1"/>
    <w:rsid w:val="3A950663"/>
    <w:rsid w:val="3A99997D"/>
    <w:rsid w:val="3A9AE52C"/>
    <w:rsid w:val="3AB63C00"/>
    <w:rsid w:val="3AB79248"/>
    <w:rsid w:val="3ABA0BAD"/>
    <w:rsid w:val="3ABF6187"/>
    <w:rsid w:val="3AC7D6DB"/>
    <w:rsid w:val="3AC813B2"/>
    <w:rsid w:val="3AFE4785"/>
    <w:rsid w:val="3B094A6C"/>
    <w:rsid w:val="3B0971AC"/>
    <w:rsid w:val="3B14092D"/>
    <w:rsid w:val="3B2CA424"/>
    <w:rsid w:val="3B39A8D6"/>
    <w:rsid w:val="3B3BCB43"/>
    <w:rsid w:val="3B3C85EB"/>
    <w:rsid w:val="3B4DD3B2"/>
    <w:rsid w:val="3B5233E5"/>
    <w:rsid w:val="3B5350E0"/>
    <w:rsid w:val="3B5918CE"/>
    <w:rsid w:val="3B798BDB"/>
    <w:rsid w:val="3B8244A2"/>
    <w:rsid w:val="3B826E8B"/>
    <w:rsid w:val="3B94A6FA"/>
    <w:rsid w:val="3B972C69"/>
    <w:rsid w:val="3B9E50C4"/>
    <w:rsid w:val="3BA26A77"/>
    <w:rsid w:val="3BA306EB"/>
    <w:rsid w:val="3BA82748"/>
    <w:rsid w:val="3BBD6DC5"/>
    <w:rsid w:val="3BC597BC"/>
    <w:rsid w:val="3BC5B667"/>
    <w:rsid w:val="3BD3C2D4"/>
    <w:rsid w:val="3BDFA4BD"/>
    <w:rsid w:val="3BE278C2"/>
    <w:rsid w:val="3BECDBD9"/>
    <w:rsid w:val="3BF511DE"/>
    <w:rsid w:val="3BF7AF8A"/>
    <w:rsid w:val="3BFA2A39"/>
    <w:rsid w:val="3C03C936"/>
    <w:rsid w:val="3C0CBB36"/>
    <w:rsid w:val="3C1FA7BA"/>
    <w:rsid w:val="3C20FE13"/>
    <w:rsid w:val="3C2C8F21"/>
    <w:rsid w:val="3C378695"/>
    <w:rsid w:val="3C3CF2A9"/>
    <w:rsid w:val="3C48B388"/>
    <w:rsid w:val="3C53B628"/>
    <w:rsid w:val="3C547154"/>
    <w:rsid w:val="3C5A2664"/>
    <w:rsid w:val="3C5F3AF9"/>
    <w:rsid w:val="3C5F547A"/>
    <w:rsid w:val="3C5F7161"/>
    <w:rsid w:val="3C6A1293"/>
    <w:rsid w:val="3C7988E5"/>
    <w:rsid w:val="3C7F6300"/>
    <w:rsid w:val="3CA9A596"/>
    <w:rsid w:val="3CAA8505"/>
    <w:rsid w:val="3CB21FCD"/>
    <w:rsid w:val="3CC09356"/>
    <w:rsid w:val="3CC4A5D1"/>
    <w:rsid w:val="3CC7A3FB"/>
    <w:rsid w:val="3CC97D5C"/>
    <w:rsid w:val="3CCA341E"/>
    <w:rsid w:val="3CCC990E"/>
    <w:rsid w:val="3CCE3D0C"/>
    <w:rsid w:val="3CDE1516"/>
    <w:rsid w:val="3CE4E672"/>
    <w:rsid w:val="3CE704C3"/>
    <w:rsid w:val="3CEBBCF4"/>
    <w:rsid w:val="3D177D60"/>
    <w:rsid w:val="3D195C3F"/>
    <w:rsid w:val="3D21F349"/>
    <w:rsid w:val="3D2295D8"/>
    <w:rsid w:val="3D39A161"/>
    <w:rsid w:val="3D3B2DFB"/>
    <w:rsid w:val="3D46B771"/>
    <w:rsid w:val="3D5A65F6"/>
    <w:rsid w:val="3D6555E1"/>
    <w:rsid w:val="3D679A48"/>
    <w:rsid w:val="3D6B9150"/>
    <w:rsid w:val="3D71CDC0"/>
    <w:rsid w:val="3D74FC84"/>
    <w:rsid w:val="3D76E8A9"/>
    <w:rsid w:val="3D8F62A3"/>
    <w:rsid w:val="3D911DAF"/>
    <w:rsid w:val="3D99A699"/>
    <w:rsid w:val="3DB85EA5"/>
    <w:rsid w:val="3DBFCEF2"/>
    <w:rsid w:val="3DD4FA8D"/>
    <w:rsid w:val="3DDA9EAC"/>
    <w:rsid w:val="3DEBC5D6"/>
    <w:rsid w:val="3DED5E6C"/>
    <w:rsid w:val="3DEDA599"/>
    <w:rsid w:val="3DF1197C"/>
    <w:rsid w:val="3DF2374F"/>
    <w:rsid w:val="3DF5E29F"/>
    <w:rsid w:val="3DFEAA86"/>
    <w:rsid w:val="3E05256D"/>
    <w:rsid w:val="3E05A484"/>
    <w:rsid w:val="3E0DDF01"/>
    <w:rsid w:val="3E2BFEF6"/>
    <w:rsid w:val="3E322F4D"/>
    <w:rsid w:val="3E37DFC7"/>
    <w:rsid w:val="3E3B50EA"/>
    <w:rsid w:val="3E4131B7"/>
    <w:rsid w:val="3E41AFB6"/>
    <w:rsid w:val="3E56E369"/>
    <w:rsid w:val="3E57722B"/>
    <w:rsid w:val="3E6150DA"/>
    <w:rsid w:val="3E6B34F1"/>
    <w:rsid w:val="3E755ECD"/>
    <w:rsid w:val="3E784164"/>
    <w:rsid w:val="3E89566B"/>
    <w:rsid w:val="3E93EAA7"/>
    <w:rsid w:val="3E9AEE6B"/>
    <w:rsid w:val="3E9C5D27"/>
    <w:rsid w:val="3EA34EA2"/>
    <w:rsid w:val="3EA7F01E"/>
    <w:rsid w:val="3EA82998"/>
    <w:rsid w:val="3EAA9638"/>
    <w:rsid w:val="3EAC7F88"/>
    <w:rsid w:val="3EB89B57"/>
    <w:rsid w:val="3EBB2F19"/>
    <w:rsid w:val="3EC25FB1"/>
    <w:rsid w:val="3EC6C52C"/>
    <w:rsid w:val="3EC7B10C"/>
    <w:rsid w:val="3ED1ED02"/>
    <w:rsid w:val="3EDB6E23"/>
    <w:rsid w:val="3EEAFF46"/>
    <w:rsid w:val="3EF5A118"/>
    <w:rsid w:val="3EF62CA5"/>
    <w:rsid w:val="3EFBF198"/>
    <w:rsid w:val="3F0656C5"/>
    <w:rsid w:val="3F0AACFF"/>
    <w:rsid w:val="3F0E8CA6"/>
    <w:rsid w:val="3F0F135A"/>
    <w:rsid w:val="3F18EFD3"/>
    <w:rsid w:val="3F1B0CA9"/>
    <w:rsid w:val="3F3D1D48"/>
    <w:rsid w:val="3F4375F2"/>
    <w:rsid w:val="3F48033D"/>
    <w:rsid w:val="3F49BD5B"/>
    <w:rsid w:val="3F53E2C4"/>
    <w:rsid w:val="3F5FDCB1"/>
    <w:rsid w:val="3F733BF6"/>
    <w:rsid w:val="3F7DDCC3"/>
    <w:rsid w:val="3F82AEA2"/>
    <w:rsid w:val="3F83D3DF"/>
    <w:rsid w:val="3F99E4D0"/>
    <w:rsid w:val="3F9C2EE6"/>
    <w:rsid w:val="3F9F3111"/>
    <w:rsid w:val="3FA1D0F2"/>
    <w:rsid w:val="3FAB66F0"/>
    <w:rsid w:val="3FAF8A22"/>
    <w:rsid w:val="3FB3220D"/>
    <w:rsid w:val="3FC1A0A7"/>
    <w:rsid w:val="3FC6C014"/>
    <w:rsid w:val="3FC7BD9B"/>
    <w:rsid w:val="3FCF8E66"/>
    <w:rsid w:val="3FD7BB0A"/>
    <w:rsid w:val="3FE74619"/>
    <w:rsid w:val="3FED034D"/>
    <w:rsid w:val="3FF4EF90"/>
    <w:rsid w:val="3FF5659F"/>
    <w:rsid w:val="3FFAD8BD"/>
    <w:rsid w:val="4011DFF0"/>
    <w:rsid w:val="40124949"/>
    <w:rsid w:val="4019498E"/>
    <w:rsid w:val="4023A62A"/>
    <w:rsid w:val="4024934B"/>
    <w:rsid w:val="402E7504"/>
    <w:rsid w:val="40316F49"/>
    <w:rsid w:val="403C3A27"/>
    <w:rsid w:val="404576CE"/>
    <w:rsid w:val="4055B7F2"/>
    <w:rsid w:val="4059FE6B"/>
    <w:rsid w:val="4067810A"/>
    <w:rsid w:val="406B6DF1"/>
    <w:rsid w:val="406CEA3C"/>
    <w:rsid w:val="40758170"/>
    <w:rsid w:val="407D0BBC"/>
    <w:rsid w:val="40951A43"/>
    <w:rsid w:val="409A75DF"/>
    <w:rsid w:val="40A24D2D"/>
    <w:rsid w:val="40B0C40D"/>
    <w:rsid w:val="40B41B01"/>
    <w:rsid w:val="40BCB4C7"/>
    <w:rsid w:val="40C917B2"/>
    <w:rsid w:val="40DEF4F7"/>
    <w:rsid w:val="40E4BEED"/>
    <w:rsid w:val="40E7C896"/>
    <w:rsid w:val="40F0EB21"/>
    <w:rsid w:val="4111DB97"/>
    <w:rsid w:val="41139B4A"/>
    <w:rsid w:val="4117C5C3"/>
    <w:rsid w:val="411B4149"/>
    <w:rsid w:val="4123FB94"/>
    <w:rsid w:val="4133990C"/>
    <w:rsid w:val="413C305F"/>
    <w:rsid w:val="41445FBC"/>
    <w:rsid w:val="414CA6B1"/>
    <w:rsid w:val="4155A60B"/>
    <w:rsid w:val="415E7EE1"/>
    <w:rsid w:val="4168AD86"/>
    <w:rsid w:val="41716CFE"/>
    <w:rsid w:val="417B124B"/>
    <w:rsid w:val="417CBB9B"/>
    <w:rsid w:val="41859F7F"/>
    <w:rsid w:val="4191557E"/>
    <w:rsid w:val="419B1776"/>
    <w:rsid w:val="419B8D4E"/>
    <w:rsid w:val="419DBE71"/>
    <w:rsid w:val="419FA8E4"/>
    <w:rsid w:val="41A36A60"/>
    <w:rsid w:val="41A83765"/>
    <w:rsid w:val="41BDB7D3"/>
    <w:rsid w:val="41BF5DFD"/>
    <w:rsid w:val="41C45B56"/>
    <w:rsid w:val="41C49D60"/>
    <w:rsid w:val="41CB8DEF"/>
    <w:rsid w:val="41D4F1D4"/>
    <w:rsid w:val="41E7A0F3"/>
    <w:rsid w:val="41F2F919"/>
    <w:rsid w:val="41F2FA7E"/>
    <w:rsid w:val="41F5B868"/>
    <w:rsid w:val="420D1DEF"/>
    <w:rsid w:val="42177D82"/>
    <w:rsid w:val="4226B2D4"/>
    <w:rsid w:val="42310767"/>
    <w:rsid w:val="423670C5"/>
    <w:rsid w:val="423B8EB3"/>
    <w:rsid w:val="4244FDC9"/>
    <w:rsid w:val="424500CB"/>
    <w:rsid w:val="4248D4F6"/>
    <w:rsid w:val="426D5C3B"/>
    <w:rsid w:val="42800900"/>
    <w:rsid w:val="4288500D"/>
    <w:rsid w:val="428A7235"/>
    <w:rsid w:val="428E40CD"/>
    <w:rsid w:val="4292C6C4"/>
    <w:rsid w:val="429C82FB"/>
    <w:rsid w:val="42AC129C"/>
    <w:rsid w:val="42ACA727"/>
    <w:rsid w:val="42AE2A09"/>
    <w:rsid w:val="42B4A67A"/>
    <w:rsid w:val="42BEB56D"/>
    <w:rsid w:val="42C2E101"/>
    <w:rsid w:val="42C7AF66"/>
    <w:rsid w:val="42DD35E5"/>
    <w:rsid w:val="42DF571C"/>
    <w:rsid w:val="42E130B3"/>
    <w:rsid w:val="42EF7633"/>
    <w:rsid w:val="42F2A54F"/>
    <w:rsid w:val="42FBB5CF"/>
    <w:rsid w:val="4303F3E2"/>
    <w:rsid w:val="430BB921"/>
    <w:rsid w:val="43172319"/>
    <w:rsid w:val="4324D294"/>
    <w:rsid w:val="43278A2D"/>
    <w:rsid w:val="433290C4"/>
    <w:rsid w:val="4338A642"/>
    <w:rsid w:val="43444FED"/>
    <w:rsid w:val="434F2927"/>
    <w:rsid w:val="43537EEC"/>
    <w:rsid w:val="436363D9"/>
    <w:rsid w:val="437AD4BC"/>
    <w:rsid w:val="437FF79E"/>
    <w:rsid w:val="438BA2F0"/>
    <w:rsid w:val="438F5946"/>
    <w:rsid w:val="4394FE01"/>
    <w:rsid w:val="4398AE94"/>
    <w:rsid w:val="43A66CC2"/>
    <w:rsid w:val="43ABD853"/>
    <w:rsid w:val="43BB1C74"/>
    <w:rsid w:val="43CB75D8"/>
    <w:rsid w:val="43F36C47"/>
    <w:rsid w:val="43F4DB25"/>
    <w:rsid w:val="43FD6263"/>
    <w:rsid w:val="4405A9CE"/>
    <w:rsid w:val="4405AA2F"/>
    <w:rsid w:val="440F793E"/>
    <w:rsid w:val="44134C87"/>
    <w:rsid w:val="4420DAAB"/>
    <w:rsid w:val="442F0150"/>
    <w:rsid w:val="442FC976"/>
    <w:rsid w:val="4430D368"/>
    <w:rsid w:val="44379A25"/>
    <w:rsid w:val="4450AB10"/>
    <w:rsid w:val="44545ABD"/>
    <w:rsid w:val="44648C19"/>
    <w:rsid w:val="4475387C"/>
    <w:rsid w:val="447FC059"/>
    <w:rsid w:val="44819F68"/>
    <w:rsid w:val="448A74C1"/>
    <w:rsid w:val="448C6B26"/>
    <w:rsid w:val="448FB4BE"/>
    <w:rsid w:val="4491FBAF"/>
    <w:rsid w:val="449CBBBE"/>
    <w:rsid w:val="44AFD396"/>
    <w:rsid w:val="44B076DF"/>
    <w:rsid w:val="44B6DC4A"/>
    <w:rsid w:val="44C772E7"/>
    <w:rsid w:val="44D3EE82"/>
    <w:rsid w:val="44DA96C8"/>
    <w:rsid w:val="44F31010"/>
    <w:rsid w:val="44FAB707"/>
    <w:rsid w:val="44FC6372"/>
    <w:rsid w:val="45057248"/>
    <w:rsid w:val="45171A22"/>
    <w:rsid w:val="451CBD78"/>
    <w:rsid w:val="452012B8"/>
    <w:rsid w:val="4532399D"/>
    <w:rsid w:val="453BD48B"/>
    <w:rsid w:val="454B9100"/>
    <w:rsid w:val="454D6207"/>
    <w:rsid w:val="4571D123"/>
    <w:rsid w:val="4572BB6F"/>
    <w:rsid w:val="45739AA4"/>
    <w:rsid w:val="45782584"/>
    <w:rsid w:val="458849BB"/>
    <w:rsid w:val="459B791F"/>
    <w:rsid w:val="45ABCC50"/>
    <w:rsid w:val="45B4601C"/>
    <w:rsid w:val="45D0637C"/>
    <w:rsid w:val="45DB11AF"/>
    <w:rsid w:val="45E483C1"/>
    <w:rsid w:val="45E9505B"/>
    <w:rsid w:val="45EF35E1"/>
    <w:rsid w:val="45F2FCB3"/>
    <w:rsid w:val="4600B3C9"/>
    <w:rsid w:val="4608A33B"/>
    <w:rsid w:val="460A3A65"/>
    <w:rsid w:val="461297AE"/>
    <w:rsid w:val="46187F4B"/>
    <w:rsid w:val="461D7DE7"/>
    <w:rsid w:val="46236CB6"/>
    <w:rsid w:val="462DA899"/>
    <w:rsid w:val="4632EB9C"/>
    <w:rsid w:val="464C4282"/>
    <w:rsid w:val="466083F1"/>
    <w:rsid w:val="46721171"/>
    <w:rsid w:val="467BB0AA"/>
    <w:rsid w:val="4683843E"/>
    <w:rsid w:val="46887286"/>
    <w:rsid w:val="46890A08"/>
    <w:rsid w:val="469031DD"/>
    <w:rsid w:val="469431B6"/>
    <w:rsid w:val="46988991"/>
    <w:rsid w:val="46A0CC80"/>
    <w:rsid w:val="46AD5D5D"/>
    <w:rsid w:val="46B11551"/>
    <w:rsid w:val="46CD5A78"/>
    <w:rsid w:val="46D19DF7"/>
    <w:rsid w:val="46E239A6"/>
    <w:rsid w:val="46E2A1D6"/>
    <w:rsid w:val="46E647D3"/>
    <w:rsid w:val="46EDAB97"/>
    <w:rsid w:val="46EDBC2A"/>
    <w:rsid w:val="470363E5"/>
    <w:rsid w:val="471277E3"/>
    <w:rsid w:val="47276E57"/>
    <w:rsid w:val="4735B270"/>
    <w:rsid w:val="473AA290"/>
    <w:rsid w:val="473DAA2A"/>
    <w:rsid w:val="475A4C79"/>
    <w:rsid w:val="47626788"/>
    <w:rsid w:val="476D7CF8"/>
    <w:rsid w:val="47719289"/>
    <w:rsid w:val="4783F7AE"/>
    <w:rsid w:val="47867515"/>
    <w:rsid w:val="47A36900"/>
    <w:rsid w:val="47B5224E"/>
    <w:rsid w:val="47C99CD0"/>
    <w:rsid w:val="47D4FB8C"/>
    <w:rsid w:val="47DDABAB"/>
    <w:rsid w:val="47DF359A"/>
    <w:rsid w:val="47E8E552"/>
    <w:rsid w:val="47F02A33"/>
    <w:rsid w:val="47F9E2F2"/>
    <w:rsid w:val="4803275A"/>
    <w:rsid w:val="480A6857"/>
    <w:rsid w:val="48186A1A"/>
    <w:rsid w:val="481AE671"/>
    <w:rsid w:val="481B7B8D"/>
    <w:rsid w:val="481EACEB"/>
    <w:rsid w:val="481EDACD"/>
    <w:rsid w:val="482084C4"/>
    <w:rsid w:val="484115C4"/>
    <w:rsid w:val="484331C7"/>
    <w:rsid w:val="4858C0F6"/>
    <w:rsid w:val="4860C339"/>
    <w:rsid w:val="4865C7F2"/>
    <w:rsid w:val="48707306"/>
    <w:rsid w:val="4883208A"/>
    <w:rsid w:val="489398CD"/>
    <w:rsid w:val="4894E9B1"/>
    <w:rsid w:val="489F65F6"/>
    <w:rsid w:val="48A7F6BC"/>
    <w:rsid w:val="48ACB5DC"/>
    <w:rsid w:val="48AD922F"/>
    <w:rsid w:val="48B49C53"/>
    <w:rsid w:val="48B647DD"/>
    <w:rsid w:val="48B93B65"/>
    <w:rsid w:val="48C00290"/>
    <w:rsid w:val="48C9AEAD"/>
    <w:rsid w:val="48DA8BEE"/>
    <w:rsid w:val="48DD386B"/>
    <w:rsid w:val="48E7EE9E"/>
    <w:rsid w:val="48FB6B5B"/>
    <w:rsid w:val="4904D2CB"/>
    <w:rsid w:val="49063B1B"/>
    <w:rsid w:val="4907F362"/>
    <w:rsid w:val="49105EFE"/>
    <w:rsid w:val="4918C362"/>
    <w:rsid w:val="49221891"/>
    <w:rsid w:val="492DF56D"/>
    <w:rsid w:val="49315F7C"/>
    <w:rsid w:val="49347C0F"/>
    <w:rsid w:val="493729BE"/>
    <w:rsid w:val="4945A2FA"/>
    <w:rsid w:val="49532406"/>
    <w:rsid w:val="4954A3B5"/>
    <w:rsid w:val="4963E8A4"/>
    <w:rsid w:val="49640330"/>
    <w:rsid w:val="496F4B14"/>
    <w:rsid w:val="4977189C"/>
    <w:rsid w:val="4987D41B"/>
    <w:rsid w:val="4988D5FC"/>
    <w:rsid w:val="4991C007"/>
    <w:rsid w:val="49A36FF2"/>
    <w:rsid w:val="49C3DE75"/>
    <w:rsid w:val="49D1A905"/>
    <w:rsid w:val="49DC4FFE"/>
    <w:rsid w:val="49E521E3"/>
    <w:rsid w:val="49E5B81A"/>
    <w:rsid w:val="49F0142A"/>
    <w:rsid w:val="4A055501"/>
    <w:rsid w:val="4A15AEA2"/>
    <w:rsid w:val="4A18D50D"/>
    <w:rsid w:val="4A22B8D0"/>
    <w:rsid w:val="4A29A265"/>
    <w:rsid w:val="4A2F349D"/>
    <w:rsid w:val="4A3FE320"/>
    <w:rsid w:val="4A417326"/>
    <w:rsid w:val="4A497A5C"/>
    <w:rsid w:val="4A4BA2BB"/>
    <w:rsid w:val="4A628453"/>
    <w:rsid w:val="4A65612A"/>
    <w:rsid w:val="4A71EC83"/>
    <w:rsid w:val="4A7B11BC"/>
    <w:rsid w:val="4A7E7F1A"/>
    <w:rsid w:val="4A839709"/>
    <w:rsid w:val="4A83B14D"/>
    <w:rsid w:val="4A84FEEA"/>
    <w:rsid w:val="4A97E80B"/>
    <w:rsid w:val="4AA38A1B"/>
    <w:rsid w:val="4ABA8143"/>
    <w:rsid w:val="4AC47AAB"/>
    <w:rsid w:val="4AC531EC"/>
    <w:rsid w:val="4AEA71F4"/>
    <w:rsid w:val="4AEFD497"/>
    <w:rsid w:val="4AF32024"/>
    <w:rsid w:val="4AFA2A6E"/>
    <w:rsid w:val="4B03BEFF"/>
    <w:rsid w:val="4B059068"/>
    <w:rsid w:val="4B1CD5FA"/>
    <w:rsid w:val="4B2F686D"/>
    <w:rsid w:val="4B3BA1F7"/>
    <w:rsid w:val="4B3C0273"/>
    <w:rsid w:val="4B4E839E"/>
    <w:rsid w:val="4B509F17"/>
    <w:rsid w:val="4B5F23E4"/>
    <w:rsid w:val="4B62B55E"/>
    <w:rsid w:val="4B69EB18"/>
    <w:rsid w:val="4B878792"/>
    <w:rsid w:val="4B93F855"/>
    <w:rsid w:val="4BA7DD14"/>
    <w:rsid w:val="4BCECF88"/>
    <w:rsid w:val="4BD4F394"/>
    <w:rsid w:val="4BD700B0"/>
    <w:rsid w:val="4BE9412F"/>
    <w:rsid w:val="4BEF8143"/>
    <w:rsid w:val="4BF19290"/>
    <w:rsid w:val="4BF7CF2F"/>
    <w:rsid w:val="4BFCDB7B"/>
    <w:rsid w:val="4C07D121"/>
    <w:rsid w:val="4C11B50D"/>
    <w:rsid w:val="4C1A9721"/>
    <w:rsid w:val="4C1F3297"/>
    <w:rsid w:val="4C2C0E21"/>
    <w:rsid w:val="4C2F07F0"/>
    <w:rsid w:val="4C30038A"/>
    <w:rsid w:val="4C33DA3A"/>
    <w:rsid w:val="4C37F9EC"/>
    <w:rsid w:val="4C3B372B"/>
    <w:rsid w:val="4C42B164"/>
    <w:rsid w:val="4C482F4D"/>
    <w:rsid w:val="4C4A82FF"/>
    <w:rsid w:val="4C4C04B6"/>
    <w:rsid w:val="4C52723B"/>
    <w:rsid w:val="4C5CCEA0"/>
    <w:rsid w:val="4C5DD6FB"/>
    <w:rsid w:val="4C658F7A"/>
    <w:rsid w:val="4C6E060B"/>
    <w:rsid w:val="4C7182D3"/>
    <w:rsid w:val="4C7224C2"/>
    <w:rsid w:val="4C734679"/>
    <w:rsid w:val="4C7454B0"/>
    <w:rsid w:val="4C795F6D"/>
    <w:rsid w:val="4C86F0EF"/>
    <w:rsid w:val="4C87A0CC"/>
    <w:rsid w:val="4C9552DA"/>
    <w:rsid w:val="4C99A5B2"/>
    <w:rsid w:val="4C9F4BC0"/>
    <w:rsid w:val="4CAA7D68"/>
    <w:rsid w:val="4CB500ED"/>
    <w:rsid w:val="4CB8B24F"/>
    <w:rsid w:val="4CD030C8"/>
    <w:rsid w:val="4CE568A6"/>
    <w:rsid w:val="4CEE6B6F"/>
    <w:rsid w:val="4CF281A2"/>
    <w:rsid w:val="4CF752CA"/>
    <w:rsid w:val="4CFD4E33"/>
    <w:rsid w:val="4CFE26B2"/>
    <w:rsid w:val="4D0625E5"/>
    <w:rsid w:val="4D075B22"/>
    <w:rsid w:val="4D0A3F9F"/>
    <w:rsid w:val="4D1D97B2"/>
    <w:rsid w:val="4D358A60"/>
    <w:rsid w:val="4D3B2079"/>
    <w:rsid w:val="4D3E3BB9"/>
    <w:rsid w:val="4D44AF0D"/>
    <w:rsid w:val="4D47CB83"/>
    <w:rsid w:val="4D4F98F3"/>
    <w:rsid w:val="4D5027E7"/>
    <w:rsid w:val="4D5205FE"/>
    <w:rsid w:val="4D679EB4"/>
    <w:rsid w:val="4D6CD9B8"/>
    <w:rsid w:val="4D6D5781"/>
    <w:rsid w:val="4D88A34B"/>
    <w:rsid w:val="4D934D34"/>
    <w:rsid w:val="4D981C15"/>
    <w:rsid w:val="4D9F68FE"/>
    <w:rsid w:val="4DA8219A"/>
    <w:rsid w:val="4DB03AA1"/>
    <w:rsid w:val="4DBC4D74"/>
    <w:rsid w:val="4DBDCE41"/>
    <w:rsid w:val="4DC2859E"/>
    <w:rsid w:val="4DC71A20"/>
    <w:rsid w:val="4DC93776"/>
    <w:rsid w:val="4DC97418"/>
    <w:rsid w:val="4DCB0607"/>
    <w:rsid w:val="4DED530D"/>
    <w:rsid w:val="4DF556FC"/>
    <w:rsid w:val="4DF5DEF7"/>
    <w:rsid w:val="4E0ECF4C"/>
    <w:rsid w:val="4E0F04CB"/>
    <w:rsid w:val="4E18652E"/>
    <w:rsid w:val="4E1D45F9"/>
    <w:rsid w:val="4E265D99"/>
    <w:rsid w:val="4E32E9DA"/>
    <w:rsid w:val="4E368B53"/>
    <w:rsid w:val="4E39DE81"/>
    <w:rsid w:val="4E51CC7E"/>
    <w:rsid w:val="4E62B21E"/>
    <w:rsid w:val="4E67F7DD"/>
    <w:rsid w:val="4E745100"/>
    <w:rsid w:val="4E7A1309"/>
    <w:rsid w:val="4E7FB959"/>
    <w:rsid w:val="4E8B04AA"/>
    <w:rsid w:val="4E917000"/>
    <w:rsid w:val="4E9C952C"/>
    <w:rsid w:val="4EA8C364"/>
    <w:rsid w:val="4EAB88A5"/>
    <w:rsid w:val="4EB1EE2D"/>
    <w:rsid w:val="4EBC204F"/>
    <w:rsid w:val="4EBECD93"/>
    <w:rsid w:val="4EC286F4"/>
    <w:rsid w:val="4EC80FA0"/>
    <w:rsid w:val="4ED57D68"/>
    <w:rsid w:val="4EDB9841"/>
    <w:rsid w:val="4EE378AA"/>
    <w:rsid w:val="4EE6B300"/>
    <w:rsid w:val="4EFBF69B"/>
    <w:rsid w:val="4EFDC9F7"/>
    <w:rsid w:val="4F1AB18D"/>
    <w:rsid w:val="4F1B1738"/>
    <w:rsid w:val="4F1BF364"/>
    <w:rsid w:val="4F4A7137"/>
    <w:rsid w:val="4F65C20A"/>
    <w:rsid w:val="4F6885FA"/>
    <w:rsid w:val="4F6ED0D6"/>
    <w:rsid w:val="4F762CC3"/>
    <w:rsid w:val="4F7B076A"/>
    <w:rsid w:val="4F82BCA3"/>
    <w:rsid w:val="4F95BD4B"/>
    <w:rsid w:val="4F965C82"/>
    <w:rsid w:val="4FAB074F"/>
    <w:rsid w:val="4FB27AAC"/>
    <w:rsid w:val="4FB9DFBB"/>
    <w:rsid w:val="4FC924ED"/>
    <w:rsid w:val="4FCA882D"/>
    <w:rsid w:val="4FCBFD8D"/>
    <w:rsid w:val="4FDD3ECD"/>
    <w:rsid w:val="4FEB519E"/>
    <w:rsid w:val="4FF17475"/>
    <w:rsid w:val="50191A72"/>
    <w:rsid w:val="5021CA2A"/>
    <w:rsid w:val="503ED1B4"/>
    <w:rsid w:val="5040C991"/>
    <w:rsid w:val="5046169C"/>
    <w:rsid w:val="5047AB02"/>
    <w:rsid w:val="505382F6"/>
    <w:rsid w:val="505E5B5D"/>
    <w:rsid w:val="505FE502"/>
    <w:rsid w:val="506F921F"/>
    <w:rsid w:val="5074D54A"/>
    <w:rsid w:val="5077802C"/>
    <w:rsid w:val="507882E7"/>
    <w:rsid w:val="507CCD3E"/>
    <w:rsid w:val="5082B2D5"/>
    <w:rsid w:val="50883A12"/>
    <w:rsid w:val="508CF74D"/>
    <w:rsid w:val="5091673A"/>
    <w:rsid w:val="50979D2C"/>
    <w:rsid w:val="50A23C89"/>
    <w:rsid w:val="50A49CB1"/>
    <w:rsid w:val="50B49E95"/>
    <w:rsid w:val="50B98881"/>
    <w:rsid w:val="50BE37F6"/>
    <w:rsid w:val="50CA87F2"/>
    <w:rsid w:val="50CC5502"/>
    <w:rsid w:val="50D0E706"/>
    <w:rsid w:val="50D78AD6"/>
    <w:rsid w:val="50F2D989"/>
    <w:rsid w:val="50FDE901"/>
    <w:rsid w:val="51017688"/>
    <w:rsid w:val="5106B7A6"/>
    <w:rsid w:val="511B0A73"/>
    <w:rsid w:val="51292B58"/>
    <w:rsid w:val="512A070C"/>
    <w:rsid w:val="514609ED"/>
    <w:rsid w:val="51638CC5"/>
    <w:rsid w:val="516AAACC"/>
    <w:rsid w:val="516B4108"/>
    <w:rsid w:val="516ED5B1"/>
    <w:rsid w:val="517352B7"/>
    <w:rsid w:val="51765634"/>
    <w:rsid w:val="517CD551"/>
    <w:rsid w:val="517DEF71"/>
    <w:rsid w:val="51846931"/>
    <w:rsid w:val="51963F67"/>
    <w:rsid w:val="519910E2"/>
    <w:rsid w:val="51AAAB61"/>
    <w:rsid w:val="51B9F3AE"/>
    <w:rsid w:val="51C23B9F"/>
    <w:rsid w:val="51C2C7C7"/>
    <w:rsid w:val="51CD203A"/>
    <w:rsid w:val="51D2D263"/>
    <w:rsid w:val="51DE0C94"/>
    <w:rsid w:val="51E8FCCC"/>
    <w:rsid w:val="51F95518"/>
    <w:rsid w:val="52023266"/>
    <w:rsid w:val="5206629C"/>
    <w:rsid w:val="52086776"/>
    <w:rsid w:val="5208DB98"/>
    <w:rsid w:val="5211473D"/>
    <w:rsid w:val="5214A8C1"/>
    <w:rsid w:val="522A2DD7"/>
    <w:rsid w:val="522C6F59"/>
    <w:rsid w:val="522FA50F"/>
    <w:rsid w:val="524AB3AB"/>
    <w:rsid w:val="524E3709"/>
    <w:rsid w:val="524E6338"/>
    <w:rsid w:val="5257DB64"/>
    <w:rsid w:val="5263C4FB"/>
    <w:rsid w:val="526DCA42"/>
    <w:rsid w:val="527BEA61"/>
    <w:rsid w:val="527F01A5"/>
    <w:rsid w:val="52938ED9"/>
    <w:rsid w:val="52A2DA70"/>
    <w:rsid w:val="52A6CDD6"/>
    <w:rsid w:val="52AFA709"/>
    <w:rsid w:val="52C640A6"/>
    <w:rsid w:val="52CCF2F0"/>
    <w:rsid w:val="52E5C41A"/>
    <w:rsid w:val="52E8569E"/>
    <w:rsid w:val="52EB2F87"/>
    <w:rsid w:val="52F845E0"/>
    <w:rsid w:val="5305B560"/>
    <w:rsid w:val="530EE70A"/>
    <w:rsid w:val="5311BC0F"/>
    <w:rsid w:val="53135AA3"/>
    <w:rsid w:val="5313BAC6"/>
    <w:rsid w:val="532189CA"/>
    <w:rsid w:val="532DA56F"/>
    <w:rsid w:val="533B04A3"/>
    <w:rsid w:val="5344FF47"/>
    <w:rsid w:val="53464E72"/>
    <w:rsid w:val="5352BA69"/>
    <w:rsid w:val="53589957"/>
    <w:rsid w:val="5358BBA3"/>
    <w:rsid w:val="53654997"/>
    <w:rsid w:val="53686513"/>
    <w:rsid w:val="5375C477"/>
    <w:rsid w:val="537704E2"/>
    <w:rsid w:val="5395B340"/>
    <w:rsid w:val="53A0D00A"/>
    <w:rsid w:val="53A24833"/>
    <w:rsid w:val="53B68851"/>
    <w:rsid w:val="53B93F41"/>
    <w:rsid w:val="53BF8376"/>
    <w:rsid w:val="53C1AC5D"/>
    <w:rsid w:val="53D35513"/>
    <w:rsid w:val="53E8C30F"/>
    <w:rsid w:val="53F4846F"/>
    <w:rsid w:val="53F56585"/>
    <w:rsid w:val="53F95035"/>
    <w:rsid w:val="542EE5AC"/>
    <w:rsid w:val="5430DCA7"/>
    <w:rsid w:val="544741CC"/>
    <w:rsid w:val="544A1EFC"/>
    <w:rsid w:val="5453A49B"/>
    <w:rsid w:val="5453F97C"/>
    <w:rsid w:val="5457EA34"/>
    <w:rsid w:val="545E3767"/>
    <w:rsid w:val="545EC097"/>
    <w:rsid w:val="5460AC33"/>
    <w:rsid w:val="546E7B17"/>
    <w:rsid w:val="546EED3D"/>
    <w:rsid w:val="5475931C"/>
    <w:rsid w:val="548B8126"/>
    <w:rsid w:val="5490DFF1"/>
    <w:rsid w:val="5491767E"/>
    <w:rsid w:val="5495CA8E"/>
    <w:rsid w:val="549A04FB"/>
    <w:rsid w:val="549A5109"/>
    <w:rsid w:val="549B7D92"/>
    <w:rsid w:val="54C4E85F"/>
    <w:rsid w:val="54C98A9B"/>
    <w:rsid w:val="54E2A3B9"/>
    <w:rsid w:val="54E4F557"/>
    <w:rsid w:val="54E848C4"/>
    <w:rsid w:val="54ED31D9"/>
    <w:rsid w:val="54F390A8"/>
    <w:rsid w:val="550688F6"/>
    <w:rsid w:val="550C62D9"/>
    <w:rsid w:val="551112DC"/>
    <w:rsid w:val="551995A1"/>
    <w:rsid w:val="55328F58"/>
    <w:rsid w:val="5536B645"/>
    <w:rsid w:val="5537A6B7"/>
    <w:rsid w:val="55402807"/>
    <w:rsid w:val="5546AEB3"/>
    <w:rsid w:val="55495422"/>
    <w:rsid w:val="554FEF3F"/>
    <w:rsid w:val="55533447"/>
    <w:rsid w:val="55594B3A"/>
    <w:rsid w:val="55670D82"/>
    <w:rsid w:val="556B52F0"/>
    <w:rsid w:val="556C41C6"/>
    <w:rsid w:val="55751B2E"/>
    <w:rsid w:val="5589AA43"/>
    <w:rsid w:val="55AB5A09"/>
    <w:rsid w:val="55B07FB7"/>
    <w:rsid w:val="55C28EB7"/>
    <w:rsid w:val="55C54B69"/>
    <w:rsid w:val="55D5B7A8"/>
    <w:rsid w:val="55E5AED8"/>
    <w:rsid w:val="55F6DC59"/>
    <w:rsid w:val="55FBDCC8"/>
    <w:rsid w:val="560570FF"/>
    <w:rsid w:val="5608A5CF"/>
    <w:rsid w:val="56279D6D"/>
    <w:rsid w:val="563D509E"/>
    <w:rsid w:val="564DBE80"/>
    <w:rsid w:val="5653DE11"/>
    <w:rsid w:val="56549A0D"/>
    <w:rsid w:val="5657B7CD"/>
    <w:rsid w:val="56617C97"/>
    <w:rsid w:val="567225DA"/>
    <w:rsid w:val="56785C75"/>
    <w:rsid w:val="567E8D57"/>
    <w:rsid w:val="5696086C"/>
    <w:rsid w:val="56A36A6F"/>
    <w:rsid w:val="56A84206"/>
    <w:rsid w:val="56B2A0F6"/>
    <w:rsid w:val="56B51103"/>
    <w:rsid w:val="56D17366"/>
    <w:rsid w:val="56D3E980"/>
    <w:rsid w:val="56D77AFF"/>
    <w:rsid w:val="56D79ADB"/>
    <w:rsid w:val="56E53691"/>
    <w:rsid w:val="56E818BC"/>
    <w:rsid w:val="56EE86D2"/>
    <w:rsid w:val="57010EE7"/>
    <w:rsid w:val="570E6B39"/>
    <w:rsid w:val="570F26BC"/>
    <w:rsid w:val="5718417D"/>
    <w:rsid w:val="57264CFD"/>
    <w:rsid w:val="5726BA79"/>
    <w:rsid w:val="57360E75"/>
    <w:rsid w:val="576E38E9"/>
    <w:rsid w:val="5776E66A"/>
    <w:rsid w:val="578E2678"/>
    <w:rsid w:val="57ADA969"/>
    <w:rsid w:val="57B3A5FA"/>
    <w:rsid w:val="57B45C21"/>
    <w:rsid w:val="57BFE1BF"/>
    <w:rsid w:val="57DA2630"/>
    <w:rsid w:val="57DF7848"/>
    <w:rsid w:val="5807E2AF"/>
    <w:rsid w:val="58287F09"/>
    <w:rsid w:val="5839669D"/>
    <w:rsid w:val="58397FE5"/>
    <w:rsid w:val="58440FC7"/>
    <w:rsid w:val="58466A92"/>
    <w:rsid w:val="584CEC00"/>
    <w:rsid w:val="58566ABE"/>
    <w:rsid w:val="585AAF13"/>
    <w:rsid w:val="585C574A"/>
    <w:rsid w:val="5868B2B7"/>
    <w:rsid w:val="5868CCAB"/>
    <w:rsid w:val="5872621E"/>
    <w:rsid w:val="587B841C"/>
    <w:rsid w:val="58804EDC"/>
    <w:rsid w:val="58818E07"/>
    <w:rsid w:val="588DB4F4"/>
    <w:rsid w:val="588DCCAE"/>
    <w:rsid w:val="589CA3CB"/>
    <w:rsid w:val="58A5A298"/>
    <w:rsid w:val="58B78BE7"/>
    <w:rsid w:val="58BC3791"/>
    <w:rsid w:val="58BC9818"/>
    <w:rsid w:val="58C55ED3"/>
    <w:rsid w:val="58DA3DA4"/>
    <w:rsid w:val="58EC8A48"/>
    <w:rsid w:val="590A26D4"/>
    <w:rsid w:val="5910C1F5"/>
    <w:rsid w:val="5913C861"/>
    <w:rsid w:val="591611A6"/>
    <w:rsid w:val="591E3520"/>
    <w:rsid w:val="592253F2"/>
    <w:rsid w:val="5931C03E"/>
    <w:rsid w:val="5933199A"/>
    <w:rsid w:val="593D2261"/>
    <w:rsid w:val="5941B792"/>
    <w:rsid w:val="59421E48"/>
    <w:rsid w:val="594D1C48"/>
    <w:rsid w:val="595560B1"/>
    <w:rsid w:val="5959EEB4"/>
    <w:rsid w:val="595BCDB8"/>
    <w:rsid w:val="596B8DCE"/>
    <w:rsid w:val="59791233"/>
    <w:rsid w:val="597BACF6"/>
    <w:rsid w:val="59863F66"/>
    <w:rsid w:val="59A05644"/>
    <w:rsid w:val="59A54312"/>
    <w:rsid w:val="59A8C941"/>
    <w:rsid w:val="59AB4E67"/>
    <w:rsid w:val="59C2B3B3"/>
    <w:rsid w:val="59C9AEC4"/>
    <w:rsid w:val="59CEAA84"/>
    <w:rsid w:val="59E0DF16"/>
    <w:rsid w:val="59F7B645"/>
    <w:rsid w:val="59F82EAE"/>
    <w:rsid w:val="5A072844"/>
    <w:rsid w:val="5A0B8277"/>
    <w:rsid w:val="5A0BC8CE"/>
    <w:rsid w:val="5A0BEA5D"/>
    <w:rsid w:val="5A1158A8"/>
    <w:rsid w:val="5A1BAEDE"/>
    <w:rsid w:val="5A31F18E"/>
    <w:rsid w:val="5A44A757"/>
    <w:rsid w:val="5A4C9B95"/>
    <w:rsid w:val="5A4DBB2D"/>
    <w:rsid w:val="5A4DE7FB"/>
    <w:rsid w:val="5A4E81D6"/>
    <w:rsid w:val="5A4F4785"/>
    <w:rsid w:val="5A576B34"/>
    <w:rsid w:val="5A653189"/>
    <w:rsid w:val="5A6CB328"/>
    <w:rsid w:val="5A70BEDB"/>
    <w:rsid w:val="5A725B7E"/>
    <w:rsid w:val="5A7895C4"/>
    <w:rsid w:val="5A893C93"/>
    <w:rsid w:val="5A903834"/>
    <w:rsid w:val="5A913D1B"/>
    <w:rsid w:val="5A9DA46A"/>
    <w:rsid w:val="5ABD5ED3"/>
    <w:rsid w:val="5AC9E826"/>
    <w:rsid w:val="5AD16973"/>
    <w:rsid w:val="5AD57036"/>
    <w:rsid w:val="5AEC91EB"/>
    <w:rsid w:val="5AF8164D"/>
    <w:rsid w:val="5AFD75FD"/>
    <w:rsid w:val="5AFFC912"/>
    <w:rsid w:val="5B035392"/>
    <w:rsid w:val="5B09AAE6"/>
    <w:rsid w:val="5B09CC34"/>
    <w:rsid w:val="5B1A0466"/>
    <w:rsid w:val="5B2144E5"/>
    <w:rsid w:val="5B218688"/>
    <w:rsid w:val="5B2E88BA"/>
    <w:rsid w:val="5B3E3FF8"/>
    <w:rsid w:val="5B4359C5"/>
    <w:rsid w:val="5B48523F"/>
    <w:rsid w:val="5B580F7F"/>
    <w:rsid w:val="5B5B8982"/>
    <w:rsid w:val="5B5F999F"/>
    <w:rsid w:val="5B638EF2"/>
    <w:rsid w:val="5B77C562"/>
    <w:rsid w:val="5B8B1AE8"/>
    <w:rsid w:val="5BA6CC98"/>
    <w:rsid w:val="5BAB5FCE"/>
    <w:rsid w:val="5BABD206"/>
    <w:rsid w:val="5BB0F407"/>
    <w:rsid w:val="5BB76810"/>
    <w:rsid w:val="5BBCD267"/>
    <w:rsid w:val="5BC39FEB"/>
    <w:rsid w:val="5BD6F47F"/>
    <w:rsid w:val="5BDA35E0"/>
    <w:rsid w:val="5BF415A7"/>
    <w:rsid w:val="5BFAA951"/>
    <w:rsid w:val="5C1424DC"/>
    <w:rsid w:val="5C199094"/>
    <w:rsid w:val="5C2127F0"/>
    <w:rsid w:val="5C22AFA8"/>
    <w:rsid w:val="5C32565E"/>
    <w:rsid w:val="5C3329E9"/>
    <w:rsid w:val="5C33E081"/>
    <w:rsid w:val="5C3F33CF"/>
    <w:rsid w:val="5C3FB276"/>
    <w:rsid w:val="5C453A0C"/>
    <w:rsid w:val="5C4C96EA"/>
    <w:rsid w:val="5C761531"/>
    <w:rsid w:val="5C76FF28"/>
    <w:rsid w:val="5C8043A5"/>
    <w:rsid w:val="5C86B303"/>
    <w:rsid w:val="5C9988F8"/>
    <w:rsid w:val="5C9C7E70"/>
    <w:rsid w:val="5CA4E4B2"/>
    <w:rsid w:val="5CACEA6A"/>
    <w:rsid w:val="5CB2A5A8"/>
    <w:rsid w:val="5CC0A7B8"/>
    <w:rsid w:val="5CC51E90"/>
    <w:rsid w:val="5CCC31C6"/>
    <w:rsid w:val="5CD1F663"/>
    <w:rsid w:val="5CD49478"/>
    <w:rsid w:val="5CD49A81"/>
    <w:rsid w:val="5CD80F50"/>
    <w:rsid w:val="5D0D9CEF"/>
    <w:rsid w:val="5D17F9D3"/>
    <w:rsid w:val="5D194AEC"/>
    <w:rsid w:val="5D1C499C"/>
    <w:rsid w:val="5D1D617C"/>
    <w:rsid w:val="5D1F1717"/>
    <w:rsid w:val="5D2792B5"/>
    <w:rsid w:val="5D3104D8"/>
    <w:rsid w:val="5D347A81"/>
    <w:rsid w:val="5D3AFEF1"/>
    <w:rsid w:val="5D505BE6"/>
    <w:rsid w:val="5D531F2C"/>
    <w:rsid w:val="5D565121"/>
    <w:rsid w:val="5D5F6703"/>
    <w:rsid w:val="5D64726A"/>
    <w:rsid w:val="5D6C6949"/>
    <w:rsid w:val="5D72AE7C"/>
    <w:rsid w:val="5D8DC424"/>
    <w:rsid w:val="5D973236"/>
    <w:rsid w:val="5D9E8D35"/>
    <w:rsid w:val="5D9F8447"/>
    <w:rsid w:val="5DA0E42C"/>
    <w:rsid w:val="5DABE61E"/>
    <w:rsid w:val="5DB68567"/>
    <w:rsid w:val="5DBA1952"/>
    <w:rsid w:val="5DC08D90"/>
    <w:rsid w:val="5DC67CE6"/>
    <w:rsid w:val="5DCDF17D"/>
    <w:rsid w:val="5DD47818"/>
    <w:rsid w:val="5DD9ADD1"/>
    <w:rsid w:val="5DE9E137"/>
    <w:rsid w:val="5E00A193"/>
    <w:rsid w:val="5E00D526"/>
    <w:rsid w:val="5E05FAEA"/>
    <w:rsid w:val="5E261D9D"/>
    <w:rsid w:val="5E2B7300"/>
    <w:rsid w:val="5E2BE039"/>
    <w:rsid w:val="5E31D95F"/>
    <w:rsid w:val="5E34E972"/>
    <w:rsid w:val="5E372146"/>
    <w:rsid w:val="5E42C7CB"/>
    <w:rsid w:val="5E77344A"/>
    <w:rsid w:val="5E7AF7E6"/>
    <w:rsid w:val="5E88BE82"/>
    <w:rsid w:val="5E8E33C8"/>
    <w:rsid w:val="5E8EE6BB"/>
    <w:rsid w:val="5E93D035"/>
    <w:rsid w:val="5E9A1827"/>
    <w:rsid w:val="5EA42D4B"/>
    <w:rsid w:val="5EA4640C"/>
    <w:rsid w:val="5EAF5187"/>
    <w:rsid w:val="5EB7A8AD"/>
    <w:rsid w:val="5EC0FA66"/>
    <w:rsid w:val="5EC12EA2"/>
    <w:rsid w:val="5EC6B0AD"/>
    <w:rsid w:val="5ECAC069"/>
    <w:rsid w:val="5ECF54B8"/>
    <w:rsid w:val="5EDE92A2"/>
    <w:rsid w:val="5EF1932D"/>
    <w:rsid w:val="5F00C4A7"/>
    <w:rsid w:val="5F034249"/>
    <w:rsid w:val="5F08D909"/>
    <w:rsid w:val="5F12C233"/>
    <w:rsid w:val="5F1A7436"/>
    <w:rsid w:val="5F24C2B0"/>
    <w:rsid w:val="5F4A2915"/>
    <w:rsid w:val="5F4F7639"/>
    <w:rsid w:val="5F512A53"/>
    <w:rsid w:val="5F51A8F9"/>
    <w:rsid w:val="5F53BD2C"/>
    <w:rsid w:val="5F6257DB"/>
    <w:rsid w:val="5F6CDE68"/>
    <w:rsid w:val="5F6ED2EC"/>
    <w:rsid w:val="5F7A693F"/>
    <w:rsid w:val="5F812CCA"/>
    <w:rsid w:val="5F82914A"/>
    <w:rsid w:val="5F886077"/>
    <w:rsid w:val="5F89D48C"/>
    <w:rsid w:val="5F92C24B"/>
    <w:rsid w:val="5F9E7BAF"/>
    <w:rsid w:val="5FBBE3FB"/>
    <w:rsid w:val="5FBCDB8E"/>
    <w:rsid w:val="5FC2EB3B"/>
    <w:rsid w:val="5FC70D67"/>
    <w:rsid w:val="5FC7919B"/>
    <w:rsid w:val="5FCC9CAC"/>
    <w:rsid w:val="5FDE55E7"/>
    <w:rsid w:val="5FDFF180"/>
    <w:rsid w:val="5FE8ED82"/>
    <w:rsid w:val="5FF27B11"/>
    <w:rsid w:val="6018F26B"/>
    <w:rsid w:val="601EE776"/>
    <w:rsid w:val="602A260F"/>
    <w:rsid w:val="604D81A4"/>
    <w:rsid w:val="606DFDF7"/>
    <w:rsid w:val="6079E6A4"/>
    <w:rsid w:val="607FAC24"/>
    <w:rsid w:val="6082BA16"/>
    <w:rsid w:val="6086D400"/>
    <w:rsid w:val="60884D25"/>
    <w:rsid w:val="608E2D89"/>
    <w:rsid w:val="60A4AB8F"/>
    <w:rsid w:val="60AE5F6C"/>
    <w:rsid w:val="60C3A48C"/>
    <w:rsid w:val="60C826AB"/>
    <w:rsid w:val="60D18E63"/>
    <w:rsid w:val="60D37741"/>
    <w:rsid w:val="60D61AE6"/>
    <w:rsid w:val="610E8AA3"/>
    <w:rsid w:val="61297109"/>
    <w:rsid w:val="6131B51D"/>
    <w:rsid w:val="6135F070"/>
    <w:rsid w:val="61403FFC"/>
    <w:rsid w:val="614D4473"/>
    <w:rsid w:val="614D75B5"/>
    <w:rsid w:val="61816C54"/>
    <w:rsid w:val="61841371"/>
    <w:rsid w:val="6186FFE1"/>
    <w:rsid w:val="61A07DC2"/>
    <w:rsid w:val="61A183EA"/>
    <w:rsid w:val="61A716B5"/>
    <w:rsid w:val="61A9534D"/>
    <w:rsid w:val="61AE3C67"/>
    <w:rsid w:val="61B4B4EF"/>
    <w:rsid w:val="61CA8EF1"/>
    <w:rsid w:val="61E1465E"/>
    <w:rsid w:val="61EEBBDF"/>
    <w:rsid w:val="61F46D76"/>
    <w:rsid w:val="62006F68"/>
    <w:rsid w:val="6207151C"/>
    <w:rsid w:val="621A8BF4"/>
    <w:rsid w:val="621BBF34"/>
    <w:rsid w:val="621D657B"/>
    <w:rsid w:val="62278DF6"/>
    <w:rsid w:val="622F9F07"/>
    <w:rsid w:val="622FD74D"/>
    <w:rsid w:val="624E6795"/>
    <w:rsid w:val="62685515"/>
    <w:rsid w:val="626F06AB"/>
    <w:rsid w:val="62809B55"/>
    <w:rsid w:val="62850F5E"/>
    <w:rsid w:val="6289E85A"/>
    <w:rsid w:val="6294E413"/>
    <w:rsid w:val="62964AD9"/>
    <w:rsid w:val="629804D3"/>
    <w:rsid w:val="6299B136"/>
    <w:rsid w:val="62A0F868"/>
    <w:rsid w:val="62B64FC5"/>
    <w:rsid w:val="62B7FEAE"/>
    <w:rsid w:val="62CD9E44"/>
    <w:rsid w:val="62D94B4D"/>
    <w:rsid w:val="62F055B4"/>
    <w:rsid w:val="62FAD0C4"/>
    <w:rsid w:val="62FF6A52"/>
    <w:rsid w:val="630744FD"/>
    <w:rsid w:val="631AB100"/>
    <w:rsid w:val="631CA3AD"/>
    <w:rsid w:val="6322898F"/>
    <w:rsid w:val="63284D79"/>
    <w:rsid w:val="633B2D5A"/>
    <w:rsid w:val="633EF74C"/>
    <w:rsid w:val="635035D6"/>
    <w:rsid w:val="635156AA"/>
    <w:rsid w:val="63648685"/>
    <w:rsid w:val="63650646"/>
    <w:rsid w:val="63695A26"/>
    <w:rsid w:val="637F6F73"/>
    <w:rsid w:val="6394A35D"/>
    <w:rsid w:val="639E41DA"/>
    <w:rsid w:val="63AFBF0B"/>
    <w:rsid w:val="63C19682"/>
    <w:rsid w:val="63C33886"/>
    <w:rsid w:val="63C65F52"/>
    <w:rsid w:val="63C8059A"/>
    <w:rsid w:val="63C81171"/>
    <w:rsid w:val="63CEE0D0"/>
    <w:rsid w:val="63D02FAF"/>
    <w:rsid w:val="63E63699"/>
    <w:rsid w:val="63F0C244"/>
    <w:rsid w:val="640E1AEA"/>
    <w:rsid w:val="640E5D09"/>
    <w:rsid w:val="6411B28A"/>
    <w:rsid w:val="642008D5"/>
    <w:rsid w:val="64251314"/>
    <w:rsid w:val="64294822"/>
    <w:rsid w:val="6436C82E"/>
    <w:rsid w:val="643AC928"/>
    <w:rsid w:val="644A1CB6"/>
    <w:rsid w:val="64502249"/>
    <w:rsid w:val="6451FCA7"/>
    <w:rsid w:val="64546C0A"/>
    <w:rsid w:val="64596D6C"/>
    <w:rsid w:val="645A5225"/>
    <w:rsid w:val="6473334B"/>
    <w:rsid w:val="64738F53"/>
    <w:rsid w:val="64747641"/>
    <w:rsid w:val="647D1AD9"/>
    <w:rsid w:val="647DE90F"/>
    <w:rsid w:val="64808B70"/>
    <w:rsid w:val="649925C6"/>
    <w:rsid w:val="64ABFA91"/>
    <w:rsid w:val="64B194D4"/>
    <w:rsid w:val="64B1A6B6"/>
    <w:rsid w:val="64B6ADD6"/>
    <w:rsid w:val="64BA658D"/>
    <w:rsid w:val="64C3D032"/>
    <w:rsid w:val="64D79E99"/>
    <w:rsid w:val="64D99D71"/>
    <w:rsid w:val="64DBE4BF"/>
    <w:rsid w:val="64FCEB26"/>
    <w:rsid w:val="6517FEA9"/>
    <w:rsid w:val="6540D18D"/>
    <w:rsid w:val="65416027"/>
    <w:rsid w:val="65421E1A"/>
    <w:rsid w:val="654856CC"/>
    <w:rsid w:val="654D405E"/>
    <w:rsid w:val="655005A9"/>
    <w:rsid w:val="6566EF67"/>
    <w:rsid w:val="657DC94E"/>
    <w:rsid w:val="658AA4C1"/>
    <w:rsid w:val="6595E496"/>
    <w:rsid w:val="65A2FC77"/>
    <w:rsid w:val="65AA8C49"/>
    <w:rsid w:val="65B90DF5"/>
    <w:rsid w:val="65BA93FC"/>
    <w:rsid w:val="65BE7BCA"/>
    <w:rsid w:val="65DB0A17"/>
    <w:rsid w:val="65EAC613"/>
    <w:rsid w:val="65ECEE40"/>
    <w:rsid w:val="65FFB4D9"/>
    <w:rsid w:val="66000C29"/>
    <w:rsid w:val="6600A86E"/>
    <w:rsid w:val="660D1035"/>
    <w:rsid w:val="6623B443"/>
    <w:rsid w:val="662FF02E"/>
    <w:rsid w:val="6632883D"/>
    <w:rsid w:val="66390E5E"/>
    <w:rsid w:val="66392E34"/>
    <w:rsid w:val="6652BDA1"/>
    <w:rsid w:val="66581E00"/>
    <w:rsid w:val="665A40E1"/>
    <w:rsid w:val="6665FFCF"/>
    <w:rsid w:val="666E4436"/>
    <w:rsid w:val="6675BE80"/>
    <w:rsid w:val="6678AD75"/>
    <w:rsid w:val="667B4D5A"/>
    <w:rsid w:val="66870DA0"/>
    <w:rsid w:val="668E507C"/>
    <w:rsid w:val="669F0EFB"/>
    <w:rsid w:val="66A1C43E"/>
    <w:rsid w:val="66A255AE"/>
    <w:rsid w:val="66ADD894"/>
    <w:rsid w:val="66B00A60"/>
    <w:rsid w:val="66B21E15"/>
    <w:rsid w:val="66BA67FD"/>
    <w:rsid w:val="66C081ED"/>
    <w:rsid w:val="66CBAE73"/>
    <w:rsid w:val="66CBF608"/>
    <w:rsid w:val="66DCC7E9"/>
    <w:rsid w:val="66E39F76"/>
    <w:rsid w:val="66EB95BE"/>
    <w:rsid w:val="66EDA8DF"/>
    <w:rsid w:val="66EF4B1D"/>
    <w:rsid w:val="66F45C9D"/>
    <w:rsid w:val="66F5C90C"/>
    <w:rsid w:val="66FE35EE"/>
    <w:rsid w:val="67090297"/>
    <w:rsid w:val="67091D48"/>
    <w:rsid w:val="6713CFEA"/>
    <w:rsid w:val="67341078"/>
    <w:rsid w:val="673737A3"/>
    <w:rsid w:val="6739331A"/>
    <w:rsid w:val="674E41D8"/>
    <w:rsid w:val="6755225D"/>
    <w:rsid w:val="675BB258"/>
    <w:rsid w:val="67600FAD"/>
    <w:rsid w:val="676674CA"/>
    <w:rsid w:val="6769DBD8"/>
    <w:rsid w:val="677796D6"/>
    <w:rsid w:val="67781A37"/>
    <w:rsid w:val="6785AB02"/>
    <w:rsid w:val="67890522"/>
    <w:rsid w:val="678C58E2"/>
    <w:rsid w:val="678F55AA"/>
    <w:rsid w:val="67956D86"/>
    <w:rsid w:val="67A1F749"/>
    <w:rsid w:val="67A4BF71"/>
    <w:rsid w:val="67B04D16"/>
    <w:rsid w:val="67B967D3"/>
    <w:rsid w:val="67BA35C5"/>
    <w:rsid w:val="67BDCAAA"/>
    <w:rsid w:val="67CBA8B1"/>
    <w:rsid w:val="67CBF950"/>
    <w:rsid w:val="67CE5143"/>
    <w:rsid w:val="67DC52D9"/>
    <w:rsid w:val="67F42BF0"/>
    <w:rsid w:val="67F59FF4"/>
    <w:rsid w:val="67F92D89"/>
    <w:rsid w:val="6803A7BE"/>
    <w:rsid w:val="68065C47"/>
    <w:rsid w:val="68087952"/>
    <w:rsid w:val="680FDA2E"/>
    <w:rsid w:val="6817F1F6"/>
    <w:rsid w:val="6819E780"/>
    <w:rsid w:val="68251D1A"/>
    <w:rsid w:val="68268DA9"/>
    <w:rsid w:val="682901A7"/>
    <w:rsid w:val="68314C18"/>
    <w:rsid w:val="6837301E"/>
    <w:rsid w:val="6838A32F"/>
    <w:rsid w:val="68393CC5"/>
    <w:rsid w:val="683F69BC"/>
    <w:rsid w:val="68493BBB"/>
    <w:rsid w:val="684A144C"/>
    <w:rsid w:val="684B3EC3"/>
    <w:rsid w:val="684C9D2E"/>
    <w:rsid w:val="685488A8"/>
    <w:rsid w:val="68577D96"/>
    <w:rsid w:val="6864FA9D"/>
    <w:rsid w:val="686EE689"/>
    <w:rsid w:val="68823202"/>
    <w:rsid w:val="6890A72D"/>
    <w:rsid w:val="68990820"/>
    <w:rsid w:val="68A5B0D7"/>
    <w:rsid w:val="68B12900"/>
    <w:rsid w:val="68B7BA2C"/>
    <w:rsid w:val="68B956D7"/>
    <w:rsid w:val="68C1AA14"/>
    <w:rsid w:val="68C673BE"/>
    <w:rsid w:val="68E77FF9"/>
    <w:rsid w:val="68EB74CD"/>
    <w:rsid w:val="68F650AA"/>
    <w:rsid w:val="68FCBAC7"/>
    <w:rsid w:val="6911F863"/>
    <w:rsid w:val="69125913"/>
    <w:rsid w:val="69150563"/>
    <w:rsid w:val="692DA9F2"/>
    <w:rsid w:val="693C75EE"/>
    <w:rsid w:val="69408494"/>
    <w:rsid w:val="6944350F"/>
    <w:rsid w:val="69493734"/>
    <w:rsid w:val="694D4C13"/>
    <w:rsid w:val="6952C3FD"/>
    <w:rsid w:val="6965D267"/>
    <w:rsid w:val="69733F73"/>
    <w:rsid w:val="6976E025"/>
    <w:rsid w:val="69956A54"/>
    <w:rsid w:val="699DE456"/>
    <w:rsid w:val="69C8BB62"/>
    <w:rsid w:val="69CA37E7"/>
    <w:rsid w:val="69D61435"/>
    <w:rsid w:val="69FCA9E6"/>
    <w:rsid w:val="69FD5C66"/>
    <w:rsid w:val="6A031DB3"/>
    <w:rsid w:val="6A05DEAC"/>
    <w:rsid w:val="6A1A0CE6"/>
    <w:rsid w:val="6A2375EF"/>
    <w:rsid w:val="6A2C83F7"/>
    <w:rsid w:val="6A2D5E1A"/>
    <w:rsid w:val="6A301CCE"/>
    <w:rsid w:val="6A4D989C"/>
    <w:rsid w:val="6A4F3983"/>
    <w:rsid w:val="6A637B65"/>
    <w:rsid w:val="6A649F8B"/>
    <w:rsid w:val="6A69A10E"/>
    <w:rsid w:val="6A6DE836"/>
    <w:rsid w:val="6A7BA51D"/>
    <w:rsid w:val="6A7E54CD"/>
    <w:rsid w:val="6A7FF557"/>
    <w:rsid w:val="6A81DAED"/>
    <w:rsid w:val="6A8A33FD"/>
    <w:rsid w:val="6A8C0094"/>
    <w:rsid w:val="6A9D31F0"/>
    <w:rsid w:val="6AA102FC"/>
    <w:rsid w:val="6AAC9CA5"/>
    <w:rsid w:val="6AB0A175"/>
    <w:rsid w:val="6ACFA736"/>
    <w:rsid w:val="6AFB147A"/>
    <w:rsid w:val="6B04DF49"/>
    <w:rsid w:val="6B0F30C4"/>
    <w:rsid w:val="6B20A82D"/>
    <w:rsid w:val="6B224BF1"/>
    <w:rsid w:val="6B313C59"/>
    <w:rsid w:val="6B55FAE2"/>
    <w:rsid w:val="6B63BA80"/>
    <w:rsid w:val="6B647117"/>
    <w:rsid w:val="6B6E6633"/>
    <w:rsid w:val="6B6EDE0D"/>
    <w:rsid w:val="6B71271F"/>
    <w:rsid w:val="6B78F11A"/>
    <w:rsid w:val="6B7DDE0C"/>
    <w:rsid w:val="6B802136"/>
    <w:rsid w:val="6B8214FB"/>
    <w:rsid w:val="6B86D497"/>
    <w:rsid w:val="6B877AC1"/>
    <w:rsid w:val="6B889E6C"/>
    <w:rsid w:val="6B96F616"/>
    <w:rsid w:val="6B9E4D1A"/>
    <w:rsid w:val="6BA61BE4"/>
    <w:rsid w:val="6BA6641A"/>
    <w:rsid w:val="6BA8622D"/>
    <w:rsid w:val="6BAFB92C"/>
    <w:rsid w:val="6BB46874"/>
    <w:rsid w:val="6BBF039F"/>
    <w:rsid w:val="6BC1C1DD"/>
    <w:rsid w:val="6BC5C09E"/>
    <w:rsid w:val="6BD00C80"/>
    <w:rsid w:val="6BD6D48D"/>
    <w:rsid w:val="6BE236FF"/>
    <w:rsid w:val="6BE3043B"/>
    <w:rsid w:val="6BEB8683"/>
    <w:rsid w:val="6C2D7166"/>
    <w:rsid w:val="6C3566A4"/>
    <w:rsid w:val="6C3BD8A9"/>
    <w:rsid w:val="6C4A0CD2"/>
    <w:rsid w:val="6C75B5AB"/>
    <w:rsid w:val="6C7BA429"/>
    <w:rsid w:val="6C7F19BD"/>
    <w:rsid w:val="6C8920AA"/>
    <w:rsid w:val="6C897BAD"/>
    <w:rsid w:val="6C94EDF2"/>
    <w:rsid w:val="6C97756E"/>
    <w:rsid w:val="6CAA7826"/>
    <w:rsid w:val="6CB0709C"/>
    <w:rsid w:val="6CB4B271"/>
    <w:rsid w:val="6CC20632"/>
    <w:rsid w:val="6CD2CB68"/>
    <w:rsid w:val="6CD5FC25"/>
    <w:rsid w:val="6CEA04FF"/>
    <w:rsid w:val="6D01A886"/>
    <w:rsid w:val="6D30A04A"/>
    <w:rsid w:val="6D346F13"/>
    <w:rsid w:val="6D3B8FF2"/>
    <w:rsid w:val="6D47C308"/>
    <w:rsid w:val="6D50E49D"/>
    <w:rsid w:val="6D538DDE"/>
    <w:rsid w:val="6D6A3F45"/>
    <w:rsid w:val="6D7B4652"/>
    <w:rsid w:val="6D86B03A"/>
    <w:rsid w:val="6D99282D"/>
    <w:rsid w:val="6DA303EA"/>
    <w:rsid w:val="6DC762A6"/>
    <w:rsid w:val="6DCA578A"/>
    <w:rsid w:val="6DCE52B2"/>
    <w:rsid w:val="6DDACF12"/>
    <w:rsid w:val="6DDAF057"/>
    <w:rsid w:val="6DE65C85"/>
    <w:rsid w:val="6DF5E16D"/>
    <w:rsid w:val="6DFA775E"/>
    <w:rsid w:val="6DFB6FEA"/>
    <w:rsid w:val="6E012A10"/>
    <w:rsid w:val="6E03B0F0"/>
    <w:rsid w:val="6E08C690"/>
    <w:rsid w:val="6E08EBA4"/>
    <w:rsid w:val="6E201107"/>
    <w:rsid w:val="6E35B354"/>
    <w:rsid w:val="6E3A95A7"/>
    <w:rsid w:val="6E3EB8A9"/>
    <w:rsid w:val="6E3F816F"/>
    <w:rsid w:val="6E3FEE12"/>
    <w:rsid w:val="6E451A21"/>
    <w:rsid w:val="6E46123E"/>
    <w:rsid w:val="6E555DD7"/>
    <w:rsid w:val="6E594E76"/>
    <w:rsid w:val="6E5C3B4D"/>
    <w:rsid w:val="6E6577E3"/>
    <w:rsid w:val="6E66D279"/>
    <w:rsid w:val="6E6A9AFF"/>
    <w:rsid w:val="6E6F9C45"/>
    <w:rsid w:val="6E700C54"/>
    <w:rsid w:val="6E7085EC"/>
    <w:rsid w:val="6E725574"/>
    <w:rsid w:val="6E74B132"/>
    <w:rsid w:val="6E8FCF24"/>
    <w:rsid w:val="6E980E88"/>
    <w:rsid w:val="6EB61E77"/>
    <w:rsid w:val="6EB9EF5A"/>
    <w:rsid w:val="6EBDEAC2"/>
    <w:rsid w:val="6EBE7EAE"/>
    <w:rsid w:val="6EC45F7C"/>
    <w:rsid w:val="6EC78014"/>
    <w:rsid w:val="6ECF912B"/>
    <w:rsid w:val="6ED682E5"/>
    <w:rsid w:val="6ED89BB9"/>
    <w:rsid w:val="6EDB48C0"/>
    <w:rsid w:val="6EDC3361"/>
    <w:rsid w:val="6EE0C3A0"/>
    <w:rsid w:val="6EF95743"/>
    <w:rsid w:val="6EF9E18F"/>
    <w:rsid w:val="6EFC5F94"/>
    <w:rsid w:val="6EFF6A2E"/>
    <w:rsid w:val="6F1EE817"/>
    <w:rsid w:val="6F40186A"/>
    <w:rsid w:val="6F4C5E28"/>
    <w:rsid w:val="6F4C9EAD"/>
    <w:rsid w:val="6F557771"/>
    <w:rsid w:val="6F5A4A51"/>
    <w:rsid w:val="6F6322ED"/>
    <w:rsid w:val="6F739579"/>
    <w:rsid w:val="6F89C8C1"/>
    <w:rsid w:val="6FB58C02"/>
    <w:rsid w:val="6FBF7190"/>
    <w:rsid w:val="6FC1A489"/>
    <w:rsid w:val="6FE0B0C9"/>
    <w:rsid w:val="6FEE0C3F"/>
    <w:rsid w:val="6FFB7673"/>
    <w:rsid w:val="700C4906"/>
    <w:rsid w:val="7015EA32"/>
    <w:rsid w:val="7034F2D5"/>
    <w:rsid w:val="7036280A"/>
    <w:rsid w:val="703901FE"/>
    <w:rsid w:val="703AE5B6"/>
    <w:rsid w:val="704801FA"/>
    <w:rsid w:val="704C9C8F"/>
    <w:rsid w:val="704CCA3F"/>
    <w:rsid w:val="707D9A5D"/>
    <w:rsid w:val="708415B0"/>
    <w:rsid w:val="7086CEFC"/>
    <w:rsid w:val="70949CA4"/>
    <w:rsid w:val="7099DE42"/>
    <w:rsid w:val="709FE0D3"/>
    <w:rsid w:val="70A9284D"/>
    <w:rsid w:val="70B22C75"/>
    <w:rsid w:val="70B3A59A"/>
    <w:rsid w:val="70BC3B5C"/>
    <w:rsid w:val="70BDE079"/>
    <w:rsid w:val="70C86B1C"/>
    <w:rsid w:val="70D36DBE"/>
    <w:rsid w:val="70D4AD7F"/>
    <w:rsid w:val="70E12FF8"/>
    <w:rsid w:val="70E2FC7C"/>
    <w:rsid w:val="70EBEC52"/>
    <w:rsid w:val="70F1879B"/>
    <w:rsid w:val="70F3F03F"/>
    <w:rsid w:val="70FEB1F7"/>
    <w:rsid w:val="7102F88E"/>
    <w:rsid w:val="7114167E"/>
    <w:rsid w:val="71197162"/>
    <w:rsid w:val="712A0BDD"/>
    <w:rsid w:val="712E3902"/>
    <w:rsid w:val="714053D5"/>
    <w:rsid w:val="714A550B"/>
    <w:rsid w:val="7157DFAD"/>
    <w:rsid w:val="71597CF7"/>
    <w:rsid w:val="7160BC09"/>
    <w:rsid w:val="7164849D"/>
    <w:rsid w:val="71680032"/>
    <w:rsid w:val="716A6D02"/>
    <w:rsid w:val="7175285F"/>
    <w:rsid w:val="718DA70F"/>
    <w:rsid w:val="719CD560"/>
    <w:rsid w:val="71A57E14"/>
    <w:rsid w:val="71A70F06"/>
    <w:rsid w:val="71A83BAB"/>
    <w:rsid w:val="71A87DC3"/>
    <w:rsid w:val="71AB3372"/>
    <w:rsid w:val="71BCB2B8"/>
    <w:rsid w:val="71C1AB62"/>
    <w:rsid w:val="71C9D576"/>
    <w:rsid w:val="71DB32FF"/>
    <w:rsid w:val="71E6D0B0"/>
    <w:rsid w:val="71F8ABA2"/>
    <w:rsid w:val="71FD6EDA"/>
    <w:rsid w:val="72003DA5"/>
    <w:rsid w:val="720574A3"/>
    <w:rsid w:val="7208E1A3"/>
    <w:rsid w:val="720D2883"/>
    <w:rsid w:val="721DB8F6"/>
    <w:rsid w:val="722136E3"/>
    <w:rsid w:val="72266ECA"/>
    <w:rsid w:val="7229FA23"/>
    <w:rsid w:val="72304B92"/>
    <w:rsid w:val="7232B6DD"/>
    <w:rsid w:val="7234C173"/>
    <w:rsid w:val="72360FBA"/>
    <w:rsid w:val="7236653E"/>
    <w:rsid w:val="7239C549"/>
    <w:rsid w:val="723B2484"/>
    <w:rsid w:val="723E16D2"/>
    <w:rsid w:val="7241D58D"/>
    <w:rsid w:val="7244B797"/>
    <w:rsid w:val="724E6C02"/>
    <w:rsid w:val="7252A1EB"/>
    <w:rsid w:val="7254D144"/>
    <w:rsid w:val="725CAA0A"/>
    <w:rsid w:val="726A89A8"/>
    <w:rsid w:val="72981599"/>
    <w:rsid w:val="72AD54A3"/>
    <w:rsid w:val="72B5C1B2"/>
    <w:rsid w:val="72C22529"/>
    <w:rsid w:val="72C4BEC6"/>
    <w:rsid w:val="72C91261"/>
    <w:rsid w:val="72CD5065"/>
    <w:rsid w:val="72ED1A95"/>
    <w:rsid w:val="72F2576C"/>
    <w:rsid w:val="72FFDBAA"/>
    <w:rsid w:val="730B13F6"/>
    <w:rsid w:val="730F97B6"/>
    <w:rsid w:val="7312A6DC"/>
    <w:rsid w:val="7313651E"/>
    <w:rsid w:val="731B3DB8"/>
    <w:rsid w:val="7328B964"/>
    <w:rsid w:val="73381D9D"/>
    <w:rsid w:val="734F5756"/>
    <w:rsid w:val="73735E6E"/>
    <w:rsid w:val="7381A399"/>
    <w:rsid w:val="738AC45D"/>
    <w:rsid w:val="739638CD"/>
    <w:rsid w:val="73AAAA86"/>
    <w:rsid w:val="73B16AC6"/>
    <w:rsid w:val="73BEC5FB"/>
    <w:rsid w:val="73C5406B"/>
    <w:rsid w:val="73E0A87B"/>
    <w:rsid w:val="73F0BE5D"/>
    <w:rsid w:val="73F77E1C"/>
    <w:rsid w:val="73F99D78"/>
    <w:rsid w:val="74026B07"/>
    <w:rsid w:val="74179876"/>
    <w:rsid w:val="7418536D"/>
    <w:rsid w:val="74287F3C"/>
    <w:rsid w:val="742FE744"/>
    <w:rsid w:val="74324A04"/>
    <w:rsid w:val="7437EA4A"/>
    <w:rsid w:val="74453C48"/>
    <w:rsid w:val="7450FD1B"/>
    <w:rsid w:val="746575D8"/>
    <w:rsid w:val="74727926"/>
    <w:rsid w:val="7473CABA"/>
    <w:rsid w:val="7474FB35"/>
    <w:rsid w:val="7496B084"/>
    <w:rsid w:val="749C6B5B"/>
    <w:rsid w:val="749FAD6D"/>
    <w:rsid w:val="74A3FA62"/>
    <w:rsid w:val="74A7CE96"/>
    <w:rsid w:val="74A95DFE"/>
    <w:rsid w:val="74AF0CD1"/>
    <w:rsid w:val="74B35864"/>
    <w:rsid w:val="74B5FB28"/>
    <w:rsid w:val="74BB6773"/>
    <w:rsid w:val="74BBCE9E"/>
    <w:rsid w:val="74BE9BB7"/>
    <w:rsid w:val="74BFC348"/>
    <w:rsid w:val="74CB0E28"/>
    <w:rsid w:val="74E046DF"/>
    <w:rsid w:val="74E0670E"/>
    <w:rsid w:val="74EB432A"/>
    <w:rsid w:val="74FAA1AA"/>
    <w:rsid w:val="74FBA508"/>
    <w:rsid w:val="74FEBFC5"/>
    <w:rsid w:val="750AC732"/>
    <w:rsid w:val="752F707B"/>
    <w:rsid w:val="7539DE29"/>
    <w:rsid w:val="753BB6CC"/>
    <w:rsid w:val="753CE535"/>
    <w:rsid w:val="7541630B"/>
    <w:rsid w:val="75428DEC"/>
    <w:rsid w:val="75466AC3"/>
    <w:rsid w:val="75468794"/>
    <w:rsid w:val="754E551C"/>
    <w:rsid w:val="755296C5"/>
    <w:rsid w:val="7553FD42"/>
    <w:rsid w:val="75572367"/>
    <w:rsid w:val="756CF187"/>
    <w:rsid w:val="7578826B"/>
    <w:rsid w:val="757ED3F1"/>
    <w:rsid w:val="758D2427"/>
    <w:rsid w:val="759B6E28"/>
    <w:rsid w:val="759EA747"/>
    <w:rsid w:val="75AA4459"/>
    <w:rsid w:val="75B679D6"/>
    <w:rsid w:val="75B814AA"/>
    <w:rsid w:val="75B9BEFA"/>
    <w:rsid w:val="75BAC666"/>
    <w:rsid w:val="75C07CB5"/>
    <w:rsid w:val="75CE730D"/>
    <w:rsid w:val="75CE74CC"/>
    <w:rsid w:val="75F56C7D"/>
    <w:rsid w:val="75FA2073"/>
    <w:rsid w:val="760BB7A5"/>
    <w:rsid w:val="760D0B27"/>
    <w:rsid w:val="762005B3"/>
    <w:rsid w:val="7620B679"/>
    <w:rsid w:val="76218C39"/>
    <w:rsid w:val="762ADBC9"/>
    <w:rsid w:val="76353596"/>
    <w:rsid w:val="763580F7"/>
    <w:rsid w:val="763B7FD8"/>
    <w:rsid w:val="7648DF91"/>
    <w:rsid w:val="7655B8F7"/>
    <w:rsid w:val="76587683"/>
    <w:rsid w:val="765C9490"/>
    <w:rsid w:val="76635AD2"/>
    <w:rsid w:val="766DB826"/>
    <w:rsid w:val="76711B58"/>
    <w:rsid w:val="767F0F49"/>
    <w:rsid w:val="7693D642"/>
    <w:rsid w:val="76A6D9C4"/>
    <w:rsid w:val="76A90192"/>
    <w:rsid w:val="76AAA189"/>
    <w:rsid w:val="76B4EC87"/>
    <w:rsid w:val="76D585A9"/>
    <w:rsid w:val="76D6EA0D"/>
    <w:rsid w:val="76DB5A24"/>
    <w:rsid w:val="76DEBB38"/>
    <w:rsid w:val="76EA8860"/>
    <w:rsid w:val="76FD0642"/>
    <w:rsid w:val="77033668"/>
    <w:rsid w:val="770C6B1F"/>
    <w:rsid w:val="770DAC75"/>
    <w:rsid w:val="770DD1A3"/>
    <w:rsid w:val="772262BE"/>
    <w:rsid w:val="77242D4C"/>
    <w:rsid w:val="7726607E"/>
    <w:rsid w:val="7728B32B"/>
    <w:rsid w:val="77308D2B"/>
    <w:rsid w:val="7731179A"/>
    <w:rsid w:val="7747EBA9"/>
    <w:rsid w:val="775E1AF9"/>
    <w:rsid w:val="7779D299"/>
    <w:rsid w:val="777E1212"/>
    <w:rsid w:val="7786038E"/>
    <w:rsid w:val="77AAE07A"/>
    <w:rsid w:val="77C435DC"/>
    <w:rsid w:val="77C6531F"/>
    <w:rsid w:val="77DC9770"/>
    <w:rsid w:val="77DF19BF"/>
    <w:rsid w:val="77E3F8FE"/>
    <w:rsid w:val="77ED8D57"/>
    <w:rsid w:val="77F8B9C5"/>
    <w:rsid w:val="77F98297"/>
    <w:rsid w:val="77FB357D"/>
    <w:rsid w:val="780AD3AC"/>
    <w:rsid w:val="781DCAE0"/>
    <w:rsid w:val="781DD205"/>
    <w:rsid w:val="783946B0"/>
    <w:rsid w:val="783C9980"/>
    <w:rsid w:val="78449D33"/>
    <w:rsid w:val="785590CF"/>
    <w:rsid w:val="786471FA"/>
    <w:rsid w:val="78666AE2"/>
    <w:rsid w:val="78727F4C"/>
    <w:rsid w:val="787D88BE"/>
    <w:rsid w:val="788438AE"/>
    <w:rsid w:val="788A375F"/>
    <w:rsid w:val="788DB3D1"/>
    <w:rsid w:val="78904441"/>
    <w:rsid w:val="78933460"/>
    <w:rsid w:val="78956DDD"/>
    <w:rsid w:val="789FDB3E"/>
    <w:rsid w:val="78AAA206"/>
    <w:rsid w:val="78AE2704"/>
    <w:rsid w:val="78B20BD7"/>
    <w:rsid w:val="78B43812"/>
    <w:rsid w:val="78BAD4CB"/>
    <w:rsid w:val="78BE112F"/>
    <w:rsid w:val="78CA5EAA"/>
    <w:rsid w:val="78CB581E"/>
    <w:rsid w:val="78DF6235"/>
    <w:rsid w:val="78FC720E"/>
    <w:rsid w:val="78FDCF13"/>
    <w:rsid w:val="7912EDBA"/>
    <w:rsid w:val="7934AA3E"/>
    <w:rsid w:val="79369B68"/>
    <w:rsid w:val="79383CD4"/>
    <w:rsid w:val="79395AB5"/>
    <w:rsid w:val="7944D186"/>
    <w:rsid w:val="794D5B22"/>
    <w:rsid w:val="79598172"/>
    <w:rsid w:val="796C757F"/>
    <w:rsid w:val="7972B788"/>
    <w:rsid w:val="7976E619"/>
    <w:rsid w:val="7977D6A0"/>
    <w:rsid w:val="7983300D"/>
    <w:rsid w:val="79915DC1"/>
    <w:rsid w:val="7997D865"/>
    <w:rsid w:val="79A5F782"/>
    <w:rsid w:val="79B26F31"/>
    <w:rsid w:val="79BE53BC"/>
    <w:rsid w:val="79BF4B98"/>
    <w:rsid w:val="79C0C00E"/>
    <w:rsid w:val="79C65094"/>
    <w:rsid w:val="79CB3410"/>
    <w:rsid w:val="79CFC3A0"/>
    <w:rsid w:val="79D04032"/>
    <w:rsid w:val="79D93F65"/>
    <w:rsid w:val="79E46A5E"/>
    <w:rsid w:val="79F04942"/>
    <w:rsid w:val="79F4BE36"/>
    <w:rsid w:val="7A07FBB1"/>
    <w:rsid w:val="7A122156"/>
    <w:rsid w:val="7A1F90F2"/>
    <w:rsid w:val="7A289FD6"/>
    <w:rsid w:val="7A2DFB63"/>
    <w:rsid w:val="7A30BDA0"/>
    <w:rsid w:val="7A36E262"/>
    <w:rsid w:val="7A3895BB"/>
    <w:rsid w:val="7A55A2EB"/>
    <w:rsid w:val="7A57A197"/>
    <w:rsid w:val="7A6B67E7"/>
    <w:rsid w:val="7A6EF432"/>
    <w:rsid w:val="7A8A372F"/>
    <w:rsid w:val="7A8C94BF"/>
    <w:rsid w:val="7A9F516E"/>
    <w:rsid w:val="7AB42659"/>
    <w:rsid w:val="7AB958D5"/>
    <w:rsid w:val="7ABBA941"/>
    <w:rsid w:val="7AC9E0DD"/>
    <w:rsid w:val="7AD2A40C"/>
    <w:rsid w:val="7ADF1FFA"/>
    <w:rsid w:val="7AE15449"/>
    <w:rsid w:val="7AF1BE7B"/>
    <w:rsid w:val="7AF7E342"/>
    <w:rsid w:val="7AFD69C1"/>
    <w:rsid w:val="7B004282"/>
    <w:rsid w:val="7B01568B"/>
    <w:rsid w:val="7B02B07F"/>
    <w:rsid w:val="7B238719"/>
    <w:rsid w:val="7B36A534"/>
    <w:rsid w:val="7B4D7DB6"/>
    <w:rsid w:val="7B50FD0F"/>
    <w:rsid w:val="7B5251FB"/>
    <w:rsid w:val="7B5B5B44"/>
    <w:rsid w:val="7B5ED00F"/>
    <w:rsid w:val="7B77F748"/>
    <w:rsid w:val="7B7C84F3"/>
    <w:rsid w:val="7B90BD4D"/>
    <w:rsid w:val="7B995730"/>
    <w:rsid w:val="7BB3E328"/>
    <w:rsid w:val="7BB66A79"/>
    <w:rsid w:val="7BC388D9"/>
    <w:rsid w:val="7BCCBE52"/>
    <w:rsid w:val="7BE2358C"/>
    <w:rsid w:val="7BE64376"/>
    <w:rsid w:val="7BF0B581"/>
    <w:rsid w:val="7BF1FF1A"/>
    <w:rsid w:val="7BF933B1"/>
    <w:rsid w:val="7C01EBD4"/>
    <w:rsid w:val="7C045F2F"/>
    <w:rsid w:val="7C09F3C8"/>
    <w:rsid w:val="7C1A5AD9"/>
    <w:rsid w:val="7C1FA41E"/>
    <w:rsid w:val="7C2AA5AE"/>
    <w:rsid w:val="7C35253F"/>
    <w:rsid w:val="7C385A38"/>
    <w:rsid w:val="7C4CF34E"/>
    <w:rsid w:val="7C4DD815"/>
    <w:rsid w:val="7C582673"/>
    <w:rsid w:val="7C87E36C"/>
    <w:rsid w:val="7C898F19"/>
    <w:rsid w:val="7C906850"/>
    <w:rsid w:val="7C9640D6"/>
    <w:rsid w:val="7CBDB292"/>
    <w:rsid w:val="7CBE72BA"/>
    <w:rsid w:val="7CBF1011"/>
    <w:rsid w:val="7CC1F17E"/>
    <w:rsid w:val="7CCA3D43"/>
    <w:rsid w:val="7CD01CE9"/>
    <w:rsid w:val="7CD04D0E"/>
    <w:rsid w:val="7CD41FC2"/>
    <w:rsid w:val="7CDBDEE3"/>
    <w:rsid w:val="7CE22B1A"/>
    <w:rsid w:val="7CE961BE"/>
    <w:rsid w:val="7CE99C87"/>
    <w:rsid w:val="7CF3D183"/>
    <w:rsid w:val="7CFE339F"/>
    <w:rsid w:val="7D06A8D6"/>
    <w:rsid w:val="7D09A0E4"/>
    <w:rsid w:val="7D163894"/>
    <w:rsid w:val="7D3C39CB"/>
    <w:rsid w:val="7D5E8EE4"/>
    <w:rsid w:val="7D601ED4"/>
    <w:rsid w:val="7D6589A5"/>
    <w:rsid w:val="7D7F7829"/>
    <w:rsid w:val="7D8191D5"/>
    <w:rsid w:val="7D87CCE7"/>
    <w:rsid w:val="7D8857A5"/>
    <w:rsid w:val="7D8D49BC"/>
    <w:rsid w:val="7D8F452D"/>
    <w:rsid w:val="7D9E0411"/>
    <w:rsid w:val="7DA41EF9"/>
    <w:rsid w:val="7DA56EBE"/>
    <w:rsid w:val="7DA5D2B4"/>
    <w:rsid w:val="7DA5F664"/>
    <w:rsid w:val="7DAB32D0"/>
    <w:rsid w:val="7DB35534"/>
    <w:rsid w:val="7DBAD8D5"/>
    <w:rsid w:val="7DBD32C2"/>
    <w:rsid w:val="7DC139C7"/>
    <w:rsid w:val="7DCF7DAF"/>
    <w:rsid w:val="7DE20550"/>
    <w:rsid w:val="7DEB5DF1"/>
    <w:rsid w:val="7DEEE3C8"/>
    <w:rsid w:val="7DF2C4CE"/>
    <w:rsid w:val="7DF4B8CC"/>
    <w:rsid w:val="7DF5A836"/>
    <w:rsid w:val="7DF88312"/>
    <w:rsid w:val="7DFA254F"/>
    <w:rsid w:val="7E00BB51"/>
    <w:rsid w:val="7E17E42A"/>
    <w:rsid w:val="7E1AFD8F"/>
    <w:rsid w:val="7E2F7588"/>
    <w:rsid w:val="7E452516"/>
    <w:rsid w:val="7E468F35"/>
    <w:rsid w:val="7E50C33C"/>
    <w:rsid w:val="7E5933D5"/>
    <w:rsid w:val="7E68AB6D"/>
    <w:rsid w:val="7EB523CF"/>
    <w:rsid w:val="7EB5CE32"/>
    <w:rsid w:val="7EDC0BD8"/>
    <w:rsid w:val="7EE2618D"/>
    <w:rsid w:val="7EFE83FF"/>
    <w:rsid w:val="7F05E341"/>
    <w:rsid w:val="7F0F4192"/>
    <w:rsid w:val="7F29E9EC"/>
    <w:rsid w:val="7F2B337A"/>
    <w:rsid w:val="7F383EDF"/>
    <w:rsid w:val="7F39B217"/>
    <w:rsid w:val="7F4AFBD1"/>
    <w:rsid w:val="7F4ED0A5"/>
    <w:rsid w:val="7F600E30"/>
    <w:rsid w:val="7F6143F7"/>
    <w:rsid w:val="7F6317B2"/>
    <w:rsid w:val="7F63AB38"/>
    <w:rsid w:val="7F64FEDF"/>
    <w:rsid w:val="7F68FF8F"/>
    <w:rsid w:val="7F6B75DA"/>
    <w:rsid w:val="7F6C43E8"/>
    <w:rsid w:val="7F7C6E45"/>
    <w:rsid w:val="7F97C7FD"/>
    <w:rsid w:val="7F9AEB23"/>
    <w:rsid w:val="7F9B19EB"/>
    <w:rsid w:val="7F9B4151"/>
    <w:rsid w:val="7FA54F8B"/>
    <w:rsid w:val="7FB198E7"/>
    <w:rsid w:val="7FB57233"/>
    <w:rsid w:val="7FB7B2D6"/>
    <w:rsid w:val="7FD644DB"/>
    <w:rsid w:val="7FDD7665"/>
    <w:rsid w:val="7FE1A770"/>
    <w:rsid w:val="7FE6EAFE"/>
    <w:rsid w:val="7FF2D330"/>
    <w:rsid w:val="7FFC2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ABD29"/>
  <w15:chartTrackingRefBased/>
  <w15:docId w15:val="{7A6F3194-1DE4-40DF-9E90-AAE2973FA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4C4"/>
    <w:pPr>
      <w:jc w:val="both"/>
    </w:pPr>
    <w:rPr>
      <w:rFonts w:ascii="Times New Roman" w:hAnsi="Times New Roman"/>
      <w:sz w:val="20"/>
      <w:lang w:val="en-GB"/>
    </w:rPr>
  </w:style>
  <w:style w:type="paragraph" w:styleId="Heading1">
    <w:name w:val="heading 1"/>
    <w:basedOn w:val="Normal"/>
    <w:next w:val="Normal"/>
    <w:link w:val="Heading1Char"/>
    <w:uiPriority w:val="9"/>
    <w:qFormat/>
    <w:rsid w:val="00D41DC6"/>
    <w:pPr>
      <w:keepNext/>
      <w:keepLines/>
      <w:numPr>
        <w:numId w:val="18"/>
      </w:numPr>
      <w:spacing w:before="360" w:after="80"/>
      <w:outlineLvl w:val="0"/>
    </w:pPr>
    <w:rPr>
      <w:rFonts w:eastAsiaTheme="majorEastAsia" w:cstheme="majorBidi"/>
      <w:color w:val="0F4761" w:themeColor="accent1" w:themeShade="BF"/>
      <w:sz w:val="32"/>
      <w:szCs w:val="40"/>
    </w:rPr>
  </w:style>
  <w:style w:type="paragraph" w:styleId="Heading2">
    <w:name w:val="heading 2"/>
    <w:basedOn w:val="Normal"/>
    <w:next w:val="Normal"/>
    <w:link w:val="Heading2Char"/>
    <w:uiPriority w:val="9"/>
    <w:unhideWhenUsed/>
    <w:qFormat/>
    <w:rsid w:val="00D41DC6"/>
    <w:pPr>
      <w:keepNext/>
      <w:keepLines/>
      <w:spacing w:before="160" w:after="80"/>
      <w:outlineLvl w:val="1"/>
    </w:pPr>
    <w:rPr>
      <w:rFonts w:eastAsiaTheme="majorEastAsia" w:cstheme="majorBidi"/>
      <w:color w:val="0F4761" w:themeColor="accent1" w:themeShade="BF"/>
      <w:sz w:val="28"/>
      <w:szCs w:val="32"/>
    </w:rPr>
  </w:style>
  <w:style w:type="paragraph" w:styleId="Heading3">
    <w:name w:val="heading 3"/>
    <w:basedOn w:val="Normal"/>
    <w:next w:val="Normal"/>
    <w:link w:val="Heading3Char"/>
    <w:uiPriority w:val="9"/>
    <w:unhideWhenUsed/>
    <w:qFormat/>
    <w:rsid w:val="00E7728A"/>
    <w:pPr>
      <w:keepNext/>
      <w:keepLines/>
      <w:spacing w:before="160" w:after="80"/>
      <w:outlineLvl w:val="2"/>
    </w:pPr>
    <w:rPr>
      <w:rFonts w:eastAsiaTheme="majorEastAsia" w:cstheme="majorBidi"/>
      <w:color w:val="0F4761" w:themeColor="accent1" w:themeShade="BF"/>
      <w:sz w:val="24"/>
      <w:szCs w:val="28"/>
    </w:rPr>
  </w:style>
  <w:style w:type="paragraph" w:styleId="Heading4">
    <w:name w:val="heading 4"/>
    <w:basedOn w:val="Normal"/>
    <w:next w:val="Normal"/>
    <w:link w:val="Heading4Char"/>
    <w:uiPriority w:val="9"/>
    <w:unhideWhenUsed/>
    <w:qFormat/>
    <w:rsid w:val="00E45F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F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F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F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F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F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DC6"/>
    <w:rPr>
      <w:rFonts w:ascii="Times New Roman" w:eastAsiaTheme="majorEastAsia" w:hAnsi="Times New Roman" w:cstheme="majorBidi"/>
      <w:color w:val="0F4761" w:themeColor="accent1" w:themeShade="BF"/>
      <w:sz w:val="32"/>
      <w:szCs w:val="40"/>
      <w:lang w:val="en-GB"/>
    </w:rPr>
  </w:style>
  <w:style w:type="character" w:customStyle="1" w:styleId="Heading2Char">
    <w:name w:val="Heading 2 Char"/>
    <w:basedOn w:val="DefaultParagraphFont"/>
    <w:link w:val="Heading2"/>
    <w:uiPriority w:val="9"/>
    <w:rsid w:val="00D41DC6"/>
    <w:rPr>
      <w:rFonts w:ascii="Times New Roman" w:eastAsiaTheme="majorEastAsia" w:hAnsi="Times New Roman" w:cstheme="majorBidi"/>
      <w:color w:val="0F4761" w:themeColor="accent1" w:themeShade="BF"/>
      <w:sz w:val="28"/>
      <w:szCs w:val="32"/>
      <w:lang w:val="en-GB"/>
    </w:rPr>
  </w:style>
  <w:style w:type="character" w:customStyle="1" w:styleId="Heading3Char">
    <w:name w:val="Heading 3 Char"/>
    <w:basedOn w:val="DefaultParagraphFont"/>
    <w:link w:val="Heading3"/>
    <w:uiPriority w:val="9"/>
    <w:rsid w:val="00E7728A"/>
    <w:rPr>
      <w:rFonts w:ascii="Times New Roman" w:eastAsiaTheme="majorEastAsia" w:hAnsi="Times New Roman" w:cstheme="majorBidi"/>
      <w:color w:val="0F4761" w:themeColor="accent1" w:themeShade="BF"/>
      <w:sz w:val="24"/>
      <w:szCs w:val="28"/>
      <w:lang w:val="en-GB"/>
    </w:rPr>
  </w:style>
  <w:style w:type="character" w:customStyle="1" w:styleId="Heading4Char">
    <w:name w:val="Heading 4 Char"/>
    <w:basedOn w:val="DefaultParagraphFont"/>
    <w:link w:val="Heading4"/>
    <w:uiPriority w:val="9"/>
    <w:rsid w:val="00E45FA9"/>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E45FA9"/>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E45FA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45FA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45FA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45FA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41DC6"/>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41DC6"/>
    <w:rPr>
      <w:rFonts w:ascii="Times New Roman" w:eastAsiaTheme="majorEastAsia" w:hAnsi="Times New Roman" w:cstheme="majorBidi"/>
      <w:spacing w:val="-10"/>
      <w:kern w:val="28"/>
      <w:sz w:val="56"/>
      <w:szCs w:val="56"/>
      <w:lang w:val="en-GB"/>
    </w:rPr>
  </w:style>
  <w:style w:type="paragraph" w:styleId="Subtitle">
    <w:name w:val="Subtitle"/>
    <w:basedOn w:val="Normal"/>
    <w:next w:val="Normal"/>
    <w:link w:val="SubtitleChar"/>
    <w:uiPriority w:val="11"/>
    <w:qFormat/>
    <w:rsid w:val="00E45F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FA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45FA9"/>
    <w:pPr>
      <w:spacing w:before="160"/>
      <w:jc w:val="center"/>
    </w:pPr>
    <w:rPr>
      <w:i/>
      <w:iCs/>
      <w:color w:val="404040" w:themeColor="text1" w:themeTint="BF"/>
    </w:rPr>
  </w:style>
  <w:style w:type="character" w:customStyle="1" w:styleId="QuoteChar">
    <w:name w:val="Quote Char"/>
    <w:basedOn w:val="DefaultParagraphFont"/>
    <w:link w:val="Quote"/>
    <w:uiPriority w:val="29"/>
    <w:rsid w:val="00E45FA9"/>
    <w:rPr>
      <w:i/>
      <w:iCs/>
      <w:color w:val="404040" w:themeColor="text1" w:themeTint="BF"/>
      <w:lang w:val="en-GB"/>
    </w:rPr>
  </w:style>
  <w:style w:type="paragraph" w:styleId="ListParagraph">
    <w:name w:val="List Paragraph"/>
    <w:basedOn w:val="Normal"/>
    <w:uiPriority w:val="34"/>
    <w:qFormat/>
    <w:rsid w:val="00E45FA9"/>
    <w:pPr>
      <w:ind w:left="720"/>
      <w:contextualSpacing/>
    </w:pPr>
  </w:style>
  <w:style w:type="character" w:styleId="IntenseEmphasis">
    <w:name w:val="Intense Emphasis"/>
    <w:basedOn w:val="DefaultParagraphFont"/>
    <w:uiPriority w:val="21"/>
    <w:qFormat/>
    <w:rsid w:val="00E45FA9"/>
    <w:rPr>
      <w:i/>
      <w:iCs/>
      <w:color w:val="0F4761" w:themeColor="accent1" w:themeShade="BF"/>
    </w:rPr>
  </w:style>
  <w:style w:type="paragraph" w:styleId="IntenseQuote">
    <w:name w:val="Intense Quote"/>
    <w:basedOn w:val="Normal"/>
    <w:next w:val="Normal"/>
    <w:link w:val="IntenseQuoteChar"/>
    <w:uiPriority w:val="30"/>
    <w:qFormat/>
    <w:rsid w:val="00E45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FA9"/>
    <w:rPr>
      <w:i/>
      <w:iCs/>
      <w:color w:val="0F4761" w:themeColor="accent1" w:themeShade="BF"/>
      <w:lang w:val="en-GB"/>
    </w:rPr>
  </w:style>
  <w:style w:type="character" w:styleId="IntenseReference">
    <w:name w:val="Intense Reference"/>
    <w:basedOn w:val="DefaultParagraphFont"/>
    <w:uiPriority w:val="32"/>
    <w:qFormat/>
    <w:rsid w:val="00E45FA9"/>
    <w:rPr>
      <w:b/>
      <w:bCs/>
      <w:smallCaps/>
      <w:color w:val="0F4761" w:themeColor="accent1" w:themeShade="BF"/>
      <w:spacing w:val="5"/>
    </w:rPr>
  </w:style>
  <w:style w:type="paragraph" w:styleId="NormalWeb">
    <w:name w:val="Normal (Web)"/>
    <w:basedOn w:val="Normal"/>
    <w:uiPriority w:val="99"/>
    <w:semiHidden/>
    <w:unhideWhenUsed/>
    <w:rsid w:val="00890CA0"/>
    <w:rPr>
      <w:rFonts w:cs="Times New Roman"/>
      <w:szCs w:val="24"/>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C28DF"/>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FF53AC"/>
    <w:rPr>
      <w:b/>
      <w:bCs/>
    </w:rPr>
  </w:style>
  <w:style w:type="character" w:customStyle="1" w:styleId="CommentSubjectChar">
    <w:name w:val="Comment Subject Char"/>
    <w:basedOn w:val="CommentTextChar"/>
    <w:link w:val="CommentSubject"/>
    <w:uiPriority w:val="99"/>
    <w:semiHidden/>
    <w:rsid w:val="00FF53AC"/>
    <w:rPr>
      <w:b/>
      <w:bCs/>
      <w:sz w:val="20"/>
      <w:szCs w:val="20"/>
      <w:lang w:val="en-GB"/>
    </w:rPr>
  </w:style>
  <w:style w:type="character" w:styleId="Hyperlink">
    <w:name w:val="Hyperlink"/>
    <w:basedOn w:val="DefaultParagraphFont"/>
    <w:uiPriority w:val="99"/>
    <w:unhideWhenUsed/>
    <w:rsid w:val="00440DDD"/>
    <w:rPr>
      <w:color w:val="467886" w:themeColor="hyperlink"/>
      <w:u w:val="single"/>
    </w:rPr>
  </w:style>
  <w:style w:type="character" w:styleId="UnresolvedMention">
    <w:name w:val="Unresolved Mention"/>
    <w:basedOn w:val="DefaultParagraphFont"/>
    <w:uiPriority w:val="99"/>
    <w:semiHidden/>
    <w:unhideWhenUsed/>
    <w:rsid w:val="00440DDD"/>
    <w:rPr>
      <w:color w:val="605E5C"/>
      <w:shd w:val="clear" w:color="auto" w:fill="E1DFDD"/>
    </w:rPr>
  </w:style>
  <w:style w:type="paragraph" w:styleId="Bibliography">
    <w:name w:val="Bibliography"/>
    <w:basedOn w:val="Normal"/>
    <w:next w:val="Normal"/>
    <w:uiPriority w:val="37"/>
    <w:unhideWhenUsed/>
    <w:rsid w:val="002B214A"/>
    <w:pPr>
      <w:spacing w:after="240" w:line="240" w:lineRule="auto"/>
      <w:ind w:left="720" w:hanging="720"/>
    </w:pPr>
  </w:style>
  <w:style w:type="paragraph" w:styleId="ListBullet">
    <w:name w:val="List Bullet"/>
    <w:basedOn w:val="Normal"/>
    <w:uiPriority w:val="99"/>
    <w:unhideWhenUsed/>
    <w:rsid w:val="00276595"/>
    <w:pPr>
      <w:numPr>
        <w:numId w:val="10"/>
      </w:numPr>
      <w:contextualSpacing/>
    </w:pPr>
  </w:style>
  <w:style w:type="table" w:styleId="TableGrid">
    <w:name w:val="Table Grid"/>
    <w:basedOn w:val="TableNormal"/>
    <w:uiPriority w:val="39"/>
    <w:rsid w:val="009A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2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AA0"/>
    <w:rPr>
      <w:lang w:val="en-GB"/>
    </w:rPr>
  </w:style>
  <w:style w:type="paragraph" w:styleId="Footer">
    <w:name w:val="footer"/>
    <w:basedOn w:val="Normal"/>
    <w:link w:val="FooterChar"/>
    <w:uiPriority w:val="99"/>
    <w:unhideWhenUsed/>
    <w:rsid w:val="00992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AA0"/>
    <w:rPr>
      <w:lang w:val="en-GB"/>
    </w:rPr>
  </w:style>
  <w:style w:type="paragraph" w:styleId="Caption">
    <w:name w:val="caption"/>
    <w:basedOn w:val="Normal"/>
    <w:next w:val="Normal"/>
    <w:uiPriority w:val="35"/>
    <w:unhideWhenUsed/>
    <w:qFormat/>
    <w:rsid w:val="00260DE6"/>
    <w:pPr>
      <w:spacing w:after="200" w:line="240" w:lineRule="auto"/>
    </w:pPr>
    <w:rPr>
      <w:i/>
      <w:iCs/>
      <w:color w:val="0E2841" w:themeColor="text2"/>
      <w:sz w:val="18"/>
      <w:szCs w:val="18"/>
    </w:rPr>
  </w:style>
  <w:style w:type="paragraph" w:customStyle="1" w:styleId="RSCB01ARTAbstract">
    <w:name w:val="RSC B01 ART Abstract"/>
    <w:basedOn w:val="Normal"/>
    <w:link w:val="RSCB01ARTAbstractChar"/>
    <w:qFormat/>
    <w:rsid w:val="00C34A3E"/>
    <w:pPr>
      <w:spacing w:after="200" w:line="240" w:lineRule="exact"/>
    </w:pPr>
    <w:rPr>
      <w:noProof/>
      <w:kern w:val="0"/>
      <w:sz w:val="16"/>
      <w:lang w:eastAsia="en-GB"/>
      <w14:ligatures w14:val="none"/>
    </w:rPr>
  </w:style>
  <w:style w:type="character" w:customStyle="1" w:styleId="RSCB01ARTAbstractChar">
    <w:name w:val="RSC B01 ART Abstract Char"/>
    <w:basedOn w:val="DefaultParagraphFont"/>
    <w:link w:val="RSCB01ARTAbstract"/>
    <w:rsid w:val="00C34A3E"/>
    <w:rPr>
      <w:noProof/>
      <w:kern w:val="0"/>
      <w:sz w:val="16"/>
      <w:lang w:val="en-GB" w:eastAsia="en-GB"/>
      <w14:ligatures w14:val="none"/>
    </w:rPr>
  </w:style>
  <w:style w:type="paragraph" w:customStyle="1" w:styleId="RSCF01FootnoteAuthorAddress">
    <w:name w:val="RSC F01 Footnote Author Address"/>
    <w:link w:val="RSCF01FootnoteAuthorAddressChar"/>
    <w:qFormat/>
    <w:rsid w:val="00C34A3E"/>
    <w:pPr>
      <w:numPr>
        <w:numId w:val="14"/>
      </w:numPr>
      <w:pBdr>
        <w:top w:val="single" w:sz="12" w:space="1" w:color="A6A6A6" w:themeColor="background1" w:themeShade="A6"/>
      </w:pBdr>
      <w:spacing w:after="0" w:line="240" w:lineRule="auto"/>
      <w:ind w:left="85" w:hanging="85"/>
      <w:suppressOverlap/>
    </w:pPr>
    <w:rPr>
      <w:rFonts w:cs="Times New Roman"/>
      <w:i/>
      <w:w w:val="105"/>
      <w:kern w:val="0"/>
      <w:sz w:val="14"/>
      <w:szCs w:val="14"/>
      <w:lang w:val="en-GB"/>
      <w14:ligatures w14:val="none"/>
    </w:rPr>
  </w:style>
  <w:style w:type="character" w:customStyle="1" w:styleId="RSCF01FootnoteAuthorAddressChar">
    <w:name w:val="RSC F01 Footnote Author Address Char"/>
    <w:basedOn w:val="DefaultParagraphFont"/>
    <w:link w:val="RSCF01FootnoteAuthorAddress"/>
    <w:rsid w:val="00C34A3E"/>
    <w:rPr>
      <w:rFonts w:cs="Times New Roman"/>
      <w:i/>
      <w:w w:val="105"/>
      <w:kern w:val="0"/>
      <w:sz w:val="14"/>
      <w:szCs w:val="14"/>
      <w:lang w:val="en-GB"/>
      <w14:ligatures w14:val="none"/>
    </w:rPr>
  </w:style>
  <w:style w:type="character" w:styleId="LineNumber">
    <w:name w:val="line number"/>
    <w:basedOn w:val="DefaultParagraphFont"/>
    <w:uiPriority w:val="99"/>
    <w:semiHidden/>
    <w:unhideWhenUsed/>
    <w:rsid w:val="00CF4B6B"/>
  </w:style>
  <w:style w:type="character" w:styleId="Mention">
    <w:name w:val="Mention"/>
    <w:basedOn w:val="DefaultParagraphFont"/>
    <w:uiPriority w:val="99"/>
    <w:unhideWhenUsed/>
    <w:rsid w:val="00EB56C2"/>
    <w:rPr>
      <w:color w:val="2B579A"/>
      <w:shd w:val="clear" w:color="auto" w:fill="E1DFDD"/>
    </w:rPr>
  </w:style>
  <w:style w:type="character" w:styleId="PlaceholderText">
    <w:name w:val="Placeholder Text"/>
    <w:basedOn w:val="DefaultParagraphFont"/>
    <w:uiPriority w:val="99"/>
    <w:semiHidden/>
    <w:rsid w:val="00EE7225"/>
    <w:rPr>
      <w:color w:val="666666"/>
    </w:rPr>
  </w:style>
  <w:style w:type="character" w:styleId="FollowedHyperlink">
    <w:name w:val="FollowedHyperlink"/>
    <w:basedOn w:val="DefaultParagraphFont"/>
    <w:uiPriority w:val="99"/>
    <w:semiHidden/>
    <w:unhideWhenUsed/>
    <w:rsid w:val="008D4730"/>
    <w:rPr>
      <w:color w:val="96607D" w:themeColor="followedHyperlink"/>
      <w:u w:val="single"/>
    </w:rPr>
  </w:style>
  <w:style w:type="character" w:styleId="SubtleEmphasis">
    <w:name w:val="Subtle Emphasis"/>
    <w:basedOn w:val="DefaultParagraphFont"/>
    <w:uiPriority w:val="19"/>
    <w:qFormat/>
    <w:rsid w:val="00DD218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8433">
      <w:bodyDiv w:val="1"/>
      <w:marLeft w:val="0"/>
      <w:marRight w:val="0"/>
      <w:marTop w:val="0"/>
      <w:marBottom w:val="0"/>
      <w:divBdr>
        <w:top w:val="none" w:sz="0" w:space="0" w:color="auto"/>
        <w:left w:val="none" w:sz="0" w:space="0" w:color="auto"/>
        <w:bottom w:val="none" w:sz="0" w:space="0" w:color="auto"/>
        <w:right w:val="none" w:sz="0" w:space="0" w:color="auto"/>
      </w:divBdr>
    </w:div>
    <w:div w:id="97220365">
      <w:bodyDiv w:val="1"/>
      <w:marLeft w:val="0"/>
      <w:marRight w:val="0"/>
      <w:marTop w:val="0"/>
      <w:marBottom w:val="0"/>
      <w:divBdr>
        <w:top w:val="none" w:sz="0" w:space="0" w:color="auto"/>
        <w:left w:val="none" w:sz="0" w:space="0" w:color="auto"/>
        <w:bottom w:val="none" w:sz="0" w:space="0" w:color="auto"/>
        <w:right w:val="none" w:sz="0" w:space="0" w:color="auto"/>
      </w:divBdr>
      <w:divsChild>
        <w:div w:id="1647776970">
          <w:marLeft w:val="0"/>
          <w:marRight w:val="0"/>
          <w:marTop w:val="0"/>
          <w:marBottom w:val="0"/>
          <w:divBdr>
            <w:top w:val="none" w:sz="0" w:space="0" w:color="auto"/>
            <w:left w:val="none" w:sz="0" w:space="0" w:color="auto"/>
            <w:bottom w:val="none" w:sz="0" w:space="0" w:color="auto"/>
            <w:right w:val="none" w:sz="0" w:space="0" w:color="auto"/>
          </w:divBdr>
          <w:divsChild>
            <w:div w:id="146199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510">
      <w:bodyDiv w:val="1"/>
      <w:marLeft w:val="0"/>
      <w:marRight w:val="0"/>
      <w:marTop w:val="0"/>
      <w:marBottom w:val="0"/>
      <w:divBdr>
        <w:top w:val="none" w:sz="0" w:space="0" w:color="auto"/>
        <w:left w:val="none" w:sz="0" w:space="0" w:color="auto"/>
        <w:bottom w:val="none" w:sz="0" w:space="0" w:color="auto"/>
        <w:right w:val="none" w:sz="0" w:space="0" w:color="auto"/>
      </w:divBdr>
    </w:div>
    <w:div w:id="173808292">
      <w:bodyDiv w:val="1"/>
      <w:marLeft w:val="0"/>
      <w:marRight w:val="0"/>
      <w:marTop w:val="0"/>
      <w:marBottom w:val="0"/>
      <w:divBdr>
        <w:top w:val="none" w:sz="0" w:space="0" w:color="auto"/>
        <w:left w:val="none" w:sz="0" w:space="0" w:color="auto"/>
        <w:bottom w:val="none" w:sz="0" w:space="0" w:color="auto"/>
        <w:right w:val="none" w:sz="0" w:space="0" w:color="auto"/>
      </w:divBdr>
    </w:div>
    <w:div w:id="207912253">
      <w:bodyDiv w:val="1"/>
      <w:marLeft w:val="0"/>
      <w:marRight w:val="0"/>
      <w:marTop w:val="0"/>
      <w:marBottom w:val="0"/>
      <w:divBdr>
        <w:top w:val="none" w:sz="0" w:space="0" w:color="auto"/>
        <w:left w:val="none" w:sz="0" w:space="0" w:color="auto"/>
        <w:bottom w:val="none" w:sz="0" w:space="0" w:color="auto"/>
        <w:right w:val="none" w:sz="0" w:space="0" w:color="auto"/>
      </w:divBdr>
    </w:div>
    <w:div w:id="259799348">
      <w:bodyDiv w:val="1"/>
      <w:marLeft w:val="0"/>
      <w:marRight w:val="0"/>
      <w:marTop w:val="0"/>
      <w:marBottom w:val="0"/>
      <w:divBdr>
        <w:top w:val="none" w:sz="0" w:space="0" w:color="auto"/>
        <w:left w:val="none" w:sz="0" w:space="0" w:color="auto"/>
        <w:bottom w:val="none" w:sz="0" w:space="0" w:color="auto"/>
        <w:right w:val="none" w:sz="0" w:space="0" w:color="auto"/>
      </w:divBdr>
    </w:div>
    <w:div w:id="312216753">
      <w:bodyDiv w:val="1"/>
      <w:marLeft w:val="0"/>
      <w:marRight w:val="0"/>
      <w:marTop w:val="0"/>
      <w:marBottom w:val="0"/>
      <w:divBdr>
        <w:top w:val="none" w:sz="0" w:space="0" w:color="auto"/>
        <w:left w:val="none" w:sz="0" w:space="0" w:color="auto"/>
        <w:bottom w:val="none" w:sz="0" w:space="0" w:color="auto"/>
        <w:right w:val="none" w:sz="0" w:space="0" w:color="auto"/>
      </w:divBdr>
    </w:div>
    <w:div w:id="323048679">
      <w:bodyDiv w:val="1"/>
      <w:marLeft w:val="0"/>
      <w:marRight w:val="0"/>
      <w:marTop w:val="0"/>
      <w:marBottom w:val="0"/>
      <w:divBdr>
        <w:top w:val="none" w:sz="0" w:space="0" w:color="auto"/>
        <w:left w:val="none" w:sz="0" w:space="0" w:color="auto"/>
        <w:bottom w:val="none" w:sz="0" w:space="0" w:color="auto"/>
        <w:right w:val="none" w:sz="0" w:space="0" w:color="auto"/>
      </w:divBdr>
    </w:div>
    <w:div w:id="341247719">
      <w:bodyDiv w:val="1"/>
      <w:marLeft w:val="0"/>
      <w:marRight w:val="0"/>
      <w:marTop w:val="0"/>
      <w:marBottom w:val="0"/>
      <w:divBdr>
        <w:top w:val="none" w:sz="0" w:space="0" w:color="auto"/>
        <w:left w:val="none" w:sz="0" w:space="0" w:color="auto"/>
        <w:bottom w:val="none" w:sz="0" w:space="0" w:color="auto"/>
        <w:right w:val="none" w:sz="0" w:space="0" w:color="auto"/>
      </w:divBdr>
    </w:div>
    <w:div w:id="402946740">
      <w:bodyDiv w:val="1"/>
      <w:marLeft w:val="0"/>
      <w:marRight w:val="0"/>
      <w:marTop w:val="0"/>
      <w:marBottom w:val="0"/>
      <w:divBdr>
        <w:top w:val="none" w:sz="0" w:space="0" w:color="auto"/>
        <w:left w:val="none" w:sz="0" w:space="0" w:color="auto"/>
        <w:bottom w:val="none" w:sz="0" w:space="0" w:color="auto"/>
        <w:right w:val="none" w:sz="0" w:space="0" w:color="auto"/>
      </w:divBdr>
    </w:div>
    <w:div w:id="403576182">
      <w:bodyDiv w:val="1"/>
      <w:marLeft w:val="0"/>
      <w:marRight w:val="0"/>
      <w:marTop w:val="0"/>
      <w:marBottom w:val="0"/>
      <w:divBdr>
        <w:top w:val="none" w:sz="0" w:space="0" w:color="auto"/>
        <w:left w:val="none" w:sz="0" w:space="0" w:color="auto"/>
        <w:bottom w:val="none" w:sz="0" w:space="0" w:color="auto"/>
        <w:right w:val="none" w:sz="0" w:space="0" w:color="auto"/>
      </w:divBdr>
    </w:div>
    <w:div w:id="408189593">
      <w:bodyDiv w:val="1"/>
      <w:marLeft w:val="0"/>
      <w:marRight w:val="0"/>
      <w:marTop w:val="0"/>
      <w:marBottom w:val="0"/>
      <w:divBdr>
        <w:top w:val="none" w:sz="0" w:space="0" w:color="auto"/>
        <w:left w:val="none" w:sz="0" w:space="0" w:color="auto"/>
        <w:bottom w:val="none" w:sz="0" w:space="0" w:color="auto"/>
        <w:right w:val="none" w:sz="0" w:space="0" w:color="auto"/>
      </w:divBdr>
    </w:div>
    <w:div w:id="411514488">
      <w:bodyDiv w:val="1"/>
      <w:marLeft w:val="0"/>
      <w:marRight w:val="0"/>
      <w:marTop w:val="0"/>
      <w:marBottom w:val="0"/>
      <w:divBdr>
        <w:top w:val="none" w:sz="0" w:space="0" w:color="auto"/>
        <w:left w:val="none" w:sz="0" w:space="0" w:color="auto"/>
        <w:bottom w:val="none" w:sz="0" w:space="0" w:color="auto"/>
        <w:right w:val="none" w:sz="0" w:space="0" w:color="auto"/>
      </w:divBdr>
    </w:div>
    <w:div w:id="442312312">
      <w:bodyDiv w:val="1"/>
      <w:marLeft w:val="0"/>
      <w:marRight w:val="0"/>
      <w:marTop w:val="0"/>
      <w:marBottom w:val="0"/>
      <w:divBdr>
        <w:top w:val="none" w:sz="0" w:space="0" w:color="auto"/>
        <w:left w:val="none" w:sz="0" w:space="0" w:color="auto"/>
        <w:bottom w:val="none" w:sz="0" w:space="0" w:color="auto"/>
        <w:right w:val="none" w:sz="0" w:space="0" w:color="auto"/>
      </w:divBdr>
    </w:div>
    <w:div w:id="447703211">
      <w:bodyDiv w:val="1"/>
      <w:marLeft w:val="0"/>
      <w:marRight w:val="0"/>
      <w:marTop w:val="0"/>
      <w:marBottom w:val="0"/>
      <w:divBdr>
        <w:top w:val="none" w:sz="0" w:space="0" w:color="auto"/>
        <w:left w:val="none" w:sz="0" w:space="0" w:color="auto"/>
        <w:bottom w:val="none" w:sz="0" w:space="0" w:color="auto"/>
        <w:right w:val="none" w:sz="0" w:space="0" w:color="auto"/>
      </w:divBdr>
    </w:div>
    <w:div w:id="449015686">
      <w:bodyDiv w:val="1"/>
      <w:marLeft w:val="0"/>
      <w:marRight w:val="0"/>
      <w:marTop w:val="0"/>
      <w:marBottom w:val="0"/>
      <w:divBdr>
        <w:top w:val="none" w:sz="0" w:space="0" w:color="auto"/>
        <w:left w:val="none" w:sz="0" w:space="0" w:color="auto"/>
        <w:bottom w:val="none" w:sz="0" w:space="0" w:color="auto"/>
        <w:right w:val="none" w:sz="0" w:space="0" w:color="auto"/>
      </w:divBdr>
    </w:div>
    <w:div w:id="502359594">
      <w:bodyDiv w:val="1"/>
      <w:marLeft w:val="0"/>
      <w:marRight w:val="0"/>
      <w:marTop w:val="0"/>
      <w:marBottom w:val="0"/>
      <w:divBdr>
        <w:top w:val="none" w:sz="0" w:space="0" w:color="auto"/>
        <w:left w:val="none" w:sz="0" w:space="0" w:color="auto"/>
        <w:bottom w:val="none" w:sz="0" w:space="0" w:color="auto"/>
        <w:right w:val="none" w:sz="0" w:space="0" w:color="auto"/>
      </w:divBdr>
    </w:div>
    <w:div w:id="652759414">
      <w:bodyDiv w:val="1"/>
      <w:marLeft w:val="0"/>
      <w:marRight w:val="0"/>
      <w:marTop w:val="0"/>
      <w:marBottom w:val="0"/>
      <w:divBdr>
        <w:top w:val="none" w:sz="0" w:space="0" w:color="auto"/>
        <w:left w:val="none" w:sz="0" w:space="0" w:color="auto"/>
        <w:bottom w:val="none" w:sz="0" w:space="0" w:color="auto"/>
        <w:right w:val="none" w:sz="0" w:space="0" w:color="auto"/>
      </w:divBdr>
    </w:div>
    <w:div w:id="655308222">
      <w:bodyDiv w:val="1"/>
      <w:marLeft w:val="0"/>
      <w:marRight w:val="0"/>
      <w:marTop w:val="0"/>
      <w:marBottom w:val="0"/>
      <w:divBdr>
        <w:top w:val="none" w:sz="0" w:space="0" w:color="auto"/>
        <w:left w:val="none" w:sz="0" w:space="0" w:color="auto"/>
        <w:bottom w:val="none" w:sz="0" w:space="0" w:color="auto"/>
        <w:right w:val="none" w:sz="0" w:space="0" w:color="auto"/>
      </w:divBdr>
    </w:div>
    <w:div w:id="686832285">
      <w:bodyDiv w:val="1"/>
      <w:marLeft w:val="0"/>
      <w:marRight w:val="0"/>
      <w:marTop w:val="0"/>
      <w:marBottom w:val="0"/>
      <w:divBdr>
        <w:top w:val="none" w:sz="0" w:space="0" w:color="auto"/>
        <w:left w:val="none" w:sz="0" w:space="0" w:color="auto"/>
        <w:bottom w:val="none" w:sz="0" w:space="0" w:color="auto"/>
        <w:right w:val="none" w:sz="0" w:space="0" w:color="auto"/>
      </w:divBdr>
    </w:div>
    <w:div w:id="769736076">
      <w:bodyDiv w:val="1"/>
      <w:marLeft w:val="0"/>
      <w:marRight w:val="0"/>
      <w:marTop w:val="0"/>
      <w:marBottom w:val="0"/>
      <w:divBdr>
        <w:top w:val="none" w:sz="0" w:space="0" w:color="auto"/>
        <w:left w:val="none" w:sz="0" w:space="0" w:color="auto"/>
        <w:bottom w:val="none" w:sz="0" w:space="0" w:color="auto"/>
        <w:right w:val="none" w:sz="0" w:space="0" w:color="auto"/>
      </w:divBdr>
    </w:div>
    <w:div w:id="887717189">
      <w:bodyDiv w:val="1"/>
      <w:marLeft w:val="0"/>
      <w:marRight w:val="0"/>
      <w:marTop w:val="0"/>
      <w:marBottom w:val="0"/>
      <w:divBdr>
        <w:top w:val="none" w:sz="0" w:space="0" w:color="auto"/>
        <w:left w:val="none" w:sz="0" w:space="0" w:color="auto"/>
        <w:bottom w:val="none" w:sz="0" w:space="0" w:color="auto"/>
        <w:right w:val="none" w:sz="0" w:space="0" w:color="auto"/>
      </w:divBdr>
    </w:div>
    <w:div w:id="890729306">
      <w:bodyDiv w:val="1"/>
      <w:marLeft w:val="0"/>
      <w:marRight w:val="0"/>
      <w:marTop w:val="0"/>
      <w:marBottom w:val="0"/>
      <w:divBdr>
        <w:top w:val="none" w:sz="0" w:space="0" w:color="auto"/>
        <w:left w:val="none" w:sz="0" w:space="0" w:color="auto"/>
        <w:bottom w:val="none" w:sz="0" w:space="0" w:color="auto"/>
        <w:right w:val="none" w:sz="0" w:space="0" w:color="auto"/>
      </w:divBdr>
    </w:div>
    <w:div w:id="942490382">
      <w:bodyDiv w:val="1"/>
      <w:marLeft w:val="0"/>
      <w:marRight w:val="0"/>
      <w:marTop w:val="0"/>
      <w:marBottom w:val="0"/>
      <w:divBdr>
        <w:top w:val="none" w:sz="0" w:space="0" w:color="auto"/>
        <w:left w:val="none" w:sz="0" w:space="0" w:color="auto"/>
        <w:bottom w:val="none" w:sz="0" w:space="0" w:color="auto"/>
        <w:right w:val="none" w:sz="0" w:space="0" w:color="auto"/>
      </w:divBdr>
    </w:div>
    <w:div w:id="949896181">
      <w:bodyDiv w:val="1"/>
      <w:marLeft w:val="0"/>
      <w:marRight w:val="0"/>
      <w:marTop w:val="0"/>
      <w:marBottom w:val="0"/>
      <w:divBdr>
        <w:top w:val="none" w:sz="0" w:space="0" w:color="auto"/>
        <w:left w:val="none" w:sz="0" w:space="0" w:color="auto"/>
        <w:bottom w:val="none" w:sz="0" w:space="0" w:color="auto"/>
        <w:right w:val="none" w:sz="0" w:space="0" w:color="auto"/>
      </w:divBdr>
    </w:div>
    <w:div w:id="1101099296">
      <w:bodyDiv w:val="1"/>
      <w:marLeft w:val="0"/>
      <w:marRight w:val="0"/>
      <w:marTop w:val="0"/>
      <w:marBottom w:val="0"/>
      <w:divBdr>
        <w:top w:val="none" w:sz="0" w:space="0" w:color="auto"/>
        <w:left w:val="none" w:sz="0" w:space="0" w:color="auto"/>
        <w:bottom w:val="none" w:sz="0" w:space="0" w:color="auto"/>
        <w:right w:val="none" w:sz="0" w:space="0" w:color="auto"/>
      </w:divBdr>
    </w:div>
    <w:div w:id="1144159317">
      <w:bodyDiv w:val="1"/>
      <w:marLeft w:val="0"/>
      <w:marRight w:val="0"/>
      <w:marTop w:val="0"/>
      <w:marBottom w:val="0"/>
      <w:divBdr>
        <w:top w:val="none" w:sz="0" w:space="0" w:color="auto"/>
        <w:left w:val="none" w:sz="0" w:space="0" w:color="auto"/>
        <w:bottom w:val="none" w:sz="0" w:space="0" w:color="auto"/>
        <w:right w:val="none" w:sz="0" w:space="0" w:color="auto"/>
      </w:divBdr>
    </w:div>
    <w:div w:id="1162817563">
      <w:bodyDiv w:val="1"/>
      <w:marLeft w:val="0"/>
      <w:marRight w:val="0"/>
      <w:marTop w:val="0"/>
      <w:marBottom w:val="0"/>
      <w:divBdr>
        <w:top w:val="none" w:sz="0" w:space="0" w:color="auto"/>
        <w:left w:val="none" w:sz="0" w:space="0" w:color="auto"/>
        <w:bottom w:val="none" w:sz="0" w:space="0" w:color="auto"/>
        <w:right w:val="none" w:sz="0" w:space="0" w:color="auto"/>
      </w:divBdr>
    </w:div>
    <w:div w:id="1190098372">
      <w:bodyDiv w:val="1"/>
      <w:marLeft w:val="0"/>
      <w:marRight w:val="0"/>
      <w:marTop w:val="0"/>
      <w:marBottom w:val="0"/>
      <w:divBdr>
        <w:top w:val="none" w:sz="0" w:space="0" w:color="auto"/>
        <w:left w:val="none" w:sz="0" w:space="0" w:color="auto"/>
        <w:bottom w:val="none" w:sz="0" w:space="0" w:color="auto"/>
        <w:right w:val="none" w:sz="0" w:space="0" w:color="auto"/>
      </w:divBdr>
    </w:div>
    <w:div w:id="1197238557">
      <w:bodyDiv w:val="1"/>
      <w:marLeft w:val="0"/>
      <w:marRight w:val="0"/>
      <w:marTop w:val="0"/>
      <w:marBottom w:val="0"/>
      <w:divBdr>
        <w:top w:val="none" w:sz="0" w:space="0" w:color="auto"/>
        <w:left w:val="none" w:sz="0" w:space="0" w:color="auto"/>
        <w:bottom w:val="none" w:sz="0" w:space="0" w:color="auto"/>
        <w:right w:val="none" w:sz="0" w:space="0" w:color="auto"/>
      </w:divBdr>
    </w:div>
    <w:div w:id="1203711599">
      <w:bodyDiv w:val="1"/>
      <w:marLeft w:val="0"/>
      <w:marRight w:val="0"/>
      <w:marTop w:val="0"/>
      <w:marBottom w:val="0"/>
      <w:divBdr>
        <w:top w:val="none" w:sz="0" w:space="0" w:color="auto"/>
        <w:left w:val="none" w:sz="0" w:space="0" w:color="auto"/>
        <w:bottom w:val="none" w:sz="0" w:space="0" w:color="auto"/>
        <w:right w:val="none" w:sz="0" w:space="0" w:color="auto"/>
      </w:divBdr>
      <w:divsChild>
        <w:div w:id="1037662882">
          <w:marLeft w:val="0"/>
          <w:marRight w:val="0"/>
          <w:marTop w:val="0"/>
          <w:marBottom w:val="0"/>
          <w:divBdr>
            <w:top w:val="none" w:sz="0" w:space="0" w:color="auto"/>
            <w:left w:val="none" w:sz="0" w:space="0" w:color="auto"/>
            <w:bottom w:val="none" w:sz="0" w:space="0" w:color="auto"/>
            <w:right w:val="none" w:sz="0" w:space="0" w:color="auto"/>
          </w:divBdr>
          <w:divsChild>
            <w:div w:id="40711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9880">
      <w:bodyDiv w:val="1"/>
      <w:marLeft w:val="0"/>
      <w:marRight w:val="0"/>
      <w:marTop w:val="0"/>
      <w:marBottom w:val="0"/>
      <w:divBdr>
        <w:top w:val="none" w:sz="0" w:space="0" w:color="auto"/>
        <w:left w:val="none" w:sz="0" w:space="0" w:color="auto"/>
        <w:bottom w:val="none" w:sz="0" w:space="0" w:color="auto"/>
        <w:right w:val="none" w:sz="0" w:space="0" w:color="auto"/>
      </w:divBdr>
    </w:div>
    <w:div w:id="1241066147">
      <w:bodyDiv w:val="1"/>
      <w:marLeft w:val="0"/>
      <w:marRight w:val="0"/>
      <w:marTop w:val="0"/>
      <w:marBottom w:val="0"/>
      <w:divBdr>
        <w:top w:val="none" w:sz="0" w:space="0" w:color="auto"/>
        <w:left w:val="none" w:sz="0" w:space="0" w:color="auto"/>
        <w:bottom w:val="none" w:sz="0" w:space="0" w:color="auto"/>
        <w:right w:val="none" w:sz="0" w:space="0" w:color="auto"/>
      </w:divBdr>
    </w:div>
    <w:div w:id="1306593658">
      <w:bodyDiv w:val="1"/>
      <w:marLeft w:val="0"/>
      <w:marRight w:val="0"/>
      <w:marTop w:val="0"/>
      <w:marBottom w:val="0"/>
      <w:divBdr>
        <w:top w:val="none" w:sz="0" w:space="0" w:color="auto"/>
        <w:left w:val="none" w:sz="0" w:space="0" w:color="auto"/>
        <w:bottom w:val="none" w:sz="0" w:space="0" w:color="auto"/>
        <w:right w:val="none" w:sz="0" w:space="0" w:color="auto"/>
      </w:divBdr>
    </w:div>
    <w:div w:id="1385368087">
      <w:bodyDiv w:val="1"/>
      <w:marLeft w:val="0"/>
      <w:marRight w:val="0"/>
      <w:marTop w:val="0"/>
      <w:marBottom w:val="0"/>
      <w:divBdr>
        <w:top w:val="none" w:sz="0" w:space="0" w:color="auto"/>
        <w:left w:val="none" w:sz="0" w:space="0" w:color="auto"/>
        <w:bottom w:val="none" w:sz="0" w:space="0" w:color="auto"/>
        <w:right w:val="none" w:sz="0" w:space="0" w:color="auto"/>
      </w:divBdr>
    </w:div>
    <w:div w:id="1397170596">
      <w:bodyDiv w:val="1"/>
      <w:marLeft w:val="0"/>
      <w:marRight w:val="0"/>
      <w:marTop w:val="0"/>
      <w:marBottom w:val="0"/>
      <w:divBdr>
        <w:top w:val="none" w:sz="0" w:space="0" w:color="auto"/>
        <w:left w:val="none" w:sz="0" w:space="0" w:color="auto"/>
        <w:bottom w:val="none" w:sz="0" w:space="0" w:color="auto"/>
        <w:right w:val="none" w:sz="0" w:space="0" w:color="auto"/>
      </w:divBdr>
    </w:div>
    <w:div w:id="1418012416">
      <w:bodyDiv w:val="1"/>
      <w:marLeft w:val="0"/>
      <w:marRight w:val="0"/>
      <w:marTop w:val="0"/>
      <w:marBottom w:val="0"/>
      <w:divBdr>
        <w:top w:val="none" w:sz="0" w:space="0" w:color="auto"/>
        <w:left w:val="none" w:sz="0" w:space="0" w:color="auto"/>
        <w:bottom w:val="none" w:sz="0" w:space="0" w:color="auto"/>
        <w:right w:val="none" w:sz="0" w:space="0" w:color="auto"/>
      </w:divBdr>
    </w:div>
    <w:div w:id="1429884792">
      <w:bodyDiv w:val="1"/>
      <w:marLeft w:val="0"/>
      <w:marRight w:val="0"/>
      <w:marTop w:val="0"/>
      <w:marBottom w:val="0"/>
      <w:divBdr>
        <w:top w:val="none" w:sz="0" w:space="0" w:color="auto"/>
        <w:left w:val="none" w:sz="0" w:space="0" w:color="auto"/>
        <w:bottom w:val="none" w:sz="0" w:space="0" w:color="auto"/>
        <w:right w:val="none" w:sz="0" w:space="0" w:color="auto"/>
      </w:divBdr>
    </w:div>
    <w:div w:id="1475679013">
      <w:bodyDiv w:val="1"/>
      <w:marLeft w:val="0"/>
      <w:marRight w:val="0"/>
      <w:marTop w:val="0"/>
      <w:marBottom w:val="0"/>
      <w:divBdr>
        <w:top w:val="none" w:sz="0" w:space="0" w:color="auto"/>
        <w:left w:val="none" w:sz="0" w:space="0" w:color="auto"/>
        <w:bottom w:val="none" w:sz="0" w:space="0" w:color="auto"/>
        <w:right w:val="none" w:sz="0" w:space="0" w:color="auto"/>
      </w:divBdr>
    </w:div>
    <w:div w:id="1512717298">
      <w:bodyDiv w:val="1"/>
      <w:marLeft w:val="0"/>
      <w:marRight w:val="0"/>
      <w:marTop w:val="0"/>
      <w:marBottom w:val="0"/>
      <w:divBdr>
        <w:top w:val="none" w:sz="0" w:space="0" w:color="auto"/>
        <w:left w:val="none" w:sz="0" w:space="0" w:color="auto"/>
        <w:bottom w:val="none" w:sz="0" w:space="0" w:color="auto"/>
        <w:right w:val="none" w:sz="0" w:space="0" w:color="auto"/>
      </w:divBdr>
    </w:div>
    <w:div w:id="1553535704">
      <w:bodyDiv w:val="1"/>
      <w:marLeft w:val="0"/>
      <w:marRight w:val="0"/>
      <w:marTop w:val="0"/>
      <w:marBottom w:val="0"/>
      <w:divBdr>
        <w:top w:val="none" w:sz="0" w:space="0" w:color="auto"/>
        <w:left w:val="none" w:sz="0" w:space="0" w:color="auto"/>
        <w:bottom w:val="none" w:sz="0" w:space="0" w:color="auto"/>
        <w:right w:val="none" w:sz="0" w:space="0" w:color="auto"/>
      </w:divBdr>
    </w:div>
    <w:div w:id="1600019023">
      <w:bodyDiv w:val="1"/>
      <w:marLeft w:val="0"/>
      <w:marRight w:val="0"/>
      <w:marTop w:val="0"/>
      <w:marBottom w:val="0"/>
      <w:divBdr>
        <w:top w:val="none" w:sz="0" w:space="0" w:color="auto"/>
        <w:left w:val="none" w:sz="0" w:space="0" w:color="auto"/>
        <w:bottom w:val="none" w:sz="0" w:space="0" w:color="auto"/>
        <w:right w:val="none" w:sz="0" w:space="0" w:color="auto"/>
      </w:divBdr>
    </w:div>
    <w:div w:id="1613055240">
      <w:bodyDiv w:val="1"/>
      <w:marLeft w:val="0"/>
      <w:marRight w:val="0"/>
      <w:marTop w:val="0"/>
      <w:marBottom w:val="0"/>
      <w:divBdr>
        <w:top w:val="none" w:sz="0" w:space="0" w:color="auto"/>
        <w:left w:val="none" w:sz="0" w:space="0" w:color="auto"/>
        <w:bottom w:val="none" w:sz="0" w:space="0" w:color="auto"/>
        <w:right w:val="none" w:sz="0" w:space="0" w:color="auto"/>
      </w:divBdr>
    </w:div>
    <w:div w:id="1624117023">
      <w:bodyDiv w:val="1"/>
      <w:marLeft w:val="0"/>
      <w:marRight w:val="0"/>
      <w:marTop w:val="0"/>
      <w:marBottom w:val="0"/>
      <w:divBdr>
        <w:top w:val="none" w:sz="0" w:space="0" w:color="auto"/>
        <w:left w:val="none" w:sz="0" w:space="0" w:color="auto"/>
        <w:bottom w:val="none" w:sz="0" w:space="0" w:color="auto"/>
        <w:right w:val="none" w:sz="0" w:space="0" w:color="auto"/>
      </w:divBdr>
    </w:div>
    <w:div w:id="1658680007">
      <w:bodyDiv w:val="1"/>
      <w:marLeft w:val="0"/>
      <w:marRight w:val="0"/>
      <w:marTop w:val="0"/>
      <w:marBottom w:val="0"/>
      <w:divBdr>
        <w:top w:val="none" w:sz="0" w:space="0" w:color="auto"/>
        <w:left w:val="none" w:sz="0" w:space="0" w:color="auto"/>
        <w:bottom w:val="none" w:sz="0" w:space="0" w:color="auto"/>
        <w:right w:val="none" w:sz="0" w:space="0" w:color="auto"/>
      </w:divBdr>
    </w:div>
    <w:div w:id="1661883926">
      <w:bodyDiv w:val="1"/>
      <w:marLeft w:val="0"/>
      <w:marRight w:val="0"/>
      <w:marTop w:val="0"/>
      <w:marBottom w:val="0"/>
      <w:divBdr>
        <w:top w:val="none" w:sz="0" w:space="0" w:color="auto"/>
        <w:left w:val="none" w:sz="0" w:space="0" w:color="auto"/>
        <w:bottom w:val="none" w:sz="0" w:space="0" w:color="auto"/>
        <w:right w:val="none" w:sz="0" w:space="0" w:color="auto"/>
      </w:divBdr>
    </w:div>
    <w:div w:id="1694989449">
      <w:bodyDiv w:val="1"/>
      <w:marLeft w:val="0"/>
      <w:marRight w:val="0"/>
      <w:marTop w:val="0"/>
      <w:marBottom w:val="0"/>
      <w:divBdr>
        <w:top w:val="none" w:sz="0" w:space="0" w:color="auto"/>
        <w:left w:val="none" w:sz="0" w:space="0" w:color="auto"/>
        <w:bottom w:val="none" w:sz="0" w:space="0" w:color="auto"/>
        <w:right w:val="none" w:sz="0" w:space="0" w:color="auto"/>
      </w:divBdr>
    </w:div>
    <w:div w:id="1722052925">
      <w:bodyDiv w:val="1"/>
      <w:marLeft w:val="0"/>
      <w:marRight w:val="0"/>
      <w:marTop w:val="0"/>
      <w:marBottom w:val="0"/>
      <w:divBdr>
        <w:top w:val="none" w:sz="0" w:space="0" w:color="auto"/>
        <w:left w:val="none" w:sz="0" w:space="0" w:color="auto"/>
        <w:bottom w:val="none" w:sz="0" w:space="0" w:color="auto"/>
        <w:right w:val="none" w:sz="0" w:space="0" w:color="auto"/>
      </w:divBdr>
    </w:div>
    <w:div w:id="1774859903">
      <w:bodyDiv w:val="1"/>
      <w:marLeft w:val="0"/>
      <w:marRight w:val="0"/>
      <w:marTop w:val="0"/>
      <w:marBottom w:val="0"/>
      <w:divBdr>
        <w:top w:val="none" w:sz="0" w:space="0" w:color="auto"/>
        <w:left w:val="none" w:sz="0" w:space="0" w:color="auto"/>
        <w:bottom w:val="none" w:sz="0" w:space="0" w:color="auto"/>
        <w:right w:val="none" w:sz="0" w:space="0" w:color="auto"/>
      </w:divBdr>
    </w:div>
    <w:div w:id="1799374616">
      <w:bodyDiv w:val="1"/>
      <w:marLeft w:val="0"/>
      <w:marRight w:val="0"/>
      <w:marTop w:val="0"/>
      <w:marBottom w:val="0"/>
      <w:divBdr>
        <w:top w:val="none" w:sz="0" w:space="0" w:color="auto"/>
        <w:left w:val="none" w:sz="0" w:space="0" w:color="auto"/>
        <w:bottom w:val="none" w:sz="0" w:space="0" w:color="auto"/>
        <w:right w:val="none" w:sz="0" w:space="0" w:color="auto"/>
      </w:divBdr>
    </w:div>
    <w:div w:id="1813861844">
      <w:bodyDiv w:val="1"/>
      <w:marLeft w:val="0"/>
      <w:marRight w:val="0"/>
      <w:marTop w:val="0"/>
      <w:marBottom w:val="0"/>
      <w:divBdr>
        <w:top w:val="none" w:sz="0" w:space="0" w:color="auto"/>
        <w:left w:val="none" w:sz="0" w:space="0" w:color="auto"/>
        <w:bottom w:val="none" w:sz="0" w:space="0" w:color="auto"/>
        <w:right w:val="none" w:sz="0" w:space="0" w:color="auto"/>
      </w:divBdr>
    </w:div>
    <w:div w:id="1826704381">
      <w:bodyDiv w:val="1"/>
      <w:marLeft w:val="0"/>
      <w:marRight w:val="0"/>
      <w:marTop w:val="0"/>
      <w:marBottom w:val="0"/>
      <w:divBdr>
        <w:top w:val="none" w:sz="0" w:space="0" w:color="auto"/>
        <w:left w:val="none" w:sz="0" w:space="0" w:color="auto"/>
        <w:bottom w:val="none" w:sz="0" w:space="0" w:color="auto"/>
        <w:right w:val="none" w:sz="0" w:space="0" w:color="auto"/>
      </w:divBdr>
    </w:div>
    <w:div w:id="1835561026">
      <w:bodyDiv w:val="1"/>
      <w:marLeft w:val="0"/>
      <w:marRight w:val="0"/>
      <w:marTop w:val="0"/>
      <w:marBottom w:val="0"/>
      <w:divBdr>
        <w:top w:val="none" w:sz="0" w:space="0" w:color="auto"/>
        <w:left w:val="none" w:sz="0" w:space="0" w:color="auto"/>
        <w:bottom w:val="none" w:sz="0" w:space="0" w:color="auto"/>
        <w:right w:val="none" w:sz="0" w:space="0" w:color="auto"/>
      </w:divBdr>
    </w:div>
    <w:div w:id="1993635821">
      <w:bodyDiv w:val="1"/>
      <w:marLeft w:val="0"/>
      <w:marRight w:val="0"/>
      <w:marTop w:val="0"/>
      <w:marBottom w:val="0"/>
      <w:divBdr>
        <w:top w:val="none" w:sz="0" w:space="0" w:color="auto"/>
        <w:left w:val="none" w:sz="0" w:space="0" w:color="auto"/>
        <w:bottom w:val="none" w:sz="0" w:space="0" w:color="auto"/>
        <w:right w:val="none" w:sz="0" w:space="0" w:color="auto"/>
      </w:divBdr>
    </w:div>
    <w:div w:id="1998145381">
      <w:bodyDiv w:val="1"/>
      <w:marLeft w:val="0"/>
      <w:marRight w:val="0"/>
      <w:marTop w:val="0"/>
      <w:marBottom w:val="0"/>
      <w:divBdr>
        <w:top w:val="none" w:sz="0" w:space="0" w:color="auto"/>
        <w:left w:val="none" w:sz="0" w:space="0" w:color="auto"/>
        <w:bottom w:val="none" w:sz="0" w:space="0" w:color="auto"/>
        <w:right w:val="none" w:sz="0" w:space="0" w:color="auto"/>
      </w:divBdr>
    </w:div>
    <w:div w:id="2013601657">
      <w:bodyDiv w:val="1"/>
      <w:marLeft w:val="0"/>
      <w:marRight w:val="0"/>
      <w:marTop w:val="0"/>
      <w:marBottom w:val="0"/>
      <w:divBdr>
        <w:top w:val="none" w:sz="0" w:space="0" w:color="auto"/>
        <w:left w:val="none" w:sz="0" w:space="0" w:color="auto"/>
        <w:bottom w:val="none" w:sz="0" w:space="0" w:color="auto"/>
        <w:right w:val="none" w:sz="0" w:space="0" w:color="auto"/>
      </w:divBdr>
    </w:div>
    <w:div w:id="2111586870">
      <w:bodyDiv w:val="1"/>
      <w:marLeft w:val="0"/>
      <w:marRight w:val="0"/>
      <w:marTop w:val="0"/>
      <w:marBottom w:val="0"/>
      <w:divBdr>
        <w:top w:val="none" w:sz="0" w:space="0" w:color="auto"/>
        <w:left w:val="none" w:sz="0" w:space="0" w:color="auto"/>
        <w:bottom w:val="none" w:sz="0" w:space="0" w:color="auto"/>
        <w:right w:val="none" w:sz="0" w:space="0" w:color="auto"/>
      </w:divBdr>
    </w:div>
    <w:div w:id="2113620451">
      <w:bodyDiv w:val="1"/>
      <w:marLeft w:val="0"/>
      <w:marRight w:val="0"/>
      <w:marTop w:val="0"/>
      <w:marBottom w:val="0"/>
      <w:divBdr>
        <w:top w:val="none" w:sz="0" w:space="0" w:color="auto"/>
        <w:left w:val="none" w:sz="0" w:space="0" w:color="auto"/>
        <w:bottom w:val="none" w:sz="0" w:space="0" w:color="auto"/>
        <w:right w:val="none" w:sz="0" w:space="0" w:color="auto"/>
      </w:divBdr>
    </w:div>
    <w:div w:id="213510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983FA76A16E446A6A3BBB9BFB30D81" ma:contentTypeVersion="13" ma:contentTypeDescription="Create a new document." ma:contentTypeScope="" ma:versionID="6864165b87f2272647485111a3d385a8">
  <xsd:schema xmlns:xsd="http://www.w3.org/2001/XMLSchema" xmlns:xs="http://www.w3.org/2001/XMLSchema" xmlns:p="http://schemas.microsoft.com/office/2006/metadata/properties" xmlns:ns2="00c2cb43-ec7f-4287-ae88-1581a6ca2ae2" xmlns:ns3="597845f7-296c-432b-86e1-75c2082b2900" targetNamespace="http://schemas.microsoft.com/office/2006/metadata/properties" ma:root="true" ma:fieldsID="1c5540298beb954463ca1ba24ca19fec" ns2:_="" ns3:_="">
    <xsd:import namespace="00c2cb43-ec7f-4287-ae88-1581a6ca2ae2"/>
    <xsd:import namespace="597845f7-296c-432b-86e1-75c2082b29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2cb43-ec7f-4287-ae88-1581a6ca2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631252e-6fa5-4b2b-9987-d0b6e83c6b6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7845f7-296c-432b-86e1-75c2082b29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e7476f6-6a71-472c-b28f-af5b84c1c0f6}" ma:internalName="TaxCatchAll" ma:showField="CatchAllData" ma:web="597845f7-296c-432b-86e1-75c2082b29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c2cb43-ec7f-4287-ae88-1581a6ca2ae2">
      <Terms xmlns="http://schemas.microsoft.com/office/infopath/2007/PartnerControls"/>
    </lcf76f155ced4ddcb4097134ff3c332f>
    <TaxCatchAll xmlns="597845f7-296c-432b-86e1-75c2082b2900" xsi:nil="true"/>
  </documentManagement>
</p:properties>
</file>

<file path=customXml/itemProps1.xml><?xml version="1.0" encoding="utf-8"?>
<ds:datastoreItem xmlns:ds="http://schemas.openxmlformats.org/officeDocument/2006/customXml" ds:itemID="{7DFCB2D5-9652-4F7C-8490-44B3026B59A1}">
  <ds:schemaRefs>
    <ds:schemaRef ds:uri="http://schemas.openxmlformats.org/officeDocument/2006/bibliography"/>
  </ds:schemaRefs>
</ds:datastoreItem>
</file>

<file path=customXml/itemProps2.xml><?xml version="1.0" encoding="utf-8"?>
<ds:datastoreItem xmlns:ds="http://schemas.openxmlformats.org/officeDocument/2006/customXml" ds:itemID="{F70E5680-D5D4-4A7F-AC22-422FF1A5C156}">
  <ds:schemaRefs>
    <ds:schemaRef ds:uri="http://schemas.microsoft.com/sharepoint/v3/contenttype/forms"/>
  </ds:schemaRefs>
</ds:datastoreItem>
</file>

<file path=customXml/itemProps3.xml><?xml version="1.0" encoding="utf-8"?>
<ds:datastoreItem xmlns:ds="http://schemas.openxmlformats.org/officeDocument/2006/customXml" ds:itemID="{81AE5F4F-D419-4E40-8F8B-CF9A8DCA7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2cb43-ec7f-4287-ae88-1581a6ca2ae2"/>
    <ds:schemaRef ds:uri="597845f7-296c-432b-86e1-75c2082b2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15B24A-2FAB-46CD-ACCF-B347E7333E8B}">
  <ds:schemaRefs>
    <ds:schemaRef ds:uri="http://schemas.microsoft.com/office/2006/metadata/properties"/>
    <ds:schemaRef ds:uri="http://schemas.microsoft.com/office/infopath/2007/PartnerControls"/>
    <ds:schemaRef ds:uri="00c2cb43-ec7f-4287-ae88-1581a6ca2ae2"/>
    <ds:schemaRef ds:uri="597845f7-296c-432b-86e1-75c2082b2900"/>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46234</Words>
  <Characters>263537</Characters>
  <Application>Microsoft Office Word</Application>
  <DocSecurity>0</DocSecurity>
  <Lines>2196</Lines>
  <Paragraphs>618</Paragraphs>
  <ScaleCrop>false</ScaleCrop>
  <Company>Universiteit Leiden - ISSC</Company>
  <LinksUpToDate>false</LinksUpToDate>
  <CharactersWithSpaces>309153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Delval, M.H. (Mona)</dc:creator>
  <cp:keywords/>
  <dc:description/>
  <cp:lastModifiedBy>Delval, M.H. (Mona)</cp:lastModifiedBy>
  <cp:revision>10339</cp:revision>
  <cp:lastPrinted>2025-12-12T14:25:00Z</cp:lastPrinted>
  <dcterms:created xsi:type="dcterms:W3CDTF">2025-01-28T00:16:00Z</dcterms:created>
  <dcterms:modified xsi:type="dcterms:W3CDTF">2026-06-24T15:33:00Z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0x01010097983FA76A16E446A6A3BBB9BFB30D81</vt:lpwstr>
  </property>
  <property fmtid="{D5CDD505-2E9C-101B-9397-08002B2CF9AE}" pid="3" name="MediaServiceImageTags">
    <vt:lpwstr/>
  </property>
  <property fmtid="{D5CDD505-2E9C-101B-9397-08002B2CF9AE}" pid="4" name="ZOTERO_PREF_1">
    <vt:lpwstr>&lt;data data-version="3" zotero-version="9.0.5"&gt;&lt;session id="5ibHwoUn"/&gt;&lt;style id="http://www.zotero.org/styles/the-international-journal-of-life-cycle-assessment" hasBibliography="1" bibliographyStyleHasBeenSet="1"/&gt;&lt;prefs&gt;&lt;pref name="fieldType" value="Fie</vt:lpwstr>
  </property>
  <property fmtid="{D5CDD505-2E9C-101B-9397-08002B2CF9AE}" pid="5" name="ZOTERO_PREF_2">
    <vt:lpwstr>ld"/&gt;&lt;pref name="dontAskDelayCitationUpdates" value="true"/&gt;&lt;/prefs&gt;&lt;/data&gt;</vt:lpwstr>
  </property>
  <property fmtid="{D5CDD505-2E9C-101B-9397-08002B2CF9AE}" pid="6" name="ClassificationContentMarkingFooterShapeIds">
    <vt:lpwstr>6f04740,69ecf71f,142f6352</vt:lpwstr>
  </property>
  <property fmtid="{D5CDD505-2E9C-101B-9397-08002B2CF9AE}" pid="7" name="ClassificationContentMarkingFooterFontProps">
    <vt:lpwstr>#000000,10,Calibri</vt:lpwstr>
  </property>
  <property fmtid="{D5CDD505-2E9C-101B-9397-08002B2CF9AE}" pid="8" name="ClassificationContentMarkingFooterText">
    <vt:lpwstr>Classified as Internal | Intern</vt:lpwstr>
  </property>
  <property fmtid="{D5CDD505-2E9C-101B-9397-08002B2CF9AE}" pid="9" name="MSIP_Label_d465f887-04a9-4c17-8b62-103eddccf68b_Enabled">
    <vt:lpwstr>true</vt:lpwstr>
  </property>
  <property fmtid="{D5CDD505-2E9C-101B-9397-08002B2CF9AE}" pid="10" name="MSIP_Label_d465f887-04a9-4c17-8b62-103eddccf68b_SetDate">
    <vt:lpwstr>2025-10-16T09:40:02Z</vt:lpwstr>
  </property>
  <property fmtid="{D5CDD505-2E9C-101B-9397-08002B2CF9AE}" pid="11" name="MSIP_Label_d465f887-04a9-4c17-8b62-103eddccf68b_Method">
    <vt:lpwstr>Standard</vt:lpwstr>
  </property>
  <property fmtid="{D5CDD505-2E9C-101B-9397-08002B2CF9AE}" pid="12" name="MSIP_Label_d465f887-04a9-4c17-8b62-103eddccf68b_Name">
    <vt:lpwstr>Internal - Intern</vt:lpwstr>
  </property>
  <property fmtid="{D5CDD505-2E9C-101B-9397-08002B2CF9AE}" pid="13" name="MSIP_Label_d465f887-04a9-4c17-8b62-103eddccf68b_SiteId">
    <vt:lpwstr>ca2a7f76-dbd7-4ec0-9108-6b3d524fb7c8</vt:lpwstr>
  </property>
  <property fmtid="{D5CDD505-2E9C-101B-9397-08002B2CF9AE}" pid="14" name="MSIP_Label_d465f887-04a9-4c17-8b62-103eddccf68b_ActionId">
    <vt:lpwstr>74e2fe38-17d9-4170-80a7-1db3eccb6f0f</vt:lpwstr>
  </property>
  <property fmtid="{D5CDD505-2E9C-101B-9397-08002B2CF9AE}" pid="15" name="MSIP_Label_d465f887-04a9-4c17-8b62-103eddccf68b_ContentBits">
    <vt:lpwstr>2</vt:lpwstr>
  </property>
  <property fmtid="{D5CDD505-2E9C-101B-9397-08002B2CF9AE}" pid="16" name="MSIP_Label_d465f887-04a9-4c17-8b62-103eddccf68b_Tag">
    <vt:lpwstr>10, 3, 0, 1</vt:lpwstr>
  </property>
</Properties>
</file>