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EFBBD" w14:textId="77777777" w:rsidR="00A879F0" w:rsidRDefault="00A879F0"/>
    <w:p w14:paraId="48AC4805" w14:textId="77777777" w:rsidR="00A879F0" w:rsidRDefault="00A879F0">
      <w:pPr>
        <w:jc w:val="both"/>
        <w:rPr>
          <w:rFonts w:ascii="Arial" w:eastAsia="Arial" w:hAnsi="Arial" w:cs="Arial"/>
        </w:rPr>
      </w:pPr>
    </w:p>
    <w:p w14:paraId="1453B0CD" w14:textId="77777777" w:rsidR="00A879F0" w:rsidRDefault="00A879F0">
      <w:pPr>
        <w:spacing w:after="0"/>
        <w:jc w:val="both"/>
        <w:rPr>
          <w:sz w:val="18"/>
          <w:szCs w:val="18"/>
        </w:rPr>
      </w:pPr>
    </w:p>
    <w:p w14:paraId="69B258CD" w14:textId="77777777" w:rsidR="00A879F0" w:rsidRDefault="00A879F0">
      <w:pPr>
        <w:spacing w:after="0"/>
        <w:jc w:val="both"/>
        <w:rPr>
          <w:sz w:val="18"/>
          <w:szCs w:val="18"/>
        </w:rPr>
      </w:pPr>
    </w:p>
    <w:p w14:paraId="7A059061" w14:textId="77777777" w:rsidR="00A879F0" w:rsidRDefault="008F0787">
      <w:pPr>
        <w:spacing w:after="0"/>
        <w:jc w:val="both"/>
        <w:rPr>
          <w:sz w:val="20"/>
          <w:szCs w:val="20"/>
        </w:rPr>
      </w:pPr>
      <w:r>
        <w:rPr>
          <w:b/>
          <w:bCs/>
          <w:sz w:val="20"/>
          <w:szCs w:val="20"/>
        </w:rPr>
        <w:t>Online Resource 1</w:t>
      </w:r>
      <w:r>
        <w:rPr>
          <w:sz w:val="20"/>
          <w:szCs w:val="20"/>
        </w:rPr>
        <w:t>. Search strategy used to update the study set included in this review</w:t>
      </w:r>
    </w:p>
    <w:p w14:paraId="4280C642" w14:textId="77777777" w:rsidR="00A879F0" w:rsidRDefault="00A879F0">
      <w:pPr>
        <w:spacing w:after="0"/>
        <w:jc w:val="both"/>
        <w:rPr>
          <w:sz w:val="20"/>
          <w:szCs w:val="20"/>
        </w:rPr>
      </w:pPr>
    </w:p>
    <w:p w14:paraId="6142B6E7" w14:textId="77777777" w:rsidR="00A879F0" w:rsidRDefault="008F0787">
      <w:pPr>
        <w:spacing w:after="0" w:line="342" w:lineRule="auto"/>
        <w:jc w:val="both"/>
        <w:rPr>
          <w:sz w:val="20"/>
          <w:szCs w:val="20"/>
        </w:rPr>
      </w:pPr>
      <w:r>
        <w:rPr>
          <w:sz w:val="21"/>
          <w:szCs w:val="21"/>
        </w:rPr>
        <w:t>The search strategy used by Reguant-Closa et al. (2024) was adapted for the present review to update the evidence base from 2023 to June 2024. The following search string was used:</w:t>
      </w:r>
    </w:p>
    <w:p w14:paraId="576FAF75" w14:textId="77777777" w:rsidR="00A879F0" w:rsidRDefault="00A879F0">
      <w:pPr>
        <w:spacing w:after="0"/>
        <w:jc w:val="both"/>
        <w:rPr>
          <w:sz w:val="20"/>
          <w:szCs w:val="20"/>
        </w:rPr>
      </w:pPr>
    </w:p>
    <w:p w14:paraId="72AAF8C9" w14:textId="77777777" w:rsidR="00A879F0" w:rsidRDefault="008F0787">
      <w:pPr>
        <w:spacing w:after="0"/>
        <w:jc w:val="both"/>
        <w:rPr>
          <w:sz w:val="20"/>
          <w:szCs w:val="20"/>
        </w:rPr>
      </w:pPr>
      <w:r>
        <w:rPr>
          <w:sz w:val="20"/>
          <w:szCs w:val="20"/>
        </w:rPr>
        <w:t>(“sustain*” OR “environment*” OR “LCA” OR “life cycle assessment”) AND (“food” OR “meal” OR “diet”) AND (“diet quality” OR “</w:t>
      </w:r>
      <w:proofErr w:type="spellStart"/>
      <w:r>
        <w:rPr>
          <w:sz w:val="20"/>
          <w:szCs w:val="20"/>
        </w:rPr>
        <w:t>nutri</w:t>
      </w:r>
      <w:proofErr w:type="spellEnd"/>
      <w:r>
        <w:rPr>
          <w:sz w:val="20"/>
          <w:szCs w:val="20"/>
        </w:rPr>
        <w:t>* quality” OR “</w:t>
      </w:r>
      <w:proofErr w:type="spellStart"/>
      <w:r>
        <w:rPr>
          <w:sz w:val="20"/>
          <w:szCs w:val="20"/>
        </w:rPr>
        <w:t>nutri</w:t>
      </w:r>
      <w:proofErr w:type="spellEnd"/>
      <w:r>
        <w:rPr>
          <w:sz w:val="20"/>
          <w:szCs w:val="20"/>
        </w:rPr>
        <w:t xml:space="preserve">* </w:t>
      </w:r>
      <w:proofErr w:type="spellStart"/>
      <w:r>
        <w:rPr>
          <w:sz w:val="20"/>
          <w:szCs w:val="20"/>
        </w:rPr>
        <w:t>profil</w:t>
      </w:r>
      <w:proofErr w:type="spellEnd"/>
      <w:r>
        <w:rPr>
          <w:sz w:val="20"/>
          <w:szCs w:val="20"/>
        </w:rPr>
        <w:t>*” OR “</w:t>
      </w:r>
      <w:proofErr w:type="spellStart"/>
      <w:r>
        <w:rPr>
          <w:sz w:val="20"/>
          <w:szCs w:val="20"/>
        </w:rPr>
        <w:t>nutri</w:t>
      </w:r>
      <w:proofErr w:type="spellEnd"/>
      <w:r>
        <w:rPr>
          <w:sz w:val="20"/>
          <w:szCs w:val="20"/>
        </w:rPr>
        <w:t>* score” OR “</w:t>
      </w:r>
      <w:proofErr w:type="spellStart"/>
      <w:r>
        <w:rPr>
          <w:sz w:val="20"/>
          <w:szCs w:val="20"/>
        </w:rPr>
        <w:t>nutri</w:t>
      </w:r>
      <w:proofErr w:type="spellEnd"/>
      <w:r>
        <w:rPr>
          <w:sz w:val="20"/>
          <w:szCs w:val="20"/>
        </w:rPr>
        <w:t>* index” OR “</w:t>
      </w:r>
      <w:proofErr w:type="spellStart"/>
      <w:r>
        <w:rPr>
          <w:sz w:val="20"/>
          <w:szCs w:val="20"/>
        </w:rPr>
        <w:t>nutri</w:t>
      </w:r>
      <w:proofErr w:type="spellEnd"/>
      <w:r>
        <w:rPr>
          <w:sz w:val="20"/>
          <w:szCs w:val="20"/>
        </w:rPr>
        <w:t>* indicator” OR “health score” OR “health index” OR “health indicator”)</w:t>
      </w:r>
    </w:p>
    <w:p w14:paraId="24173CB2" w14:textId="77777777" w:rsidR="00A879F0" w:rsidRDefault="008F0787">
      <w:pPr>
        <w:spacing w:before="240" w:after="240"/>
        <w:ind w:right="-6"/>
        <w:jc w:val="both"/>
        <w:rPr>
          <w:sz w:val="20"/>
          <w:szCs w:val="20"/>
        </w:rPr>
      </w:pPr>
      <w:r>
        <w:rPr>
          <w:sz w:val="20"/>
          <w:szCs w:val="20"/>
        </w:rPr>
        <w:t>The updated search covered the period from January 2023 to early June 2024 and was performed in PubMed and Scopus. The search strategy was adapted to the syntax and search tools of each database. In both databases, the search was restricted to records published in English, French, or Spanish during the defined period and to documents potentially reporting original research. Records were subsequently screened by title and abstract according to the predefined inclusion criteria of the review. Studies were ret</w:t>
      </w:r>
      <w:r>
        <w:rPr>
          <w:sz w:val="20"/>
          <w:szCs w:val="20"/>
        </w:rPr>
        <w:t>ained when they focused on foods, meals, or dietary patterns and reported both environmental impact metrics and nutritional or health-related metrics. Records were excluded when they were clearly outside the scope of nutritional life cycle assessment (n-LCA), did not address foods or diets, did not report both environmental and nutritional/health dimensions, or corresponded to reviews, commentaries, conference abstracts, or other publication types without sufficient original data for extraction.</w:t>
      </w:r>
    </w:p>
    <w:p w14:paraId="2A802DF1" w14:textId="77777777" w:rsidR="00A879F0" w:rsidRDefault="00A879F0">
      <w:pPr>
        <w:spacing w:before="240" w:after="240"/>
        <w:ind w:right="-6"/>
        <w:jc w:val="both"/>
        <w:rPr>
          <w:sz w:val="18"/>
          <w:szCs w:val="18"/>
        </w:rPr>
      </w:pPr>
    </w:p>
    <w:p w14:paraId="126F2FA6" w14:textId="77777777" w:rsidR="00A879F0" w:rsidRDefault="00A879F0">
      <w:pPr>
        <w:spacing w:before="240" w:after="240"/>
        <w:ind w:right="-6"/>
        <w:jc w:val="both"/>
        <w:rPr>
          <w:sz w:val="18"/>
          <w:szCs w:val="18"/>
        </w:rPr>
      </w:pPr>
    </w:p>
    <w:p w14:paraId="4E83B684" w14:textId="77777777" w:rsidR="00A879F0" w:rsidRDefault="00A879F0">
      <w:pPr>
        <w:spacing w:after="0"/>
        <w:jc w:val="both"/>
        <w:rPr>
          <w:sz w:val="18"/>
          <w:szCs w:val="18"/>
        </w:rPr>
      </w:pPr>
    </w:p>
    <w:p w14:paraId="2DFDBD2C" w14:textId="77777777" w:rsidR="00A879F0" w:rsidRDefault="00A879F0">
      <w:pPr>
        <w:spacing w:after="0"/>
        <w:jc w:val="both"/>
        <w:rPr>
          <w:sz w:val="18"/>
          <w:szCs w:val="18"/>
        </w:rPr>
      </w:pPr>
    </w:p>
    <w:p w14:paraId="7A4F04F1" w14:textId="77777777" w:rsidR="00A879F0" w:rsidRDefault="008F0787">
      <w:pPr>
        <w:spacing w:after="0"/>
        <w:jc w:val="both"/>
        <w:rPr>
          <w:b/>
          <w:bCs/>
          <w:sz w:val="20"/>
          <w:szCs w:val="20"/>
        </w:rPr>
      </w:pPr>
      <w:r>
        <w:br w:type="page"/>
      </w:r>
    </w:p>
    <w:p w14:paraId="447D8816" w14:textId="77777777" w:rsidR="00A879F0" w:rsidRDefault="00A879F0">
      <w:pPr>
        <w:spacing w:after="0"/>
        <w:jc w:val="both"/>
        <w:rPr>
          <w:b/>
          <w:bCs/>
          <w:sz w:val="20"/>
          <w:szCs w:val="20"/>
        </w:rPr>
      </w:pPr>
    </w:p>
    <w:p w14:paraId="1EDA9B9F" w14:textId="77777777" w:rsidR="00A879F0" w:rsidRDefault="00A879F0">
      <w:pPr>
        <w:spacing w:after="0"/>
        <w:jc w:val="both"/>
        <w:rPr>
          <w:b/>
          <w:bCs/>
          <w:sz w:val="20"/>
          <w:szCs w:val="20"/>
        </w:rPr>
      </w:pPr>
    </w:p>
    <w:p w14:paraId="4390DE41" w14:textId="77777777" w:rsidR="00A879F0" w:rsidRDefault="00A879F0">
      <w:pPr>
        <w:spacing w:after="0"/>
        <w:jc w:val="both"/>
        <w:rPr>
          <w:b/>
          <w:bCs/>
          <w:sz w:val="20"/>
          <w:szCs w:val="20"/>
        </w:rPr>
      </w:pPr>
    </w:p>
    <w:p w14:paraId="27AB45FF" w14:textId="77777777" w:rsidR="00A879F0" w:rsidRDefault="00A879F0">
      <w:pPr>
        <w:spacing w:after="0"/>
        <w:jc w:val="both"/>
        <w:rPr>
          <w:b/>
          <w:bCs/>
          <w:sz w:val="20"/>
          <w:szCs w:val="20"/>
        </w:rPr>
      </w:pPr>
    </w:p>
    <w:p w14:paraId="70A90E11" w14:textId="77777777" w:rsidR="00A879F0" w:rsidRDefault="00A879F0">
      <w:pPr>
        <w:spacing w:after="0"/>
        <w:jc w:val="both"/>
        <w:rPr>
          <w:b/>
          <w:bCs/>
          <w:sz w:val="20"/>
          <w:szCs w:val="20"/>
        </w:rPr>
      </w:pPr>
    </w:p>
    <w:p w14:paraId="208D987D" w14:textId="77777777" w:rsidR="00A879F0" w:rsidRDefault="00A879F0">
      <w:pPr>
        <w:spacing w:after="0"/>
        <w:jc w:val="both"/>
        <w:rPr>
          <w:b/>
          <w:bCs/>
          <w:sz w:val="20"/>
          <w:szCs w:val="20"/>
        </w:rPr>
      </w:pPr>
    </w:p>
    <w:p w14:paraId="731FC60E" w14:textId="77777777" w:rsidR="00A879F0" w:rsidRDefault="008F0787">
      <w:pPr>
        <w:spacing w:after="0"/>
        <w:jc w:val="both"/>
        <w:rPr>
          <w:sz w:val="20"/>
          <w:szCs w:val="20"/>
        </w:rPr>
      </w:pPr>
      <w:r>
        <w:rPr>
          <w:b/>
          <w:bCs/>
          <w:sz w:val="20"/>
          <w:szCs w:val="20"/>
        </w:rPr>
        <w:t xml:space="preserve">Online Resource 2. </w:t>
      </w:r>
      <w:r>
        <w:rPr>
          <w:sz w:val="20"/>
          <w:szCs w:val="20"/>
        </w:rPr>
        <w:t>Preselected Studies Assessed for Eligibility and Reasons for Exclusion Following Full-Text Screening</w:t>
      </w:r>
    </w:p>
    <w:p w14:paraId="24FDEE57" w14:textId="77777777" w:rsidR="00A879F0" w:rsidRDefault="00A879F0">
      <w:pPr>
        <w:spacing w:after="0"/>
        <w:jc w:val="both"/>
        <w:rPr>
          <w:sz w:val="18"/>
          <w:szCs w:val="18"/>
        </w:rPr>
      </w:pPr>
    </w:p>
    <w:tbl>
      <w:tblPr>
        <w:tblStyle w:val="a"/>
        <w:tblpPr w:leftFromText="180" w:rightFromText="180" w:topFromText="180" w:bottomFromText="180" w:vertAnchor="text" w:tblpX="-906"/>
        <w:tblW w:w="160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700"/>
        <w:gridCol w:w="6360"/>
        <w:gridCol w:w="1860"/>
        <w:gridCol w:w="1410"/>
        <w:gridCol w:w="3735"/>
      </w:tblGrid>
      <w:tr w:rsidR="00A879F0" w14:paraId="66CE70EC" w14:textId="77777777">
        <w:trPr>
          <w:trHeight w:val="515"/>
        </w:trPr>
        <w:tc>
          <w:tcPr>
            <w:tcW w:w="2700" w:type="dxa"/>
            <w:tcBorders>
              <w:bottom w:val="single" w:sz="4" w:space="0" w:color="000000"/>
            </w:tcBorders>
            <w:vAlign w:val="center"/>
          </w:tcPr>
          <w:p w14:paraId="3CAD3EC5" w14:textId="77777777" w:rsidR="00A879F0" w:rsidRDefault="008F0787">
            <w:pPr>
              <w:spacing w:after="0"/>
              <w:jc w:val="center"/>
              <w:rPr>
                <w:rFonts w:ascii="Arial" w:eastAsia="Arial" w:hAnsi="Arial" w:cs="Arial"/>
                <w:sz w:val="18"/>
                <w:szCs w:val="18"/>
              </w:rPr>
            </w:pPr>
            <w:r>
              <w:rPr>
                <w:rFonts w:ascii="Arial" w:eastAsia="Arial" w:hAnsi="Arial" w:cs="Arial"/>
                <w:b/>
                <w:bCs/>
                <w:sz w:val="18"/>
                <w:szCs w:val="18"/>
              </w:rPr>
              <w:lastRenderedPageBreak/>
              <w:t>Author (Year)</w:t>
            </w:r>
          </w:p>
        </w:tc>
        <w:tc>
          <w:tcPr>
            <w:tcW w:w="6360" w:type="dxa"/>
            <w:tcBorders>
              <w:bottom w:val="single" w:sz="4" w:space="0" w:color="000000"/>
            </w:tcBorders>
            <w:vAlign w:val="center"/>
          </w:tcPr>
          <w:p w14:paraId="5D4DEA20" w14:textId="77777777" w:rsidR="00A879F0" w:rsidRDefault="008F0787">
            <w:pPr>
              <w:spacing w:after="0"/>
              <w:jc w:val="center"/>
              <w:rPr>
                <w:rFonts w:ascii="Arial" w:eastAsia="Arial" w:hAnsi="Arial" w:cs="Arial"/>
                <w:sz w:val="18"/>
                <w:szCs w:val="18"/>
              </w:rPr>
            </w:pPr>
            <w:r>
              <w:rPr>
                <w:rFonts w:ascii="Arial" w:eastAsia="Arial" w:hAnsi="Arial" w:cs="Arial"/>
                <w:b/>
                <w:bCs/>
                <w:sz w:val="18"/>
                <w:szCs w:val="18"/>
              </w:rPr>
              <w:t>Title</w:t>
            </w:r>
          </w:p>
        </w:tc>
        <w:tc>
          <w:tcPr>
            <w:tcW w:w="1860" w:type="dxa"/>
            <w:tcBorders>
              <w:bottom w:val="single" w:sz="4" w:space="0" w:color="000000"/>
            </w:tcBorders>
            <w:vAlign w:val="center"/>
          </w:tcPr>
          <w:p w14:paraId="111BB04F" w14:textId="77777777" w:rsidR="00A879F0" w:rsidRDefault="008F0787">
            <w:pPr>
              <w:spacing w:after="0"/>
              <w:jc w:val="center"/>
              <w:rPr>
                <w:rFonts w:ascii="Arial" w:eastAsia="Arial" w:hAnsi="Arial" w:cs="Arial"/>
                <w:sz w:val="18"/>
                <w:szCs w:val="18"/>
              </w:rPr>
            </w:pPr>
            <w:r>
              <w:rPr>
                <w:rFonts w:ascii="Arial" w:eastAsia="Arial" w:hAnsi="Arial" w:cs="Arial"/>
                <w:b/>
                <w:bCs/>
                <w:sz w:val="18"/>
                <w:szCs w:val="18"/>
              </w:rPr>
              <w:t>Identification source</w:t>
            </w:r>
          </w:p>
        </w:tc>
        <w:tc>
          <w:tcPr>
            <w:tcW w:w="1410" w:type="dxa"/>
            <w:tcBorders>
              <w:bottom w:val="single" w:sz="4" w:space="0" w:color="000000"/>
            </w:tcBorders>
            <w:vAlign w:val="center"/>
          </w:tcPr>
          <w:p w14:paraId="6E4782A4" w14:textId="77777777" w:rsidR="00A879F0" w:rsidRDefault="008F0787">
            <w:pPr>
              <w:spacing w:after="0"/>
              <w:jc w:val="center"/>
              <w:rPr>
                <w:rFonts w:ascii="Arial" w:eastAsia="Arial" w:hAnsi="Arial" w:cs="Arial"/>
                <w:sz w:val="18"/>
                <w:szCs w:val="18"/>
              </w:rPr>
            </w:pPr>
            <w:r>
              <w:rPr>
                <w:rFonts w:ascii="Arial" w:eastAsia="Arial" w:hAnsi="Arial" w:cs="Arial"/>
                <w:b/>
                <w:bCs/>
                <w:sz w:val="18"/>
                <w:szCs w:val="18"/>
              </w:rPr>
              <w:t>Final decision</w:t>
            </w:r>
          </w:p>
        </w:tc>
        <w:tc>
          <w:tcPr>
            <w:tcW w:w="3735" w:type="dxa"/>
            <w:tcBorders>
              <w:bottom w:val="single" w:sz="4" w:space="0" w:color="000000"/>
            </w:tcBorders>
            <w:vAlign w:val="center"/>
          </w:tcPr>
          <w:p w14:paraId="486BB368" w14:textId="77777777" w:rsidR="00A879F0" w:rsidRDefault="008F0787">
            <w:pPr>
              <w:spacing w:after="0"/>
              <w:jc w:val="center"/>
              <w:rPr>
                <w:rFonts w:ascii="Arial" w:eastAsia="Arial" w:hAnsi="Arial" w:cs="Arial"/>
                <w:sz w:val="18"/>
                <w:szCs w:val="18"/>
              </w:rPr>
            </w:pPr>
            <w:r>
              <w:rPr>
                <w:rFonts w:ascii="Arial" w:eastAsia="Arial" w:hAnsi="Arial" w:cs="Arial"/>
                <w:b/>
                <w:bCs/>
                <w:sz w:val="18"/>
                <w:szCs w:val="18"/>
              </w:rPr>
              <w:t>Reason for exclusion</w:t>
            </w:r>
          </w:p>
        </w:tc>
      </w:tr>
      <w:tr w:rsidR="00A879F0" w14:paraId="40CFC209"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8CF0D4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Aidoo et al. (2023)</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A3CA306"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An integrated environmental nutrition model for dietary sustainability assessment</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6346F54B"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Updated database search</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3D2F77"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52AD5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12F3DB77"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D53A34A"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Aldaya et al. (2021)</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AC4DCA"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Indicators and Recommendations for Assessing Sustainable Healthy Diets</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4930F442"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617527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C31B1B"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Review article. Out of scope</w:t>
            </w:r>
          </w:p>
        </w:tc>
      </w:tr>
      <w:tr w:rsidR="00A879F0" w14:paraId="7F079F5E"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0371310"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Aleksandrowicz et al. (2016)</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BE31472"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The Impacts of Dietary Change on Greenhouse Gas Emissions, Land Use, Water Use, and Health: A Systematic Review</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619425C4"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B79AD9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6045397"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Review article. Out of scope</w:t>
            </w:r>
          </w:p>
        </w:tc>
      </w:tr>
      <w:tr w:rsidR="00A879F0" w14:paraId="1C19B8DD"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279DF58"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Barré et al. (2018)</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87A1918"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Integrating nutrient bioavailability and co-production links when identifying sustainable diets: How low should we reduce meat consumption?</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7F219DA8"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AA449F"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1754B6"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4D718644"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1D5BB99" w14:textId="77777777" w:rsidR="00A879F0" w:rsidRDefault="008F0787">
            <w:pPr>
              <w:spacing w:after="0"/>
              <w:jc w:val="center"/>
              <w:rPr>
                <w:rFonts w:ascii="Arial" w:eastAsia="Arial" w:hAnsi="Arial" w:cs="Arial"/>
                <w:sz w:val="18"/>
                <w:szCs w:val="18"/>
              </w:rPr>
            </w:pPr>
            <w:proofErr w:type="spellStart"/>
            <w:r>
              <w:rPr>
                <w:rFonts w:ascii="Arial" w:eastAsia="Arial" w:hAnsi="Arial" w:cs="Arial"/>
                <w:sz w:val="18"/>
                <w:szCs w:val="18"/>
              </w:rPr>
              <w:t>Berardy</w:t>
            </w:r>
            <w:proofErr w:type="spellEnd"/>
            <w:r>
              <w:rPr>
                <w:rFonts w:ascii="Arial" w:eastAsia="Arial" w:hAnsi="Arial" w:cs="Arial"/>
                <w:sz w:val="18"/>
                <w:szCs w:val="18"/>
              </w:rPr>
              <w:t xml:space="preserve"> et al. (2019)</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F8A90BC"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Integrating Protein Quality and Quantity with Environmental Impacts in Life Cycle Assessment</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21DF3FF6"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A574AC"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7995B8"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643328EF"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38B10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Bianchi et al. (2020)</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ED0B19"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Systematic Evaluation of Nutrition Indicators for Use within Food LCA Studies</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44CFB3F2"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371A1C"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FF1A427"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Did not report an original applied n-LCA assessment with extractable environmental and nutritional/health-related results for specific foods, meals, or dietary patterns.</w:t>
            </w:r>
          </w:p>
        </w:tc>
      </w:tr>
      <w:tr w:rsidR="00A879F0" w14:paraId="094D42AA"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9B63E9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Ceballos-Santos et al. (2024)</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8B80D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Applying a water-energy-food nexus approach to seafood products from the European Atlantic area</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25DB9AF8"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Updated database search</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D4D928"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49BD529"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76AF35E0"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033325" w14:textId="77777777" w:rsidR="00A879F0" w:rsidRDefault="008F0787">
            <w:pPr>
              <w:spacing w:after="0"/>
              <w:jc w:val="center"/>
              <w:rPr>
                <w:rFonts w:ascii="Arial" w:eastAsia="Arial" w:hAnsi="Arial" w:cs="Arial"/>
                <w:sz w:val="18"/>
                <w:szCs w:val="18"/>
              </w:rPr>
            </w:pPr>
            <w:proofErr w:type="spellStart"/>
            <w:r>
              <w:rPr>
                <w:rFonts w:ascii="Arial" w:eastAsia="Arial" w:hAnsi="Arial" w:cs="Arial"/>
                <w:sz w:val="18"/>
                <w:szCs w:val="18"/>
              </w:rPr>
              <w:t>Cobiac</w:t>
            </w:r>
            <w:proofErr w:type="spellEnd"/>
            <w:r>
              <w:rPr>
                <w:rFonts w:ascii="Arial" w:eastAsia="Arial" w:hAnsi="Arial" w:cs="Arial"/>
                <w:sz w:val="18"/>
                <w:szCs w:val="18"/>
              </w:rPr>
              <w:t xml:space="preserve"> et al. (2019)</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CE05E8"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Modelling the health co-benefits of sustainable diets in the UK, France, Finland, Italy and Sweden</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2FC56BAD"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C08FE2"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5CA83E"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55371850"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AB2CD09" w14:textId="77777777" w:rsidR="00A879F0" w:rsidRDefault="008F0787">
            <w:pPr>
              <w:spacing w:after="0"/>
              <w:jc w:val="center"/>
              <w:rPr>
                <w:rFonts w:ascii="Arial" w:eastAsia="Arial" w:hAnsi="Arial" w:cs="Arial"/>
                <w:sz w:val="18"/>
                <w:szCs w:val="18"/>
              </w:rPr>
            </w:pPr>
            <w:proofErr w:type="spellStart"/>
            <w:r>
              <w:rPr>
                <w:rFonts w:ascii="Arial" w:eastAsia="Arial" w:hAnsi="Arial" w:cs="Arial"/>
                <w:sz w:val="18"/>
                <w:szCs w:val="18"/>
              </w:rPr>
              <w:t>Damerau</w:t>
            </w:r>
            <w:proofErr w:type="spellEnd"/>
            <w:r>
              <w:rPr>
                <w:rFonts w:ascii="Arial" w:eastAsia="Arial" w:hAnsi="Arial" w:cs="Arial"/>
                <w:sz w:val="18"/>
                <w:szCs w:val="18"/>
              </w:rPr>
              <w:t xml:space="preserve"> et al. (2020)</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870931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India has natural resource capacity to achieve nutrition security, reduce health risks and improve environmental sustainability</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11C76B0B"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62336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59D46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45DA5645"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AC902D" w14:textId="77777777" w:rsidR="00A879F0" w:rsidRDefault="008F0787">
            <w:pPr>
              <w:spacing w:after="0"/>
              <w:jc w:val="center"/>
              <w:rPr>
                <w:rFonts w:ascii="Arial" w:eastAsia="Arial" w:hAnsi="Arial" w:cs="Arial"/>
                <w:sz w:val="18"/>
                <w:szCs w:val="18"/>
              </w:rPr>
            </w:pPr>
            <w:proofErr w:type="spellStart"/>
            <w:r>
              <w:rPr>
                <w:rFonts w:ascii="Arial" w:eastAsia="Arial" w:hAnsi="Arial" w:cs="Arial"/>
                <w:sz w:val="18"/>
                <w:szCs w:val="18"/>
              </w:rPr>
              <w:t>Fresán</w:t>
            </w:r>
            <w:proofErr w:type="spellEnd"/>
            <w:r>
              <w:rPr>
                <w:rFonts w:ascii="Arial" w:eastAsia="Arial" w:hAnsi="Arial" w:cs="Arial"/>
                <w:sz w:val="18"/>
                <w:szCs w:val="18"/>
              </w:rPr>
              <w:t xml:space="preserve"> et al. (2020)</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023E365"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Nutritional Quality and Health Effects of Low Environmental Impact Diets: The “</w:t>
            </w:r>
            <w:proofErr w:type="spellStart"/>
            <w:r>
              <w:rPr>
                <w:rFonts w:ascii="Arial" w:eastAsia="Arial" w:hAnsi="Arial" w:cs="Arial"/>
                <w:sz w:val="18"/>
                <w:szCs w:val="18"/>
              </w:rPr>
              <w:t>Seguimiento</w:t>
            </w:r>
            <w:proofErr w:type="spellEnd"/>
            <w:r>
              <w:rPr>
                <w:rFonts w:ascii="Arial" w:eastAsia="Arial" w:hAnsi="Arial" w:cs="Arial"/>
                <w:sz w:val="18"/>
                <w:szCs w:val="18"/>
              </w:rPr>
              <w:t xml:space="preserve"> Universidad de Navarra” (SUN) Cohort</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1BD75364"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A6D18F"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C2378F"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006CD623"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42C6F6E"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González et al. (2020)</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7BBAB0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Greenhouse gases emissions from the diet and risk of death and chronic diseases in the EPIC-Spain cohort</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159DCE45"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FED78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A015B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7D74E503"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5F9DFB"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Green et al. (2020)</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13C98E6"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Assessing nutritional, health, and environmental sustainability dimensions of agri-food production</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3CC29861"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5C9F9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C62982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 xml:space="preserve">Did not report an original applied n-LCA assessment with extractable environmental and nutritional/health-related results for specific foods, meals, or dietary patterns. </w:t>
            </w:r>
          </w:p>
        </w:tc>
      </w:tr>
      <w:tr w:rsidR="00A879F0" w14:paraId="66DDE7BE"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82AF29"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Green et al. (2023)</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886702B"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A proposed framework to develop nutrient profiling algorithms for assessments of sustainable food: the metrics and their assumptions matter</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7889E4E7"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Updated database search</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D1F7677"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109983"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44FE6F31"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A1043DB"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lastRenderedPageBreak/>
              <w:t>Heller et al. (2013)</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080E9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Toward a Life Cycle-Based, Diet-level Framework for Food Environmental Impact and Nutritional Quality Assessment: A Critical Review</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09255FA6"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9D32922"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DE08A5"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Review article; outside date range, first appeared as published in 2014</w:t>
            </w:r>
          </w:p>
        </w:tc>
      </w:tr>
      <w:tr w:rsidR="00A879F0" w14:paraId="19D5D509"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FFC8F0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Jarvis et al. (2024)</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08E746"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Integrating health, nutrition, and environmental impacts of foods: a life cycle impact assessment and modelling analysis of foods in Canada</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3B9D4484"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Updated database search</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B5A5EDC"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F5EEC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Only a conference paper/abstract was identified during the conducted search</w:t>
            </w:r>
          </w:p>
        </w:tc>
      </w:tr>
      <w:tr w:rsidR="00A879F0" w14:paraId="57862471"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5A6940"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Jolliet (2022)</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68491D2"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Integrating Dietary Impacts in Food Life Cycle Assessment</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76DAE965"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38CC2A"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8FD467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Methodological/conceptual article; did not include an original applied case study with sufficient extractable data across both environmental and nutritional/health dimensions for the alignment assessment.</w:t>
            </w:r>
          </w:p>
        </w:tc>
      </w:tr>
      <w:tr w:rsidR="00A879F0" w14:paraId="35FC47D0"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30E6A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Kramer et al. (2018)</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0C97AF"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Comparing the Performance of Bread and Breakfast Cereals, Dairy, and Meat in Nutritionally Balanced and Sustainable Diets</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212415AE"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60667E"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D489EAF"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59B33241"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A5BCD2C"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Machado et al. (2023)</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EDADAA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Measuring Adherence to Sustainable Healthy Diets: A Scoping Review of Dietary Metrics</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4D028E42"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6185B28"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F6DFDE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Review article. Out of scope</w:t>
            </w:r>
          </w:p>
        </w:tc>
      </w:tr>
      <w:tr w:rsidR="00A879F0" w14:paraId="0048CB0F"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A9BDA8E"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De Marco et al. (2014)</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81C457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The adherence of the diet to Mediterranean principle and its impacts on human and environmental health</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4FA2A653"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DD396CB"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94CBF0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Did not meet the operational scope of the review because the environmental and nutritional/health dimensions were not reported in a form that allowed full data extraction and alignment assessment.</w:t>
            </w:r>
          </w:p>
        </w:tc>
      </w:tr>
      <w:tr w:rsidR="00A879F0" w14:paraId="15962F9D"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3A2A052"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Masset et al. (2014a)</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0ED212A"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Identifying Sustainable Foods: The Relationship between Environmental Impact, Nutritional Quality, and Prices of Foods Representative of the French Diet</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741E1305"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0CC9AC5"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45A41A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5D9C1915"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AD627E"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Masset et al. (2014b)</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A8480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Reducing energy intake and energy density for a sustainable diet: a study based on self-selected diets in French adults</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35E0F11E"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18ECFF0"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CBDAF8"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1ADC811F"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87B3549"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McAuliffe et al. (2023)</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9B8189F"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Protein quality as a complementary functional unit in life cycle assessment (LCA)</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66956333"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C0B9AC2"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43CC84A"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5908D1BB"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8524B9F"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Mertens et al. (2016)</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82BBF92"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Operationalising the health aspects of sustainable diets: a review</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31610F58"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3966B7F"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CA6E0BE"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Review article. Out of scope</w:t>
            </w:r>
          </w:p>
        </w:tc>
      </w:tr>
      <w:tr w:rsidR="00A879F0" w14:paraId="559C925F"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262E4C0"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Milner et al. (2015)</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6EE7037"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Health effects of adopting low greenhouse gas emission diets in the UK</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6453DF58"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0AC2C5B"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82E5C6C"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6334B061"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A82478"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Milner et al. (2017)</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78C074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Projected health effects of realistic dietary changes to address freshwater constraints in India: a modelling study</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11FF259A"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4524862"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3AF9D5C"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7C329348"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5F70E5"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Perignon et al. (2016)</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37B0478"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How low can dietary greenhouse gas emissions be reduced without impairing nutritional adequacy, affordability and acceptability of the diet? A modelling study to guide sustainable food choices</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41672C10"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E122BB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A2302E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5DC8A8AA"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4922AC" w14:textId="77777777" w:rsidR="00A879F0" w:rsidRDefault="008F0787">
            <w:pPr>
              <w:spacing w:after="0"/>
              <w:jc w:val="center"/>
              <w:rPr>
                <w:rFonts w:ascii="Arial" w:eastAsia="Arial" w:hAnsi="Arial" w:cs="Arial"/>
                <w:sz w:val="18"/>
                <w:szCs w:val="18"/>
              </w:rPr>
            </w:pPr>
            <w:proofErr w:type="spellStart"/>
            <w:r>
              <w:rPr>
                <w:rFonts w:ascii="Arial" w:eastAsia="Arial" w:hAnsi="Arial" w:cs="Arial"/>
                <w:sz w:val="18"/>
                <w:szCs w:val="18"/>
              </w:rPr>
              <w:lastRenderedPageBreak/>
              <w:t>Röös</w:t>
            </w:r>
            <w:proofErr w:type="spellEnd"/>
            <w:r>
              <w:rPr>
                <w:rFonts w:ascii="Arial" w:eastAsia="Arial" w:hAnsi="Arial" w:cs="Arial"/>
                <w:sz w:val="18"/>
                <w:szCs w:val="18"/>
              </w:rPr>
              <w:t xml:space="preserve"> et al. (2015)</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FC40183"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Evaluating the sustainability of diets–combining environmental and nutritional aspects</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1D7B0769"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D814B3"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39ECA6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2836FC03"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FB5F4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Saarinen et al. (2017)</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782A7EB"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Taking nutrition into account within the life cycle assessment of food products</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7A70B1B8"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05EC765"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F1448BA"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25A7D269"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06EBCE7"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Sonesson et al. (2017)</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51E48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Protein quality as functional unit – A methodological framework for inclusion in life cycle assessment of food</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47B7E2A2"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7E3C69"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9E08700"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34E96B3F"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23FBD98"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Strid et al. (2021)</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5259339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Sustainability Indicators for Foods Benefiting Climate and Health</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431C99EB"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B49AE74"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B6691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17DD543E"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9C420F5" w14:textId="77777777" w:rsidR="00A879F0" w:rsidRDefault="008F0787">
            <w:pPr>
              <w:spacing w:after="0"/>
              <w:jc w:val="center"/>
              <w:rPr>
                <w:rFonts w:ascii="Arial" w:eastAsia="Arial" w:hAnsi="Arial" w:cs="Arial"/>
                <w:sz w:val="18"/>
                <w:szCs w:val="18"/>
              </w:rPr>
            </w:pPr>
            <w:proofErr w:type="spellStart"/>
            <w:r>
              <w:rPr>
                <w:rFonts w:ascii="Arial" w:eastAsia="Arial" w:hAnsi="Arial" w:cs="Arial"/>
                <w:sz w:val="18"/>
                <w:szCs w:val="18"/>
              </w:rPr>
              <w:t>Sturtewagen</w:t>
            </w:r>
            <w:proofErr w:type="spellEnd"/>
            <w:r>
              <w:rPr>
                <w:rFonts w:ascii="Arial" w:eastAsia="Arial" w:hAnsi="Arial" w:cs="Arial"/>
                <w:sz w:val="18"/>
                <w:szCs w:val="18"/>
              </w:rPr>
              <w:t xml:space="preserve"> et al. (2016)</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431455F"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Resource use profile and nutritional value assessment of a typical Belgian meal, catered or home cooked, with pork or Quorn™ as protein source</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213F3CC8"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Snowballing from review articles</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20B9475"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4B1123"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4F9B5189"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0F590EA"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Stylianou et al. (2021)</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7C511F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Small targeted dietary changes can yield substantial gains for human health and the environment</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2E4DEF1E"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DB1DF2"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718DB2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2DE4F3AB"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493D8BA"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van Dooren et al. (2017)</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EE16E3"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Proposing a Novel Index Reflecting Both Climate Impact and Nutritional Impact of Food Products</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76F0C898"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E4C7006"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Included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57252F3"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t>
            </w:r>
          </w:p>
        </w:tc>
      </w:tr>
      <w:tr w:rsidR="00A879F0" w14:paraId="48A2D2A7"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364B439"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 xml:space="preserve">van </w:t>
            </w:r>
            <w:proofErr w:type="spellStart"/>
            <w:r>
              <w:rPr>
                <w:rFonts w:ascii="Arial" w:eastAsia="Arial" w:hAnsi="Arial" w:cs="Arial"/>
                <w:sz w:val="18"/>
                <w:szCs w:val="18"/>
              </w:rPr>
              <w:t>Kernebeek</w:t>
            </w:r>
            <w:proofErr w:type="spellEnd"/>
            <w:r>
              <w:rPr>
                <w:rFonts w:ascii="Arial" w:eastAsia="Arial" w:hAnsi="Arial" w:cs="Arial"/>
                <w:sz w:val="18"/>
                <w:szCs w:val="18"/>
              </w:rPr>
              <w:t xml:space="preserve"> et al. (2014)</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962C507"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The effect of nutritional quality on comparing environmental impacts of human diets</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2D2D5A9C"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F9EDEF"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229CCCD"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Review article. Out of scope</w:t>
            </w:r>
          </w:p>
        </w:tc>
      </w:tr>
      <w:tr w:rsidR="00A879F0" w14:paraId="70F02726" w14:textId="77777777">
        <w:trPr>
          <w:trHeight w:val="515"/>
        </w:trPr>
        <w:tc>
          <w:tcPr>
            <w:tcW w:w="270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29782603"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Weidema and Stylianou (2020)</w:t>
            </w:r>
          </w:p>
        </w:tc>
        <w:tc>
          <w:tcPr>
            <w:tcW w:w="636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15716A9"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Nutrition in the life cycle assessment of foods—function or impact?</w:t>
            </w:r>
          </w:p>
        </w:tc>
        <w:tc>
          <w:tcPr>
            <w:tcW w:w="1860" w:type="dxa"/>
            <w:tcBorders>
              <w:top w:val="single" w:sz="4" w:space="0" w:color="111827"/>
              <w:left w:val="single" w:sz="4" w:space="0" w:color="111827"/>
              <w:bottom w:val="single" w:sz="4" w:space="0" w:color="111827"/>
              <w:right w:val="single" w:sz="4" w:space="0" w:color="111827"/>
            </w:tcBorders>
            <w:tcMar>
              <w:top w:w="100" w:type="dxa"/>
              <w:left w:w="100" w:type="dxa"/>
              <w:bottom w:w="100" w:type="dxa"/>
              <w:right w:w="100" w:type="dxa"/>
            </w:tcMar>
          </w:tcPr>
          <w:p w14:paraId="050D1582" w14:textId="77777777" w:rsidR="00A879F0" w:rsidRDefault="008F0787">
            <w:pPr>
              <w:spacing w:after="0"/>
              <w:jc w:val="center"/>
              <w:rPr>
                <w:rFonts w:ascii="Arial" w:eastAsia="Arial" w:hAnsi="Arial" w:cs="Arial"/>
                <w:sz w:val="18"/>
                <w:szCs w:val="18"/>
              </w:rPr>
            </w:pPr>
            <w:r>
              <w:rPr>
                <w:rFonts w:ascii="Arial" w:eastAsia="Arial" w:hAnsi="Arial" w:cs="Arial"/>
                <w:color w:val="111827"/>
                <w:sz w:val="18"/>
                <w:szCs w:val="18"/>
              </w:rPr>
              <w:t>Reguant-Closa et al. (2024)</w:t>
            </w:r>
          </w:p>
        </w:tc>
        <w:tc>
          <w:tcPr>
            <w:tcW w:w="141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61FED3F9"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Excluded</w:t>
            </w:r>
          </w:p>
        </w:tc>
        <w:tc>
          <w:tcPr>
            <w:tcW w:w="373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816E231" w14:textId="77777777" w:rsidR="00A879F0" w:rsidRDefault="008F0787">
            <w:pPr>
              <w:spacing w:after="0"/>
              <w:jc w:val="center"/>
              <w:rPr>
                <w:rFonts w:ascii="Arial" w:eastAsia="Arial" w:hAnsi="Arial" w:cs="Arial"/>
                <w:sz w:val="18"/>
                <w:szCs w:val="18"/>
              </w:rPr>
            </w:pPr>
            <w:r>
              <w:rPr>
                <w:rFonts w:ascii="Arial" w:eastAsia="Arial" w:hAnsi="Arial" w:cs="Arial"/>
                <w:sz w:val="18"/>
                <w:szCs w:val="18"/>
              </w:rPr>
              <w:t>Methodological article; did not report an original applied assessment of specific foods, meals, or dietary patterns with sufficient extractable environmental and nutritional/health-related data.</w:t>
            </w:r>
          </w:p>
        </w:tc>
      </w:tr>
    </w:tbl>
    <w:p w14:paraId="481AC33B" w14:textId="77777777" w:rsidR="00A879F0" w:rsidRDefault="00A879F0">
      <w:pPr>
        <w:spacing w:after="0"/>
        <w:jc w:val="both"/>
        <w:rPr>
          <w:sz w:val="18"/>
          <w:szCs w:val="18"/>
        </w:rPr>
      </w:pPr>
    </w:p>
    <w:p w14:paraId="45C093F6" w14:textId="77777777" w:rsidR="00A879F0" w:rsidRDefault="00A879F0">
      <w:pPr>
        <w:spacing w:after="0"/>
        <w:jc w:val="both"/>
        <w:rPr>
          <w:sz w:val="18"/>
          <w:szCs w:val="18"/>
        </w:rPr>
      </w:pPr>
    </w:p>
    <w:p w14:paraId="07F922EE" w14:textId="77777777" w:rsidR="00A879F0" w:rsidRDefault="00A879F0">
      <w:pPr>
        <w:spacing w:after="0"/>
        <w:jc w:val="both"/>
        <w:rPr>
          <w:sz w:val="18"/>
          <w:szCs w:val="18"/>
        </w:rPr>
      </w:pPr>
    </w:p>
    <w:p w14:paraId="7BBDC0C6" w14:textId="77777777" w:rsidR="00A879F0" w:rsidRDefault="00A879F0">
      <w:pPr>
        <w:spacing w:after="0"/>
        <w:jc w:val="both"/>
        <w:rPr>
          <w:sz w:val="18"/>
          <w:szCs w:val="18"/>
        </w:rPr>
      </w:pPr>
    </w:p>
    <w:p w14:paraId="39997499" w14:textId="77777777" w:rsidR="00A879F0" w:rsidRDefault="00A879F0">
      <w:pPr>
        <w:spacing w:after="0"/>
        <w:jc w:val="both"/>
        <w:rPr>
          <w:b/>
          <w:bCs/>
          <w:sz w:val="18"/>
          <w:szCs w:val="18"/>
        </w:rPr>
      </w:pPr>
    </w:p>
    <w:p w14:paraId="4F1AF769" w14:textId="77777777" w:rsidR="00A879F0" w:rsidRDefault="00A879F0">
      <w:pPr>
        <w:spacing w:after="0"/>
        <w:jc w:val="both"/>
        <w:rPr>
          <w:b/>
          <w:bCs/>
          <w:sz w:val="18"/>
          <w:szCs w:val="18"/>
        </w:rPr>
      </w:pPr>
    </w:p>
    <w:p w14:paraId="58924B37" w14:textId="77777777" w:rsidR="00A879F0" w:rsidRDefault="00A879F0">
      <w:pPr>
        <w:spacing w:after="0"/>
        <w:jc w:val="both"/>
        <w:rPr>
          <w:b/>
          <w:bCs/>
          <w:sz w:val="18"/>
          <w:szCs w:val="18"/>
        </w:rPr>
      </w:pPr>
    </w:p>
    <w:p w14:paraId="7F5C4F2C" w14:textId="77777777" w:rsidR="00A879F0" w:rsidRDefault="00A879F0">
      <w:pPr>
        <w:spacing w:after="0"/>
        <w:jc w:val="both"/>
        <w:rPr>
          <w:b/>
          <w:bCs/>
          <w:sz w:val="18"/>
          <w:szCs w:val="18"/>
        </w:rPr>
      </w:pPr>
    </w:p>
    <w:p w14:paraId="13565528" w14:textId="77777777" w:rsidR="00A879F0" w:rsidRDefault="00A879F0">
      <w:pPr>
        <w:spacing w:after="0"/>
        <w:jc w:val="both"/>
        <w:rPr>
          <w:b/>
          <w:bCs/>
          <w:sz w:val="18"/>
          <w:szCs w:val="18"/>
        </w:rPr>
      </w:pPr>
    </w:p>
    <w:p w14:paraId="720D90E8" w14:textId="77777777" w:rsidR="00A879F0" w:rsidRDefault="00A879F0">
      <w:pPr>
        <w:spacing w:after="0"/>
        <w:jc w:val="both"/>
        <w:rPr>
          <w:b/>
          <w:bCs/>
          <w:sz w:val="18"/>
          <w:szCs w:val="18"/>
        </w:rPr>
      </w:pPr>
    </w:p>
    <w:p w14:paraId="0D7D0906" w14:textId="77777777" w:rsidR="00A879F0" w:rsidRDefault="00A879F0">
      <w:pPr>
        <w:spacing w:after="0"/>
        <w:jc w:val="both"/>
        <w:rPr>
          <w:b/>
          <w:bCs/>
          <w:sz w:val="18"/>
          <w:szCs w:val="18"/>
        </w:rPr>
      </w:pPr>
    </w:p>
    <w:p w14:paraId="10CFDEA9" w14:textId="77777777" w:rsidR="00A879F0" w:rsidRDefault="00A879F0">
      <w:pPr>
        <w:spacing w:after="0"/>
        <w:jc w:val="both"/>
        <w:rPr>
          <w:b/>
          <w:bCs/>
          <w:sz w:val="18"/>
          <w:szCs w:val="18"/>
        </w:rPr>
      </w:pPr>
    </w:p>
    <w:p w14:paraId="119DA4B5" w14:textId="77777777" w:rsidR="00A879F0" w:rsidRDefault="00A879F0">
      <w:pPr>
        <w:spacing w:after="0"/>
        <w:jc w:val="both"/>
        <w:rPr>
          <w:b/>
          <w:bCs/>
          <w:sz w:val="18"/>
          <w:szCs w:val="18"/>
        </w:rPr>
      </w:pPr>
    </w:p>
    <w:p w14:paraId="67C466C7" w14:textId="77777777" w:rsidR="00A879F0" w:rsidRDefault="00A879F0">
      <w:pPr>
        <w:spacing w:after="0"/>
        <w:jc w:val="both"/>
        <w:rPr>
          <w:b/>
          <w:bCs/>
          <w:sz w:val="18"/>
          <w:szCs w:val="18"/>
        </w:rPr>
      </w:pPr>
    </w:p>
    <w:p w14:paraId="74A7D4E1" w14:textId="77777777" w:rsidR="00A879F0" w:rsidRDefault="00A879F0">
      <w:pPr>
        <w:spacing w:after="0"/>
        <w:jc w:val="both"/>
        <w:rPr>
          <w:b/>
          <w:bCs/>
          <w:sz w:val="18"/>
          <w:szCs w:val="18"/>
        </w:rPr>
      </w:pPr>
    </w:p>
    <w:p w14:paraId="659EADDA" w14:textId="77777777" w:rsidR="00A879F0" w:rsidRDefault="00A879F0">
      <w:pPr>
        <w:spacing w:after="0"/>
        <w:jc w:val="both"/>
        <w:rPr>
          <w:b/>
          <w:bCs/>
          <w:sz w:val="18"/>
          <w:szCs w:val="18"/>
        </w:rPr>
      </w:pPr>
    </w:p>
    <w:p w14:paraId="1380769D" w14:textId="77777777" w:rsidR="00A879F0" w:rsidRDefault="00A879F0">
      <w:pPr>
        <w:spacing w:after="0"/>
        <w:jc w:val="both"/>
        <w:rPr>
          <w:b/>
          <w:bCs/>
          <w:sz w:val="18"/>
          <w:szCs w:val="18"/>
        </w:rPr>
      </w:pPr>
    </w:p>
    <w:p w14:paraId="42532686" w14:textId="77777777" w:rsidR="00A879F0" w:rsidRDefault="00A879F0">
      <w:pPr>
        <w:spacing w:after="0"/>
        <w:jc w:val="both"/>
        <w:rPr>
          <w:b/>
          <w:bCs/>
          <w:sz w:val="18"/>
          <w:szCs w:val="18"/>
        </w:rPr>
      </w:pPr>
    </w:p>
    <w:p w14:paraId="0AF9B315" w14:textId="77777777" w:rsidR="00A879F0" w:rsidRDefault="008F0787">
      <w:pPr>
        <w:spacing w:after="0"/>
        <w:jc w:val="both"/>
        <w:rPr>
          <w:sz w:val="18"/>
          <w:szCs w:val="18"/>
        </w:rPr>
      </w:pPr>
      <w:r>
        <w:rPr>
          <w:b/>
          <w:bCs/>
          <w:sz w:val="18"/>
          <w:szCs w:val="18"/>
        </w:rPr>
        <w:t xml:space="preserve">Online Resource 3. </w:t>
      </w:r>
      <w:r>
        <w:rPr>
          <w:sz w:val="18"/>
          <w:szCs w:val="18"/>
        </w:rPr>
        <w:t>Criteria Used to Assign Alignment Grades Across Environmental, Nutritional, and Cross-Dimensional Assessments at the Study Level</w:t>
      </w:r>
    </w:p>
    <w:p w14:paraId="2857DC49" w14:textId="77777777" w:rsidR="00A879F0" w:rsidRDefault="00A879F0">
      <w:pPr>
        <w:spacing w:after="0"/>
        <w:jc w:val="both"/>
      </w:pPr>
    </w:p>
    <w:tbl>
      <w:tblPr>
        <w:tblStyle w:val="a0"/>
        <w:tblW w:w="16444" w:type="dxa"/>
        <w:tblInd w:w="-1276" w:type="dxa"/>
        <w:tblBorders>
          <w:top w:val="single" w:sz="4" w:space="0" w:color="7F7F7F"/>
          <w:bottom w:val="single" w:sz="4" w:space="0" w:color="7F7F7F"/>
        </w:tblBorders>
        <w:tblLayout w:type="fixed"/>
        <w:tblLook w:val="04A0" w:firstRow="1" w:lastRow="0" w:firstColumn="1" w:lastColumn="0" w:noHBand="0" w:noVBand="1"/>
      </w:tblPr>
      <w:tblGrid>
        <w:gridCol w:w="1135"/>
        <w:gridCol w:w="1876"/>
        <w:gridCol w:w="1667"/>
        <w:gridCol w:w="1268"/>
        <w:gridCol w:w="717"/>
        <w:gridCol w:w="1417"/>
        <w:gridCol w:w="1573"/>
        <w:gridCol w:w="128"/>
        <w:gridCol w:w="1985"/>
        <w:gridCol w:w="2410"/>
        <w:gridCol w:w="2268"/>
      </w:tblGrid>
      <w:tr w:rsidR="00A879F0" w14:paraId="0044EDC7" w14:textId="77777777" w:rsidTr="00A879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4DAAA413"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sz w:val="13"/>
                <w:szCs w:val="13"/>
              </w:rPr>
              <w:t>Article</w:t>
            </w:r>
          </w:p>
        </w:tc>
        <w:tc>
          <w:tcPr>
            <w:tcW w:w="4811" w:type="dxa"/>
            <w:gridSpan w:val="3"/>
            <w:vAlign w:val="center"/>
          </w:tcPr>
          <w:p w14:paraId="266558A7" w14:textId="77777777" w:rsidR="00A879F0" w:rsidRDefault="008F07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000000"/>
                <w:sz w:val="13"/>
                <w:szCs w:val="13"/>
              </w:rPr>
              <w:t>Alignment Context/ENVI</w:t>
            </w:r>
          </w:p>
        </w:tc>
        <w:tc>
          <w:tcPr>
            <w:tcW w:w="3707" w:type="dxa"/>
            <w:gridSpan w:val="3"/>
            <w:vAlign w:val="center"/>
          </w:tcPr>
          <w:p w14:paraId="1906B9CA" w14:textId="77777777" w:rsidR="00A879F0" w:rsidRDefault="008F07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000000"/>
                <w:sz w:val="13"/>
                <w:szCs w:val="13"/>
              </w:rPr>
              <w:t>Alignment Context/NUTRI</w:t>
            </w:r>
          </w:p>
        </w:tc>
        <w:tc>
          <w:tcPr>
            <w:tcW w:w="6791" w:type="dxa"/>
            <w:gridSpan w:val="4"/>
            <w:vAlign w:val="center"/>
          </w:tcPr>
          <w:p w14:paraId="321239EC" w14:textId="77777777" w:rsidR="00A879F0" w:rsidRDefault="008F07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000000"/>
                <w:sz w:val="13"/>
                <w:szCs w:val="13"/>
              </w:rPr>
              <w:t>Alignment ENVI/NUTRI</w:t>
            </w:r>
          </w:p>
        </w:tc>
      </w:tr>
      <w:tr w:rsidR="00A879F0" w14:paraId="3A37C6D2"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6F629301"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sz w:val="13"/>
                <w:szCs w:val="13"/>
              </w:rPr>
              <w:t>Author (Year)</w:t>
            </w:r>
          </w:p>
        </w:tc>
        <w:tc>
          <w:tcPr>
            <w:tcW w:w="1876" w:type="dxa"/>
            <w:vAlign w:val="center"/>
          </w:tcPr>
          <w:p w14:paraId="33AE718C"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3"/>
                <w:szCs w:val="13"/>
              </w:rPr>
            </w:pPr>
            <w:r>
              <w:rPr>
                <w:rFonts w:ascii="Times New Roman" w:eastAsia="Times New Roman" w:hAnsi="Times New Roman" w:cs="Times New Roman"/>
                <w:b/>
                <w:bCs/>
                <w:color w:val="000000"/>
                <w:sz w:val="13"/>
                <w:szCs w:val="13"/>
              </w:rPr>
              <w:t>Data Sources / Geographical Context</w:t>
            </w:r>
          </w:p>
        </w:tc>
        <w:tc>
          <w:tcPr>
            <w:tcW w:w="1667" w:type="dxa"/>
            <w:vAlign w:val="center"/>
          </w:tcPr>
          <w:p w14:paraId="4646C42D"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3"/>
                <w:szCs w:val="13"/>
              </w:rPr>
            </w:pPr>
            <w:r>
              <w:rPr>
                <w:rFonts w:ascii="Times New Roman" w:eastAsia="Times New Roman" w:hAnsi="Times New Roman" w:cs="Times New Roman"/>
                <w:b/>
                <w:bCs/>
                <w:color w:val="000000"/>
                <w:sz w:val="13"/>
                <w:szCs w:val="13"/>
              </w:rPr>
              <w:t>Characterization Method / Geographical Context</w:t>
            </w:r>
          </w:p>
        </w:tc>
        <w:tc>
          <w:tcPr>
            <w:tcW w:w="1985" w:type="dxa"/>
            <w:gridSpan w:val="2"/>
            <w:vAlign w:val="center"/>
          </w:tcPr>
          <w:p w14:paraId="23E0D4A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3"/>
                <w:szCs w:val="13"/>
              </w:rPr>
            </w:pPr>
            <w:r>
              <w:rPr>
                <w:rFonts w:ascii="Times New Roman" w:eastAsia="Times New Roman" w:hAnsi="Times New Roman" w:cs="Times New Roman"/>
                <w:b/>
                <w:bCs/>
                <w:color w:val="000000"/>
                <w:sz w:val="13"/>
                <w:szCs w:val="13"/>
              </w:rPr>
              <w:t>System Boundaries / Aim of Article</w:t>
            </w:r>
          </w:p>
        </w:tc>
        <w:tc>
          <w:tcPr>
            <w:tcW w:w="1417" w:type="dxa"/>
            <w:vAlign w:val="center"/>
          </w:tcPr>
          <w:p w14:paraId="034AF080"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3"/>
                <w:szCs w:val="13"/>
              </w:rPr>
            </w:pPr>
            <w:r>
              <w:rPr>
                <w:rFonts w:ascii="Times New Roman" w:eastAsia="Times New Roman" w:hAnsi="Times New Roman" w:cs="Times New Roman"/>
                <w:b/>
                <w:bCs/>
                <w:color w:val="000000"/>
                <w:sz w:val="13"/>
                <w:szCs w:val="13"/>
              </w:rPr>
              <w:t>Data Sources / Geographical Context</w:t>
            </w:r>
          </w:p>
        </w:tc>
        <w:tc>
          <w:tcPr>
            <w:tcW w:w="1701" w:type="dxa"/>
            <w:gridSpan w:val="2"/>
            <w:vAlign w:val="center"/>
          </w:tcPr>
          <w:p w14:paraId="6CF90C34"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3"/>
                <w:szCs w:val="13"/>
              </w:rPr>
            </w:pPr>
            <w:r>
              <w:rPr>
                <w:rFonts w:ascii="Times New Roman" w:eastAsia="Times New Roman" w:hAnsi="Times New Roman" w:cs="Times New Roman"/>
                <w:b/>
                <w:bCs/>
                <w:color w:val="000000"/>
                <w:sz w:val="13"/>
                <w:szCs w:val="13"/>
              </w:rPr>
              <w:t>Food Preparation / Aim of Article</w:t>
            </w:r>
          </w:p>
        </w:tc>
        <w:tc>
          <w:tcPr>
            <w:tcW w:w="1985" w:type="dxa"/>
            <w:vAlign w:val="center"/>
          </w:tcPr>
          <w:p w14:paraId="29561F74"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3"/>
                <w:szCs w:val="13"/>
              </w:rPr>
            </w:pPr>
            <w:r>
              <w:rPr>
                <w:rFonts w:ascii="Times New Roman" w:eastAsia="Times New Roman" w:hAnsi="Times New Roman" w:cs="Times New Roman"/>
                <w:b/>
                <w:bCs/>
                <w:color w:val="000000"/>
                <w:sz w:val="13"/>
                <w:szCs w:val="13"/>
              </w:rPr>
              <w:t>Scope</w:t>
            </w:r>
          </w:p>
        </w:tc>
        <w:tc>
          <w:tcPr>
            <w:tcW w:w="2410" w:type="dxa"/>
            <w:vAlign w:val="center"/>
          </w:tcPr>
          <w:p w14:paraId="68017995"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3"/>
                <w:szCs w:val="13"/>
              </w:rPr>
            </w:pPr>
            <w:r>
              <w:rPr>
                <w:rFonts w:ascii="Times New Roman" w:eastAsia="Times New Roman" w:hAnsi="Times New Roman" w:cs="Times New Roman"/>
                <w:b/>
                <w:bCs/>
                <w:color w:val="000000"/>
                <w:sz w:val="13"/>
                <w:szCs w:val="13"/>
              </w:rPr>
              <w:t>System Boundaries / Food Preparation</w:t>
            </w:r>
          </w:p>
        </w:tc>
        <w:tc>
          <w:tcPr>
            <w:tcW w:w="2268" w:type="dxa"/>
            <w:vAlign w:val="center"/>
          </w:tcPr>
          <w:p w14:paraId="1BA23E2B"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13"/>
                <w:szCs w:val="13"/>
              </w:rPr>
            </w:pPr>
            <w:r>
              <w:rPr>
                <w:rFonts w:ascii="Times New Roman" w:eastAsia="Times New Roman" w:hAnsi="Times New Roman" w:cs="Times New Roman"/>
                <w:b/>
                <w:bCs/>
                <w:color w:val="000000"/>
                <w:sz w:val="13"/>
                <w:szCs w:val="13"/>
              </w:rPr>
              <w:t>Geographical Context</w:t>
            </w:r>
          </w:p>
        </w:tc>
      </w:tr>
      <w:tr w:rsidR="00A879F0" w14:paraId="7B561A44"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08D33FE8"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Masset et al. (2014a)</w:t>
            </w:r>
          </w:p>
        </w:tc>
        <w:tc>
          <w:tcPr>
            <w:tcW w:w="1876" w:type="dxa"/>
            <w:vAlign w:val="center"/>
          </w:tcPr>
          <w:p w14:paraId="2B47640D"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 xml:space="preserve">No. Environmental data rely on </w:t>
            </w:r>
            <w:proofErr w:type="spellStart"/>
            <w:r>
              <w:rPr>
                <w:rFonts w:ascii="Times New Roman" w:eastAsia="Times New Roman" w:hAnsi="Times New Roman" w:cs="Times New Roman"/>
                <w:color w:val="FF0000"/>
                <w:sz w:val="13"/>
                <w:szCs w:val="13"/>
              </w:rPr>
              <w:t>multicountry</w:t>
            </w:r>
            <w:proofErr w:type="spellEnd"/>
            <w:r>
              <w:rPr>
                <w:rFonts w:ascii="Times New Roman" w:eastAsia="Times New Roman" w:hAnsi="Times New Roman" w:cs="Times New Roman"/>
                <w:color w:val="FF0000"/>
                <w:sz w:val="13"/>
                <w:szCs w:val="13"/>
              </w:rPr>
              <w:t xml:space="preserve"> LCA databases and other unspecified sources</w:t>
            </w:r>
          </w:p>
        </w:tc>
        <w:tc>
          <w:tcPr>
            <w:tcW w:w="1667" w:type="dxa"/>
            <w:vAlign w:val="center"/>
          </w:tcPr>
          <w:p w14:paraId="6CD6061C"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Characterization methods not specified</w:t>
            </w:r>
          </w:p>
        </w:tc>
        <w:tc>
          <w:tcPr>
            <w:tcW w:w="1985" w:type="dxa"/>
            <w:gridSpan w:val="2"/>
            <w:vAlign w:val="center"/>
          </w:tcPr>
          <w:p w14:paraId="69B553A2"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Environmental boundaries extend to the full life cycle of foods as required to support an integrated sustainability score at the consumer level</w:t>
            </w:r>
          </w:p>
        </w:tc>
        <w:tc>
          <w:tcPr>
            <w:tcW w:w="1417" w:type="dxa"/>
            <w:vAlign w:val="center"/>
          </w:tcPr>
          <w:p w14:paraId="6C566A9B"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USDA is not representative of the French food supply</w:t>
            </w:r>
          </w:p>
        </w:tc>
        <w:tc>
          <w:tcPr>
            <w:tcW w:w="1701" w:type="dxa"/>
            <w:gridSpan w:val="2"/>
            <w:vAlign w:val="center"/>
          </w:tcPr>
          <w:p w14:paraId="4A44A6B5"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Nutritional data refer to foods as consumed, consistent with a consumer-level sustainability score</w:t>
            </w:r>
          </w:p>
        </w:tc>
        <w:tc>
          <w:tcPr>
            <w:tcW w:w="1985" w:type="dxa"/>
            <w:vAlign w:val="center"/>
          </w:tcPr>
          <w:p w14:paraId="46BC44E5"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 xml:space="preserve">No. The sets of foods differ in number and composition between environmental and nutritional assessments </w:t>
            </w:r>
          </w:p>
        </w:tc>
        <w:tc>
          <w:tcPr>
            <w:tcW w:w="2410" w:type="dxa"/>
            <w:vAlign w:val="center"/>
          </w:tcPr>
          <w:p w14:paraId="3FABE88C"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Full life-cycle boundaries are consistent with nutritional data referring to foods as consumed</w:t>
            </w:r>
          </w:p>
        </w:tc>
        <w:tc>
          <w:tcPr>
            <w:tcW w:w="2268" w:type="dxa"/>
            <w:vAlign w:val="center"/>
          </w:tcPr>
          <w:p w14:paraId="41051727"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not explicitly single-country specific, while nutritional data are from a single-country source</w:t>
            </w:r>
          </w:p>
        </w:tc>
      </w:tr>
      <w:tr w:rsidR="00A879F0" w14:paraId="7B54F68A"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313AA082"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Masset et al. (2014b)</w:t>
            </w:r>
          </w:p>
        </w:tc>
        <w:tc>
          <w:tcPr>
            <w:tcW w:w="1876" w:type="dxa"/>
            <w:vAlign w:val="center"/>
          </w:tcPr>
          <w:p w14:paraId="312C742B"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 xml:space="preserve">No. Environmental data rely on </w:t>
            </w:r>
            <w:proofErr w:type="spellStart"/>
            <w:r>
              <w:rPr>
                <w:rFonts w:ascii="Times New Roman" w:eastAsia="Times New Roman" w:hAnsi="Times New Roman" w:cs="Times New Roman"/>
                <w:color w:val="FF0000"/>
                <w:sz w:val="13"/>
                <w:szCs w:val="13"/>
              </w:rPr>
              <w:t>multicountry</w:t>
            </w:r>
            <w:proofErr w:type="spellEnd"/>
            <w:r>
              <w:rPr>
                <w:rFonts w:ascii="Times New Roman" w:eastAsia="Times New Roman" w:hAnsi="Times New Roman" w:cs="Times New Roman"/>
                <w:color w:val="FF0000"/>
                <w:sz w:val="13"/>
                <w:szCs w:val="13"/>
              </w:rPr>
              <w:t xml:space="preserve"> LCA databases and other unspecified sources</w:t>
            </w:r>
          </w:p>
        </w:tc>
        <w:tc>
          <w:tcPr>
            <w:tcW w:w="1667" w:type="dxa"/>
            <w:vAlign w:val="center"/>
          </w:tcPr>
          <w:p w14:paraId="11716067"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Characterization methods not specified. However, environmental impact category assessed is climate change (and characterization is equal globally)</w:t>
            </w:r>
          </w:p>
        </w:tc>
        <w:tc>
          <w:tcPr>
            <w:tcW w:w="1985" w:type="dxa"/>
            <w:gridSpan w:val="2"/>
            <w:vAlign w:val="center"/>
          </w:tcPr>
          <w:p w14:paraId="458C0D89"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 xml:space="preserve">Partially. Consumption stage is included, but some downstream processes relevant to diet comparison are not fully covered </w:t>
            </w:r>
          </w:p>
        </w:tc>
        <w:tc>
          <w:tcPr>
            <w:tcW w:w="1417" w:type="dxa"/>
            <w:vAlign w:val="center"/>
          </w:tcPr>
          <w:p w14:paraId="28F00A80"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CIQUAL is the national French food composition database</w:t>
            </w:r>
          </w:p>
        </w:tc>
        <w:tc>
          <w:tcPr>
            <w:tcW w:w="1701" w:type="dxa"/>
            <w:gridSpan w:val="2"/>
            <w:vAlign w:val="center"/>
          </w:tcPr>
          <w:p w14:paraId="1BCFA027"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preparation stage for the nutritional assessment is not reported</w:t>
            </w:r>
          </w:p>
        </w:tc>
        <w:tc>
          <w:tcPr>
            <w:tcW w:w="1985" w:type="dxa"/>
            <w:vAlign w:val="center"/>
          </w:tcPr>
          <w:p w14:paraId="073FAEDF"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A much larger food list is used for the nutritional assessment than for the environmental one</w:t>
            </w:r>
          </w:p>
        </w:tc>
        <w:tc>
          <w:tcPr>
            <w:tcW w:w="2410" w:type="dxa"/>
            <w:vAlign w:val="center"/>
          </w:tcPr>
          <w:p w14:paraId="3124450E"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preparation stage is not defined in relation to the environmental system boundaries</w:t>
            </w:r>
          </w:p>
        </w:tc>
        <w:tc>
          <w:tcPr>
            <w:tcW w:w="2268" w:type="dxa"/>
            <w:vAlign w:val="center"/>
          </w:tcPr>
          <w:p w14:paraId="5779EBB9"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not explicitly single-country specific, while nutritional data are from a single-country source</w:t>
            </w:r>
          </w:p>
        </w:tc>
      </w:tr>
      <w:tr w:rsidR="00A879F0" w14:paraId="76CB4AAB"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05830047"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Milner et al. (2015)</w:t>
            </w:r>
          </w:p>
        </w:tc>
        <w:tc>
          <w:tcPr>
            <w:tcW w:w="1876" w:type="dxa"/>
            <w:vAlign w:val="center"/>
          </w:tcPr>
          <w:p w14:paraId="0DAE45E4"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mainly from UK sources but complemented with broader literature</w:t>
            </w:r>
          </w:p>
        </w:tc>
        <w:tc>
          <w:tcPr>
            <w:tcW w:w="1667" w:type="dxa"/>
            <w:vAlign w:val="center"/>
          </w:tcPr>
          <w:p w14:paraId="71BBE1BD"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Characterization methods not specified. However, environmental impact category assessed is climate change (and characterization is equal globally)</w:t>
            </w:r>
          </w:p>
        </w:tc>
        <w:tc>
          <w:tcPr>
            <w:tcW w:w="1985" w:type="dxa"/>
            <w:gridSpan w:val="2"/>
            <w:vAlign w:val="center"/>
          </w:tcPr>
          <w:p w14:paraId="4FD00C6A"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Cradle-to-grave boundaries are consistent with assessing health effects of complete dietary patterns</w:t>
            </w:r>
          </w:p>
        </w:tc>
        <w:tc>
          <w:tcPr>
            <w:tcW w:w="1417" w:type="dxa"/>
            <w:vAlign w:val="center"/>
          </w:tcPr>
          <w:p w14:paraId="7B7928FA"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UK Food Composition Database matches the UK context</w:t>
            </w:r>
          </w:p>
        </w:tc>
        <w:tc>
          <w:tcPr>
            <w:tcW w:w="1701" w:type="dxa"/>
            <w:gridSpan w:val="2"/>
            <w:vAlign w:val="center"/>
          </w:tcPr>
          <w:p w14:paraId="7226034A"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preparation stage for the nutritional assessment is not reported</w:t>
            </w:r>
          </w:p>
        </w:tc>
        <w:tc>
          <w:tcPr>
            <w:tcW w:w="1985" w:type="dxa"/>
            <w:vAlign w:val="center"/>
          </w:tcPr>
          <w:p w14:paraId="3759337B"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Both dimensions are based on the average UK diet</w:t>
            </w:r>
          </w:p>
        </w:tc>
        <w:tc>
          <w:tcPr>
            <w:tcW w:w="2410" w:type="dxa"/>
            <w:vAlign w:val="center"/>
          </w:tcPr>
          <w:p w14:paraId="7418CA6D"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form of foods is not reported, preventing assessment of consistency with cradle-to-grave boundaries</w:t>
            </w:r>
          </w:p>
        </w:tc>
        <w:tc>
          <w:tcPr>
            <w:tcW w:w="2268" w:type="dxa"/>
            <w:vAlign w:val="center"/>
          </w:tcPr>
          <w:p w14:paraId="761AA225"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Both environmental and nutritional data are derived from UK-specific sources</w:t>
            </w:r>
          </w:p>
        </w:tc>
      </w:tr>
      <w:tr w:rsidR="00A879F0" w14:paraId="5B96CF7F"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6FFC6B3E" w14:textId="77777777" w:rsidR="00A879F0" w:rsidRDefault="008F0787">
            <w:pPr>
              <w:jc w:val="center"/>
              <w:rPr>
                <w:rFonts w:ascii="Times New Roman" w:eastAsia="Times New Roman" w:hAnsi="Times New Roman" w:cs="Times New Roman"/>
                <w:sz w:val="13"/>
                <w:szCs w:val="13"/>
              </w:rPr>
            </w:pPr>
            <w:proofErr w:type="spellStart"/>
            <w:r>
              <w:rPr>
                <w:rFonts w:ascii="Times New Roman" w:eastAsia="Times New Roman" w:hAnsi="Times New Roman" w:cs="Times New Roman"/>
                <w:b w:val="0"/>
                <w:bCs w:val="0"/>
                <w:color w:val="000000"/>
                <w:sz w:val="13"/>
                <w:szCs w:val="13"/>
              </w:rPr>
              <w:t>Röös</w:t>
            </w:r>
            <w:proofErr w:type="spellEnd"/>
            <w:r>
              <w:rPr>
                <w:rFonts w:ascii="Times New Roman" w:eastAsia="Times New Roman" w:hAnsi="Times New Roman" w:cs="Times New Roman"/>
                <w:b w:val="0"/>
                <w:bCs w:val="0"/>
                <w:color w:val="000000"/>
                <w:sz w:val="13"/>
                <w:szCs w:val="13"/>
              </w:rPr>
              <w:t xml:space="preserve"> et al. (2015)</w:t>
            </w:r>
          </w:p>
        </w:tc>
        <w:tc>
          <w:tcPr>
            <w:tcW w:w="1876" w:type="dxa"/>
            <w:vAlign w:val="center"/>
          </w:tcPr>
          <w:p w14:paraId="41AB23BB"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combine Swedish literature with European databases</w:t>
            </w:r>
          </w:p>
        </w:tc>
        <w:tc>
          <w:tcPr>
            <w:tcW w:w="1667" w:type="dxa"/>
            <w:vAlign w:val="center"/>
          </w:tcPr>
          <w:p w14:paraId="5D86A0A9"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Some characterisation methods are specified in the publication, some LCA values taken from the literature and databases where it is difficult to determine level of alignment</w:t>
            </w:r>
          </w:p>
        </w:tc>
        <w:tc>
          <w:tcPr>
            <w:tcW w:w="1985" w:type="dxa"/>
            <w:gridSpan w:val="2"/>
            <w:vAlign w:val="center"/>
          </w:tcPr>
          <w:p w14:paraId="10CE6A89"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Cradle-to-consumption boundaries match the objective of jointly assessing environmental and nutritional performance of diets</w:t>
            </w:r>
          </w:p>
        </w:tc>
        <w:tc>
          <w:tcPr>
            <w:tcW w:w="1417" w:type="dxa"/>
            <w:vAlign w:val="center"/>
          </w:tcPr>
          <w:p w14:paraId="59D9B5E7"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Swedish Food Composition Database is country specific</w:t>
            </w:r>
          </w:p>
        </w:tc>
        <w:tc>
          <w:tcPr>
            <w:tcW w:w="1701" w:type="dxa"/>
            <w:gridSpan w:val="2"/>
            <w:vAlign w:val="center"/>
          </w:tcPr>
          <w:p w14:paraId="1024383C"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Nutritional assessment is based on ready-to-eat diets</w:t>
            </w:r>
          </w:p>
        </w:tc>
        <w:tc>
          <w:tcPr>
            <w:tcW w:w="1985" w:type="dxa"/>
            <w:vAlign w:val="center"/>
          </w:tcPr>
          <w:p w14:paraId="588E1D0D"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same three Swedish dietary patterns are assessed in both dimensions</w:t>
            </w:r>
          </w:p>
        </w:tc>
        <w:tc>
          <w:tcPr>
            <w:tcW w:w="2410" w:type="dxa"/>
            <w:vAlign w:val="center"/>
          </w:tcPr>
          <w:p w14:paraId="5EFD71F5"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Cradle-to-consumption boundaries are consistent with ready-to-eat nutritional data</w:t>
            </w:r>
          </w:p>
        </w:tc>
        <w:tc>
          <w:tcPr>
            <w:tcW w:w="2268" w:type="dxa"/>
            <w:vAlign w:val="center"/>
          </w:tcPr>
          <w:p w14:paraId="3C09B5F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European, while nutritional data are specifically Swedish</w:t>
            </w:r>
          </w:p>
        </w:tc>
      </w:tr>
      <w:tr w:rsidR="00A879F0" w14:paraId="6898F3BA"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43A32443"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Perignon et al. (2016)</w:t>
            </w:r>
          </w:p>
        </w:tc>
        <w:tc>
          <w:tcPr>
            <w:tcW w:w="1876" w:type="dxa"/>
            <w:vAlign w:val="center"/>
          </w:tcPr>
          <w:p w14:paraId="64B2F21C"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 xml:space="preserve">No. Environmental data assigned by consulting firm, using </w:t>
            </w:r>
            <w:proofErr w:type="spellStart"/>
            <w:r>
              <w:rPr>
                <w:rFonts w:ascii="Times New Roman" w:eastAsia="Times New Roman" w:hAnsi="Times New Roman" w:cs="Times New Roman"/>
                <w:color w:val="FF0000"/>
                <w:sz w:val="13"/>
                <w:szCs w:val="13"/>
              </w:rPr>
              <w:t>multicountry</w:t>
            </w:r>
            <w:proofErr w:type="spellEnd"/>
            <w:r>
              <w:rPr>
                <w:rFonts w:ascii="Times New Roman" w:eastAsia="Times New Roman" w:hAnsi="Times New Roman" w:cs="Times New Roman"/>
                <w:color w:val="FF0000"/>
                <w:sz w:val="13"/>
                <w:szCs w:val="13"/>
              </w:rPr>
              <w:t xml:space="preserve"> LCA databases not specifying which specific LCI was applied</w:t>
            </w:r>
          </w:p>
        </w:tc>
        <w:tc>
          <w:tcPr>
            <w:tcW w:w="1667" w:type="dxa"/>
            <w:vAlign w:val="center"/>
          </w:tcPr>
          <w:p w14:paraId="3FFEF8DC"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Characterization methods not specified. However, environmental impact category assessed is climate change (and characterization is equal globally)</w:t>
            </w:r>
          </w:p>
        </w:tc>
        <w:tc>
          <w:tcPr>
            <w:tcW w:w="1985" w:type="dxa"/>
            <w:gridSpan w:val="2"/>
            <w:vAlign w:val="center"/>
          </w:tcPr>
          <w:p w14:paraId="339DDDD9"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Most life-cycle stages are covered, but exclusion of some downstream processes (excluding transport from retail to home) limits full consistency with the multidimensional sustainability aim</w:t>
            </w:r>
          </w:p>
        </w:tc>
        <w:tc>
          <w:tcPr>
            <w:tcW w:w="1417" w:type="dxa"/>
            <w:vAlign w:val="center"/>
          </w:tcPr>
          <w:p w14:paraId="4A54A413"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CIQUAL reflects the French food context</w:t>
            </w:r>
          </w:p>
        </w:tc>
        <w:tc>
          <w:tcPr>
            <w:tcW w:w="1701" w:type="dxa"/>
            <w:gridSpan w:val="2"/>
            <w:vAlign w:val="center"/>
          </w:tcPr>
          <w:p w14:paraId="2C27495E"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preparation stage for the nutritional assessment is not reported</w:t>
            </w:r>
          </w:p>
        </w:tc>
        <w:tc>
          <w:tcPr>
            <w:tcW w:w="1985" w:type="dxa"/>
            <w:vAlign w:val="center"/>
          </w:tcPr>
          <w:p w14:paraId="7A36542A"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same food set is used for both environmental and nutritional analyses</w:t>
            </w:r>
          </w:p>
        </w:tc>
        <w:tc>
          <w:tcPr>
            <w:tcW w:w="2410" w:type="dxa"/>
            <w:vAlign w:val="center"/>
          </w:tcPr>
          <w:p w14:paraId="1147D83B"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Food preparation stage is not clearly linked to the defined life-cycle boundaries</w:t>
            </w:r>
          </w:p>
        </w:tc>
        <w:tc>
          <w:tcPr>
            <w:tcW w:w="2268" w:type="dxa"/>
            <w:vAlign w:val="center"/>
          </w:tcPr>
          <w:p w14:paraId="0C3F0469"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not explicitly single-country specific from international LCA databases, while nutritional data are from a single-country source</w:t>
            </w:r>
          </w:p>
        </w:tc>
      </w:tr>
      <w:tr w:rsidR="00A879F0" w14:paraId="0D399E23"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4ECB20A1" w14:textId="77777777" w:rsidR="00A879F0" w:rsidRDefault="008F0787">
            <w:pPr>
              <w:jc w:val="center"/>
              <w:rPr>
                <w:rFonts w:ascii="Times New Roman" w:eastAsia="Times New Roman" w:hAnsi="Times New Roman" w:cs="Times New Roman"/>
                <w:sz w:val="13"/>
                <w:szCs w:val="13"/>
              </w:rPr>
            </w:pPr>
            <w:proofErr w:type="spellStart"/>
            <w:r>
              <w:rPr>
                <w:rFonts w:ascii="Times New Roman" w:eastAsia="Times New Roman" w:hAnsi="Times New Roman" w:cs="Times New Roman"/>
                <w:b w:val="0"/>
                <w:bCs w:val="0"/>
                <w:color w:val="000000"/>
                <w:sz w:val="13"/>
                <w:szCs w:val="13"/>
              </w:rPr>
              <w:t>Sturtewagen</w:t>
            </w:r>
            <w:proofErr w:type="spellEnd"/>
            <w:r>
              <w:rPr>
                <w:rFonts w:ascii="Times New Roman" w:eastAsia="Times New Roman" w:hAnsi="Times New Roman" w:cs="Times New Roman"/>
                <w:b w:val="0"/>
                <w:bCs w:val="0"/>
                <w:color w:val="000000"/>
                <w:sz w:val="13"/>
                <w:szCs w:val="13"/>
              </w:rPr>
              <w:t xml:space="preserve"> et al. (2016)</w:t>
            </w:r>
          </w:p>
        </w:tc>
        <w:tc>
          <w:tcPr>
            <w:tcW w:w="1876" w:type="dxa"/>
            <w:vAlign w:val="center"/>
          </w:tcPr>
          <w:p w14:paraId="61AF9634"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 xml:space="preserve">No. Environmental data combine </w:t>
            </w:r>
            <w:proofErr w:type="spellStart"/>
            <w:r>
              <w:rPr>
                <w:rFonts w:ascii="Times New Roman" w:eastAsia="Times New Roman" w:hAnsi="Times New Roman" w:cs="Times New Roman"/>
                <w:color w:val="FF0000"/>
                <w:sz w:val="13"/>
                <w:szCs w:val="13"/>
              </w:rPr>
              <w:t>multicountry</w:t>
            </w:r>
            <w:proofErr w:type="spellEnd"/>
            <w:r>
              <w:rPr>
                <w:rFonts w:ascii="Times New Roman" w:eastAsia="Times New Roman" w:hAnsi="Times New Roman" w:cs="Times New Roman"/>
                <w:color w:val="FF0000"/>
                <w:sz w:val="13"/>
                <w:szCs w:val="13"/>
              </w:rPr>
              <w:t xml:space="preserve"> LCA databases not specifying which specific LCI was applied</w:t>
            </w:r>
          </w:p>
        </w:tc>
        <w:tc>
          <w:tcPr>
            <w:tcW w:w="1667" w:type="dxa"/>
            <w:vAlign w:val="center"/>
          </w:tcPr>
          <w:p w14:paraId="2822414D"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CEENE is applied and it has a global scope, but is not stated that it was geographically parameterised which could be a better fit</w:t>
            </w:r>
          </w:p>
        </w:tc>
        <w:tc>
          <w:tcPr>
            <w:tcW w:w="1985" w:type="dxa"/>
            <w:gridSpan w:val="2"/>
            <w:vAlign w:val="center"/>
          </w:tcPr>
          <w:p w14:paraId="452FFCD7"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Cradle-to-grave boundaries are coherent with assessing the environmental impact of prepared meals as consumed</w:t>
            </w:r>
          </w:p>
        </w:tc>
        <w:tc>
          <w:tcPr>
            <w:tcW w:w="1417" w:type="dxa"/>
            <w:vAlign w:val="center"/>
          </w:tcPr>
          <w:p w14:paraId="5D03A416"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NUBEL is the Belgian national database</w:t>
            </w:r>
          </w:p>
        </w:tc>
        <w:tc>
          <w:tcPr>
            <w:tcW w:w="1701" w:type="dxa"/>
            <w:gridSpan w:val="2"/>
            <w:vAlign w:val="center"/>
          </w:tcPr>
          <w:p w14:paraId="6FBAD3FB"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nutritional evaluation refers to a prepared meal as consumed</w:t>
            </w:r>
          </w:p>
        </w:tc>
        <w:tc>
          <w:tcPr>
            <w:tcW w:w="1985" w:type="dxa"/>
            <w:vAlign w:val="center"/>
          </w:tcPr>
          <w:p w14:paraId="6D6324EA"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Both dimensions assess the same Belgian catered meals</w:t>
            </w:r>
          </w:p>
        </w:tc>
        <w:tc>
          <w:tcPr>
            <w:tcW w:w="2410" w:type="dxa"/>
            <w:vAlign w:val="center"/>
          </w:tcPr>
          <w:p w14:paraId="0F8C120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Cradle-to-grave assessment is coherent with nutritional data for a prepared, ready-to-eat meal</w:t>
            </w:r>
          </w:p>
        </w:tc>
        <w:tc>
          <w:tcPr>
            <w:tcW w:w="2268" w:type="dxa"/>
            <w:vAlign w:val="center"/>
          </w:tcPr>
          <w:p w14:paraId="0B9C7B7A"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Environmental sources are not explicitly country-specific, whereas nutritional data are Belgian</w:t>
            </w:r>
          </w:p>
        </w:tc>
      </w:tr>
      <w:tr w:rsidR="00A879F0" w14:paraId="62A43A78"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76745BA2"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Milner et al. (2017)</w:t>
            </w:r>
          </w:p>
        </w:tc>
        <w:tc>
          <w:tcPr>
            <w:tcW w:w="1876" w:type="dxa"/>
            <w:vAlign w:val="center"/>
          </w:tcPr>
          <w:p w14:paraId="68EC5B85"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Environmental data rely on global tools and literature without stating if there was an adaptation to Indian conditions</w:t>
            </w:r>
          </w:p>
        </w:tc>
        <w:tc>
          <w:tcPr>
            <w:tcW w:w="1667" w:type="dxa"/>
            <w:vAlign w:val="center"/>
          </w:tcPr>
          <w:p w14:paraId="4E7FFF51"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IPCC and Water Footprint methods are used but not specifically stated if water footprint regionalised for India</w:t>
            </w:r>
          </w:p>
        </w:tc>
        <w:tc>
          <w:tcPr>
            <w:tcW w:w="1985" w:type="dxa"/>
            <w:gridSpan w:val="2"/>
            <w:vAlign w:val="center"/>
          </w:tcPr>
          <w:p w14:paraId="1F72A5E3"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Full life-cycle coverage supports the projection of health effects of dietary shifts at population level</w:t>
            </w:r>
          </w:p>
        </w:tc>
        <w:tc>
          <w:tcPr>
            <w:tcW w:w="1417" w:type="dxa"/>
            <w:vAlign w:val="center"/>
          </w:tcPr>
          <w:p w14:paraId="0C52B8AE"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IFCT represents Indian foods</w:t>
            </w:r>
          </w:p>
        </w:tc>
        <w:tc>
          <w:tcPr>
            <w:tcW w:w="1701" w:type="dxa"/>
            <w:gridSpan w:val="2"/>
            <w:vAlign w:val="center"/>
          </w:tcPr>
          <w:p w14:paraId="5C839C10"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preparation stage for the nutritional assessment is not reported</w:t>
            </w:r>
          </w:p>
        </w:tc>
        <w:tc>
          <w:tcPr>
            <w:tcW w:w="1985" w:type="dxa"/>
            <w:vAlign w:val="center"/>
          </w:tcPr>
          <w:p w14:paraId="4006FC23"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Environmental and nutritional analyses refer to the same Indian dietary pattern</w:t>
            </w:r>
          </w:p>
        </w:tc>
        <w:tc>
          <w:tcPr>
            <w:tcW w:w="2410" w:type="dxa"/>
            <w:vAlign w:val="center"/>
          </w:tcPr>
          <w:p w14:paraId="67039AE3"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preparation stage of foods is not reported in relation to the system boundaries</w:t>
            </w:r>
          </w:p>
        </w:tc>
        <w:tc>
          <w:tcPr>
            <w:tcW w:w="2268" w:type="dxa"/>
            <w:vAlign w:val="center"/>
          </w:tcPr>
          <w:p w14:paraId="1059DDF2"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Environmental data are generic or international, while nutritional data are Indian</w:t>
            </w:r>
          </w:p>
        </w:tc>
      </w:tr>
      <w:tr w:rsidR="00A879F0" w14:paraId="2C4D4497"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5163F837"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Saarinen et al. (2017)</w:t>
            </w:r>
          </w:p>
        </w:tc>
        <w:tc>
          <w:tcPr>
            <w:tcW w:w="1876" w:type="dxa"/>
            <w:vAlign w:val="center"/>
          </w:tcPr>
          <w:p w14:paraId="0336420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69138"/>
                <w:sz w:val="13"/>
                <w:szCs w:val="13"/>
              </w:rPr>
              <w:t xml:space="preserve">Partially. Environmental data combine national literature with </w:t>
            </w:r>
            <w:proofErr w:type="spellStart"/>
            <w:r>
              <w:rPr>
                <w:rFonts w:ascii="Times New Roman" w:eastAsia="Times New Roman" w:hAnsi="Times New Roman" w:cs="Times New Roman"/>
                <w:color w:val="E69138"/>
                <w:sz w:val="13"/>
                <w:szCs w:val="13"/>
              </w:rPr>
              <w:t>multicountry</w:t>
            </w:r>
            <w:proofErr w:type="spellEnd"/>
            <w:r>
              <w:rPr>
                <w:rFonts w:ascii="Times New Roman" w:eastAsia="Times New Roman" w:hAnsi="Times New Roman" w:cs="Times New Roman"/>
                <w:color w:val="E69138"/>
                <w:sz w:val="13"/>
                <w:szCs w:val="13"/>
              </w:rPr>
              <w:t xml:space="preserve"> LCA databases, not specifying which specific LCI was applied</w:t>
            </w:r>
          </w:p>
        </w:tc>
        <w:tc>
          <w:tcPr>
            <w:tcW w:w="1667" w:type="dxa"/>
            <w:vAlign w:val="center"/>
          </w:tcPr>
          <w:p w14:paraId="538FDD89"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Characterization methods not specified. However, environmental impact category assessed is climate change (and characterization is equal globally)</w:t>
            </w:r>
          </w:p>
        </w:tc>
        <w:tc>
          <w:tcPr>
            <w:tcW w:w="1985" w:type="dxa"/>
            <w:gridSpan w:val="2"/>
            <w:vAlign w:val="center"/>
          </w:tcPr>
          <w:p w14:paraId="5132A630"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Cradle-to-consumption boundaries align with the aim of comparing nutritional and environmental performance of foods as eaten</w:t>
            </w:r>
          </w:p>
        </w:tc>
        <w:tc>
          <w:tcPr>
            <w:tcW w:w="1417" w:type="dxa"/>
            <w:vAlign w:val="center"/>
          </w:tcPr>
          <w:p w14:paraId="1F1E72FB"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FINELI is the Finnish national database</w:t>
            </w:r>
          </w:p>
        </w:tc>
        <w:tc>
          <w:tcPr>
            <w:tcW w:w="1701" w:type="dxa"/>
            <w:gridSpan w:val="2"/>
            <w:vAlign w:val="center"/>
          </w:tcPr>
          <w:p w14:paraId="6E2DBE1B"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Nutritional values correspond to foods as consumed</w:t>
            </w:r>
          </w:p>
        </w:tc>
        <w:tc>
          <w:tcPr>
            <w:tcW w:w="1985" w:type="dxa"/>
            <w:vAlign w:val="center"/>
          </w:tcPr>
          <w:p w14:paraId="6BE2F11D"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same 29 Finnish foods are assessed in both dimensions</w:t>
            </w:r>
          </w:p>
        </w:tc>
        <w:tc>
          <w:tcPr>
            <w:tcW w:w="2410" w:type="dxa"/>
            <w:vAlign w:val="center"/>
          </w:tcPr>
          <w:p w14:paraId="7C48E78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Cradle-to-consumption boundaries align with ready-to-eat nutritional data</w:t>
            </w:r>
          </w:p>
        </w:tc>
        <w:tc>
          <w:tcPr>
            <w:tcW w:w="2268" w:type="dxa"/>
            <w:vAlign w:val="center"/>
          </w:tcPr>
          <w:p w14:paraId="13E7524E"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multi-regional, while nutritional data are Finnish-specific</w:t>
            </w:r>
          </w:p>
        </w:tc>
      </w:tr>
      <w:tr w:rsidR="00A879F0" w14:paraId="0A401A68"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2B4D2EEC"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Soneson et al. (2017)</w:t>
            </w:r>
          </w:p>
        </w:tc>
        <w:tc>
          <w:tcPr>
            <w:tcW w:w="1876" w:type="dxa"/>
            <w:vAlign w:val="center"/>
          </w:tcPr>
          <w:p w14:paraId="4B0DD3F3"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Environmental data are derived from national supply-chain specific inventories</w:t>
            </w:r>
          </w:p>
        </w:tc>
        <w:tc>
          <w:tcPr>
            <w:tcW w:w="1667" w:type="dxa"/>
            <w:vAlign w:val="center"/>
          </w:tcPr>
          <w:p w14:paraId="6C88DE4D"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 xml:space="preserve">Partially. Adequate method for freshwater ecotoxicity assessment in this geographical scope, but a regionalized method could be used for better fit </w:t>
            </w:r>
          </w:p>
        </w:tc>
        <w:tc>
          <w:tcPr>
            <w:tcW w:w="1985" w:type="dxa"/>
            <w:gridSpan w:val="2"/>
            <w:vAlign w:val="center"/>
          </w:tcPr>
          <w:p w14:paraId="59C525AF"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Consumption-level boundaries are appropriate for developing functional units based on nutritional value of foods</w:t>
            </w:r>
          </w:p>
        </w:tc>
        <w:tc>
          <w:tcPr>
            <w:tcW w:w="1417" w:type="dxa"/>
            <w:vAlign w:val="center"/>
          </w:tcPr>
          <w:p w14:paraId="7B439232"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USDA is not representative of the Swedish food supply</w:t>
            </w:r>
          </w:p>
        </w:tc>
        <w:tc>
          <w:tcPr>
            <w:tcW w:w="1701" w:type="dxa"/>
            <w:gridSpan w:val="2"/>
            <w:vAlign w:val="center"/>
          </w:tcPr>
          <w:p w14:paraId="6A4C9062"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preparation stage for the nutritional assessment is not reported</w:t>
            </w:r>
          </w:p>
        </w:tc>
        <w:tc>
          <w:tcPr>
            <w:tcW w:w="1985" w:type="dxa"/>
            <w:vAlign w:val="center"/>
          </w:tcPr>
          <w:p w14:paraId="164BE223"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Environmental analysis covers a few foods, while nutrition refers to full dietary patterns</w:t>
            </w:r>
          </w:p>
        </w:tc>
        <w:tc>
          <w:tcPr>
            <w:tcW w:w="2410" w:type="dxa"/>
            <w:vAlign w:val="center"/>
          </w:tcPr>
          <w:p w14:paraId="782F06B8"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form is not described in relation to the life-cycle scope</w:t>
            </w:r>
          </w:p>
        </w:tc>
        <w:tc>
          <w:tcPr>
            <w:tcW w:w="2268" w:type="dxa"/>
            <w:vAlign w:val="center"/>
          </w:tcPr>
          <w:p w14:paraId="3F21AEEA"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Environmental data are Swedish, whereas nutritional data are from the US</w:t>
            </w:r>
          </w:p>
        </w:tc>
      </w:tr>
      <w:tr w:rsidR="00A879F0" w14:paraId="6824E73A"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5841C1A0"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van Dooren et al. (2017)</w:t>
            </w:r>
          </w:p>
        </w:tc>
        <w:tc>
          <w:tcPr>
            <w:tcW w:w="1876" w:type="dxa"/>
            <w:vAlign w:val="center"/>
          </w:tcPr>
          <w:p w14:paraId="6DADF9A7"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Environmental data are based on national specific databases</w:t>
            </w:r>
          </w:p>
        </w:tc>
        <w:tc>
          <w:tcPr>
            <w:tcW w:w="1667" w:type="dxa"/>
            <w:vAlign w:val="center"/>
          </w:tcPr>
          <w:p w14:paraId="464F7667"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CLM is a Dutch characterisation method, consistent with the national context</w:t>
            </w:r>
          </w:p>
        </w:tc>
        <w:tc>
          <w:tcPr>
            <w:tcW w:w="1985" w:type="dxa"/>
            <w:gridSpan w:val="2"/>
            <w:vAlign w:val="center"/>
          </w:tcPr>
          <w:p w14:paraId="717E1546"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System boundaries are insufficiently reported, preventing assessment of their coherence with the stated objective</w:t>
            </w:r>
          </w:p>
        </w:tc>
        <w:tc>
          <w:tcPr>
            <w:tcW w:w="1417" w:type="dxa"/>
            <w:vAlign w:val="center"/>
          </w:tcPr>
          <w:p w14:paraId="0D02FFB1"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NEVO matches the Dutch context</w:t>
            </w:r>
          </w:p>
        </w:tc>
        <w:tc>
          <w:tcPr>
            <w:tcW w:w="1701" w:type="dxa"/>
            <w:gridSpan w:val="2"/>
            <w:vAlign w:val="center"/>
          </w:tcPr>
          <w:p w14:paraId="4717D416"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Nutritional indices are calculated for raw and prepared foods consistent with the aim</w:t>
            </w:r>
          </w:p>
        </w:tc>
        <w:tc>
          <w:tcPr>
            <w:tcW w:w="1985" w:type="dxa"/>
            <w:vAlign w:val="center"/>
          </w:tcPr>
          <w:p w14:paraId="78301EF7"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same Dutch food set is used in both dimensions</w:t>
            </w:r>
          </w:p>
        </w:tc>
        <w:tc>
          <w:tcPr>
            <w:tcW w:w="2410" w:type="dxa"/>
            <w:vAlign w:val="center"/>
          </w:tcPr>
          <w:p w14:paraId="6920D4CD"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System boundaries are not defined, preventing assessment of consistency with food form</w:t>
            </w:r>
          </w:p>
        </w:tc>
        <w:tc>
          <w:tcPr>
            <w:tcW w:w="2268" w:type="dxa"/>
            <w:vAlign w:val="center"/>
          </w:tcPr>
          <w:p w14:paraId="2B90AC0B"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national, while nutritional data are national but drawn from a different database system</w:t>
            </w:r>
          </w:p>
        </w:tc>
      </w:tr>
      <w:tr w:rsidR="00A879F0" w14:paraId="29E73496"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6AC795FA"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lastRenderedPageBreak/>
              <w:t>Barré et al. (2018)</w:t>
            </w:r>
          </w:p>
        </w:tc>
        <w:tc>
          <w:tcPr>
            <w:tcW w:w="1876" w:type="dxa"/>
            <w:vAlign w:val="center"/>
          </w:tcPr>
          <w:p w14:paraId="05D185F8"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Environmental data are derived from French literature sources</w:t>
            </w:r>
          </w:p>
        </w:tc>
        <w:tc>
          <w:tcPr>
            <w:tcW w:w="1667" w:type="dxa"/>
            <w:vAlign w:val="center"/>
          </w:tcPr>
          <w:p w14:paraId="520D2F2B"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Values assigned by a consultancy firm, data sources were not disclosed</w:t>
            </w:r>
          </w:p>
        </w:tc>
        <w:tc>
          <w:tcPr>
            <w:tcW w:w="1985" w:type="dxa"/>
            <w:gridSpan w:val="2"/>
            <w:vAlign w:val="center"/>
          </w:tcPr>
          <w:p w14:paraId="5ED767AD"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Cradle-to-grave boundaries are consistent with evaluating bioavailability and co-production effects in sustainable diet scenarios</w:t>
            </w:r>
          </w:p>
        </w:tc>
        <w:tc>
          <w:tcPr>
            <w:tcW w:w="1417" w:type="dxa"/>
            <w:vAlign w:val="center"/>
          </w:tcPr>
          <w:p w14:paraId="08B136A3"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CIQUAL was combined with USDA data</w:t>
            </w:r>
          </w:p>
        </w:tc>
        <w:tc>
          <w:tcPr>
            <w:tcW w:w="1701" w:type="dxa"/>
            <w:gridSpan w:val="2"/>
            <w:vAlign w:val="center"/>
          </w:tcPr>
          <w:p w14:paraId="1189B614"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Nutritional assessment is based on prepared foods and bioavailability</w:t>
            </w:r>
          </w:p>
        </w:tc>
        <w:tc>
          <w:tcPr>
            <w:tcW w:w="1985" w:type="dxa"/>
            <w:vAlign w:val="center"/>
          </w:tcPr>
          <w:p w14:paraId="6B1ACCD8"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Environmental analysis uses individual foods, while nutrition refers to dietary patterns</w:t>
            </w:r>
          </w:p>
        </w:tc>
        <w:tc>
          <w:tcPr>
            <w:tcW w:w="2410" w:type="dxa"/>
            <w:vAlign w:val="center"/>
          </w:tcPr>
          <w:p w14:paraId="7E31616B"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Cradle-to-grave boundaries correspond to nutritional data for foods as consumed</w:t>
            </w:r>
          </w:p>
        </w:tc>
        <w:tc>
          <w:tcPr>
            <w:tcW w:w="2268" w:type="dxa"/>
            <w:vAlign w:val="center"/>
          </w:tcPr>
          <w:p w14:paraId="477335E4"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literature-based (national), while nutritional data combine national and international sources</w:t>
            </w:r>
          </w:p>
        </w:tc>
      </w:tr>
      <w:tr w:rsidR="00A879F0" w14:paraId="446CE993"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5D92048"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Kramer et al. (2018)</w:t>
            </w:r>
          </w:p>
        </w:tc>
        <w:tc>
          <w:tcPr>
            <w:tcW w:w="1876" w:type="dxa"/>
            <w:vAlign w:val="center"/>
          </w:tcPr>
          <w:p w14:paraId="15B83011"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 xml:space="preserve">Yes. Environmental data rely on an appropriate LCA database </w:t>
            </w:r>
          </w:p>
        </w:tc>
        <w:tc>
          <w:tcPr>
            <w:tcW w:w="1667" w:type="dxa"/>
            <w:vAlign w:val="center"/>
          </w:tcPr>
          <w:p w14:paraId="5618C1B5"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 xml:space="preserve">Yes. </w:t>
            </w:r>
            <w:proofErr w:type="spellStart"/>
            <w:r>
              <w:rPr>
                <w:rFonts w:ascii="Times New Roman" w:eastAsia="Times New Roman" w:hAnsi="Times New Roman" w:cs="Times New Roman"/>
                <w:color w:val="38761D"/>
                <w:sz w:val="13"/>
                <w:szCs w:val="13"/>
              </w:rPr>
              <w:t>ReCiPe</w:t>
            </w:r>
            <w:proofErr w:type="spellEnd"/>
            <w:r>
              <w:rPr>
                <w:rFonts w:ascii="Times New Roman" w:eastAsia="Times New Roman" w:hAnsi="Times New Roman" w:cs="Times New Roman"/>
                <w:color w:val="38761D"/>
                <w:sz w:val="13"/>
                <w:szCs w:val="13"/>
              </w:rPr>
              <w:t xml:space="preserve"> works in a Dutch context.</w:t>
            </w:r>
          </w:p>
        </w:tc>
        <w:tc>
          <w:tcPr>
            <w:tcW w:w="1985" w:type="dxa"/>
            <w:gridSpan w:val="2"/>
            <w:vAlign w:val="center"/>
          </w:tcPr>
          <w:p w14:paraId="0ECC2C2D"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Full life-cycle system boundaries match the aim of quantifying combined nutritional and environmental performance of foods</w:t>
            </w:r>
          </w:p>
        </w:tc>
        <w:tc>
          <w:tcPr>
            <w:tcW w:w="1417" w:type="dxa"/>
            <w:vAlign w:val="center"/>
          </w:tcPr>
          <w:p w14:paraId="49C771A5"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NEVO is nationally representative</w:t>
            </w:r>
          </w:p>
        </w:tc>
        <w:tc>
          <w:tcPr>
            <w:tcW w:w="1701" w:type="dxa"/>
            <w:gridSpan w:val="2"/>
            <w:vAlign w:val="center"/>
          </w:tcPr>
          <w:p w14:paraId="035FA2BC"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Nutritional contribution is evaluated for raw and prepared foods</w:t>
            </w:r>
          </w:p>
        </w:tc>
        <w:tc>
          <w:tcPr>
            <w:tcW w:w="1985" w:type="dxa"/>
            <w:vAlign w:val="center"/>
          </w:tcPr>
          <w:p w14:paraId="06F2A6F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Environmental assessment combines foods and diets, whereas nutrition focuses on dietary patterns</w:t>
            </w:r>
          </w:p>
        </w:tc>
        <w:tc>
          <w:tcPr>
            <w:tcW w:w="2410" w:type="dxa"/>
            <w:vAlign w:val="center"/>
          </w:tcPr>
          <w:p w14:paraId="25FC3310"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Raw and prepared foods are both considered, but not consistently across all life-cycle stages</w:t>
            </w:r>
          </w:p>
        </w:tc>
        <w:tc>
          <w:tcPr>
            <w:tcW w:w="2268" w:type="dxa"/>
            <w:vAlign w:val="center"/>
          </w:tcPr>
          <w:p w14:paraId="573FC4C7"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from an appropriate database, while nutritional data are national</w:t>
            </w:r>
          </w:p>
        </w:tc>
      </w:tr>
      <w:tr w:rsidR="00A879F0" w14:paraId="500E2156"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214979BB" w14:textId="77777777" w:rsidR="00A879F0" w:rsidRDefault="008F0787">
            <w:pPr>
              <w:jc w:val="center"/>
              <w:rPr>
                <w:rFonts w:ascii="Times New Roman" w:eastAsia="Times New Roman" w:hAnsi="Times New Roman" w:cs="Times New Roman"/>
                <w:sz w:val="13"/>
                <w:szCs w:val="13"/>
              </w:rPr>
            </w:pPr>
            <w:proofErr w:type="spellStart"/>
            <w:r>
              <w:rPr>
                <w:rFonts w:ascii="Times New Roman" w:eastAsia="Times New Roman" w:hAnsi="Times New Roman" w:cs="Times New Roman"/>
                <w:b w:val="0"/>
                <w:bCs w:val="0"/>
                <w:color w:val="000000"/>
                <w:sz w:val="13"/>
                <w:szCs w:val="13"/>
              </w:rPr>
              <w:t>Berardy</w:t>
            </w:r>
            <w:proofErr w:type="spellEnd"/>
            <w:r>
              <w:rPr>
                <w:rFonts w:ascii="Times New Roman" w:eastAsia="Times New Roman" w:hAnsi="Times New Roman" w:cs="Times New Roman"/>
                <w:b w:val="0"/>
                <w:bCs w:val="0"/>
                <w:color w:val="000000"/>
                <w:sz w:val="13"/>
                <w:szCs w:val="13"/>
              </w:rPr>
              <w:t xml:space="preserve"> et al. (2019)</w:t>
            </w:r>
          </w:p>
        </w:tc>
        <w:tc>
          <w:tcPr>
            <w:tcW w:w="1876" w:type="dxa"/>
            <w:vAlign w:val="center"/>
          </w:tcPr>
          <w:p w14:paraId="1ACFBFCC"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69138"/>
                <w:sz w:val="13"/>
                <w:szCs w:val="13"/>
              </w:rPr>
              <w:t>Partially. Environmental data rely on US literature but are complemented with non-US sources</w:t>
            </w:r>
          </w:p>
        </w:tc>
        <w:tc>
          <w:tcPr>
            <w:tcW w:w="1667" w:type="dxa"/>
            <w:vAlign w:val="center"/>
          </w:tcPr>
          <w:p w14:paraId="2EFDA5D0"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Characterization methods not specified. However, environmental impact category assessed is climate change (and characterization is equal globally)</w:t>
            </w:r>
          </w:p>
        </w:tc>
        <w:tc>
          <w:tcPr>
            <w:tcW w:w="1985" w:type="dxa"/>
            <w:gridSpan w:val="2"/>
            <w:vAlign w:val="center"/>
          </w:tcPr>
          <w:p w14:paraId="53CEF8F3"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Boundaries were not always the same, and focus mainly on upstream stages, which only partially support comparisons of protein quality within a diet-sustainability context</w:t>
            </w:r>
          </w:p>
        </w:tc>
        <w:tc>
          <w:tcPr>
            <w:tcW w:w="1417" w:type="dxa"/>
            <w:vAlign w:val="center"/>
          </w:tcPr>
          <w:p w14:paraId="46315AB1"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USDA is suitable for the US context</w:t>
            </w:r>
          </w:p>
        </w:tc>
        <w:tc>
          <w:tcPr>
            <w:tcW w:w="1701" w:type="dxa"/>
            <w:gridSpan w:val="2"/>
            <w:vAlign w:val="center"/>
          </w:tcPr>
          <w:p w14:paraId="6E711F06"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Protein quality is assessed for foods as consumed</w:t>
            </w:r>
          </w:p>
        </w:tc>
        <w:tc>
          <w:tcPr>
            <w:tcW w:w="1985" w:type="dxa"/>
            <w:vAlign w:val="center"/>
          </w:tcPr>
          <w:p w14:paraId="04C02A83"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Both dimensions focus on the same protein food categories within the US diet</w:t>
            </w:r>
          </w:p>
        </w:tc>
        <w:tc>
          <w:tcPr>
            <w:tcW w:w="2410" w:type="dxa"/>
            <w:vAlign w:val="center"/>
          </w:tcPr>
          <w:p w14:paraId="5B2B847B"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Industry-gate boundaries do not correspond to nutritional data for ready-to-eat foods</w:t>
            </w:r>
          </w:p>
        </w:tc>
        <w:tc>
          <w:tcPr>
            <w:tcW w:w="2268" w:type="dxa"/>
            <w:vAlign w:val="center"/>
          </w:tcPr>
          <w:p w14:paraId="2F8658EC"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69138"/>
                <w:sz w:val="13"/>
                <w:szCs w:val="13"/>
              </w:rPr>
              <w:t>Partially. Environmental data rely on US literature but are complemented with non-US sources</w:t>
            </w:r>
          </w:p>
        </w:tc>
      </w:tr>
      <w:tr w:rsidR="00A879F0" w14:paraId="65C947F6"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4921C4A5" w14:textId="77777777" w:rsidR="00A879F0" w:rsidRDefault="008F0787">
            <w:pPr>
              <w:jc w:val="center"/>
              <w:rPr>
                <w:rFonts w:ascii="Times New Roman" w:eastAsia="Times New Roman" w:hAnsi="Times New Roman" w:cs="Times New Roman"/>
                <w:sz w:val="13"/>
                <w:szCs w:val="13"/>
              </w:rPr>
            </w:pPr>
            <w:proofErr w:type="spellStart"/>
            <w:r>
              <w:rPr>
                <w:rFonts w:ascii="Times New Roman" w:eastAsia="Times New Roman" w:hAnsi="Times New Roman" w:cs="Times New Roman"/>
                <w:b w:val="0"/>
                <w:bCs w:val="0"/>
                <w:color w:val="000000"/>
                <w:sz w:val="13"/>
                <w:szCs w:val="13"/>
              </w:rPr>
              <w:t>Cobiac</w:t>
            </w:r>
            <w:proofErr w:type="spellEnd"/>
            <w:r>
              <w:rPr>
                <w:rFonts w:ascii="Times New Roman" w:eastAsia="Times New Roman" w:hAnsi="Times New Roman" w:cs="Times New Roman"/>
                <w:b w:val="0"/>
                <w:bCs w:val="0"/>
                <w:color w:val="000000"/>
                <w:sz w:val="13"/>
                <w:szCs w:val="13"/>
              </w:rPr>
              <w:t xml:space="preserve"> et al. (2019)</w:t>
            </w:r>
          </w:p>
        </w:tc>
        <w:tc>
          <w:tcPr>
            <w:tcW w:w="1876" w:type="dxa"/>
            <w:vAlign w:val="center"/>
          </w:tcPr>
          <w:p w14:paraId="2F81D711"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69138"/>
                <w:sz w:val="13"/>
                <w:szCs w:val="13"/>
              </w:rPr>
              <w:t>Partially. Environmental data combine statistics and literature from several European countries</w:t>
            </w:r>
          </w:p>
        </w:tc>
        <w:tc>
          <w:tcPr>
            <w:tcW w:w="1667" w:type="dxa"/>
            <w:vAlign w:val="center"/>
          </w:tcPr>
          <w:p w14:paraId="23247AF3"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Characterization methods not specified. However, environmental impact category assessed is climate change (and characterization is equal globally)</w:t>
            </w:r>
          </w:p>
        </w:tc>
        <w:tc>
          <w:tcPr>
            <w:tcW w:w="1985" w:type="dxa"/>
            <w:gridSpan w:val="2"/>
            <w:vAlign w:val="center"/>
          </w:tcPr>
          <w:p w14:paraId="498D729A"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Cradle-to-consumption boundaries are consistent with estimating health impacts of optimized dietary scenarios</w:t>
            </w:r>
          </w:p>
        </w:tc>
        <w:tc>
          <w:tcPr>
            <w:tcW w:w="1417" w:type="dxa"/>
            <w:vAlign w:val="center"/>
          </w:tcPr>
          <w:p w14:paraId="52724BDF"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Several national tables were combined</w:t>
            </w:r>
          </w:p>
        </w:tc>
        <w:tc>
          <w:tcPr>
            <w:tcW w:w="1701" w:type="dxa"/>
            <w:gridSpan w:val="2"/>
            <w:vAlign w:val="center"/>
          </w:tcPr>
          <w:p w14:paraId="05D58042"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Health impacts are modelled for consumed diets</w:t>
            </w:r>
          </w:p>
        </w:tc>
        <w:tc>
          <w:tcPr>
            <w:tcW w:w="1985" w:type="dxa"/>
            <w:vAlign w:val="center"/>
          </w:tcPr>
          <w:p w14:paraId="6AA61A13"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same national dietary patterns are used for both environmental and nutritional analyses</w:t>
            </w:r>
          </w:p>
        </w:tc>
        <w:tc>
          <w:tcPr>
            <w:tcW w:w="2410" w:type="dxa"/>
            <w:vAlign w:val="center"/>
          </w:tcPr>
          <w:p w14:paraId="01432A4A"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Cradle-to-consumption boundaries align with nutritional data for foods as consumed</w:t>
            </w:r>
          </w:p>
        </w:tc>
        <w:tc>
          <w:tcPr>
            <w:tcW w:w="2268" w:type="dxa"/>
            <w:vAlign w:val="center"/>
          </w:tcPr>
          <w:p w14:paraId="08BA1521"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from mixed European sources, while nutritional data are national</w:t>
            </w:r>
          </w:p>
        </w:tc>
      </w:tr>
      <w:tr w:rsidR="00A879F0" w14:paraId="5C7C9A36"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75DA9DD0" w14:textId="77777777" w:rsidR="00A879F0" w:rsidRDefault="008F0787">
            <w:pPr>
              <w:jc w:val="center"/>
              <w:rPr>
                <w:rFonts w:ascii="Times New Roman" w:eastAsia="Times New Roman" w:hAnsi="Times New Roman" w:cs="Times New Roman"/>
                <w:sz w:val="13"/>
                <w:szCs w:val="13"/>
              </w:rPr>
            </w:pPr>
            <w:proofErr w:type="spellStart"/>
            <w:r>
              <w:rPr>
                <w:rFonts w:ascii="Times New Roman" w:eastAsia="Times New Roman" w:hAnsi="Times New Roman" w:cs="Times New Roman"/>
                <w:b w:val="0"/>
                <w:bCs w:val="0"/>
                <w:color w:val="000000"/>
                <w:sz w:val="13"/>
                <w:szCs w:val="13"/>
              </w:rPr>
              <w:t>Damerau</w:t>
            </w:r>
            <w:proofErr w:type="spellEnd"/>
            <w:r>
              <w:rPr>
                <w:rFonts w:ascii="Times New Roman" w:eastAsia="Times New Roman" w:hAnsi="Times New Roman" w:cs="Times New Roman"/>
                <w:b w:val="0"/>
                <w:bCs w:val="0"/>
                <w:color w:val="000000"/>
                <w:sz w:val="13"/>
                <w:szCs w:val="13"/>
              </w:rPr>
              <w:t xml:space="preserve"> et al. (2020)</w:t>
            </w:r>
          </w:p>
        </w:tc>
        <w:tc>
          <w:tcPr>
            <w:tcW w:w="1876" w:type="dxa"/>
            <w:vAlign w:val="center"/>
          </w:tcPr>
          <w:p w14:paraId="5EE53D3B"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Environmental data are regionalised for India using Water Footprint Network data and state-level information</w:t>
            </w:r>
          </w:p>
        </w:tc>
        <w:tc>
          <w:tcPr>
            <w:tcW w:w="1667" w:type="dxa"/>
            <w:vAlign w:val="center"/>
          </w:tcPr>
          <w:p w14:paraId="1B6AE644"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 xml:space="preserve">Yes, </w:t>
            </w:r>
            <w:proofErr w:type="gramStart"/>
            <w:r>
              <w:rPr>
                <w:rFonts w:ascii="Times New Roman" w:eastAsia="Times New Roman" w:hAnsi="Times New Roman" w:cs="Times New Roman"/>
                <w:color w:val="38761D"/>
                <w:sz w:val="13"/>
                <w:szCs w:val="13"/>
              </w:rPr>
              <w:t>The</w:t>
            </w:r>
            <w:proofErr w:type="gramEnd"/>
            <w:r>
              <w:rPr>
                <w:rFonts w:ascii="Times New Roman" w:eastAsia="Times New Roman" w:hAnsi="Times New Roman" w:cs="Times New Roman"/>
                <w:color w:val="38761D"/>
                <w:sz w:val="13"/>
                <w:szCs w:val="13"/>
              </w:rPr>
              <w:t xml:space="preserve"> characterization methods match the geographical context.</w:t>
            </w:r>
          </w:p>
        </w:tc>
        <w:tc>
          <w:tcPr>
            <w:tcW w:w="1985" w:type="dxa"/>
            <w:gridSpan w:val="2"/>
            <w:vAlign w:val="center"/>
          </w:tcPr>
          <w:p w14:paraId="6F106C68"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Farm-gate boundaries are insufficient for an objective centred on national food self-sufficiency and dietary sustainability at consumption level</w:t>
            </w:r>
          </w:p>
        </w:tc>
        <w:tc>
          <w:tcPr>
            <w:tcW w:w="1417" w:type="dxa"/>
            <w:vAlign w:val="center"/>
          </w:tcPr>
          <w:p w14:paraId="641BCA57"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IFCT was supplemented with USDA data</w:t>
            </w:r>
          </w:p>
        </w:tc>
        <w:tc>
          <w:tcPr>
            <w:tcW w:w="1701" w:type="dxa"/>
            <w:gridSpan w:val="2"/>
            <w:vAlign w:val="center"/>
          </w:tcPr>
          <w:p w14:paraId="192E4F7D"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preparation stage for the nutritional assessment is not reported</w:t>
            </w:r>
          </w:p>
        </w:tc>
        <w:tc>
          <w:tcPr>
            <w:tcW w:w="1985" w:type="dxa"/>
            <w:vAlign w:val="center"/>
          </w:tcPr>
          <w:p w14:paraId="20AC26C2"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Both dimensions are based on the same Indian dietary pattern</w:t>
            </w:r>
          </w:p>
        </w:tc>
        <w:tc>
          <w:tcPr>
            <w:tcW w:w="2410" w:type="dxa"/>
            <w:vAlign w:val="center"/>
          </w:tcPr>
          <w:p w14:paraId="0757AABC"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preparation stage is not reported relative to farm-gate boundaries</w:t>
            </w:r>
          </w:p>
        </w:tc>
        <w:tc>
          <w:tcPr>
            <w:tcW w:w="2268" w:type="dxa"/>
            <w:vAlign w:val="center"/>
          </w:tcPr>
          <w:p w14:paraId="493DA1FF"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regionalised for India, while nutritional data combine Indian and US sources</w:t>
            </w:r>
          </w:p>
        </w:tc>
      </w:tr>
      <w:tr w:rsidR="00A879F0" w14:paraId="017A8BF3"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3334FD02" w14:textId="77777777" w:rsidR="00A879F0" w:rsidRDefault="008F0787">
            <w:pPr>
              <w:jc w:val="center"/>
              <w:rPr>
                <w:rFonts w:ascii="Times New Roman" w:eastAsia="Times New Roman" w:hAnsi="Times New Roman" w:cs="Times New Roman"/>
                <w:sz w:val="13"/>
                <w:szCs w:val="13"/>
              </w:rPr>
            </w:pPr>
            <w:proofErr w:type="spellStart"/>
            <w:r>
              <w:rPr>
                <w:rFonts w:ascii="Times New Roman" w:eastAsia="Times New Roman" w:hAnsi="Times New Roman" w:cs="Times New Roman"/>
                <w:b w:val="0"/>
                <w:bCs w:val="0"/>
                <w:color w:val="000000"/>
                <w:sz w:val="13"/>
                <w:szCs w:val="13"/>
              </w:rPr>
              <w:t>Fresán</w:t>
            </w:r>
            <w:proofErr w:type="spellEnd"/>
            <w:r>
              <w:rPr>
                <w:rFonts w:ascii="Times New Roman" w:eastAsia="Times New Roman" w:hAnsi="Times New Roman" w:cs="Times New Roman"/>
                <w:b w:val="0"/>
                <w:bCs w:val="0"/>
                <w:color w:val="000000"/>
                <w:sz w:val="13"/>
                <w:szCs w:val="13"/>
              </w:rPr>
              <w:t xml:space="preserve"> et al. (2020)</w:t>
            </w:r>
          </w:p>
        </w:tc>
        <w:tc>
          <w:tcPr>
            <w:tcW w:w="1876" w:type="dxa"/>
            <w:vAlign w:val="center"/>
          </w:tcPr>
          <w:p w14:paraId="12DB0514"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69138"/>
                <w:sz w:val="13"/>
                <w:szCs w:val="13"/>
              </w:rPr>
              <w:t>Partially. Environmental data are drawn from Spanish literature but complemented with international sources</w:t>
            </w:r>
          </w:p>
        </w:tc>
        <w:tc>
          <w:tcPr>
            <w:tcW w:w="1667" w:type="dxa"/>
            <w:vAlign w:val="center"/>
          </w:tcPr>
          <w:p w14:paraId="775E9173"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69138"/>
                <w:sz w:val="13"/>
                <w:szCs w:val="13"/>
              </w:rPr>
              <w:t>Partially. Characterisation methods are literature-based and not fully country-specific</w:t>
            </w:r>
          </w:p>
        </w:tc>
        <w:tc>
          <w:tcPr>
            <w:tcW w:w="1985" w:type="dxa"/>
            <w:gridSpan w:val="2"/>
            <w:vAlign w:val="center"/>
          </w:tcPr>
          <w:p w14:paraId="01FEEA0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Mixed upstream system boundaries only partly reflect the diet-level health and environmental objectives</w:t>
            </w:r>
          </w:p>
        </w:tc>
        <w:tc>
          <w:tcPr>
            <w:tcW w:w="1417" w:type="dxa"/>
            <w:vAlign w:val="center"/>
          </w:tcPr>
          <w:p w14:paraId="2B64F51F"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They use Spanish databases</w:t>
            </w:r>
          </w:p>
        </w:tc>
        <w:tc>
          <w:tcPr>
            <w:tcW w:w="1701" w:type="dxa"/>
            <w:gridSpan w:val="2"/>
            <w:vAlign w:val="center"/>
          </w:tcPr>
          <w:p w14:paraId="5B1C734A"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Nutritional and health data refer to foods as consumed</w:t>
            </w:r>
          </w:p>
        </w:tc>
        <w:tc>
          <w:tcPr>
            <w:tcW w:w="1985" w:type="dxa"/>
            <w:vAlign w:val="center"/>
          </w:tcPr>
          <w:p w14:paraId="6D7FC43B"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same Spanish dietary pattern is assessed in both dimensions</w:t>
            </w:r>
          </w:p>
        </w:tc>
        <w:tc>
          <w:tcPr>
            <w:tcW w:w="2410" w:type="dxa"/>
            <w:vAlign w:val="center"/>
          </w:tcPr>
          <w:p w14:paraId="5998104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Ready-to-eat foods are used, but environmental boundaries stop before consumption for some stages</w:t>
            </w:r>
          </w:p>
        </w:tc>
        <w:tc>
          <w:tcPr>
            <w:tcW w:w="2268" w:type="dxa"/>
            <w:vAlign w:val="center"/>
          </w:tcPr>
          <w:p w14:paraId="39B575F2"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from international literature, while nutritional data are Spanish</w:t>
            </w:r>
          </w:p>
        </w:tc>
      </w:tr>
      <w:tr w:rsidR="00A879F0" w14:paraId="06B027FE"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5557A43F"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González et al. (2020)</w:t>
            </w:r>
          </w:p>
        </w:tc>
        <w:tc>
          <w:tcPr>
            <w:tcW w:w="1876" w:type="dxa"/>
            <w:vAlign w:val="center"/>
          </w:tcPr>
          <w:p w14:paraId="1E44DCDB"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Environmental data are based on global averages from a systematic review, not country-specific to Spain</w:t>
            </w:r>
          </w:p>
        </w:tc>
        <w:tc>
          <w:tcPr>
            <w:tcW w:w="1667" w:type="dxa"/>
            <w:vAlign w:val="center"/>
          </w:tcPr>
          <w:p w14:paraId="52D985F0"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Environmental impact category assessed is climate change (and characterization is equal globally)</w:t>
            </w:r>
          </w:p>
        </w:tc>
        <w:tc>
          <w:tcPr>
            <w:tcW w:w="1985" w:type="dxa"/>
            <w:gridSpan w:val="2"/>
            <w:vAlign w:val="center"/>
          </w:tcPr>
          <w:p w14:paraId="7DF433DB"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Distribution-gate boundaries are not consistent with epidemiological aims based on foods as consumed</w:t>
            </w:r>
          </w:p>
        </w:tc>
        <w:tc>
          <w:tcPr>
            <w:tcW w:w="1417" w:type="dxa"/>
            <w:vAlign w:val="center"/>
          </w:tcPr>
          <w:p w14:paraId="1C765970"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BEDCA is the Spanish national database</w:t>
            </w:r>
          </w:p>
        </w:tc>
        <w:tc>
          <w:tcPr>
            <w:tcW w:w="1701" w:type="dxa"/>
            <w:gridSpan w:val="2"/>
            <w:vAlign w:val="center"/>
          </w:tcPr>
          <w:p w14:paraId="0351E15A"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preparation stage for the nutritional assessment is not reported</w:t>
            </w:r>
          </w:p>
        </w:tc>
        <w:tc>
          <w:tcPr>
            <w:tcW w:w="1985" w:type="dxa"/>
            <w:vAlign w:val="center"/>
          </w:tcPr>
          <w:p w14:paraId="773EEDFE"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Different food lists are used for environmental and nutritional assessments</w:t>
            </w:r>
          </w:p>
        </w:tc>
        <w:tc>
          <w:tcPr>
            <w:tcW w:w="2410" w:type="dxa"/>
            <w:vAlign w:val="center"/>
          </w:tcPr>
          <w:p w14:paraId="443D213C"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preparation stage is not reported in relation to distribution-gate boundaries</w:t>
            </w:r>
          </w:p>
        </w:tc>
        <w:tc>
          <w:tcPr>
            <w:tcW w:w="2268" w:type="dxa"/>
            <w:vAlign w:val="center"/>
          </w:tcPr>
          <w:p w14:paraId="7830E438"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literature-based, while nutritional data are national</w:t>
            </w:r>
          </w:p>
        </w:tc>
      </w:tr>
      <w:tr w:rsidR="00A879F0" w14:paraId="2CEA8DF0"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EFAE143"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Strid et al. (2021)</w:t>
            </w:r>
          </w:p>
        </w:tc>
        <w:tc>
          <w:tcPr>
            <w:tcW w:w="1876" w:type="dxa"/>
            <w:vAlign w:val="center"/>
          </w:tcPr>
          <w:p w14:paraId="69A0A4B3"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Environmental data are derived from a database, which aims to be representative of national consumption</w:t>
            </w:r>
          </w:p>
        </w:tc>
        <w:tc>
          <w:tcPr>
            <w:tcW w:w="1667" w:type="dxa"/>
            <w:vAlign w:val="center"/>
          </w:tcPr>
          <w:p w14:paraId="52DB4D4E"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Characterization methods not specified. However, environmental impact category assessed is climate change (and characterization is equal globally)</w:t>
            </w:r>
          </w:p>
        </w:tc>
        <w:tc>
          <w:tcPr>
            <w:tcW w:w="1985" w:type="dxa"/>
            <w:gridSpan w:val="2"/>
            <w:vAlign w:val="center"/>
          </w:tcPr>
          <w:p w14:paraId="423180DA"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Industry-gate boundaries are misaligned with evaluating dietary guidelines and population-level nutrition</w:t>
            </w:r>
          </w:p>
        </w:tc>
        <w:tc>
          <w:tcPr>
            <w:tcW w:w="1417" w:type="dxa"/>
            <w:vAlign w:val="center"/>
          </w:tcPr>
          <w:p w14:paraId="00290B0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Swedish database is nationally representative</w:t>
            </w:r>
          </w:p>
        </w:tc>
        <w:tc>
          <w:tcPr>
            <w:tcW w:w="1701" w:type="dxa"/>
            <w:gridSpan w:val="2"/>
            <w:vAlign w:val="center"/>
          </w:tcPr>
          <w:p w14:paraId="4198F19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Nutritional evaluation considers raw and prepared foods</w:t>
            </w:r>
          </w:p>
        </w:tc>
        <w:tc>
          <w:tcPr>
            <w:tcW w:w="1985" w:type="dxa"/>
            <w:vAlign w:val="center"/>
          </w:tcPr>
          <w:p w14:paraId="23793D32"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same 118 Swedish foods are analysed in both dimensions</w:t>
            </w:r>
          </w:p>
        </w:tc>
        <w:tc>
          <w:tcPr>
            <w:tcW w:w="2410" w:type="dxa"/>
            <w:vAlign w:val="center"/>
          </w:tcPr>
          <w:p w14:paraId="7D2D7B61"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Industry-gate boundaries only partially correspond to nutritional data referring to foods as consumed</w:t>
            </w:r>
          </w:p>
        </w:tc>
        <w:tc>
          <w:tcPr>
            <w:tcW w:w="2268" w:type="dxa"/>
            <w:vAlign w:val="center"/>
          </w:tcPr>
          <w:p w14:paraId="54E33EBC"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Environmental data reflects the dominating production methods used to produce food on the Swedish market and nutritional data are also national</w:t>
            </w:r>
          </w:p>
        </w:tc>
      </w:tr>
      <w:tr w:rsidR="00A879F0" w14:paraId="52745657"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3D53E949"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Stylianou et al. (2021)</w:t>
            </w:r>
          </w:p>
        </w:tc>
        <w:tc>
          <w:tcPr>
            <w:tcW w:w="1876" w:type="dxa"/>
            <w:vAlign w:val="center"/>
          </w:tcPr>
          <w:p w14:paraId="572958BB"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69138"/>
                <w:sz w:val="13"/>
                <w:szCs w:val="13"/>
              </w:rPr>
              <w:t>Partially. Unclear as environmental data rely on global LCA databases applied to a US context, but not clarified if the datasets used are country specific</w:t>
            </w:r>
          </w:p>
        </w:tc>
        <w:tc>
          <w:tcPr>
            <w:tcW w:w="1667" w:type="dxa"/>
            <w:vAlign w:val="center"/>
          </w:tcPr>
          <w:p w14:paraId="683DD526"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 xml:space="preserve">Yes, </w:t>
            </w:r>
            <w:proofErr w:type="gramStart"/>
            <w:r>
              <w:rPr>
                <w:rFonts w:ascii="Times New Roman" w:eastAsia="Times New Roman" w:hAnsi="Times New Roman" w:cs="Times New Roman"/>
                <w:color w:val="38761D"/>
                <w:sz w:val="13"/>
                <w:szCs w:val="13"/>
              </w:rPr>
              <w:t>The</w:t>
            </w:r>
            <w:proofErr w:type="gramEnd"/>
            <w:r>
              <w:rPr>
                <w:rFonts w:ascii="Times New Roman" w:eastAsia="Times New Roman" w:hAnsi="Times New Roman" w:cs="Times New Roman"/>
                <w:color w:val="38761D"/>
                <w:sz w:val="13"/>
                <w:szCs w:val="13"/>
              </w:rPr>
              <w:t xml:space="preserve"> characterization methods match the geographical context.</w:t>
            </w:r>
          </w:p>
        </w:tc>
        <w:tc>
          <w:tcPr>
            <w:tcW w:w="1985" w:type="dxa"/>
            <w:gridSpan w:val="2"/>
            <w:vAlign w:val="center"/>
          </w:tcPr>
          <w:p w14:paraId="2726FD21"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Upstream boundaries are appropriate for developing and testing an epidemiology-based food-level nutritional index</w:t>
            </w:r>
          </w:p>
        </w:tc>
        <w:tc>
          <w:tcPr>
            <w:tcW w:w="1417" w:type="dxa"/>
            <w:vAlign w:val="center"/>
          </w:tcPr>
          <w:p w14:paraId="1DC9AB2A"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USDA is suitable for the US context</w:t>
            </w:r>
          </w:p>
        </w:tc>
        <w:tc>
          <w:tcPr>
            <w:tcW w:w="1701" w:type="dxa"/>
            <w:gridSpan w:val="2"/>
            <w:vAlign w:val="center"/>
          </w:tcPr>
          <w:p w14:paraId="5CB82B5E"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nutritional index is based on foods as consumed</w:t>
            </w:r>
          </w:p>
        </w:tc>
        <w:tc>
          <w:tcPr>
            <w:tcW w:w="1985" w:type="dxa"/>
            <w:vAlign w:val="center"/>
          </w:tcPr>
          <w:p w14:paraId="2064AF6F"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Nutritional analysis includes a much broader food set than the environmental one</w:t>
            </w:r>
          </w:p>
        </w:tc>
        <w:tc>
          <w:tcPr>
            <w:tcW w:w="2410" w:type="dxa"/>
            <w:vAlign w:val="center"/>
          </w:tcPr>
          <w:p w14:paraId="51AAF995"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Farm- or processing-gate boundaries are not consistent with nutritional data for ready-to-eat foods</w:t>
            </w:r>
          </w:p>
        </w:tc>
        <w:tc>
          <w:tcPr>
            <w:tcW w:w="2268" w:type="dxa"/>
            <w:vAlign w:val="center"/>
          </w:tcPr>
          <w:p w14:paraId="2735B52D"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global, while nutritional data are US-specific</w:t>
            </w:r>
          </w:p>
        </w:tc>
      </w:tr>
      <w:tr w:rsidR="00A879F0" w14:paraId="0669678B"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54211D06"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McAuliffe et al. (2022)</w:t>
            </w:r>
          </w:p>
        </w:tc>
        <w:tc>
          <w:tcPr>
            <w:tcW w:w="1876" w:type="dxa"/>
            <w:vAlign w:val="center"/>
          </w:tcPr>
          <w:p w14:paraId="15634BB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Environmental data are taken from a harmonised global dataset consistent with a global study scope</w:t>
            </w:r>
          </w:p>
        </w:tc>
        <w:tc>
          <w:tcPr>
            <w:tcW w:w="1667" w:type="dxa"/>
            <w:vAlign w:val="center"/>
          </w:tcPr>
          <w:p w14:paraId="1D5C91D6"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 xml:space="preserve">Yes, </w:t>
            </w:r>
            <w:proofErr w:type="gramStart"/>
            <w:r>
              <w:rPr>
                <w:rFonts w:ascii="Times New Roman" w:eastAsia="Times New Roman" w:hAnsi="Times New Roman" w:cs="Times New Roman"/>
                <w:color w:val="38761D"/>
                <w:sz w:val="13"/>
                <w:szCs w:val="13"/>
              </w:rPr>
              <w:t>The</w:t>
            </w:r>
            <w:proofErr w:type="gramEnd"/>
            <w:r>
              <w:rPr>
                <w:rFonts w:ascii="Times New Roman" w:eastAsia="Times New Roman" w:hAnsi="Times New Roman" w:cs="Times New Roman"/>
                <w:color w:val="38761D"/>
                <w:sz w:val="13"/>
                <w:szCs w:val="13"/>
              </w:rPr>
              <w:t xml:space="preserve"> characterization methods match the geographical context.</w:t>
            </w:r>
          </w:p>
        </w:tc>
        <w:tc>
          <w:tcPr>
            <w:tcW w:w="1985" w:type="dxa"/>
            <w:gridSpan w:val="2"/>
            <w:vAlign w:val="center"/>
          </w:tcPr>
          <w:p w14:paraId="035376DE"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 xml:space="preserve">Yes. Retail-level boundaries are coherent with the objective of integrating protein quality into consumption-oriented </w:t>
            </w:r>
            <w:proofErr w:type="spellStart"/>
            <w:r>
              <w:rPr>
                <w:rFonts w:ascii="Times New Roman" w:eastAsia="Times New Roman" w:hAnsi="Times New Roman" w:cs="Times New Roman"/>
                <w:color w:val="196B24"/>
                <w:sz w:val="13"/>
                <w:szCs w:val="13"/>
              </w:rPr>
              <w:t>nLCA</w:t>
            </w:r>
            <w:proofErr w:type="spellEnd"/>
          </w:p>
        </w:tc>
        <w:tc>
          <w:tcPr>
            <w:tcW w:w="1417" w:type="dxa"/>
            <w:vAlign w:val="center"/>
          </w:tcPr>
          <w:p w14:paraId="3403D800"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A global scope used a mainly US database</w:t>
            </w:r>
          </w:p>
        </w:tc>
        <w:tc>
          <w:tcPr>
            <w:tcW w:w="1701" w:type="dxa"/>
            <w:gridSpan w:val="2"/>
            <w:vAlign w:val="center"/>
          </w:tcPr>
          <w:p w14:paraId="12823812"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Protein quality is assessed at the food level as defined in the study</w:t>
            </w:r>
          </w:p>
        </w:tc>
        <w:tc>
          <w:tcPr>
            <w:tcW w:w="1985" w:type="dxa"/>
            <w:vAlign w:val="center"/>
          </w:tcPr>
          <w:p w14:paraId="28ADBA45"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Both dimensions assess the same global set of food products</w:t>
            </w:r>
          </w:p>
        </w:tc>
        <w:tc>
          <w:tcPr>
            <w:tcW w:w="2410" w:type="dxa"/>
            <w:vAlign w:val="center"/>
          </w:tcPr>
          <w:p w14:paraId="2BCFB798"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Retail-level boundaries are consistent with nutritional data for raw foods at the same stage</w:t>
            </w:r>
          </w:p>
        </w:tc>
        <w:tc>
          <w:tcPr>
            <w:tcW w:w="2268" w:type="dxa"/>
            <w:vAlign w:val="center"/>
          </w:tcPr>
          <w:p w14:paraId="5AC3037B"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Both environmental and nutritional data are derived from the same global study framework</w:t>
            </w:r>
          </w:p>
        </w:tc>
      </w:tr>
      <w:tr w:rsidR="00A879F0" w14:paraId="67939E45"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14B5FB84"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Aidoo et al. (2023)</w:t>
            </w:r>
          </w:p>
        </w:tc>
        <w:tc>
          <w:tcPr>
            <w:tcW w:w="1876" w:type="dxa"/>
            <w:vAlign w:val="center"/>
          </w:tcPr>
          <w:p w14:paraId="247EBD63"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69138"/>
                <w:sz w:val="13"/>
                <w:szCs w:val="13"/>
              </w:rPr>
              <w:t xml:space="preserve">Partially. Environmental data combine US data and other </w:t>
            </w:r>
            <w:proofErr w:type="spellStart"/>
            <w:r>
              <w:rPr>
                <w:rFonts w:ascii="Times New Roman" w:eastAsia="Times New Roman" w:hAnsi="Times New Roman" w:cs="Times New Roman"/>
                <w:color w:val="E69138"/>
                <w:sz w:val="13"/>
                <w:szCs w:val="13"/>
              </w:rPr>
              <w:t>multicountry</w:t>
            </w:r>
            <w:proofErr w:type="spellEnd"/>
            <w:r>
              <w:rPr>
                <w:rFonts w:ascii="Times New Roman" w:eastAsia="Times New Roman" w:hAnsi="Times New Roman" w:cs="Times New Roman"/>
                <w:color w:val="E69138"/>
                <w:sz w:val="13"/>
                <w:szCs w:val="13"/>
              </w:rPr>
              <w:t xml:space="preserve"> databases</w:t>
            </w:r>
          </w:p>
        </w:tc>
        <w:tc>
          <w:tcPr>
            <w:tcW w:w="1667" w:type="dxa"/>
            <w:vAlign w:val="center"/>
          </w:tcPr>
          <w:p w14:paraId="2D344EEA"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TRACI 2.1 is a US-specific characterisation method</w:t>
            </w:r>
          </w:p>
        </w:tc>
        <w:tc>
          <w:tcPr>
            <w:tcW w:w="1985" w:type="dxa"/>
            <w:gridSpan w:val="2"/>
            <w:vAlign w:val="center"/>
          </w:tcPr>
          <w:p w14:paraId="4AC43994"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Distribution-level boundaries capture major supply-chain impacts but do not fully correspond to consumer-level nutritional performance</w:t>
            </w:r>
          </w:p>
        </w:tc>
        <w:tc>
          <w:tcPr>
            <w:tcW w:w="1417" w:type="dxa"/>
            <w:vAlign w:val="center"/>
          </w:tcPr>
          <w:p w14:paraId="64E1C30C"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USDA is suitable for the US context</w:t>
            </w:r>
          </w:p>
        </w:tc>
        <w:tc>
          <w:tcPr>
            <w:tcW w:w="1701" w:type="dxa"/>
            <w:gridSpan w:val="2"/>
            <w:vAlign w:val="center"/>
          </w:tcPr>
          <w:p w14:paraId="44048CDC"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Nutritional comparison is based on raw food commodities</w:t>
            </w:r>
          </w:p>
        </w:tc>
        <w:tc>
          <w:tcPr>
            <w:tcW w:w="1985" w:type="dxa"/>
            <w:vAlign w:val="center"/>
          </w:tcPr>
          <w:p w14:paraId="7D9CA42B"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same four food products are evaluated in both dimensions</w:t>
            </w:r>
          </w:p>
        </w:tc>
        <w:tc>
          <w:tcPr>
            <w:tcW w:w="2410" w:type="dxa"/>
            <w:vAlign w:val="center"/>
          </w:tcPr>
          <w:p w14:paraId="7D52F410"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Distribution-level boundaries correspond to raw food products used in the nutritional assessment</w:t>
            </w:r>
          </w:p>
        </w:tc>
        <w:tc>
          <w:tcPr>
            <w:tcW w:w="2268" w:type="dxa"/>
            <w:vAlign w:val="center"/>
          </w:tcPr>
          <w:p w14:paraId="726A001F"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combine databases, literature and US sources, while nutritional data are US-based</w:t>
            </w:r>
          </w:p>
        </w:tc>
      </w:tr>
      <w:tr w:rsidR="00A879F0" w14:paraId="3E848988" w14:textId="77777777" w:rsidTr="00A879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5" w:type="dxa"/>
            <w:vAlign w:val="center"/>
          </w:tcPr>
          <w:p w14:paraId="252BA465"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Green et al. (2023)</w:t>
            </w:r>
          </w:p>
        </w:tc>
        <w:tc>
          <w:tcPr>
            <w:tcW w:w="1876" w:type="dxa"/>
            <w:vAlign w:val="center"/>
          </w:tcPr>
          <w:p w14:paraId="164E7CAD"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Environmental data are taken from a harmonised global dataset consistent with a global analytical context</w:t>
            </w:r>
          </w:p>
        </w:tc>
        <w:tc>
          <w:tcPr>
            <w:tcW w:w="1667" w:type="dxa"/>
            <w:vAlign w:val="center"/>
          </w:tcPr>
          <w:p w14:paraId="5C11C559"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38761D"/>
                <w:sz w:val="13"/>
                <w:szCs w:val="13"/>
              </w:rPr>
              <w:t xml:space="preserve">Yes, </w:t>
            </w:r>
            <w:proofErr w:type="gramStart"/>
            <w:r>
              <w:rPr>
                <w:rFonts w:ascii="Times New Roman" w:eastAsia="Times New Roman" w:hAnsi="Times New Roman" w:cs="Times New Roman"/>
                <w:color w:val="38761D"/>
                <w:sz w:val="13"/>
                <w:szCs w:val="13"/>
              </w:rPr>
              <w:t>The</w:t>
            </w:r>
            <w:proofErr w:type="gramEnd"/>
            <w:r>
              <w:rPr>
                <w:rFonts w:ascii="Times New Roman" w:eastAsia="Times New Roman" w:hAnsi="Times New Roman" w:cs="Times New Roman"/>
                <w:color w:val="38761D"/>
                <w:sz w:val="13"/>
                <w:szCs w:val="13"/>
              </w:rPr>
              <w:t xml:space="preserve"> characterization methods specified in referenced literature match the geographical context.</w:t>
            </w:r>
          </w:p>
        </w:tc>
        <w:tc>
          <w:tcPr>
            <w:tcW w:w="1985" w:type="dxa"/>
            <w:gridSpan w:val="2"/>
            <w:vAlign w:val="center"/>
          </w:tcPr>
          <w:p w14:paraId="30CCD2A1"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Retail-level system boundaries align with the aim of developing nutrient profiling tools for sustainable food assessment</w:t>
            </w:r>
          </w:p>
        </w:tc>
        <w:tc>
          <w:tcPr>
            <w:tcW w:w="1417" w:type="dxa"/>
            <w:vAlign w:val="center"/>
          </w:tcPr>
          <w:p w14:paraId="3CB94886"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Global analysis relied on one national database</w:t>
            </w:r>
          </w:p>
        </w:tc>
        <w:tc>
          <w:tcPr>
            <w:tcW w:w="1701" w:type="dxa"/>
            <w:gridSpan w:val="2"/>
            <w:vAlign w:val="center"/>
          </w:tcPr>
          <w:p w14:paraId="2B2014F2"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Nutrient profiling is developed for foods as consumed</w:t>
            </w:r>
          </w:p>
        </w:tc>
        <w:tc>
          <w:tcPr>
            <w:tcW w:w="1985" w:type="dxa"/>
            <w:vAlign w:val="center"/>
          </w:tcPr>
          <w:p w14:paraId="08D060B5"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Environmental analysis uses food groups, while nutrition uses individual foods</w:t>
            </w:r>
          </w:p>
        </w:tc>
        <w:tc>
          <w:tcPr>
            <w:tcW w:w="2410" w:type="dxa"/>
            <w:vAlign w:val="center"/>
          </w:tcPr>
          <w:p w14:paraId="3D1ABC99"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 Retail-level boundaries do not correspond to nutritional data for ready-to-eat foods</w:t>
            </w:r>
          </w:p>
        </w:tc>
        <w:tc>
          <w:tcPr>
            <w:tcW w:w="2268" w:type="dxa"/>
            <w:vAlign w:val="center"/>
          </w:tcPr>
          <w:p w14:paraId="45C1FFF1" w14:textId="77777777" w:rsidR="00A879F0" w:rsidRDefault="008F07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Both dimensions rely on the same primary global study</w:t>
            </w:r>
          </w:p>
        </w:tc>
      </w:tr>
      <w:tr w:rsidR="00A879F0" w14:paraId="12D24F79" w14:textId="77777777" w:rsidTr="00A879F0">
        <w:tc>
          <w:tcPr>
            <w:cnfStyle w:val="001000000000" w:firstRow="0" w:lastRow="0" w:firstColumn="1" w:lastColumn="0" w:oddVBand="0" w:evenVBand="0" w:oddHBand="0" w:evenHBand="0" w:firstRowFirstColumn="0" w:firstRowLastColumn="0" w:lastRowFirstColumn="0" w:lastRowLastColumn="0"/>
            <w:tcW w:w="1135" w:type="dxa"/>
            <w:vAlign w:val="center"/>
          </w:tcPr>
          <w:p w14:paraId="7D9CFD18" w14:textId="77777777" w:rsidR="00A879F0" w:rsidRDefault="008F0787">
            <w:pPr>
              <w:jc w:val="center"/>
              <w:rPr>
                <w:rFonts w:ascii="Times New Roman" w:eastAsia="Times New Roman" w:hAnsi="Times New Roman" w:cs="Times New Roman"/>
                <w:sz w:val="13"/>
                <w:szCs w:val="13"/>
              </w:rPr>
            </w:pPr>
            <w:r>
              <w:rPr>
                <w:rFonts w:ascii="Times New Roman" w:eastAsia="Times New Roman" w:hAnsi="Times New Roman" w:cs="Times New Roman"/>
                <w:b w:val="0"/>
                <w:bCs w:val="0"/>
                <w:color w:val="000000"/>
                <w:sz w:val="13"/>
                <w:szCs w:val="13"/>
              </w:rPr>
              <w:t>Ceballos-Santos et al (2024).</w:t>
            </w:r>
          </w:p>
        </w:tc>
        <w:tc>
          <w:tcPr>
            <w:tcW w:w="1876" w:type="dxa"/>
            <w:vAlign w:val="center"/>
          </w:tcPr>
          <w:p w14:paraId="0AA687FE"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69138"/>
                <w:sz w:val="13"/>
                <w:szCs w:val="13"/>
              </w:rPr>
              <w:t>Partially. Environmental data are partially based on primary data but completed with other sources. They report limitations in terms of availability and representativeness of the data used</w:t>
            </w:r>
          </w:p>
        </w:tc>
        <w:tc>
          <w:tcPr>
            <w:tcW w:w="1667" w:type="dxa"/>
            <w:vAlign w:val="center"/>
          </w:tcPr>
          <w:p w14:paraId="31BBE1EF"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69138"/>
                <w:sz w:val="13"/>
                <w:szCs w:val="13"/>
              </w:rPr>
              <w:t xml:space="preserve">Partially. Methods are adequate for the region, but regionalization levels are not specified. </w:t>
            </w:r>
          </w:p>
        </w:tc>
        <w:tc>
          <w:tcPr>
            <w:tcW w:w="1985" w:type="dxa"/>
            <w:gridSpan w:val="2"/>
            <w:vAlign w:val="center"/>
          </w:tcPr>
          <w:p w14:paraId="0FD74C51"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Differentiated cradle-to-gate boundaries by product type are consistent with analysing resource constraints in a water-energy-food nexus framework</w:t>
            </w:r>
          </w:p>
        </w:tc>
        <w:tc>
          <w:tcPr>
            <w:tcW w:w="1417" w:type="dxa"/>
            <w:vAlign w:val="center"/>
          </w:tcPr>
          <w:p w14:paraId="519785A2"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Spanish nutrient composition tables were used</w:t>
            </w:r>
          </w:p>
        </w:tc>
        <w:tc>
          <w:tcPr>
            <w:tcW w:w="1701" w:type="dxa"/>
            <w:gridSpan w:val="2"/>
            <w:vAlign w:val="center"/>
          </w:tcPr>
          <w:p w14:paraId="3CEE7942"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preparation stage for the nutritional assessment is not reported</w:t>
            </w:r>
          </w:p>
        </w:tc>
        <w:tc>
          <w:tcPr>
            <w:tcW w:w="1985" w:type="dxa"/>
            <w:vAlign w:val="center"/>
          </w:tcPr>
          <w:p w14:paraId="23AEB7EA"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196B24"/>
                <w:sz w:val="13"/>
                <w:szCs w:val="13"/>
              </w:rPr>
              <w:t>Yes. The same fish and seafood categories are used in both dimensions</w:t>
            </w:r>
          </w:p>
        </w:tc>
        <w:tc>
          <w:tcPr>
            <w:tcW w:w="2410" w:type="dxa"/>
            <w:vAlign w:val="center"/>
          </w:tcPr>
          <w:p w14:paraId="00D244CF"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FF0000"/>
                <w:sz w:val="13"/>
                <w:szCs w:val="13"/>
              </w:rPr>
              <w:t>Not specified. The food preparation stage is not reported in relation to the defined life-cycle boundaries</w:t>
            </w:r>
          </w:p>
        </w:tc>
        <w:tc>
          <w:tcPr>
            <w:tcW w:w="2268" w:type="dxa"/>
            <w:vAlign w:val="center"/>
          </w:tcPr>
          <w:p w14:paraId="1DA6608A" w14:textId="77777777" w:rsidR="00A879F0" w:rsidRDefault="008F07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3"/>
                <w:szCs w:val="13"/>
              </w:rPr>
            </w:pPr>
            <w:r>
              <w:rPr>
                <w:rFonts w:ascii="Times New Roman" w:eastAsia="Times New Roman" w:hAnsi="Times New Roman" w:cs="Times New Roman"/>
                <w:color w:val="E97132"/>
                <w:sz w:val="13"/>
                <w:szCs w:val="13"/>
              </w:rPr>
              <w:t>Partially. Environmental data are survey-</w:t>
            </w:r>
            <w:proofErr w:type="gramStart"/>
            <w:r>
              <w:rPr>
                <w:rFonts w:ascii="Times New Roman" w:eastAsia="Times New Roman" w:hAnsi="Times New Roman" w:cs="Times New Roman"/>
                <w:color w:val="E97132"/>
                <w:sz w:val="13"/>
                <w:szCs w:val="13"/>
              </w:rPr>
              <w:t>based</w:t>
            </w:r>
            <w:proofErr w:type="gramEnd"/>
            <w:r>
              <w:rPr>
                <w:rFonts w:ascii="Times New Roman" w:eastAsia="Times New Roman" w:hAnsi="Times New Roman" w:cs="Times New Roman"/>
                <w:color w:val="E97132"/>
                <w:sz w:val="13"/>
                <w:szCs w:val="13"/>
              </w:rPr>
              <w:t xml:space="preserve"> and gaps were filled with literature, while nutritional data is drawn from Spanish databases</w:t>
            </w:r>
          </w:p>
        </w:tc>
      </w:tr>
    </w:tbl>
    <w:p w14:paraId="293FA2EC" w14:textId="77777777" w:rsidR="00A879F0" w:rsidRDefault="00A879F0">
      <w:pPr>
        <w:spacing w:after="0"/>
        <w:jc w:val="both"/>
        <w:rPr>
          <w:sz w:val="18"/>
          <w:szCs w:val="18"/>
        </w:rPr>
      </w:pPr>
    </w:p>
    <w:p w14:paraId="0959FE48" w14:textId="77777777" w:rsidR="00A879F0" w:rsidRDefault="00A879F0">
      <w:pPr>
        <w:spacing w:after="0"/>
        <w:jc w:val="both"/>
        <w:rPr>
          <w:sz w:val="18"/>
          <w:szCs w:val="18"/>
        </w:rPr>
      </w:pPr>
    </w:p>
    <w:p w14:paraId="5C7CD760" w14:textId="77777777" w:rsidR="00A879F0" w:rsidRDefault="00A879F0">
      <w:pPr>
        <w:spacing w:after="0"/>
        <w:jc w:val="both"/>
        <w:rPr>
          <w:sz w:val="18"/>
          <w:szCs w:val="18"/>
        </w:rPr>
      </w:pPr>
    </w:p>
    <w:p w14:paraId="3C5F5D72" w14:textId="77777777" w:rsidR="00A879F0" w:rsidRDefault="00A879F0">
      <w:pPr>
        <w:spacing w:after="0"/>
        <w:jc w:val="both"/>
        <w:rPr>
          <w:sz w:val="18"/>
          <w:szCs w:val="18"/>
        </w:rPr>
      </w:pPr>
    </w:p>
    <w:p w14:paraId="3190BF39" w14:textId="22BA31C8" w:rsidR="00A879F0" w:rsidRDefault="008F0787">
      <w:pPr>
        <w:spacing w:after="0"/>
        <w:jc w:val="both"/>
        <w:rPr>
          <w:sz w:val="18"/>
          <w:szCs w:val="18"/>
        </w:rPr>
      </w:pPr>
      <w:r>
        <w:rPr>
          <w:sz w:val="18"/>
          <w:szCs w:val="18"/>
        </w:rPr>
        <w:t xml:space="preserve">In </w:t>
      </w:r>
      <w:r w:rsidR="00CD5573">
        <w:rPr>
          <w:sz w:val="18"/>
          <w:szCs w:val="18"/>
        </w:rPr>
        <w:t>Online Resource 3</w:t>
      </w:r>
      <w:r>
        <w:rPr>
          <w:sz w:val="18"/>
          <w:szCs w:val="18"/>
        </w:rPr>
        <w:t>, c</w:t>
      </w:r>
      <w:r>
        <w:rPr>
          <w:sz w:val="18"/>
          <w:szCs w:val="18"/>
        </w:rPr>
        <w:t>olour reflects the degree of methodological alignment between dimensions based on the presence of consistent data sources, characterization methods, system boundaries, and aims. Green indicates full alignment, yellow partial alignment, and red absence of alignment or insufficient data.</w:t>
      </w:r>
    </w:p>
    <w:p w14:paraId="1904BB43" w14:textId="77777777" w:rsidR="00A879F0" w:rsidRDefault="00A879F0">
      <w:pPr>
        <w:spacing w:after="0"/>
        <w:jc w:val="both"/>
        <w:rPr>
          <w:sz w:val="18"/>
          <w:szCs w:val="18"/>
        </w:rPr>
      </w:pPr>
    </w:p>
    <w:p w14:paraId="6590ACBD" w14:textId="77777777" w:rsidR="00A879F0" w:rsidRDefault="008F0787">
      <w:pPr>
        <w:spacing w:after="0"/>
        <w:jc w:val="both"/>
        <w:rPr>
          <w:b/>
          <w:bCs/>
          <w:sz w:val="18"/>
          <w:szCs w:val="18"/>
        </w:rPr>
      </w:pPr>
      <w:r>
        <w:rPr>
          <w:b/>
          <w:bCs/>
          <w:sz w:val="18"/>
          <w:szCs w:val="18"/>
        </w:rPr>
        <w:t>Environmental data sources / geographical context.</w:t>
      </w:r>
    </w:p>
    <w:p w14:paraId="7A3FBFB9" w14:textId="77777777" w:rsidR="00A879F0" w:rsidRDefault="008F0787">
      <w:pPr>
        <w:spacing w:after="0"/>
        <w:jc w:val="both"/>
        <w:rPr>
          <w:sz w:val="18"/>
          <w:szCs w:val="18"/>
        </w:rPr>
      </w:pPr>
      <w:r>
        <w:rPr>
          <w:sz w:val="18"/>
          <w:szCs w:val="18"/>
        </w:rPr>
        <w:t xml:space="preserve">Alignment was assessed by examining whether the environmental inventory data were explicitly representative of the country or region under study. Partial alignment was assigned when environmental data combined national sources with regional or European databases, or when country representativeness was implied but not fully specified. No alignment was assigned when environmental data relied on global or </w:t>
      </w:r>
      <w:proofErr w:type="spellStart"/>
      <w:r>
        <w:rPr>
          <w:sz w:val="18"/>
          <w:szCs w:val="18"/>
        </w:rPr>
        <w:t>multicountry</w:t>
      </w:r>
      <w:proofErr w:type="spellEnd"/>
      <w:r>
        <w:rPr>
          <w:sz w:val="18"/>
          <w:szCs w:val="18"/>
        </w:rPr>
        <w:t xml:space="preserve"> databases without explicit national parameterisation or when sources were not specified at all.</w:t>
      </w:r>
    </w:p>
    <w:p w14:paraId="7AAB2014" w14:textId="77777777" w:rsidR="00A879F0" w:rsidRDefault="00A879F0">
      <w:pPr>
        <w:spacing w:after="0"/>
        <w:jc w:val="both"/>
        <w:rPr>
          <w:sz w:val="18"/>
          <w:szCs w:val="18"/>
        </w:rPr>
      </w:pPr>
    </w:p>
    <w:p w14:paraId="11FA937C" w14:textId="77777777" w:rsidR="00A879F0" w:rsidRDefault="008F0787">
      <w:pPr>
        <w:spacing w:after="0"/>
        <w:jc w:val="both"/>
        <w:rPr>
          <w:b/>
          <w:bCs/>
          <w:sz w:val="18"/>
          <w:szCs w:val="18"/>
        </w:rPr>
      </w:pPr>
      <w:r>
        <w:rPr>
          <w:b/>
          <w:bCs/>
          <w:sz w:val="18"/>
          <w:szCs w:val="18"/>
        </w:rPr>
        <w:t>Environmental characterization method / geographical context.</w:t>
      </w:r>
    </w:p>
    <w:p w14:paraId="54F8A508" w14:textId="77777777" w:rsidR="00A879F0" w:rsidRDefault="008F0787">
      <w:pPr>
        <w:spacing w:after="0"/>
        <w:jc w:val="both"/>
        <w:rPr>
          <w:sz w:val="18"/>
          <w:szCs w:val="18"/>
        </w:rPr>
      </w:pPr>
      <w:r>
        <w:rPr>
          <w:sz w:val="18"/>
          <w:szCs w:val="18"/>
        </w:rPr>
        <w:t>Alignment was evaluated based on whether the characterization methods applied were clearly specified and geographically appropriate for the impact category assessed. Partial alignment was assigned when methods were partially specified or drawn from secondary sources with unclear geographic relevance. No alignment was assigned when characterization methods were not reported or when they were not specified at all.</w:t>
      </w:r>
    </w:p>
    <w:p w14:paraId="61E00B75" w14:textId="77777777" w:rsidR="00A879F0" w:rsidRDefault="00A879F0">
      <w:pPr>
        <w:spacing w:after="0"/>
        <w:jc w:val="both"/>
        <w:rPr>
          <w:sz w:val="18"/>
          <w:szCs w:val="18"/>
        </w:rPr>
      </w:pPr>
    </w:p>
    <w:p w14:paraId="6B246264" w14:textId="77777777" w:rsidR="00A879F0" w:rsidRDefault="008F0787">
      <w:pPr>
        <w:spacing w:after="0"/>
        <w:jc w:val="both"/>
        <w:rPr>
          <w:b/>
          <w:bCs/>
          <w:sz w:val="18"/>
          <w:szCs w:val="18"/>
        </w:rPr>
      </w:pPr>
      <w:r>
        <w:rPr>
          <w:b/>
          <w:bCs/>
          <w:sz w:val="18"/>
          <w:szCs w:val="18"/>
        </w:rPr>
        <w:t>Environmental system boundaries / aim of the article.</w:t>
      </w:r>
    </w:p>
    <w:p w14:paraId="6DDF7CD4" w14:textId="77777777" w:rsidR="00A879F0" w:rsidRDefault="008F0787">
      <w:pPr>
        <w:spacing w:after="0"/>
        <w:jc w:val="both"/>
        <w:rPr>
          <w:sz w:val="18"/>
          <w:szCs w:val="18"/>
        </w:rPr>
      </w:pPr>
      <w:r>
        <w:rPr>
          <w:sz w:val="18"/>
          <w:szCs w:val="18"/>
        </w:rPr>
        <w:t>Alignment reflected the consistency between the environmental system boundaries and the stated research aim. Partial alignment was assigned when most, but not all, relevant downstream stages were included. No alignment was assigned when system boundaries were clearly insufficient relative to the stated aim or when boundaries were not specified at all.</w:t>
      </w:r>
    </w:p>
    <w:p w14:paraId="31C4BD70" w14:textId="77777777" w:rsidR="00A879F0" w:rsidRDefault="00A879F0">
      <w:pPr>
        <w:spacing w:after="0"/>
        <w:jc w:val="both"/>
        <w:rPr>
          <w:sz w:val="18"/>
          <w:szCs w:val="18"/>
        </w:rPr>
      </w:pPr>
    </w:p>
    <w:p w14:paraId="63A4453B" w14:textId="77777777" w:rsidR="00A879F0" w:rsidRDefault="008F0787">
      <w:pPr>
        <w:spacing w:after="0"/>
        <w:jc w:val="both"/>
        <w:rPr>
          <w:b/>
          <w:bCs/>
          <w:sz w:val="18"/>
          <w:szCs w:val="18"/>
        </w:rPr>
      </w:pPr>
      <w:r>
        <w:rPr>
          <w:b/>
          <w:bCs/>
          <w:sz w:val="18"/>
          <w:szCs w:val="18"/>
        </w:rPr>
        <w:t>Nutritional data sources / geographical context.</w:t>
      </w:r>
    </w:p>
    <w:p w14:paraId="3000D694" w14:textId="77777777" w:rsidR="00A879F0" w:rsidRDefault="008F0787">
      <w:pPr>
        <w:spacing w:after="0"/>
        <w:jc w:val="both"/>
        <w:rPr>
          <w:sz w:val="18"/>
          <w:szCs w:val="18"/>
        </w:rPr>
      </w:pPr>
      <w:r>
        <w:rPr>
          <w:sz w:val="18"/>
          <w:szCs w:val="18"/>
        </w:rPr>
        <w:t>Alignment was assessed by verifying whether nutritional data originated from a food composition database representative of the study population. Partial alignment was assigned when several national food composition databases were combined, or when national data were supplemented with foreign sources. No alignment was assigned when nutritional data originated from databases not representative of the geographical context under study or when sources were not specified at all.</w:t>
      </w:r>
    </w:p>
    <w:p w14:paraId="2B34C60E" w14:textId="77777777" w:rsidR="00A879F0" w:rsidRDefault="00A879F0">
      <w:pPr>
        <w:spacing w:after="0"/>
        <w:jc w:val="both"/>
        <w:rPr>
          <w:sz w:val="18"/>
          <w:szCs w:val="18"/>
        </w:rPr>
      </w:pPr>
    </w:p>
    <w:p w14:paraId="229EDC35" w14:textId="77777777" w:rsidR="00A879F0" w:rsidRDefault="008F0787">
      <w:pPr>
        <w:spacing w:after="0"/>
        <w:jc w:val="both"/>
        <w:rPr>
          <w:b/>
          <w:bCs/>
          <w:sz w:val="18"/>
          <w:szCs w:val="18"/>
        </w:rPr>
      </w:pPr>
      <w:r>
        <w:rPr>
          <w:b/>
          <w:bCs/>
          <w:sz w:val="18"/>
          <w:szCs w:val="18"/>
        </w:rPr>
        <w:t>Food preparation stage / aim of the article.</w:t>
      </w:r>
    </w:p>
    <w:p w14:paraId="43729DEB" w14:textId="77777777" w:rsidR="00A879F0" w:rsidRDefault="008F0787">
      <w:pPr>
        <w:spacing w:after="0"/>
        <w:jc w:val="both"/>
        <w:rPr>
          <w:sz w:val="18"/>
          <w:szCs w:val="18"/>
        </w:rPr>
      </w:pPr>
      <w:r>
        <w:rPr>
          <w:sz w:val="18"/>
          <w:szCs w:val="18"/>
        </w:rPr>
        <w:t>Alignment was evaluated by examining whether the nutritional or health assessment referred to foods in the same form implied by the study aim. Partial alignment was assigned when foods were assessed in forms that only partially corresponded to the stated aim. No alignment was assigned when the food preparation stage did not correlate with the aim of the study or when it was not specified.</w:t>
      </w:r>
    </w:p>
    <w:p w14:paraId="1F2110D9" w14:textId="77777777" w:rsidR="00A879F0" w:rsidRDefault="00A879F0">
      <w:pPr>
        <w:spacing w:after="0"/>
        <w:jc w:val="both"/>
        <w:rPr>
          <w:sz w:val="18"/>
          <w:szCs w:val="18"/>
        </w:rPr>
      </w:pPr>
    </w:p>
    <w:p w14:paraId="52900B74" w14:textId="77777777" w:rsidR="00A879F0" w:rsidRDefault="008F0787">
      <w:pPr>
        <w:spacing w:after="0"/>
        <w:jc w:val="both"/>
        <w:rPr>
          <w:b/>
          <w:bCs/>
          <w:sz w:val="18"/>
          <w:szCs w:val="18"/>
        </w:rPr>
      </w:pPr>
      <w:r>
        <w:rPr>
          <w:b/>
          <w:bCs/>
          <w:sz w:val="18"/>
          <w:szCs w:val="18"/>
        </w:rPr>
        <w:t>Scope consistency between environmental and nutritional assessments.</w:t>
      </w:r>
    </w:p>
    <w:p w14:paraId="7B144AF0" w14:textId="77777777" w:rsidR="00A879F0" w:rsidRDefault="008F0787">
      <w:pPr>
        <w:spacing w:after="0"/>
        <w:jc w:val="both"/>
        <w:rPr>
          <w:sz w:val="18"/>
          <w:szCs w:val="18"/>
        </w:rPr>
      </w:pPr>
      <w:r>
        <w:rPr>
          <w:sz w:val="18"/>
          <w:szCs w:val="18"/>
        </w:rPr>
        <w:t>Alignment reflected whether both dimensions assessed the same set of foods or dietary patterns. Partial alignment was assigned when food sets partially overlapped but differed in aggregation level or coverage. No alignment was assigned when the number or composition of foods differed substantially between dimensions or when this was not specified.</w:t>
      </w:r>
    </w:p>
    <w:p w14:paraId="548BC54F" w14:textId="77777777" w:rsidR="00A879F0" w:rsidRDefault="00A879F0">
      <w:pPr>
        <w:spacing w:after="0"/>
        <w:jc w:val="both"/>
        <w:rPr>
          <w:sz w:val="18"/>
          <w:szCs w:val="18"/>
        </w:rPr>
      </w:pPr>
    </w:p>
    <w:p w14:paraId="111D45BD" w14:textId="77777777" w:rsidR="00A879F0" w:rsidRDefault="008F0787">
      <w:pPr>
        <w:spacing w:after="0"/>
        <w:jc w:val="both"/>
        <w:rPr>
          <w:b/>
          <w:bCs/>
          <w:sz w:val="18"/>
          <w:szCs w:val="18"/>
        </w:rPr>
      </w:pPr>
      <w:r>
        <w:rPr>
          <w:b/>
          <w:bCs/>
          <w:sz w:val="18"/>
          <w:szCs w:val="18"/>
        </w:rPr>
        <w:t>Consistency between environmental system boundaries and food preparation.</w:t>
      </w:r>
    </w:p>
    <w:p w14:paraId="2B091590" w14:textId="77777777" w:rsidR="00A879F0" w:rsidRDefault="008F0787">
      <w:pPr>
        <w:spacing w:after="0"/>
        <w:jc w:val="both"/>
        <w:rPr>
          <w:sz w:val="18"/>
          <w:szCs w:val="18"/>
        </w:rPr>
      </w:pPr>
      <w:r>
        <w:rPr>
          <w:sz w:val="18"/>
          <w:szCs w:val="18"/>
        </w:rPr>
        <w:t>Alignment was assessed by examining whether the life-cycle stages included in the environmental assessment corresponded to the form of foods used in the nutritional assessment. Partial alignment was assigned when some, but not all, life-cycle stages corresponded to the food form used in the nutritional assessment. No alignment was assigned when this relationship was not defined or due to missing data.</w:t>
      </w:r>
    </w:p>
    <w:p w14:paraId="168D0E1B" w14:textId="77777777" w:rsidR="00A879F0" w:rsidRDefault="00A879F0">
      <w:pPr>
        <w:spacing w:after="0"/>
        <w:jc w:val="both"/>
        <w:rPr>
          <w:sz w:val="18"/>
          <w:szCs w:val="18"/>
        </w:rPr>
      </w:pPr>
    </w:p>
    <w:p w14:paraId="3C62DEA7" w14:textId="77777777" w:rsidR="00A879F0" w:rsidRDefault="008F0787">
      <w:pPr>
        <w:spacing w:after="0"/>
        <w:jc w:val="both"/>
        <w:rPr>
          <w:b/>
          <w:bCs/>
          <w:sz w:val="18"/>
          <w:szCs w:val="18"/>
        </w:rPr>
      </w:pPr>
      <w:r>
        <w:rPr>
          <w:b/>
          <w:bCs/>
          <w:sz w:val="18"/>
          <w:szCs w:val="18"/>
        </w:rPr>
        <w:t>Geographical consistency between environmental and nutritional data.</w:t>
      </w:r>
    </w:p>
    <w:p w14:paraId="38047307" w14:textId="77777777" w:rsidR="00A879F0" w:rsidRDefault="008F0787">
      <w:pPr>
        <w:spacing w:after="0"/>
        <w:jc w:val="both"/>
        <w:rPr>
          <w:sz w:val="18"/>
          <w:szCs w:val="18"/>
        </w:rPr>
      </w:pPr>
      <w:r>
        <w:rPr>
          <w:sz w:val="18"/>
          <w:szCs w:val="18"/>
        </w:rPr>
        <w:t>Alignment reflected whether both environmental and nutritional data were derived from the same geographical context. Partial alignment was assigned when one dimension was country-specific and the other relied on regional or international data. No alignment was assigned when environmental and nutritional data originated from clearly different geographical contexts or it was not specified.</w:t>
      </w:r>
    </w:p>
    <w:p w14:paraId="1DBD9C87" w14:textId="77777777" w:rsidR="00A879F0" w:rsidRDefault="00A879F0">
      <w:pPr>
        <w:spacing w:after="0"/>
        <w:jc w:val="both"/>
        <w:rPr>
          <w:sz w:val="18"/>
          <w:szCs w:val="18"/>
        </w:rPr>
      </w:pPr>
    </w:p>
    <w:p w14:paraId="0E2A9760" w14:textId="77777777" w:rsidR="00A879F0" w:rsidRDefault="00A879F0">
      <w:pPr>
        <w:spacing w:after="0"/>
        <w:jc w:val="both"/>
        <w:rPr>
          <w:sz w:val="18"/>
          <w:szCs w:val="18"/>
        </w:rPr>
      </w:pPr>
    </w:p>
    <w:sectPr w:rsidR="00A879F0">
      <w:pgSz w:w="16838" w:h="11906" w:orient="landscape"/>
      <w:pgMar w:top="77" w:right="1417" w:bottom="284"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5B32733C-8DD2-4995-B32D-F29046B55916}"/>
    <w:embedBold r:id="rId2" w:fontKey="{CFCA175D-D093-4F34-89D2-D897FFA1977D}"/>
    <w:embedItalic r:id="rId3" w:fontKey="{72C91FE3-6CD0-4236-9A87-7EE38A9D0085}"/>
  </w:font>
  <w:font w:name="Play">
    <w:charset w:val="00"/>
    <w:family w:val="auto"/>
    <w:pitch w:val="default"/>
    <w:embedRegular r:id="rId4" w:fontKey="{184368E7-86AA-4C92-835C-06181BCE8289}"/>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5" w:fontKey="{D6256113-7B66-41C9-9F87-4F51C869818A}"/>
  </w:font>
  <w:font w:name="Cambria">
    <w:panose1 w:val="02040503050406030204"/>
    <w:charset w:val="00"/>
    <w:family w:val="roman"/>
    <w:pitch w:val="variable"/>
    <w:sig w:usb0="E00006FF" w:usb1="420024FF" w:usb2="02000000" w:usb3="00000000" w:csb0="0000019F" w:csb1="00000000"/>
    <w:embedRegular r:id="rId6" w:fontKey="{2425D304-1D7E-4AC3-928B-7B326883AEA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9F0"/>
    <w:rsid w:val="00A879F0"/>
    <w:rsid w:val="00CD5573"/>
    <w:rsid w:val="00D2057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4A2C8"/>
  <w15:docId w15:val="{5D7A1560-DD0F-4A01-8F39-A5F5B8D62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A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paragraph" w:styleId="Subttulo">
    <w:name w:val="Subtitle"/>
    <w:basedOn w:val="Normal"/>
    <w:next w:val="Normal"/>
    <w:uiPriority w:val="11"/>
    <w:qFormat/>
    <w:rPr>
      <w:color w:val="595959"/>
      <w:sz w:val="28"/>
      <w:szCs w:val="28"/>
    </w:rPr>
  </w:style>
  <w:style w:type="table" w:customStyle="1" w:styleId="a">
    <w:basedOn w:val="TableNormal"/>
    <w:tblPr>
      <w:tblStyleRowBandSize w:val="1"/>
      <w:tblStyleColBandSize w:val="1"/>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7P/NAvxeb+ht8v8w08N4iI9qEg==">CgMxLjA4AGovChRzdWdnZXN0LjU5MGh6MmFjYWZmcRIXUmljYXJkIENlbG9yaW8gaSBTYXJkw6BqLwoUc3VnZ2VzdC45dXVsdXgycHp0d20SF1JpY2FyZCBDZWxvcmlvIGkgU2FyZMOgai8KFHN1Z2dlc3QuNG4wNzN1Z2Q5YXdsEhdSaWNhcmQgQ2Vsb3JpbyBpIFNhcmTDoGotChJzdWdnZXN0LjQyaHF4end4c3YSF1JpY2FyZCBDZWxvcmlvIGkgU2FyZMOgai8KFHN1Z2dlc3QuYWNsZXV6Z3hibTRsEhdSaWNhcmQgQ2Vsb3JpbyBpIFNhcmTDoGouChNzdWdnZXN0LjRoMjl0M3RnOXVzEhdSaWNhcmQgQ2Vsb3JpbyBpIFNhcmTDoGouChNzdWdnZXN0LnJlMGY0dHE2dGJuEhdSaWNhcmQgQ2Vsb3JpbyBpIFNhcmTDoGovChRzdWdnZXN0LmYzdXFjMDlyOHJjZRIXUmljYXJkIENlbG9yaW8gaSBTYXJkw6BqLwoUc3VnZ2VzdC5hY3d6azlyY3pnMzASF1JpY2FyZCBDZWxvcmlvIGkgU2FyZMOgai8KFHN1Z2dlc3QuZ2lla2R1eTVvdGwyEhdSaWNhcmQgQ2Vsb3JpbyBpIFNhcmTDoHIhMTdQcjZHaHhkR01WbDhYNWpqZ3Z0VVRCRmVMTlpoVUF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4659</Words>
  <Characters>26558</Characters>
  <Application>Microsoft Office Word</Application>
  <DocSecurity>0</DocSecurity>
  <Lines>221</Lines>
  <Paragraphs>62</Paragraphs>
  <ScaleCrop>false</ScaleCrop>
  <Company/>
  <LinksUpToDate>false</LinksUpToDate>
  <CharactersWithSpaces>31155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Fresan, Ujue</dc:creator>
  <cp:lastModifiedBy>Fresan, Ujue</cp:lastModifiedBy>
  <cp:revision>2</cp:revision>
  <dcterms:created xsi:type="dcterms:W3CDTF">2026-07-01T16:50:00Z</dcterms:created>
  <dcterms:modified xsi:type="dcterms:W3CDTF">2026-07-01T16:50:00Z</dcterms:modified>
</cp:coreProperties>
</file>