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F34" w:rsidRPr="001017EB" w:rsidRDefault="004D6F34" w:rsidP="004D6F34">
      <w:pPr>
        <w:spacing w:after="120"/>
      </w:pPr>
      <w:r w:rsidRPr="001017EB">
        <w:t>Table 1. Method of calculating the pollution indices used in the publication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3799"/>
        <w:gridCol w:w="1804"/>
      </w:tblGrid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Formula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Expl</w:t>
            </w:r>
            <w:r>
              <w:rPr>
                <w:sz w:val="20"/>
                <w:szCs w:val="20"/>
              </w:rPr>
              <w:t>a</w:t>
            </w:r>
            <w:r w:rsidRPr="001017EB">
              <w:rPr>
                <w:sz w:val="20"/>
                <w:szCs w:val="20"/>
              </w:rPr>
              <w:t>nation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Reference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Geoaccumulation index (</w:t>
            </w:r>
            <w:proofErr w:type="spellStart"/>
            <w:r w:rsidRPr="001017EB">
              <w:rPr>
                <w:sz w:val="20"/>
                <w:szCs w:val="20"/>
              </w:rPr>
              <w:t>I</w:t>
            </w:r>
            <w:r w:rsidRPr="001017EB">
              <w:rPr>
                <w:sz w:val="20"/>
                <w:szCs w:val="20"/>
                <w:vertAlign w:val="subscript"/>
              </w:rPr>
              <w:t>geo</w:t>
            </w:r>
            <w:proofErr w:type="spellEnd"/>
            <w:r w:rsidRPr="001017EB">
              <w:rPr>
                <w:sz w:val="20"/>
                <w:szCs w:val="20"/>
              </w:rPr>
              <w:t>) – individual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4D6F34" w:rsidRDefault="00A6071C" w:rsidP="008E39FB">
            <w:pPr>
              <w:jc w:val="center"/>
              <w:rPr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geo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vertAlign w:val="subscript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vertAlign w:val="subscript"/>
                  </w:rPr>
                  <m:t>∙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vertAlign w:val="subscript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vertAlign w:val="subscript"/>
                          </w:rPr>
                          <m:t>C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vertAlign w:val="subscript"/>
                          </w:rPr>
                          <m:t>1.5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vertAlign w:val="subscript"/>
                          </w:rPr>
                          <m:t>∙</m:t>
                        </m:r>
                        <m:r>
                          <w:rPr>
                            <w:rFonts w:ascii="Cambria Math" w:hAnsi="Cambria Math"/>
                            <w:vertAlign w:val="subscript"/>
                          </w:rPr>
                          <m:t>B</m:t>
                        </m:r>
                      </m:den>
                    </m:f>
                  </m:e>
                </m:d>
              </m:oMath>
            </m:oMathPara>
          </w:p>
          <w:p w:rsidR="004D6F34" w:rsidRPr="001017EB" w:rsidRDefault="004D6F34" w:rsidP="008E39FB">
            <w:pPr>
              <w:rPr>
                <w:sz w:val="20"/>
                <w:szCs w:val="20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vertAlign w:val="subscript"/>
                </w:rPr>
                <m:t>C</m:t>
              </m:r>
            </m:oMath>
            <w:r w:rsidRPr="001017EB">
              <w:rPr>
                <w:sz w:val="20"/>
                <w:szCs w:val="20"/>
              </w:rPr>
              <w:t xml:space="preserve"> – content of single HM in topsoil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vertAlign w:val="subscript"/>
                </w:rPr>
                <m:t>1.5</m:t>
              </m:r>
            </m:oMath>
            <w:r w:rsidRPr="001017EB">
              <w:rPr>
                <w:sz w:val="20"/>
                <w:szCs w:val="20"/>
              </w:rPr>
              <w:t xml:space="preserve"> – constant, allowing the analysis of fluctuations of HM content as result of natural processes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vertAlign w:val="subscript"/>
                </w:rPr>
                <m:t>B</m:t>
              </m:r>
            </m:oMath>
            <w:r w:rsidRPr="001017EB">
              <w:rPr>
                <w:sz w:val="20"/>
                <w:szCs w:val="20"/>
              </w:rPr>
              <w:t xml:space="preserve"> – HM’s content in reference background (Kabata-Pendias 2011)</w:t>
            </w:r>
            <w:r w:rsidRPr="001017EB">
              <w:rPr>
                <w:sz w:val="20"/>
                <w:szCs w:val="20"/>
                <w:vertAlign w:val="superscript"/>
              </w:rPr>
              <w:t xml:space="preserve">* 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Müller 1969</w:t>
            </w:r>
          </w:p>
          <w:p w:rsidR="004D6F34" w:rsidRPr="001017EB" w:rsidRDefault="004D6F34" w:rsidP="008E39FB">
            <w:pPr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Kowalska et al. 2018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Ant</w:t>
            </w:r>
            <w:r>
              <w:rPr>
                <w:sz w:val="20"/>
                <w:szCs w:val="20"/>
              </w:rPr>
              <w:t>h</w:t>
            </w:r>
            <w:r w:rsidRPr="001017EB">
              <w:rPr>
                <w:sz w:val="20"/>
                <w:szCs w:val="20"/>
              </w:rPr>
              <w:t>ropogenic factor (</w:t>
            </w:r>
            <w:proofErr w:type="spellStart"/>
            <w:r w:rsidRPr="001017EB">
              <w:rPr>
                <w:sz w:val="20"/>
                <w:szCs w:val="20"/>
              </w:rPr>
              <w:t>Af</w:t>
            </w:r>
            <w:proofErr w:type="spellEnd"/>
            <w:r w:rsidRPr="001017EB">
              <w:rPr>
                <w:sz w:val="20"/>
                <w:szCs w:val="20"/>
              </w:rPr>
              <w:t>) – individual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proofErr w:type="spellStart"/>
            <w:r w:rsidRPr="001017EB">
              <w:rPr>
                <w:sz w:val="20"/>
                <w:szCs w:val="20"/>
              </w:rPr>
              <w:t>Af</w:t>
            </w:r>
            <w:proofErr w:type="spellEnd"/>
            <w:r w:rsidRPr="001017EB">
              <w:rPr>
                <w:sz w:val="20"/>
                <w:szCs w:val="20"/>
              </w:rPr>
              <w:t xml:space="preserve"> = Ca/</w:t>
            </w:r>
            <w:proofErr w:type="spellStart"/>
            <w:r w:rsidRPr="001017EB">
              <w:rPr>
                <w:sz w:val="20"/>
                <w:szCs w:val="20"/>
              </w:rPr>
              <w:t>Cb</w:t>
            </w:r>
            <w:proofErr w:type="spellEnd"/>
            <w:r w:rsidRPr="001017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 xml:space="preserve">Ca – content of single HM in soil  0-10 cm 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w:proofErr w:type="spellStart"/>
            <w:r w:rsidRPr="001017EB">
              <w:rPr>
                <w:sz w:val="20"/>
                <w:szCs w:val="20"/>
              </w:rPr>
              <w:t>Cb</w:t>
            </w:r>
            <w:proofErr w:type="spellEnd"/>
            <w:r w:rsidRPr="001017EB">
              <w:rPr>
                <w:sz w:val="20"/>
                <w:szCs w:val="20"/>
              </w:rPr>
              <w:t>– content of single HM in soil 40-50 cm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rPr>
                <w:sz w:val="20"/>
                <w:szCs w:val="20"/>
              </w:rPr>
            </w:pPr>
            <w:proofErr w:type="spellStart"/>
            <w:r w:rsidRPr="001017EB">
              <w:rPr>
                <w:sz w:val="20"/>
                <w:szCs w:val="20"/>
              </w:rPr>
              <w:t>Natesan</w:t>
            </w:r>
            <w:proofErr w:type="spellEnd"/>
            <w:r w:rsidRPr="001017EB">
              <w:rPr>
                <w:sz w:val="20"/>
                <w:szCs w:val="20"/>
              </w:rPr>
              <w:t xml:space="preserve"> and </w:t>
            </w:r>
            <w:proofErr w:type="spellStart"/>
            <w:r w:rsidRPr="001017EB">
              <w:rPr>
                <w:sz w:val="20"/>
                <w:szCs w:val="20"/>
              </w:rPr>
              <w:t>Seshan</w:t>
            </w:r>
            <w:proofErr w:type="spellEnd"/>
            <w:r w:rsidRPr="001017EB">
              <w:rPr>
                <w:sz w:val="20"/>
                <w:szCs w:val="20"/>
              </w:rPr>
              <w:t xml:space="preserve"> 2010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Single Pollution Index (PI) – individual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4D6F34" w:rsidRDefault="004D6F34" w:rsidP="008E39FB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PI=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vertAlign w:val="subscript"/>
                </w:rPr>
                <m:t>C</m:t>
              </m:r>
            </m:oMath>
            <w:r w:rsidRPr="001017EB">
              <w:rPr>
                <w:sz w:val="20"/>
                <w:szCs w:val="20"/>
              </w:rPr>
              <w:t xml:space="preserve"> – content of single HM in topsoil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vertAlign w:val="subscript"/>
                </w:rPr>
                <m:t>B</m:t>
              </m:r>
            </m:oMath>
            <w:r w:rsidRPr="001017EB">
              <w:rPr>
                <w:sz w:val="20"/>
                <w:szCs w:val="20"/>
              </w:rPr>
              <w:t xml:space="preserve"> – HM’s content in reference background (Kabata-Pendias 2011)</w:t>
            </w:r>
            <w:r w:rsidRPr="001017EB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rPr>
                <w:sz w:val="20"/>
                <w:szCs w:val="20"/>
              </w:rPr>
            </w:pPr>
            <w:proofErr w:type="spellStart"/>
            <w:r w:rsidRPr="001017EB">
              <w:rPr>
                <w:rStyle w:val="tlid-translation"/>
                <w:sz w:val="20"/>
                <w:szCs w:val="20"/>
              </w:rPr>
              <w:t>Weissmanová</w:t>
            </w:r>
            <w:proofErr w:type="spellEnd"/>
            <w:r w:rsidRPr="001017EB">
              <w:rPr>
                <w:rStyle w:val="tlid-translation"/>
                <w:sz w:val="20"/>
                <w:szCs w:val="20"/>
              </w:rPr>
              <w:t xml:space="preserve"> and </w:t>
            </w:r>
            <w:proofErr w:type="spellStart"/>
            <w:r w:rsidRPr="001017EB">
              <w:rPr>
                <w:rStyle w:val="tlid-translation"/>
                <w:sz w:val="20"/>
                <w:szCs w:val="20"/>
              </w:rPr>
              <w:t>Pavlovský</w:t>
            </w:r>
            <w:proofErr w:type="spellEnd"/>
            <w:r w:rsidRPr="001017EB">
              <w:rPr>
                <w:rStyle w:val="tlid-translation"/>
                <w:sz w:val="20"/>
                <w:szCs w:val="20"/>
              </w:rPr>
              <w:t xml:space="preserve"> 2017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rFonts w:eastAsia="Calibri"/>
                <w:sz w:val="20"/>
                <w:szCs w:val="20"/>
              </w:rPr>
              <w:t xml:space="preserve">Enrichment factor (EF) </w:t>
            </w:r>
            <w:r w:rsidRPr="001017EB">
              <w:rPr>
                <w:sz w:val="20"/>
                <w:szCs w:val="20"/>
              </w:rPr>
              <w:t>– individual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4D6F34" w:rsidRDefault="004D6F34" w:rsidP="008E39FB">
            <w:pPr>
              <w:jc w:val="center"/>
              <w:rPr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EF=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ref</m:t>
                                </m:r>
                              </m:sub>
                            </m:sSub>
                          </m:den>
                        </m:f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ref</m:t>
                                </m:r>
                              </m:sub>
                            </m:sSub>
                          </m:den>
                        </m:f>
                      </m:e>
                    </m:d>
                  </m:den>
                </m:f>
              </m:oMath>
            </m:oMathPara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vertAlign w:val="subscript"/>
                </w:rPr>
                <m:t>C</m:t>
              </m:r>
            </m:oMath>
            <w:r w:rsidRPr="001017EB">
              <w:rPr>
                <w:sz w:val="20"/>
                <w:szCs w:val="20"/>
              </w:rPr>
              <w:t xml:space="preserve"> – content of single PTE in topsoil</w:t>
            </w:r>
          </w:p>
          <w:p w:rsidR="004D6F34" w:rsidRPr="001017EB" w:rsidRDefault="00A6071C" w:rsidP="008E39FB">
            <w:pPr>
              <w:ind w:left="170" w:hanging="170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ref</m:t>
                  </m:r>
                </m:sub>
              </m:sSub>
              <m:r>
                <w:rPr>
                  <w:rFonts w:ascii="Cambria Math" w:hAnsi="Cambria Math"/>
                </w:rPr>
                <m:t xml:space="preserve"> </m:t>
              </m:r>
            </m:oMath>
            <w:r w:rsidR="004D6F34" w:rsidRPr="001017EB">
              <w:rPr>
                <w:sz w:val="20"/>
                <w:szCs w:val="20"/>
              </w:rPr>
              <w:t>–</w:t>
            </w:r>
            <w:r w:rsidR="004D6F34" w:rsidRPr="001017EB">
              <w:rPr>
                <w:i/>
                <w:sz w:val="20"/>
                <w:szCs w:val="20"/>
              </w:rPr>
              <w:t xml:space="preserve"> </w:t>
            </w:r>
            <w:r w:rsidR="004D6F34" w:rsidRPr="001017EB">
              <w:rPr>
                <w:sz w:val="20"/>
                <w:szCs w:val="20"/>
              </w:rPr>
              <w:t>content of Fe in topsoil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  <w:vertAlign w:val="superscript"/>
              </w:rPr>
            </w:pPr>
            <m:oMath>
              <m:r>
                <w:rPr>
                  <w:rFonts w:ascii="Cambria Math" w:hAnsi="Cambria Math"/>
                </w:rPr>
                <m:t>B</m:t>
              </m:r>
            </m:oMath>
            <w:r w:rsidRPr="001017EB">
              <w:rPr>
                <w:sz w:val="20"/>
                <w:szCs w:val="20"/>
              </w:rPr>
              <w:t xml:space="preserve"> – PTE’s content in reference background (Kabata-Pendias 2011)</w:t>
            </w:r>
            <w:r w:rsidRPr="001017EB">
              <w:rPr>
                <w:sz w:val="20"/>
                <w:szCs w:val="20"/>
                <w:vertAlign w:val="superscript"/>
              </w:rPr>
              <w:t>*</w:t>
            </w:r>
          </w:p>
          <w:p w:rsidR="004D6F34" w:rsidRPr="001017EB" w:rsidRDefault="00A6071C" w:rsidP="008E39FB">
            <w:pPr>
              <w:ind w:left="170" w:hanging="170"/>
              <w:rPr>
                <w:sz w:val="20"/>
                <w:szCs w:val="20"/>
                <w:vertAlign w:val="superscript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</w:rPr>
                    <m:t>ref</m:t>
                  </m:r>
                </m:sub>
              </m:sSub>
            </m:oMath>
            <w:r w:rsidR="004D6F34" w:rsidRPr="001017EB">
              <w:rPr>
                <w:sz w:val="20"/>
                <w:szCs w:val="20"/>
              </w:rPr>
              <w:t xml:space="preserve"> – content of Fe in reference background (</w:t>
            </w:r>
            <w:proofErr w:type="spellStart"/>
            <w:r w:rsidR="004D6F34" w:rsidRPr="001017EB">
              <w:rPr>
                <w:sz w:val="20"/>
                <w:szCs w:val="20"/>
              </w:rPr>
              <w:t>Kabata</w:t>
            </w:r>
            <w:proofErr w:type="spellEnd"/>
            <w:r w:rsidR="004D6F34" w:rsidRPr="001017EB">
              <w:rPr>
                <w:sz w:val="20"/>
                <w:szCs w:val="20"/>
              </w:rPr>
              <w:t>-Pendias 2011)</w:t>
            </w:r>
            <w:r w:rsidR="004D6F34" w:rsidRPr="001017EB">
              <w:rPr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934D11" w:rsidP="008E39FB">
            <w:pPr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Kowalska et al. 2018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Pollution load index (PLI) – complex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4D6F34" w:rsidRDefault="004D6F34" w:rsidP="008E39FB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PLI=</m:t>
                </m:r>
                <m:rad>
                  <m:radPr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</w:rPr>
                      <m:t>n</m:t>
                    </m:r>
                  </m:deg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∙PI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∙⋯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PI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b>
                    </m:sSub>
                  </m:e>
                </m:rad>
              </m:oMath>
            </m:oMathPara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017EB">
              <w:rPr>
                <w:sz w:val="20"/>
                <w:szCs w:val="20"/>
              </w:rPr>
              <w:t xml:space="preserve"> – the number of analy</w:t>
            </w:r>
            <w:r>
              <w:rPr>
                <w:sz w:val="20"/>
                <w:szCs w:val="20"/>
              </w:rPr>
              <w:t>s</w:t>
            </w:r>
            <w:r w:rsidRPr="001017EB">
              <w:rPr>
                <w:sz w:val="20"/>
                <w:szCs w:val="20"/>
              </w:rPr>
              <w:t>ed PTE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</w:rPr>
                <m:t>PI</m:t>
              </m:r>
            </m:oMath>
            <w:r w:rsidRPr="001017EB">
              <w:rPr>
                <w:sz w:val="20"/>
                <w:szCs w:val="20"/>
              </w:rPr>
              <w:t xml:space="preserve"> – calculated values of index for single PTE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rPr>
                <w:sz w:val="20"/>
                <w:szCs w:val="20"/>
              </w:rPr>
            </w:pPr>
            <w:proofErr w:type="spellStart"/>
            <w:r w:rsidRPr="001017EB">
              <w:rPr>
                <w:sz w:val="20"/>
                <w:szCs w:val="20"/>
              </w:rPr>
              <w:t>Weissmanová</w:t>
            </w:r>
            <w:proofErr w:type="spellEnd"/>
            <w:r w:rsidRPr="001017EB">
              <w:rPr>
                <w:sz w:val="20"/>
                <w:szCs w:val="20"/>
              </w:rPr>
              <w:t xml:space="preserve"> and </w:t>
            </w:r>
            <w:proofErr w:type="spellStart"/>
            <w:r w:rsidRPr="001017EB">
              <w:rPr>
                <w:sz w:val="20"/>
                <w:szCs w:val="20"/>
              </w:rPr>
              <w:t>Pavlovský</w:t>
            </w:r>
            <w:proofErr w:type="spellEnd"/>
            <w:r w:rsidRPr="001017EB">
              <w:rPr>
                <w:sz w:val="20"/>
                <w:szCs w:val="20"/>
              </w:rPr>
              <w:t xml:space="preserve"> 2017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 xml:space="preserve">Improved </w:t>
            </w:r>
            <w:proofErr w:type="spellStart"/>
            <w:r w:rsidRPr="001017EB">
              <w:rPr>
                <w:sz w:val="20"/>
                <w:szCs w:val="20"/>
              </w:rPr>
              <w:t>Nemerow</w:t>
            </w:r>
            <w:proofErr w:type="spellEnd"/>
            <w:r w:rsidRPr="001017EB">
              <w:rPr>
                <w:sz w:val="20"/>
                <w:szCs w:val="20"/>
              </w:rPr>
              <w:t xml:space="preserve"> pollution index (PI</w:t>
            </w:r>
            <w:r w:rsidRPr="001017EB">
              <w:rPr>
                <w:sz w:val="20"/>
                <w:szCs w:val="20"/>
                <w:vertAlign w:val="subscript"/>
              </w:rPr>
              <w:t>N</w:t>
            </w:r>
            <w:r w:rsidRPr="001017EB">
              <w:rPr>
                <w:sz w:val="20"/>
                <w:szCs w:val="20"/>
              </w:rPr>
              <w:t>) – complex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4D6F34" w:rsidRDefault="00A6071C" w:rsidP="008E39FB">
            <w:pPr>
              <w:jc w:val="center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den>
                                    </m:f>
                                    <m:nary>
                                      <m:naryPr>
                                        <m:chr m:val="∑"/>
                                        <m:limLoc m:val="subSup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i=1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n</m:t>
                                        </m:r>
                                      </m:sup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PI</m:t>
                                        </m:r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PI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max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017EB">
              <w:rPr>
                <w:sz w:val="20"/>
                <w:szCs w:val="20"/>
              </w:rPr>
              <w:t xml:space="preserve"> – the number of analy</w:t>
            </w:r>
            <w:r>
              <w:rPr>
                <w:sz w:val="20"/>
                <w:szCs w:val="20"/>
              </w:rPr>
              <w:t>s</w:t>
            </w:r>
            <w:r w:rsidRPr="001017EB">
              <w:rPr>
                <w:sz w:val="20"/>
                <w:szCs w:val="20"/>
              </w:rPr>
              <w:t>ed PTE</w:t>
            </w:r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</w:rPr>
                <m:t>PI</m:t>
              </m:r>
            </m:oMath>
            <w:r w:rsidRPr="001017EB">
              <w:rPr>
                <w:sz w:val="20"/>
                <w:szCs w:val="20"/>
              </w:rPr>
              <w:t xml:space="preserve"> – calculated values of index for single PTE</w:t>
            </w:r>
          </w:p>
          <w:p w:rsidR="004D6F34" w:rsidRPr="001017EB" w:rsidRDefault="00A6071C" w:rsidP="008E39FB">
            <w:pPr>
              <w:ind w:left="170" w:hanging="170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PI</m:t>
                  </m:r>
                </m:e>
                <m:sub>
                  <m:r>
                    <w:rPr>
                      <w:rFonts w:ascii="Cambria Math" w:hAnsi="Cambria Math"/>
                    </w:rPr>
                    <m:t>max</m:t>
                  </m:r>
                </m:sub>
              </m:sSub>
            </m:oMath>
            <w:r w:rsidR="004D6F34" w:rsidRPr="001017EB">
              <w:rPr>
                <w:sz w:val="20"/>
                <w:szCs w:val="20"/>
              </w:rPr>
              <w:t xml:space="preserve"> – calculated maximum value of index for all PTE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Cheng et al. 2007</w:t>
            </w:r>
          </w:p>
        </w:tc>
      </w:tr>
      <w:tr w:rsidR="004D6F34" w:rsidRPr="001017EB" w:rsidTr="008E39FB">
        <w:tc>
          <w:tcPr>
            <w:tcW w:w="9062" w:type="dxa"/>
            <w:gridSpan w:val="3"/>
            <w:shd w:val="clear" w:color="auto" w:fill="auto"/>
            <w:vAlign w:val="center"/>
          </w:tcPr>
          <w:p w:rsidR="004D6F34" w:rsidRPr="001017EB" w:rsidRDefault="004D6F34" w:rsidP="008E39FB">
            <w:pPr>
              <w:jc w:val="center"/>
              <w:rPr>
                <w:sz w:val="20"/>
                <w:szCs w:val="20"/>
              </w:rPr>
            </w:pPr>
            <w:r w:rsidRPr="001017EB">
              <w:rPr>
                <w:sz w:val="20"/>
                <w:szCs w:val="20"/>
              </w:rPr>
              <w:t>Potential ecological risk (RI) – complex</w:t>
            </w:r>
          </w:p>
        </w:tc>
      </w:tr>
      <w:tr w:rsidR="004D6F34" w:rsidRPr="001017EB" w:rsidTr="008E39FB">
        <w:tc>
          <w:tcPr>
            <w:tcW w:w="3459" w:type="dxa"/>
            <w:shd w:val="clear" w:color="auto" w:fill="auto"/>
            <w:vAlign w:val="center"/>
          </w:tcPr>
          <w:p w:rsidR="004D6F34" w:rsidRPr="004D6F34" w:rsidRDefault="004D6F34" w:rsidP="008E39FB">
            <w:pPr>
              <w:jc w:val="center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RI=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p>
                    </m:sSubSup>
                  </m:e>
                </m:nary>
              </m:oMath>
            </m:oMathPara>
          </w:p>
        </w:tc>
        <w:tc>
          <w:tcPr>
            <w:tcW w:w="3799" w:type="dxa"/>
            <w:shd w:val="clear" w:color="auto" w:fill="auto"/>
            <w:vAlign w:val="center"/>
          </w:tcPr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1017EB">
              <w:rPr>
                <w:sz w:val="20"/>
                <w:szCs w:val="20"/>
              </w:rPr>
              <w:t xml:space="preserve"> – the num</w:t>
            </w:r>
            <w:r>
              <w:rPr>
                <w:sz w:val="20"/>
                <w:szCs w:val="20"/>
              </w:rPr>
              <w:t>b</w:t>
            </w:r>
            <w:r w:rsidRPr="001017EB">
              <w:rPr>
                <w:sz w:val="20"/>
                <w:szCs w:val="20"/>
              </w:rPr>
              <w:t>er of analy</w:t>
            </w:r>
            <w:r>
              <w:rPr>
                <w:sz w:val="20"/>
                <w:szCs w:val="20"/>
              </w:rPr>
              <w:t>s</w:t>
            </w:r>
            <w:r w:rsidRPr="001017EB">
              <w:rPr>
                <w:sz w:val="20"/>
                <w:szCs w:val="20"/>
              </w:rPr>
              <w:t>ed PTE</w:t>
            </w:r>
          </w:p>
          <w:p w:rsidR="004D6F34" w:rsidRPr="001017EB" w:rsidRDefault="00A6071C" w:rsidP="008E39FB">
            <w:pPr>
              <w:ind w:left="170" w:hanging="170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/>
              </m:sSubSup>
            </m:oMath>
            <w:r w:rsidR="004D6F34" w:rsidRPr="001017EB">
              <w:rPr>
                <w:sz w:val="20"/>
                <w:szCs w:val="20"/>
              </w:rPr>
              <w:t>– single index of the ecological risk factor calculated based on the equation:</w:t>
            </w:r>
          </w:p>
          <w:p w:rsidR="004D6F34" w:rsidRPr="004D6F34" w:rsidRDefault="00A6071C" w:rsidP="008E39FB">
            <w:pPr>
              <w:ind w:left="170" w:hanging="170"/>
              <w:jc w:val="center"/>
              <w:rPr>
                <w:sz w:val="20"/>
                <w:szCs w:val="20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i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r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i</m:t>
                    </m:r>
                  </m:sup>
                </m:sSubSup>
                <m:r>
                  <w:rPr>
                    <w:rFonts w:ascii="Cambria Math" w:hAnsi="Cambria Math"/>
                  </w:rPr>
                  <m:t>∙PI</m:t>
                </m:r>
              </m:oMath>
            </m:oMathPara>
          </w:p>
          <w:p w:rsidR="004D6F34" w:rsidRPr="001017EB" w:rsidRDefault="004D6F34" w:rsidP="008E39FB">
            <w:pPr>
              <w:ind w:left="170" w:hanging="170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</w:rPr>
                <m:t>PI</m:t>
              </m:r>
            </m:oMath>
            <w:r w:rsidRPr="001017EB">
              <w:rPr>
                <w:sz w:val="20"/>
                <w:szCs w:val="20"/>
              </w:rPr>
              <w:t xml:space="preserve"> – calculated values of index for sing</w:t>
            </w:r>
            <w:r>
              <w:rPr>
                <w:sz w:val="20"/>
                <w:szCs w:val="20"/>
              </w:rPr>
              <w:t>l</w:t>
            </w:r>
            <w:r w:rsidRPr="001017EB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</w:t>
            </w:r>
            <w:r w:rsidRPr="001017EB">
              <w:rPr>
                <w:sz w:val="20"/>
                <w:szCs w:val="20"/>
              </w:rPr>
              <w:t>PTE</w:t>
            </w:r>
          </w:p>
          <w:p w:rsidR="004D6F34" w:rsidRPr="001017EB" w:rsidRDefault="00A6071C" w:rsidP="008E39FB">
            <w:pPr>
              <w:ind w:left="170" w:hanging="170"/>
              <w:rPr>
                <w:sz w:val="20"/>
                <w:szCs w:val="20"/>
              </w:rPr>
            </w:pPr>
            <m:oMath>
              <m:sSubSup>
                <m:sSubSup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  <m:sup>
                  <m:r>
                    <w:rPr>
                      <w:rFonts w:ascii="Cambria Math" w:hAnsi="Cambria Math"/>
                    </w:rPr>
                    <m:t>i</m:t>
                  </m:r>
                </m:sup>
              </m:sSubSup>
            </m:oMath>
            <w:r w:rsidR="004D6F34" w:rsidRPr="001017EB">
              <w:rPr>
                <w:sz w:val="20"/>
                <w:szCs w:val="20"/>
              </w:rPr>
              <w:t xml:space="preserve"> – the toxicity response coefficient of single PTE (</w:t>
            </w:r>
            <w:proofErr w:type="spellStart"/>
            <w:r w:rsidR="004D6F34" w:rsidRPr="001017EB">
              <w:rPr>
                <w:sz w:val="20"/>
                <w:szCs w:val="20"/>
              </w:rPr>
              <w:t>Håkanson</w:t>
            </w:r>
            <w:proofErr w:type="spellEnd"/>
            <w:r w:rsidR="004D6F34" w:rsidRPr="001017EB">
              <w:rPr>
                <w:sz w:val="20"/>
                <w:szCs w:val="20"/>
              </w:rPr>
              <w:t xml:space="preserve"> 1980)</w:t>
            </w:r>
            <w:r w:rsidR="004D6F34" w:rsidRPr="001017EB">
              <w:rPr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4D6F34" w:rsidRPr="001017EB" w:rsidRDefault="004D6F34" w:rsidP="008E39FB">
            <w:pPr>
              <w:rPr>
                <w:sz w:val="20"/>
                <w:szCs w:val="20"/>
              </w:rPr>
            </w:pPr>
            <w:proofErr w:type="spellStart"/>
            <w:r w:rsidRPr="001017EB">
              <w:rPr>
                <w:sz w:val="20"/>
                <w:szCs w:val="20"/>
              </w:rPr>
              <w:t>Håkanson</w:t>
            </w:r>
            <w:proofErr w:type="spellEnd"/>
            <w:r w:rsidRPr="001017EB">
              <w:rPr>
                <w:sz w:val="20"/>
                <w:szCs w:val="20"/>
              </w:rPr>
              <w:t xml:space="preserve"> 1980</w:t>
            </w:r>
          </w:p>
        </w:tc>
      </w:tr>
    </w:tbl>
    <w:p w:rsidR="004D6F34" w:rsidRDefault="004D6F34" w:rsidP="004D6F34">
      <w:pPr>
        <w:jc w:val="both"/>
        <w:rPr>
          <w:sz w:val="20"/>
          <w:szCs w:val="20"/>
        </w:rPr>
      </w:pPr>
      <w:r w:rsidRPr="001017EB">
        <w:rPr>
          <w:sz w:val="20"/>
          <w:szCs w:val="20"/>
        </w:rPr>
        <w:t xml:space="preserve">PTE – potentially toxic elements, </w:t>
      </w:r>
      <w:r w:rsidRPr="001017EB">
        <w:rPr>
          <w:sz w:val="20"/>
          <w:szCs w:val="20"/>
          <w:vertAlign w:val="superscript"/>
        </w:rPr>
        <w:t>*</w:t>
      </w:r>
      <w:r w:rsidRPr="001017EB">
        <w:rPr>
          <w:sz w:val="20"/>
          <w:szCs w:val="20"/>
        </w:rPr>
        <w:t>(mg</w:t>
      </w:r>
      <w:r w:rsidRPr="001017EB">
        <w:rPr>
          <w:sz w:val="20"/>
          <w:szCs w:val="20"/>
        </w:rPr>
        <w:sym w:font="Symbol" w:char="F0D7"/>
      </w:r>
      <w:r w:rsidRPr="001017EB">
        <w:rPr>
          <w:sz w:val="20"/>
          <w:szCs w:val="20"/>
        </w:rPr>
        <w:t>kg</w:t>
      </w:r>
      <w:r w:rsidRPr="001017EB">
        <w:rPr>
          <w:sz w:val="20"/>
          <w:szCs w:val="20"/>
          <w:vertAlign w:val="superscript"/>
        </w:rPr>
        <w:t>-1</w:t>
      </w:r>
      <w:r w:rsidRPr="001017EB">
        <w:rPr>
          <w:sz w:val="20"/>
          <w:szCs w:val="20"/>
        </w:rPr>
        <w:t xml:space="preserve">): Cd (0.41), Cr (59.5), Cu (38.9), Ni (29), Pb (27), Zn (70), Fe (12000), </w:t>
      </w:r>
      <w:r w:rsidRPr="001017EB">
        <w:rPr>
          <w:sz w:val="20"/>
          <w:szCs w:val="20"/>
          <w:vertAlign w:val="superscript"/>
        </w:rPr>
        <w:t>**</w:t>
      </w:r>
      <w:r w:rsidRPr="001017EB">
        <w:rPr>
          <w:sz w:val="20"/>
          <w:szCs w:val="20"/>
        </w:rPr>
        <w:t xml:space="preserve"> Cd (30), Cr (2), Cu (5), Ni (5), Pb (5), Zn (1)</w:t>
      </w:r>
    </w:p>
    <w:p w:rsidR="00A6071C" w:rsidRDefault="00A6071C" w:rsidP="004D6F34">
      <w:pPr>
        <w:jc w:val="both"/>
        <w:rPr>
          <w:sz w:val="20"/>
          <w:szCs w:val="20"/>
        </w:rPr>
      </w:pPr>
    </w:p>
    <w:p w:rsidR="00A6071C" w:rsidRDefault="00A6071C" w:rsidP="004D6F34">
      <w:pPr>
        <w:jc w:val="both"/>
        <w:rPr>
          <w:sz w:val="20"/>
          <w:szCs w:val="20"/>
        </w:rPr>
      </w:pPr>
    </w:p>
    <w:p w:rsidR="00A6071C" w:rsidRDefault="00A6071C" w:rsidP="004D6F34">
      <w:pPr>
        <w:jc w:val="both"/>
        <w:rPr>
          <w:sz w:val="20"/>
          <w:szCs w:val="20"/>
        </w:rPr>
      </w:pPr>
    </w:p>
    <w:p w:rsidR="00A6071C" w:rsidRDefault="00A6071C" w:rsidP="004D6F34">
      <w:pPr>
        <w:jc w:val="both"/>
        <w:rPr>
          <w:sz w:val="20"/>
          <w:szCs w:val="20"/>
        </w:rPr>
      </w:pPr>
    </w:p>
    <w:p w:rsidR="00A6071C" w:rsidRDefault="00A6071C" w:rsidP="004D6F34">
      <w:pPr>
        <w:jc w:val="both"/>
        <w:rPr>
          <w:sz w:val="20"/>
          <w:szCs w:val="20"/>
        </w:rPr>
      </w:pPr>
    </w:p>
    <w:p w:rsidR="00A6071C" w:rsidRDefault="00A6071C" w:rsidP="004D6F34">
      <w:pPr>
        <w:jc w:val="both"/>
        <w:rPr>
          <w:sz w:val="20"/>
          <w:szCs w:val="20"/>
        </w:rPr>
      </w:pPr>
    </w:p>
    <w:p w:rsidR="00A6071C" w:rsidRPr="00A6071C" w:rsidRDefault="00A6071C" w:rsidP="004D6F34">
      <w:pPr>
        <w:jc w:val="both"/>
        <w:rPr>
          <w:color w:val="FF0000"/>
          <w:sz w:val="20"/>
          <w:szCs w:val="20"/>
        </w:rPr>
      </w:pPr>
      <w:bookmarkStart w:id="0" w:name="_GoBack"/>
    </w:p>
    <w:p w:rsidR="00A6071C" w:rsidRPr="00A6071C" w:rsidRDefault="00A6071C" w:rsidP="00A6071C">
      <w:pPr>
        <w:jc w:val="both"/>
        <w:rPr>
          <w:color w:val="FF0000"/>
        </w:rPr>
      </w:pPr>
      <w:r w:rsidRPr="00A6071C">
        <w:rPr>
          <w:color w:val="FF0000"/>
        </w:rPr>
        <w:t>Table 6. Correlation relationships between trace element content and soil properties</w:t>
      </w:r>
    </w:p>
    <w:p w:rsidR="00A6071C" w:rsidRPr="00A6071C" w:rsidRDefault="00A6071C" w:rsidP="00A6071C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1108"/>
        <w:gridCol w:w="1241"/>
        <w:gridCol w:w="1108"/>
        <w:gridCol w:w="1240"/>
        <w:gridCol w:w="1241"/>
        <w:gridCol w:w="1074"/>
      </w:tblGrid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shd w:val="clear" w:color="auto" w:fill="auto"/>
          </w:tcPr>
          <w:p w:rsidR="00A6071C" w:rsidRPr="00A6071C" w:rsidRDefault="00A6071C" w:rsidP="00A6071C">
            <w:pPr>
              <w:spacing w:line="360" w:lineRule="auto"/>
              <w:jc w:val="both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Parameters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 xml:space="preserve">Zn 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 xml:space="preserve">Cu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 xml:space="preserve">Ni 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 xml:space="preserve">Cd 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 xml:space="preserve">Pb 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 xml:space="preserve">Cr 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sand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0.072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-0.153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-0.184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0.247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0.258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-0.318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silt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-0.102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-0.096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0.031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-0.206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-0.206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0.001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clay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-0.011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0.334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0.256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-0.181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-0.198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0.495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pH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0.170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0.141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-0.035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0.220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0.036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-0.072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TOC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0.167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0.229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0.049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0.171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0.288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0.128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CEC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0.206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0.250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0.103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0.234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0.167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0.150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A6071C" w:rsidRPr="00A6071C" w:rsidRDefault="00A6071C" w:rsidP="00A6071C">
            <w:pPr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</w:pPr>
            <w:r w:rsidRPr="00A6071C"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  <w:t>L. sativum  GI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-0.037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0.011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-0.113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0.003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0.072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-0.021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A6071C" w:rsidRPr="00A6071C" w:rsidRDefault="00A6071C" w:rsidP="00A6071C">
            <w:pPr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</w:pPr>
            <w:r w:rsidRPr="00A6071C"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  <w:t xml:space="preserve">L. sativum  RGI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-0.010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-0.008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-0.068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-0.105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-0.005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-0.033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A6071C" w:rsidRPr="00A6071C" w:rsidRDefault="00A6071C" w:rsidP="00A6071C">
            <w:pPr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</w:pPr>
            <w:r w:rsidRPr="00A6071C"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  <w:t>S. saccharatum  GI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0.077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-0.118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-0.074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0.244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0.249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-0.102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A6071C" w:rsidRPr="00A6071C" w:rsidRDefault="00A6071C" w:rsidP="00A6071C">
            <w:pPr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</w:pPr>
            <w:r w:rsidRPr="00A6071C"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  <w:t xml:space="preserve">S. saccharatum  RGI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0.072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-0.083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-0.057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0.136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0.147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-0.077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i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  <w:t>H. incongruens M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-0.017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-0.072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-0.014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-0.056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0.134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-0.052</w:t>
            </w:r>
          </w:p>
        </w:tc>
      </w:tr>
      <w:tr w:rsidR="00A6071C" w:rsidRPr="00A6071C" w:rsidTr="00031255">
        <w:trPr>
          <w:trHeight w:hRule="exact" w:val="284"/>
          <w:jc w:val="center"/>
        </w:trPr>
        <w:tc>
          <w:tcPr>
            <w:tcW w:w="2093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rPr>
                <w:rFonts w:eastAsia="Calibri"/>
                <w:i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Cs/>
                <w:i/>
                <w:color w:val="FF0000"/>
                <w:sz w:val="22"/>
                <w:szCs w:val="22"/>
                <w:lang w:eastAsia="en-US"/>
              </w:rPr>
              <w:t xml:space="preserve">H. incongruens LI 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0.029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-0.119</w:t>
            </w:r>
          </w:p>
        </w:tc>
        <w:tc>
          <w:tcPr>
            <w:tcW w:w="1134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0.016</w:t>
            </w:r>
          </w:p>
        </w:tc>
        <w:tc>
          <w:tcPr>
            <w:tcW w:w="127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-0.046</w:t>
            </w:r>
          </w:p>
        </w:tc>
        <w:tc>
          <w:tcPr>
            <w:tcW w:w="127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b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b/>
                <w:color w:val="FF0000"/>
                <w:sz w:val="22"/>
                <w:szCs w:val="22"/>
              </w:rPr>
              <w:t>0.140</w:t>
            </w:r>
          </w:p>
        </w:tc>
        <w:tc>
          <w:tcPr>
            <w:tcW w:w="1098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vAlign w:val="center"/>
          </w:tcPr>
          <w:p w:rsidR="00A6071C" w:rsidRPr="00A6071C" w:rsidRDefault="00A6071C" w:rsidP="00A6071C">
            <w:pPr>
              <w:jc w:val="center"/>
              <w:rPr>
                <w:rFonts w:eastAsia="Calibri"/>
                <w:color w:val="FF0000"/>
                <w:sz w:val="22"/>
                <w:szCs w:val="22"/>
              </w:rPr>
            </w:pPr>
            <w:r w:rsidRPr="00A6071C">
              <w:rPr>
                <w:rFonts w:eastAsia="Calibri"/>
                <w:color w:val="FF0000"/>
                <w:sz w:val="22"/>
                <w:szCs w:val="22"/>
              </w:rPr>
              <w:t>-0.061</w:t>
            </w:r>
          </w:p>
        </w:tc>
      </w:tr>
    </w:tbl>
    <w:p w:rsidR="00A6071C" w:rsidRPr="00A6071C" w:rsidRDefault="00A6071C" w:rsidP="00A6071C">
      <w:pPr>
        <w:spacing w:line="360" w:lineRule="auto"/>
        <w:jc w:val="both"/>
        <w:rPr>
          <w:b/>
          <w:i/>
          <w:color w:val="FF0000"/>
        </w:rPr>
      </w:pPr>
      <w:r w:rsidRPr="00A6071C">
        <w:rPr>
          <w:color w:val="FF0000"/>
          <w:sz w:val="20"/>
          <w:szCs w:val="20"/>
        </w:rPr>
        <w:t>bold - correlation coefficients significant at p &lt; 0.05</w:t>
      </w:r>
    </w:p>
    <w:p w:rsidR="00A6071C" w:rsidRPr="00A6071C" w:rsidRDefault="00A6071C" w:rsidP="004D6F34">
      <w:pPr>
        <w:jc w:val="both"/>
        <w:rPr>
          <w:color w:val="FF0000"/>
          <w:sz w:val="20"/>
          <w:szCs w:val="20"/>
        </w:rPr>
      </w:pPr>
    </w:p>
    <w:bookmarkEnd w:id="0"/>
    <w:p w:rsidR="00A6071C" w:rsidRPr="001017EB" w:rsidRDefault="00A6071C" w:rsidP="004D6F34">
      <w:pPr>
        <w:jc w:val="both"/>
        <w:rPr>
          <w:sz w:val="20"/>
          <w:szCs w:val="20"/>
        </w:rPr>
      </w:pPr>
    </w:p>
    <w:p w:rsidR="00FE3932" w:rsidRDefault="00A6071C"/>
    <w:sectPr w:rsidR="00FE3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34"/>
    <w:rsid w:val="002A247B"/>
    <w:rsid w:val="00466034"/>
    <w:rsid w:val="004D6F34"/>
    <w:rsid w:val="00934D11"/>
    <w:rsid w:val="00A6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536F"/>
  <w15:chartTrackingRefBased/>
  <w15:docId w15:val="{178F84E0-29E1-45F2-8331-82370624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rsid w:val="004D6F3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hab. inż. Agnieszka Baran profesor UR</dc:creator>
  <cp:keywords/>
  <dc:description/>
  <cp:lastModifiedBy>dr hab. inż. Agnieszka Baran profesor UR</cp:lastModifiedBy>
  <cp:revision>3</cp:revision>
  <dcterms:created xsi:type="dcterms:W3CDTF">2021-06-11T17:21:00Z</dcterms:created>
  <dcterms:modified xsi:type="dcterms:W3CDTF">2021-09-03T13:23:00Z</dcterms:modified>
</cp:coreProperties>
</file>