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6953A" w14:textId="608160D3" w:rsidR="006764AA" w:rsidRPr="00A43B92" w:rsidRDefault="006764AA" w:rsidP="00AF293F">
      <w:pPr>
        <w:spacing w:line="240" w:lineRule="auto"/>
        <w:rPr>
          <w:rFonts w:ascii="Arial" w:hAnsi="Arial" w:cs="Arial"/>
          <w:sz w:val="20"/>
          <w:szCs w:val="20"/>
          <w:lang w:val="en-GB"/>
        </w:rPr>
      </w:pPr>
      <w:r w:rsidRPr="00A43B92">
        <w:rPr>
          <w:rFonts w:ascii="Arial" w:hAnsi="Arial" w:cs="Arial"/>
          <w:sz w:val="20"/>
          <w:szCs w:val="20"/>
          <w:lang w:val="en-GB"/>
        </w:rPr>
        <w:t>Supplem</w:t>
      </w:r>
      <w:r w:rsidR="00986872" w:rsidRPr="00A43B92">
        <w:rPr>
          <w:rFonts w:ascii="Arial" w:hAnsi="Arial" w:cs="Arial"/>
          <w:sz w:val="20"/>
          <w:szCs w:val="20"/>
          <w:lang w:val="en-GB"/>
        </w:rPr>
        <w:t>entary information for</w:t>
      </w:r>
    </w:p>
    <w:p w14:paraId="64705CED" w14:textId="77777777" w:rsidR="00986872" w:rsidRDefault="00986872" w:rsidP="00986872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5363B0E9" w14:textId="77777777" w:rsidR="00F87B3A" w:rsidRDefault="002E62BC" w:rsidP="00EC6724">
      <w:pPr>
        <w:spacing w:after="0" w:line="240" w:lineRule="auto"/>
        <w:jc w:val="center"/>
        <w:rPr>
          <w:rFonts w:ascii="Arial" w:hAnsi="Arial" w:cs="Arial"/>
          <w:sz w:val="36"/>
          <w:szCs w:val="36"/>
          <w:lang w:val="en-GB"/>
        </w:rPr>
      </w:pPr>
      <w:r w:rsidRPr="00EC6724">
        <w:rPr>
          <w:rFonts w:ascii="Arial" w:hAnsi="Arial" w:cs="Arial"/>
          <w:sz w:val="36"/>
          <w:szCs w:val="36"/>
          <w:lang w:val="en-GB"/>
        </w:rPr>
        <w:t xml:space="preserve">Short-term effects of low-intensity surface fires </w:t>
      </w:r>
    </w:p>
    <w:p w14:paraId="0EAB1D03" w14:textId="6F6B1655" w:rsidR="00DB11E1" w:rsidRPr="00EC6724" w:rsidRDefault="002E62BC" w:rsidP="00F87B3A">
      <w:pPr>
        <w:spacing w:after="0" w:line="240" w:lineRule="auto"/>
        <w:jc w:val="center"/>
        <w:rPr>
          <w:rFonts w:ascii="Arial" w:hAnsi="Arial" w:cs="Arial"/>
          <w:sz w:val="36"/>
          <w:szCs w:val="36"/>
          <w:lang w:val="en-GB"/>
        </w:rPr>
      </w:pPr>
      <w:r w:rsidRPr="00EC6724">
        <w:rPr>
          <w:rFonts w:ascii="Arial" w:hAnsi="Arial" w:cs="Arial"/>
          <w:sz w:val="36"/>
          <w:szCs w:val="36"/>
          <w:lang w:val="en-GB"/>
        </w:rPr>
        <w:t>on dissolved organic matter from boreal forest soils</w:t>
      </w:r>
    </w:p>
    <w:p w14:paraId="4EC12369" w14:textId="77777777" w:rsidR="00EC6724" w:rsidRDefault="00EC6724" w:rsidP="00AF293F">
      <w:pPr>
        <w:spacing w:line="240" w:lineRule="auto"/>
        <w:rPr>
          <w:rFonts w:ascii="Arial" w:hAnsi="Arial" w:cs="Arial"/>
          <w:lang w:val="en-GB"/>
        </w:rPr>
      </w:pPr>
    </w:p>
    <w:p w14:paraId="242EF01B" w14:textId="76DE71D0" w:rsidR="00DB11E1" w:rsidRDefault="00985E76" w:rsidP="00AF293F">
      <w:pPr>
        <w:spacing w:line="240" w:lineRule="auto"/>
        <w:rPr>
          <w:rFonts w:ascii="Arial" w:hAnsi="Arial" w:cs="Arial"/>
          <w:vertAlign w:val="superscript"/>
          <w:lang w:val="en-GB"/>
        </w:rPr>
      </w:pPr>
      <w:r w:rsidRPr="00DB11E1">
        <w:rPr>
          <w:rFonts w:ascii="Arial" w:hAnsi="Arial" w:cs="Arial"/>
          <w:lang w:val="en-GB"/>
        </w:rPr>
        <w:t xml:space="preserve">Mathilde </w:t>
      </w:r>
      <w:r w:rsidR="006C0CF8" w:rsidRPr="00DB11E1">
        <w:rPr>
          <w:rFonts w:ascii="Arial" w:hAnsi="Arial" w:cs="Arial"/>
          <w:lang w:val="en-GB"/>
        </w:rPr>
        <w:t>Rebiffé</w:t>
      </w:r>
      <w:r w:rsidR="008A5F37" w:rsidRPr="00DB11E1">
        <w:rPr>
          <w:rFonts w:ascii="Arial" w:hAnsi="Arial" w:cs="Arial"/>
          <w:vertAlign w:val="superscript"/>
          <w:lang w:val="en-GB"/>
        </w:rPr>
        <w:t>1</w:t>
      </w:r>
      <w:r w:rsidR="00833676" w:rsidRPr="00DB11E1">
        <w:rPr>
          <w:rFonts w:ascii="Arial" w:hAnsi="Arial" w:cs="Arial"/>
          <w:lang w:val="en-GB"/>
        </w:rPr>
        <w:t>*</w:t>
      </w:r>
      <w:r w:rsidR="006C0CF8" w:rsidRPr="00DB11E1">
        <w:rPr>
          <w:rFonts w:ascii="Arial" w:hAnsi="Arial" w:cs="Arial"/>
          <w:lang w:val="en-GB"/>
        </w:rPr>
        <w:t>, Lukas Kohl</w:t>
      </w:r>
      <w:r w:rsidR="008A5F37" w:rsidRPr="00DB11E1">
        <w:rPr>
          <w:rFonts w:ascii="Arial" w:hAnsi="Arial" w:cs="Arial"/>
          <w:vertAlign w:val="superscript"/>
          <w:lang w:val="en-GB"/>
        </w:rPr>
        <w:t>2</w:t>
      </w:r>
      <w:r w:rsidR="006C0CF8" w:rsidRPr="00DB11E1">
        <w:rPr>
          <w:rFonts w:ascii="Arial" w:hAnsi="Arial" w:cs="Arial"/>
          <w:lang w:val="en-GB"/>
        </w:rPr>
        <w:t>, Egle Köster</w:t>
      </w:r>
      <w:r w:rsidR="008A5F37" w:rsidRPr="00DB11E1">
        <w:rPr>
          <w:rFonts w:ascii="Arial" w:hAnsi="Arial" w:cs="Arial"/>
          <w:vertAlign w:val="superscript"/>
          <w:lang w:val="en-GB"/>
        </w:rPr>
        <w:t>3</w:t>
      </w:r>
      <w:r w:rsidR="006C0CF8" w:rsidRPr="00DB11E1">
        <w:rPr>
          <w:rFonts w:ascii="Arial" w:hAnsi="Arial" w:cs="Arial"/>
          <w:lang w:val="en-GB"/>
        </w:rPr>
        <w:t xml:space="preserve">, </w:t>
      </w:r>
      <w:r w:rsidR="008A5F37" w:rsidRPr="00DB11E1">
        <w:rPr>
          <w:rFonts w:ascii="Arial" w:hAnsi="Arial" w:cs="Arial"/>
          <w:lang w:val="en-GB"/>
        </w:rPr>
        <w:t>Markku Keinänen</w:t>
      </w:r>
      <w:r w:rsidR="001429E2" w:rsidRPr="00DB11E1">
        <w:rPr>
          <w:rFonts w:ascii="Arial" w:hAnsi="Arial" w:cs="Arial"/>
          <w:vertAlign w:val="superscript"/>
          <w:lang w:val="en-GB"/>
        </w:rPr>
        <w:t>1</w:t>
      </w:r>
      <w:r w:rsidR="008A5F37" w:rsidRPr="00DB11E1">
        <w:rPr>
          <w:rFonts w:ascii="Arial" w:hAnsi="Arial" w:cs="Arial"/>
          <w:lang w:val="en-GB"/>
        </w:rPr>
        <w:t>, Frank Berninger</w:t>
      </w:r>
      <w:r w:rsidR="001429E2" w:rsidRPr="00DB11E1">
        <w:rPr>
          <w:rFonts w:ascii="Arial" w:hAnsi="Arial" w:cs="Arial"/>
          <w:vertAlign w:val="superscript"/>
          <w:lang w:val="en-GB"/>
        </w:rPr>
        <w:t>1</w:t>
      </w:r>
      <w:r w:rsidR="008A5F37" w:rsidRPr="00DB11E1">
        <w:rPr>
          <w:rFonts w:ascii="Arial" w:hAnsi="Arial" w:cs="Arial"/>
          <w:lang w:val="en-GB"/>
        </w:rPr>
        <w:t>, Kajar Köster</w:t>
      </w:r>
      <w:r w:rsidR="001429E2" w:rsidRPr="00DB11E1">
        <w:rPr>
          <w:rFonts w:ascii="Arial" w:hAnsi="Arial" w:cs="Arial"/>
          <w:vertAlign w:val="superscript"/>
          <w:lang w:val="en-GB"/>
        </w:rPr>
        <w:t>1</w:t>
      </w:r>
    </w:p>
    <w:p w14:paraId="5F062A97" w14:textId="77777777" w:rsidR="00DB11E1" w:rsidRPr="00DB11E1" w:rsidRDefault="00DB11E1" w:rsidP="00AF293F">
      <w:pPr>
        <w:spacing w:line="240" w:lineRule="auto"/>
        <w:rPr>
          <w:rFonts w:ascii="Arial" w:hAnsi="Arial" w:cs="Arial"/>
          <w:vertAlign w:val="superscript"/>
          <w:lang w:val="en-GB"/>
        </w:rPr>
      </w:pPr>
    </w:p>
    <w:p w14:paraId="74652D29" w14:textId="1D38B971" w:rsidR="001429E2" w:rsidRPr="009C0E71" w:rsidRDefault="001429E2" w:rsidP="00AF293F">
      <w:pPr>
        <w:spacing w:line="240" w:lineRule="auto"/>
        <w:rPr>
          <w:rFonts w:ascii="Arial" w:hAnsi="Arial" w:cs="Arial"/>
          <w:i/>
          <w:iCs/>
          <w:sz w:val="20"/>
          <w:szCs w:val="20"/>
          <w:lang w:val="en-GB"/>
        </w:rPr>
      </w:pPr>
      <w:r w:rsidRPr="009C0E71">
        <w:rPr>
          <w:rFonts w:ascii="Arial" w:hAnsi="Arial" w:cs="Arial"/>
          <w:i/>
          <w:iCs/>
          <w:sz w:val="20"/>
          <w:szCs w:val="20"/>
          <w:vertAlign w:val="superscript"/>
          <w:lang w:val="en-GB"/>
        </w:rPr>
        <w:t>1</w:t>
      </w:r>
      <w:r w:rsidRPr="009C0E71">
        <w:rPr>
          <w:rFonts w:ascii="Arial" w:hAnsi="Arial" w:cs="Arial"/>
          <w:i/>
          <w:iCs/>
          <w:sz w:val="20"/>
          <w:szCs w:val="20"/>
          <w:lang w:val="en-GB"/>
        </w:rPr>
        <w:t xml:space="preserve"> Department of Environmental and Biological Sciences, University of Eastern Finland, Joensuu, Finland.</w:t>
      </w:r>
    </w:p>
    <w:p w14:paraId="61D13243" w14:textId="48349663" w:rsidR="001429E2" w:rsidRPr="009C0E71" w:rsidRDefault="001429E2" w:rsidP="00AF293F">
      <w:pPr>
        <w:spacing w:line="240" w:lineRule="auto"/>
        <w:rPr>
          <w:rFonts w:ascii="Arial" w:hAnsi="Arial" w:cs="Arial"/>
          <w:i/>
          <w:iCs/>
          <w:sz w:val="20"/>
          <w:szCs w:val="20"/>
          <w:lang w:val="en-GB"/>
        </w:rPr>
      </w:pPr>
      <w:r w:rsidRPr="009C0E71">
        <w:rPr>
          <w:rFonts w:ascii="Arial" w:hAnsi="Arial" w:cs="Arial"/>
          <w:i/>
          <w:iCs/>
          <w:sz w:val="20"/>
          <w:szCs w:val="20"/>
          <w:vertAlign w:val="superscript"/>
          <w:lang w:val="en-GB"/>
        </w:rPr>
        <w:t>2</w:t>
      </w:r>
      <w:r w:rsidRPr="009C0E71">
        <w:rPr>
          <w:rFonts w:ascii="Arial" w:hAnsi="Arial" w:cs="Arial"/>
          <w:i/>
          <w:iCs/>
          <w:sz w:val="20"/>
          <w:szCs w:val="20"/>
          <w:lang w:val="en-GB"/>
        </w:rPr>
        <w:t xml:space="preserve"> Department of Environmental and Biological Sciences, University of Eastern Finland, Kuopio, Finland.</w:t>
      </w:r>
    </w:p>
    <w:p w14:paraId="64A67367" w14:textId="607A670B" w:rsidR="001429E2" w:rsidRDefault="001429E2" w:rsidP="00AF293F">
      <w:pPr>
        <w:spacing w:line="240" w:lineRule="auto"/>
        <w:rPr>
          <w:rFonts w:ascii="Arial" w:hAnsi="Arial" w:cs="Arial"/>
          <w:i/>
          <w:iCs/>
          <w:sz w:val="20"/>
          <w:szCs w:val="20"/>
          <w:lang w:val="en-GB"/>
        </w:rPr>
      </w:pPr>
      <w:r w:rsidRPr="009C0E71">
        <w:rPr>
          <w:rFonts w:ascii="Arial" w:hAnsi="Arial" w:cs="Arial"/>
          <w:i/>
          <w:iCs/>
          <w:sz w:val="20"/>
          <w:szCs w:val="20"/>
          <w:vertAlign w:val="superscript"/>
          <w:lang w:val="en-GB"/>
        </w:rPr>
        <w:t>3</w:t>
      </w:r>
      <w:r w:rsidRPr="009C0E71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5C31F3" w:rsidRPr="009C0E71">
        <w:rPr>
          <w:rFonts w:ascii="Arial" w:hAnsi="Arial" w:cs="Arial"/>
          <w:i/>
          <w:iCs/>
          <w:sz w:val="20"/>
          <w:szCs w:val="20"/>
          <w:lang w:val="en-GB"/>
        </w:rPr>
        <w:t>School of Forest Sciences</w:t>
      </w:r>
      <w:r w:rsidRPr="009C0E71">
        <w:rPr>
          <w:rFonts w:ascii="Arial" w:hAnsi="Arial" w:cs="Arial"/>
          <w:i/>
          <w:iCs/>
          <w:sz w:val="20"/>
          <w:szCs w:val="20"/>
          <w:lang w:val="en-GB"/>
        </w:rPr>
        <w:t>, University of Eastern Finland, Joensuu, Finland.</w:t>
      </w:r>
    </w:p>
    <w:p w14:paraId="3C447036" w14:textId="77777777" w:rsidR="00DB11E1" w:rsidRPr="009C0E71" w:rsidRDefault="00DB11E1" w:rsidP="00AF293F">
      <w:pPr>
        <w:spacing w:line="240" w:lineRule="auto"/>
        <w:rPr>
          <w:rFonts w:ascii="Arial" w:hAnsi="Arial" w:cs="Arial"/>
          <w:i/>
          <w:iCs/>
          <w:sz w:val="20"/>
          <w:szCs w:val="20"/>
          <w:lang w:val="en-GB"/>
        </w:rPr>
      </w:pPr>
    </w:p>
    <w:p w14:paraId="63D87E61" w14:textId="46BA9468" w:rsidR="00704B9D" w:rsidRPr="009C0E71" w:rsidRDefault="00833676" w:rsidP="00AF293F">
      <w:pPr>
        <w:spacing w:line="240" w:lineRule="auto"/>
        <w:rPr>
          <w:rFonts w:ascii="Arial" w:hAnsi="Arial" w:cs="Arial"/>
          <w:i/>
          <w:iCs/>
          <w:sz w:val="20"/>
          <w:szCs w:val="20"/>
          <w:lang w:val="en-GB"/>
        </w:rPr>
      </w:pPr>
      <w:r w:rsidRPr="00282538">
        <w:rPr>
          <w:rFonts w:ascii="Arial" w:hAnsi="Arial" w:cs="Arial"/>
          <w:sz w:val="20"/>
          <w:szCs w:val="20"/>
          <w:lang w:val="en-GB"/>
        </w:rPr>
        <w:t>*</w:t>
      </w:r>
      <w:r w:rsidR="00AF293F" w:rsidRPr="00282538">
        <w:rPr>
          <w:rFonts w:ascii="Arial" w:hAnsi="Arial" w:cs="Arial"/>
          <w:sz w:val="20"/>
          <w:szCs w:val="20"/>
          <w:lang w:val="en-GB"/>
        </w:rPr>
        <w:t>Corresponding author</w:t>
      </w:r>
      <w:r w:rsidR="00AF293F" w:rsidRPr="009C0E71">
        <w:rPr>
          <w:rFonts w:ascii="Arial" w:hAnsi="Arial" w:cs="Arial"/>
          <w:i/>
          <w:iCs/>
          <w:sz w:val="20"/>
          <w:szCs w:val="20"/>
          <w:lang w:val="en-GB"/>
        </w:rPr>
        <w:t>:</w:t>
      </w:r>
      <w:r w:rsidR="00282538">
        <w:rPr>
          <w:rFonts w:ascii="Arial" w:hAnsi="Arial" w:cs="Arial"/>
          <w:sz w:val="20"/>
          <w:szCs w:val="20"/>
          <w:lang w:val="en-GB"/>
        </w:rPr>
        <w:t xml:space="preserve"> Mathilde Rebiffé,</w:t>
      </w:r>
      <w:r w:rsidR="00AF293F" w:rsidRPr="009C0E71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 xml:space="preserve"> </w:t>
      </w:r>
      <w:hyperlink r:id="rId6" w:history="1">
        <w:r w:rsidR="001C1275" w:rsidRPr="009C0E71">
          <w:rPr>
            <w:rStyle w:val="Hyperlink"/>
            <w:rFonts w:ascii="Arial" w:hAnsi="Arial" w:cs="Arial"/>
            <w:i/>
            <w:iCs/>
            <w:sz w:val="20"/>
            <w:szCs w:val="20"/>
            <w:lang w:val="en-GB"/>
          </w:rPr>
          <w:t>mathilde.rebiffe@uef.fi</w:t>
        </w:r>
      </w:hyperlink>
      <w:r w:rsidR="001C1275" w:rsidRPr="009C0E71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AF293F" w:rsidRPr="009C0E71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</w:p>
    <w:p w14:paraId="7CC841C5" w14:textId="77777777" w:rsidR="00DC44A7" w:rsidRPr="002F0FBF" w:rsidRDefault="00DC44A7" w:rsidP="00991FB2">
      <w:pPr>
        <w:spacing w:line="480" w:lineRule="auto"/>
        <w:rPr>
          <w:rFonts w:ascii="Arial" w:hAnsi="Arial" w:cs="Arial"/>
          <w:sz w:val="36"/>
          <w:szCs w:val="36"/>
          <w:lang w:val="en-GB"/>
        </w:rPr>
      </w:pPr>
    </w:p>
    <w:p w14:paraId="1519BCF8" w14:textId="3C329D45" w:rsidR="00DD6C4B" w:rsidRPr="00991FB2" w:rsidRDefault="00EC7934" w:rsidP="00991FB2">
      <w:pPr>
        <w:spacing w:line="48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Supplementary </w:t>
      </w:r>
      <w:r w:rsidR="00115C60">
        <w:rPr>
          <w:rFonts w:ascii="Arial" w:hAnsi="Arial" w:cs="Arial"/>
          <w:sz w:val="36"/>
          <w:szCs w:val="36"/>
        </w:rPr>
        <w:t>methods</w:t>
      </w:r>
    </w:p>
    <w:p w14:paraId="27EA175A" w14:textId="66C61876" w:rsidR="008E35AE" w:rsidRDefault="00866164" w:rsidP="004548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548BD">
        <w:rPr>
          <w:rFonts w:ascii="Arial" w:hAnsi="Arial" w:cs="Arial"/>
          <w:sz w:val="24"/>
          <w:szCs w:val="24"/>
        </w:rPr>
        <w:t>Detailed methodology</w:t>
      </w:r>
      <w:r w:rsidR="00D060FB" w:rsidRPr="004548BD">
        <w:rPr>
          <w:rFonts w:ascii="Arial" w:hAnsi="Arial" w:cs="Arial"/>
          <w:sz w:val="24"/>
          <w:szCs w:val="24"/>
        </w:rPr>
        <w:t xml:space="preserve"> </w:t>
      </w:r>
      <w:r w:rsidRPr="004548BD">
        <w:rPr>
          <w:rFonts w:ascii="Arial" w:hAnsi="Arial" w:cs="Arial"/>
          <w:sz w:val="24"/>
          <w:szCs w:val="24"/>
        </w:rPr>
        <w:t>for</w:t>
      </w:r>
      <w:r w:rsidR="00413653" w:rsidRPr="004548BD">
        <w:rPr>
          <w:rFonts w:ascii="Arial" w:hAnsi="Arial" w:cs="Arial"/>
          <w:sz w:val="24"/>
          <w:szCs w:val="24"/>
        </w:rPr>
        <w:t xml:space="preserve"> UV-visible absorbance spectrophotometry – measurements and data processing </w:t>
      </w:r>
    </w:p>
    <w:p w14:paraId="79C0864E" w14:textId="77777777" w:rsidR="004548BD" w:rsidRPr="004548BD" w:rsidRDefault="004548BD" w:rsidP="004548BD">
      <w:pPr>
        <w:spacing w:after="0" w:line="240" w:lineRule="auto"/>
        <w:jc w:val="both"/>
        <w:rPr>
          <w:rFonts w:ascii="Arial" w:hAnsi="Arial" w:cs="Arial"/>
        </w:rPr>
      </w:pPr>
    </w:p>
    <w:p w14:paraId="0542B0F7" w14:textId="703121C9" w:rsidR="00676664" w:rsidRPr="00AB4242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Samples for</w:t>
      </w:r>
      <w:r w:rsidRPr="00AB4242">
        <w:rPr>
          <w:rFonts w:ascii="Arial" w:hAnsi="Arial" w:cs="Arial"/>
          <w:sz w:val="20"/>
          <w:szCs w:val="20"/>
        </w:rPr>
        <w:t xml:space="preserve"> spectrophotomet</w:t>
      </w:r>
      <w:r>
        <w:rPr>
          <w:rFonts w:ascii="Arial" w:hAnsi="Arial" w:cs="Arial"/>
          <w:sz w:val="20"/>
          <w:szCs w:val="20"/>
        </w:rPr>
        <w:t>ric</w:t>
      </w:r>
      <w:r w:rsidRPr="00AB4242">
        <w:rPr>
          <w:rFonts w:ascii="Arial" w:hAnsi="Arial" w:cs="Arial"/>
          <w:sz w:val="20"/>
          <w:szCs w:val="20"/>
        </w:rPr>
        <w:t xml:space="preserve"> analysis</w:t>
      </w:r>
      <w:r>
        <w:rPr>
          <w:rFonts w:ascii="Arial" w:hAnsi="Arial" w:cs="Arial"/>
          <w:sz w:val="20"/>
          <w:szCs w:val="20"/>
        </w:rPr>
        <w:t xml:space="preserve"> were preserved by adding </w:t>
      </w:r>
      <w:r w:rsidRPr="00AB4242">
        <w:rPr>
          <w:rFonts w:ascii="Arial" w:hAnsi="Arial" w:cs="Arial"/>
          <w:sz w:val="20"/>
          <w:szCs w:val="20"/>
        </w:rPr>
        <w:t>10 µL/mL of</w:t>
      </w:r>
      <w:r>
        <w:rPr>
          <w:rFonts w:ascii="Arial" w:hAnsi="Arial" w:cs="Arial"/>
          <w:sz w:val="20"/>
          <w:szCs w:val="20"/>
        </w:rPr>
        <w:t xml:space="preserve"> a</w:t>
      </w:r>
      <w:r w:rsidRPr="00AB4242">
        <w:rPr>
          <w:rFonts w:ascii="Arial" w:hAnsi="Arial" w:cs="Arial"/>
          <w:sz w:val="20"/>
          <w:szCs w:val="20"/>
        </w:rPr>
        <w:t xml:space="preserve"> 50 % w/v zinc chloride (ZnCl</w:t>
      </w:r>
      <w:r w:rsidRPr="00AB4242">
        <w:rPr>
          <w:rFonts w:ascii="Arial" w:hAnsi="Arial" w:cs="Arial"/>
          <w:sz w:val="20"/>
          <w:szCs w:val="20"/>
          <w:vertAlign w:val="subscript"/>
        </w:rPr>
        <w:t>2</w:t>
      </w:r>
      <w:r w:rsidRPr="00AB4242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 xml:space="preserve">solution to </w:t>
      </w:r>
      <w:r w:rsidRPr="00AB4242">
        <w:rPr>
          <w:rFonts w:ascii="Arial" w:hAnsi="Arial" w:cs="Arial"/>
          <w:sz w:val="20"/>
          <w:szCs w:val="20"/>
        </w:rPr>
        <w:t xml:space="preserve">inhibiting microbial growth. </w:t>
      </w:r>
      <w:r>
        <w:rPr>
          <w:rFonts w:ascii="Arial" w:hAnsi="Arial" w:cs="Arial"/>
          <w:sz w:val="20"/>
          <w:szCs w:val="20"/>
        </w:rPr>
        <w:t>T</w:t>
      </w:r>
      <w:r w:rsidRPr="00AB4242">
        <w:rPr>
          <w:rFonts w:ascii="Arial" w:hAnsi="Arial" w:cs="Arial"/>
          <w:sz w:val="20"/>
          <w:szCs w:val="20"/>
        </w:rPr>
        <w:t>he same</w:t>
      </w:r>
      <w:r>
        <w:rPr>
          <w:rFonts w:ascii="Arial" w:hAnsi="Arial" w:cs="Arial"/>
          <w:sz w:val="20"/>
          <w:szCs w:val="20"/>
        </w:rPr>
        <w:t xml:space="preserve"> amount of</w:t>
      </w:r>
      <w:r w:rsidRPr="00AB4242">
        <w:rPr>
          <w:rFonts w:ascii="Arial" w:hAnsi="Arial" w:cs="Arial"/>
          <w:sz w:val="20"/>
          <w:szCs w:val="20"/>
        </w:rPr>
        <w:t xml:space="preserve"> ZnCl</w:t>
      </w:r>
      <w:r w:rsidRPr="00AB4242">
        <w:rPr>
          <w:rFonts w:ascii="Arial" w:hAnsi="Arial" w:cs="Arial"/>
          <w:sz w:val="20"/>
          <w:szCs w:val="20"/>
          <w:vertAlign w:val="subscript"/>
        </w:rPr>
        <w:t>2</w:t>
      </w:r>
      <w:r w:rsidRPr="00AB424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was added</w:t>
      </w:r>
      <w:r w:rsidRPr="00AB4242">
        <w:rPr>
          <w:rFonts w:ascii="Arial" w:hAnsi="Arial" w:cs="Arial"/>
          <w:sz w:val="20"/>
          <w:szCs w:val="20"/>
        </w:rPr>
        <w:t xml:space="preserve"> to 50 mL of Milli-Q water </w:t>
      </w:r>
      <w:r>
        <w:rPr>
          <w:rFonts w:ascii="Arial" w:hAnsi="Arial" w:cs="Arial"/>
          <w:sz w:val="20"/>
          <w:szCs w:val="20"/>
        </w:rPr>
        <w:t>for reference measurements</w:t>
      </w:r>
      <w:r w:rsidRPr="00AB4242">
        <w:rPr>
          <w:rFonts w:ascii="Arial" w:hAnsi="Arial" w:cs="Arial"/>
          <w:sz w:val="20"/>
          <w:szCs w:val="20"/>
        </w:rPr>
        <w:t>. The water samples were then stored in the dark at +4</w:t>
      </w:r>
      <w:r>
        <w:rPr>
          <w:rFonts w:ascii="Arial" w:hAnsi="Arial" w:cs="Arial"/>
          <w:sz w:val="20"/>
          <w:szCs w:val="20"/>
        </w:rPr>
        <w:t xml:space="preserve"> </w:t>
      </w:r>
      <w:r w:rsidRPr="00AB4242">
        <w:rPr>
          <w:rFonts w:ascii="Arial" w:hAnsi="Arial" w:cs="Arial"/>
          <w:sz w:val="20"/>
          <w:szCs w:val="20"/>
        </w:rPr>
        <w:t>°C between measurement days to ensure stability.</w:t>
      </w:r>
    </w:p>
    <w:p w14:paraId="6A8BA7A7" w14:textId="77777777" w:rsidR="00676664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Absorbance</w:t>
      </w:r>
      <w:r w:rsidRPr="00AB4242">
        <w:rPr>
          <w:rFonts w:ascii="Arial" w:hAnsi="Arial" w:cs="Arial"/>
          <w:sz w:val="20"/>
          <w:szCs w:val="20"/>
        </w:rPr>
        <w:t xml:space="preserve"> data was then </w:t>
      </w:r>
      <w:r>
        <w:rPr>
          <w:rFonts w:ascii="Arial" w:hAnsi="Arial" w:cs="Arial"/>
          <w:sz w:val="20"/>
          <w:szCs w:val="20"/>
        </w:rPr>
        <w:t xml:space="preserve">measured with a </w:t>
      </w:r>
      <w:r w:rsidRPr="00AB4242">
        <w:rPr>
          <w:rFonts w:ascii="Arial" w:hAnsi="Arial" w:cs="Arial"/>
          <w:sz w:val="20"/>
          <w:szCs w:val="20"/>
        </w:rPr>
        <w:t>Lambda 1050+ double-beam UV-</w:t>
      </w:r>
      <w:r>
        <w:rPr>
          <w:rFonts w:ascii="Arial" w:hAnsi="Arial" w:cs="Arial"/>
          <w:sz w:val="20"/>
          <w:szCs w:val="20"/>
        </w:rPr>
        <w:t>Vis</w:t>
      </w:r>
      <w:r w:rsidRPr="00AB4242">
        <w:rPr>
          <w:rFonts w:ascii="Arial" w:hAnsi="Arial" w:cs="Arial"/>
          <w:sz w:val="20"/>
          <w:szCs w:val="20"/>
        </w:rPr>
        <w:t xml:space="preserve">-NIR spectrophotometer (PerkinElmer Corp, Waltham, MA, USA) in transmittance mode, scanning between 200 and 800 nm wavelengths </w:t>
      </w:r>
      <w:r>
        <w:rPr>
          <w:rFonts w:ascii="Arial" w:hAnsi="Arial" w:cs="Arial"/>
          <w:sz w:val="20"/>
          <w:szCs w:val="20"/>
        </w:rPr>
        <w:t>at</w:t>
      </w:r>
      <w:r w:rsidRPr="00AB4242">
        <w:rPr>
          <w:rFonts w:ascii="Arial" w:hAnsi="Arial" w:cs="Arial"/>
          <w:sz w:val="20"/>
          <w:szCs w:val="20"/>
        </w:rPr>
        <w:t xml:space="preserve"> 1 nm </w:t>
      </w:r>
      <w:r>
        <w:rPr>
          <w:rFonts w:ascii="Arial" w:hAnsi="Arial" w:cs="Arial"/>
          <w:sz w:val="20"/>
          <w:szCs w:val="20"/>
        </w:rPr>
        <w:t>intervals with a scan speed of 277.62 nm min</w:t>
      </w:r>
      <w:r w:rsidRPr="00D34DD3"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 xml:space="preserve">. Sample and reference </w:t>
      </w:r>
      <w:proofErr w:type="gramStart"/>
      <w:r>
        <w:rPr>
          <w:rFonts w:ascii="Arial" w:hAnsi="Arial" w:cs="Arial"/>
          <w:sz w:val="20"/>
          <w:szCs w:val="20"/>
        </w:rPr>
        <w:t>solution</w:t>
      </w:r>
      <w:proofErr w:type="gramEnd"/>
      <w:r>
        <w:rPr>
          <w:rFonts w:ascii="Arial" w:hAnsi="Arial" w:cs="Arial"/>
          <w:sz w:val="20"/>
          <w:szCs w:val="20"/>
        </w:rPr>
        <w:t xml:space="preserve"> were analyzed in </w:t>
      </w:r>
      <w:r w:rsidRPr="00AB4242">
        <w:rPr>
          <w:rFonts w:ascii="Arial" w:hAnsi="Arial" w:cs="Arial"/>
          <w:sz w:val="20"/>
          <w:szCs w:val="20"/>
        </w:rPr>
        <w:t xml:space="preserve">two </w:t>
      </w:r>
      <w:r>
        <w:rPr>
          <w:rFonts w:ascii="Arial" w:hAnsi="Arial" w:cs="Arial"/>
          <w:sz w:val="20"/>
          <w:szCs w:val="20"/>
        </w:rPr>
        <w:t xml:space="preserve">10-cm </w:t>
      </w:r>
      <w:r w:rsidRPr="00AB4242">
        <w:rPr>
          <w:rFonts w:ascii="Arial" w:hAnsi="Arial" w:cs="Arial"/>
          <w:sz w:val="20"/>
          <w:szCs w:val="20"/>
        </w:rPr>
        <w:t>high-precision quartz cuvettes (QS, Hellma Analytics)</w:t>
      </w:r>
      <w:r>
        <w:rPr>
          <w:rFonts w:ascii="Arial" w:hAnsi="Arial" w:cs="Arial"/>
          <w:sz w:val="20"/>
          <w:szCs w:val="20"/>
        </w:rPr>
        <w:t xml:space="preserve">. The slit width was set to 1 nm for the PMT detector and 4 nm for the </w:t>
      </w:r>
      <w:proofErr w:type="spellStart"/>
      <w:r>
        <w:rPr>
          <w:rFonts w:ascii="Arial" w:hAnsi="Arial" w:cs="Arial"/>
          <w:sz w:val="20"/>
          <w:szCs w:val="20"/>
        </w:rPr>
        <w:t>InGaAs</w:t>
      </w:r>
      <w:proofErr w:type="spellEnd"/>
      <w:r>
        <w:rPr>
          <w:rFonts w:ascii="Arial" w:hAnsi="Arial" w:cs="Arial"/>
          <w:sz w:val="20"/>
          <w:szCs w:val="20"/>
        </w:rPr>
        <w:t xml:space="preserve"> detector</w:t>
      </w:r>
      <w:r w:rsidRPr="00AB4242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All</w:t>
      </w:r>
      <w:r w:rsidRPr="00AB4242">
        <w:rPr>
          <w:rFonts w:ascii="Arial" w:hAnsi="Arial" w:cs="Arial"/>
          <w:sz w:val="20"/>
          <w:szCs w:val="20"/>
        </w:rPr>
        <w:t xml:space="preserve"> acquisition parameters</w:t>
      </w:r>
      <w:r>
        <w:rPr>
          <w:rFonts w:ascii="Arial" w:hAnsi="Arial" w:cs="Arial"/>
          <w:sz w:val="20"/>
          <w:szCs w:val="20"/>
        </w:rPr>
        <w:t xml:space="preserve"> were</w:t>
      </w:r>
      <w:r w:rsidRPr="00AB4242">
        <w:rPr>
          <w:rFonts w:ascii="Arial" w:hAnsi="Arial" w:cs="Arial"/>
          <w:sz w:val="20"/>
          <w:szCs w:val="20"/>
        </w:rPr>
        <w:t xml:space="preserve"> adjusted in the UV </w:t>
      </w:r>
      <w:proofErr w:type="spellStart"/>
      <w:r w:rsidRPr="00AB4242">
        <w:rPr>
          <w:rFonts w:ascii="Arial" w:hAnsi="Arial" w:cs="Arial"/>
          <w:sz w:val="20"/>
          <w:szCs w:val="20"/>
        </w:rPr>
        <w:t>WinLab</w:t>
      </w:r>
      <w:proofErr w:type="spellEnd"/>
      <w:r w:rsidRPr="00AB4242">
        <w:rPr>
          <w:rFonts w:ascii="Arial" w:hAnsi="Arial" w:cs="Arial"/>
          <w:sz w:val="20"/>
          <w:szCs w:val="20"/>
        </w:rPr>
        <w:t xml:space="preserve"> software v7.3.0 (PerkinElmer Corp, Waltham, MA, USA) to optimize the signal-t</w:t>
      </w:r>
      <w:r w:rsidRPr="00976C69">
        <w:rPr>
          <w:rFonts w:ascii="Arial" w:hAnsi="Arial" w:cs="Arial"/>
          <w:sz w:val="20"/>
          <w:szCs w:val="20"/>
        </w:rPr>
        <w:t>o-noise ratio.</w:t>
      </w:r>
      <w:r w:rsidRPr="00AB4242">
        <w:rPr>
          <w:rFonts w:ascii="Arial" w:hAnsi="Arial" w:cs="Arial"/>
          <w:sz w:val="20"/>
          <w:szCs w:val="20"/>
        </w:rPr>
        <w:t xml:space="preserve"> Each sample </w:t>
      </w:r>
      <w:r>
        <w:rPr>
          <w:rFonts w:ascii="Arial" w:hAnsi="Arial" w:cs="Arial"/>
          <w:sz w:val="20"/>
          <w:szCs w:val="20"/>
        </w:rPr>
        <w:t xml:space="preserve">was measured three times each on </w:t>
      </w:r>
      <w:r w:rsidRPr="00AB4242">
        <w:rPr>
          <w:rFonts w:ascii="Arial" w:hAnsi="Arial" w:cs="Arial"/>
          <w:sz w:val="20"/>
          <w:szCs w:val="20"/>
        </w:rPr>
        <w:t>two different measurement days, resulting in six transmittance spectra per sample.</w:t>
      </w:r>
    </w:p>
    <w:p w14:paraId="0AABAD27" w14:textId="77777777" w:rsidR="00676664" w:rsidRPr="00AB4242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AB4242">
        <w:rPr>
          <w:rFonts w:ascii="Arial" w:hAnsi="Arial" w:cs="Arial"/>
          <w:sz w:val="20"/>
          <w:szCs w:val="20"/>
        </w:rPr>
        <w:t xml:space="preserve">The transmittance data were converted into absorbance spectra according to the Beer Lamber Law as described in the following equation:   </w:t>
      </w:r>
    </w:p>
    <w:p w14:paraId="771E71D4" w14:textId="0E7FB0A0" w:rsidR="00676664" w:rsidRPr="00FA44EA" w:rsidRDefault="00F762B3" w:rsidP="00676664">
      <w:pPr>
        <w:spacing w:after="0" w:line="480" w:lineRule="auto"/>
        <w:jc w:val="both"/>
        <w:rPr>
          <w:rFonts w:ascii="Arial" w:eastAsiaTheme="minorEastAsia" w:hAnsi="Arial" w:cs="Arial"/>
          <w:b/>
          <w:bCs/>
          <w:sz w:val="20"/>
          <w:szCs w:val="20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eqArrPr>
            <m:e>
              <m:r>
                <w:rPr>
                  <w:rFonts w:ascii="Cambria Math" w:hAnsi="Cambria Math" w:cs="Arial"/>
                  <w:sz w:val="20"/>
                  <w:szCs w:val="20"/>
                </w:rPr>
                <m:t>A=2-</m:t>
              </m:r>
              <m:func>
                <m:func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10</m:t>
                      </m:r>
                    </m:sub>
                  </m:sSub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%T</m:t>
                      </m:r>
                    </m:e>
                  </m:d>
                </m:e>
              </m:func>
              <m:r>
                <w:rPr>
                  <w:rFonts w:ascii="Cambria Math" w:hAnsi="Cambria Math" w:cs="Arial"/>
                  <w:sz w:val="20"/>
                  <w:szCs w:val="20"/>
                </w:rPr>
                <m:t>#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1</m:t>
              </m:r>
              <m:ctrlPr>
                <w:rPr>
                  <w:rFonts w:ascii="Cambria Math" w:hAnsi="Cambria Math" w:cs="Arial"/>
                  <w:b/>
                  <w:bCs/>
                  <w:i/>
                  <w:sz w:val="20"/>
                  <w:szCs w:val="20"/>
                </w:rPr>
              </m:ctrlPr>
            </m:e>
          </m:eqArr>
        </m:oMath>
      </m:oMathPara>
    </w:p>
    <w:p w14:paraId="6601C8DA" w14:textId="77777777" w:rsidR="00676664" w:rsidRPr="00AB4242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AB4242">
        <w:rPr>
          <w:rFonts w:ascii="Arial" w:hAnsi="Arial" w:cs="Arial"/>
          <w:sz w:val="20"/>
          <w:szCs w:val="20"/>
        </w:rPr>
        <w:t xml:space="preserve">Where </w:t>
      </w:r>
      <w:r w:rsidRPr="00AB4242">
        <w:rPr>
          <w:rFonts w:ascii="Arial" w:hAnsi="Arial" w:cs="Arial"/>
          <w:i/>
          <w:iCs/>
          <w:sz w:val="20"/>
          <w:szCs w:val="20"/>
        </w:rPr>
        <w:t>A</w:t>
      </w:r>
      <w:r w:rsidRPr="00AB4242">
        <w:rPr>
          <w:rFonts w:ascii="Arial" w:hAnsi="Arial" w:cs="Arial"/>
          <w:sz w:val="20"/>
          <w:szCs w:val="20"/>
        </w:rPr>
        <w:t xml:space="preserve"> is the absorbance value (</w:t>
      </w:r>
      <w:r>
        <w:rPr>
          <w:rFonts w:ascii="Arial" w:hAnsi="Arial" w:cs="Arial"/>
          <w:sz w:val="20"/>
          <w:szCs w:val="20"/>
        </w:rPr>
        <w:t>dimensionless</w:t>
      </w:r>
      <w:r w:rsidRPr="00AB4242">
        <w:rPr>
          <w:rFonts w:ascii="Arial" w:hAnsi="Arial" w:cs="Arial"/>
          <w:sz w:val="20"/>
          <w:szCs w:val="20"/>
        </w:rPr>
        <w:t xml:space="preserve">) and </w:t>
      </w:r>
      <w:r w:rsidRPr="00AB4242">
        <w:rPr>
          <w:rFonts w:ascii="Arial" w:hAnsi="Arial" w:cs="Arial"/>
          <w:i/>
          <w:iCs/>
          <w:sz w:val="20"/>
          <w:szCs w:val="20"/>
        </w:rPr>
        <w:t>%T</w:t>
      </w:r>
      <w:r w:rsidRPr="00AB4242">
        <w:rPr>
          <w:rFonts w:ascii="Arial" w:hAnsi="Arial" w:cs="Arial"/>
          <w:sz w:val="20"/>
          <w:szCs w:val="20"/>
        </w:rPr>
        <w:t xml:space="preserve"> is the transmittance value measured in percentage by the spectrophotometer.  </w:t>
      </w:r>
    </w:p>
    <w:p w14:paraId="6D833054" w14:textId="7F1AADE3" w:rsidR="00676664" w:rsidRPr="00AB4242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AB4242">
        <w:rPr>
          <w:rFonts w:ascii="Arial" w:hAnsi="Arial" w:cs="Arial"/>
          <w:sz w:val="20"/>
          <w:szCs w:val="20"/>
        </w:rPr>
        <w:t xml:space="preserve">We applied a baseline correction to the absorbance spectra of the samples by subtracting the averaged </w:t>
      </w:r>
      <w:commentRangeStart w:id="0"/>
      <w:r w:rsidRPr="00AB4242">
        <w:rPr>
          <w:rFonts w:ascii="Arial" w:hAnsi="Arial" w:cs="Arial"/>
          <w:sz w:val="20"/>
          <w:szCs w:val="20"/>
        </w:rPr>
        <w:t xml:space="preserve">smoothed </w:t>
      </w:r>
      <w:commentRangeEnd w:id="0"/>
      <w:r w:rsidRPr="00AB4242">
        <w:rPr>
          <w:rStyle w:val="CommentReference"/>
          <w:rFonts w:ascii="Arial" w:hAnsi="Arial" w:cs="Arial"/>
          <w:sz w:val="20"/>
          <w:szCs w:val="20"/>
        </w:rPr>
        <w:commentReference w:id="0"/>
      </w:r>
      <w:r w:rsidRPr="00AB4242">
        <w:rPr>
          <w:rFonts w:ascii="Arial" w:hAnsi="Arial" w:cs="Arial"/>
          <w:sz w:val="20"/>
          <w:szCs w:val="20"/>
        </w:rPr>
        <w:t xml:space="preserve">absorbance spectrum of the reference solution. Subsequently, the six corrected replicate spectra of each sample were averaged </w:t>
      </w:r>
      <w:r>
        <w:rPr>
          <w:rFonts w:ascii="Arial" w:hAnsi="Arial" w:cs="Arial"/>
          <w:sz w:val="20"/>
          <w:szCs w:val="20"/>
        </w:rPr>
        <w:t xml:space="preserve">and </w:t>
      </w:r>
      <w:r w:rsidRPr="00AB4242">
        <w:rPr>
          <w:rFonts w:ascii="Arial" w:hAnsi="Arial" w:cs="Arial"/>
          <w:sz w:val="20"/>
          <w:szCs w:val="20"/>
        </w:rPr>
        <w:t xml:space="preserve">smoothed using a </w:t>
      </w:r>
      <w:proofErr w:type="spellStart"/>
      <w:r w:rsidRPr="00AB4242">
        <w:rPr>
          <w:rFonts w:ascii="Arial" w:hAnsi="Arial" w:cs="Arial"/>
          <w:sz w:val="20"/>
          <w:szCs w:val="20"/>
        </w:rPr>
        <w:t>Savitzky</w:t>
      </w:r>
      <w:proofErr w:type="spellEnd"/>
      <w:r w:rsidRPr="00AB4242">
        <w:rPr>
          <w:rFonts w:ascii="Arial" w:hAnsi="Arial" w:cs="Arial"/>
          <w:sz w:val="20"/>
          <w:szCs w:val="20"/>
        </w:rPr>
        <w:t xml:space="preserve">-Golay filter of medium strength (with an interval size of 10 and polynomial order of 3) </w:t>
      </w:r>
      <w:r w:rsidRPr="007548BA">
        <w:rPr>
          <w:rFonts w:ascii="Arial" w:hAnsi="Arial" w:cs="Arial"/>
          <w:sz w:val="20"/>
        </w:rPr>
        <w:t>(</w:t>
      </w:r>
      <w:proofErr w:type="spellStart"/>
      <w:r w:rsidRPr="007548BA">
        <w:rPr>
          <w:rFonts w:ascii="Arial" w:hAnsi="Arial" w:cs="Arial"/>
          <w:sz w:val="20"/>
        </w:rPr>
        <w:t>Savitzky</w:t>
      </w:r>
      <w:proofErr w:type="spellEnd"/>
      <w:r w:rsidRPr="007548BA">
        <w:rPr>
          <w:rFonts w:ascii="Arial" w:hAnsi="Arial" w:cs="Arial"/>
          <w:sz w:val="20"/>
        </w:rPr>
        <w:t xml:space="preserve"> and Golay 1964</w:t>
      </w:r>
      <w:r w:rsidR="00BC5991" w:rsidRPr="007548BA">
        <w:rPr>
          <w:rFonts w:ascii="Arial" w:hAnsi="Arial" w:cs="Arial"/>
          <w:sz w:val="20"/>
        </w:rPr>
        <w:t>)</w:t>
      </w:r>
      <w:r w:rsidR="00BC5991" w:rsidRPr="00AB4242">
        <w:rPr>
          <w:rFonts w:ascii="Arial" w:hAnsi="Arial" w:cs="Arial"/>
          <w:sz w:val="20"/>
          <w:szCs w:val="20"/>
        </w:rPr>
        <w:t xml:space="preserve"> and</w:t>
      </w:r>
      <w:r w:rsidRPr="00AB4242">
        <w:rPr>
          <w:rFonts w:ascii="Arial" w:hAnsi="Arial" w:cs="Arial"/>
          <w:sz w:val="20"/>
          <w:szCs w:val="20"/>
        </w:rPr>
        <w:t xml:space="preserve"> normalized with the standard normal variate method (SNV) </w:t>
      </w:r>
      <w:r w:rsidRPr="007548BA">
        <w:rPr>
          <w:rFonts w:ascii="Arial" w:hAnsi="Arial" w:cs="Arial"/>
          <w:sz w:val="20"/>
        </w:rPr>
        <w:t>(Barnes et al. 1989)</w:t>
      </w:r>
      <w:r w:rsidRPr="00AB4242">
        <w:rPr>
          <w:rFonts w:ascii="Arial" w:hAnsi="Arial" w:cs="Arial"/>
          <w:sz w:val="20"/>
          <w:szCs w:val="20"/>
        </w:rPr>
        <w:t>. Finally, we generated both first</w:t>
      </w:r>
      <w:r>
        <w:rPr>
          <w:rFonts w:ascii="Arial" w:hAnsi="Arial" w:cs="Arial"/>
          <w:sz w:val="20"/>
          <w:szCs w:val="20"/>
        </w:rPr>
        <w:t>-</w:t>
      </w:r>
      <w:r w:rsidRPr="00AB4242">
        <w:rPr>
          <w:rFonts w:ascii="Arial" w:hAnsi="Arial" w:cs="Arial"/>
          <w:sz w:val="20"/>
          <w:szCs w:val="20"/>
        </w:rPr>
        <w:t xml:space="preserve"> and second</w:t>
      </w:r>
      <w:r>
        <w:rPr>
          <w:rFonts w:ascii="Arial" w:hAnsi="Arial" w:cs="Arial"/>
          <w:sz w:val="20"/>
          <w:szCs w:val="20"/>
        </w:rPr>
        <w:t>-</w:t>
      </w:r>
      <w:r w:rsidRPr="00AB4242">
        <w:rPr>
          <w:rFonts w:ascii="Arial" w:hAnsi="Arial" w:cs="Arial"/>
          <w:sz w:val="20"/>
          <w:szCs w:val="20"/>
        </w:rPr>
        <w:t xml:space="preserve">order derivative spectra for each preprocessed absorbance spectrum following a medium smoothing process. All spectral processing steps, including baseline correction, averaging, normalization, smoothing, and derivative calculation, were carried out using the </w:t>
      </w:r>
      <w:proofErr w:type="spellStart"/>
      <w:r w:rsidRPr="00AB4242">
        <w:rPr>
          <w:rFonts w:ascii="Arial" w:hAnsi="Arial" w:cs="Arial"/>
          <w:sz w:val="20"/>
          <w:szCs w:val="20"/>
        </w:rPr>
        <w:t>Spectragryph</w:t>
      </w:r>
      <w:proofErr w:type="spellEnd"/>
      <w:r w:rsidRPr="00AB4242">
        <w:rPr>
          <w:rFonts w:ascii="Arial" w:hAnsi="Arial" w:cs="Arial"/>
          <w:sz w:val="20"/>
          <w:szCs w:val="20"/>
        </w:rPr>
        <w:t xml:space="preserve"> software (version 1.2.16.1, </w:t>
      </w:r>
      <w:proofErr w:type="spellStart"/>
      <w:r w:rsidRPr="00AB4242">
        <w:rPr>
          <w:rFonts w:ascii="Arial" w:hAnsi="Arial" w:cs="Arial"/>
          <w:sz w:val="20"/>
          <w:szCs w:val="20"/>
        </w:rPr>
        <w:t>Oberstdorf</w:t>
      </w:r>
      <w:proofErr w:type="spellEnd"/>
      <w:r w:rsidRPr="00AB4242">
        <w:rPr>
          <w:rFonts w:ascii="Arial" w:hAnsi="Arial" w:cs="Arial"/>
          <w:sz w:val="20"/>
          <w:szCs w:val="20"/>
        </w:rPr>
        <w:t>, Germany), specifically designed for optical spectra analysis.</w:t>
      </w:r>
    </w:p>
    <w:p w14:paraId="5CE1FE40" w14:textId="77777777" w:rsidR="00676664" w:rsidRPr="00AB4242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64E3C147" w14:textId="77777777" w:rsidR="00676664" w:rsidRPr="00AB4242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AB4242">
        <w:rPr>
          <w:rFonts w:ascii="Arial" w:hAnsi="Arial" w:cs="Arial"/>
          <w:sz w:val="20"/>
          <w:szCs w:val="20"/>
        </w:rPr>
        <w:t>To estimate the aromaticity, molecular weight, and humification of DOM in our samples, we determined various spectroscopic indices derived from DOM absorbance properties.</w:t>
      </w:r>
    </w:p>
    <w:p w14:paraId="107AAD71" w14:textId="2060427F" w:rsidR="00676664" w:rsidRPr="00AB4242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AB4242">
        <w:rPr>
          <w:rFonts w:ascii="Arial" w:hAnsi="Arial" w:cs="Arial"/>
          <w:sz w:val="20"/>
          <w:szCs w:val="20"/>
        </w:rPr>
        <w:t xml:space="preserve">Initially, we converted the preprocessed absorbance values </w:t>
      </w:r>
      <w:r>
        <w:rPr>
          <w:rFonts w:ascii="Arial" w:hAnsi="Arial" w:cs="Arial"/>
          <w:sz w:val="20"/>
          <w:szCs w:val="20"/>
        </w:rPr>
        <w:t>into</w:t>
      </w:r>
      <w:r w:rsidRPr="00AB4242">
        <w:rPr>
          <w:rFonts w:ascii="Arial" w:hAnsi="Arial" w:cs="Arial"/>
          <w:sz w:val="20"/>
          <w:szCs w:val="20"/>
        </w:rPr>
        <w:t xml:space="preserve"> absorption coefficients, corresponding to the absorbance normalized by the optical pathlength at a specific wavelength </w:t>
      </w:r>
      <w:r w:rsidRPr="007548BA">
        <w:rPr>
          <w:rFonts w:ascii="Arial" w:hAnsi="Arial" w:cs="Arial"/>
          <w:sz w:val="20"/>
        </w:rPr>
        <w:t>(Kirk 1994; Helms et al. 2008)</w:t>
      </w:r>
      <w:r w:rsidRPr="00AB4242">
        <w:rPr>
          <w:rFonts w:ascii="Arial" w:hAnsi="Arial" w:cs="Arial"/>
          <w:sz w:val="20"/>
          <w:szCs w:val="20"/>
        </w:rPr>
        <w:t xml:space="preserve">:  </w:t>
      </w:r>
    </w:p>
    <w:p w14:paraId="4D5C8A10" w14:textId="605E8E3A" w:rsidR="00676664" w:rsidRPr="00FA44EA" w:rsidRDefault="00F762B3" w:rsidP="00676664">
      <w:pPr>
        <w:spacing w:after="0" w:line="480" w:lineRule="auto"/>
        <w:jc w:val="both"/>
        <w:rPr>
          <w:rFonts w:ascii="Arial" w:eastAsiaTheme="minorEastAsia" w:hAnsi="Arial" w:cs="Arial"/>
          <w:b/>
          <w:bCs/>
          <w:sz w:val="20"/>
          <w:szCs w:val="20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λ</m:t>
                  </m:r>
                </m:sub>
              </m:sSub>
              <m:r>
                <w:rPr>
                  <w:rFonts w:ascii="Cambria Math" w:hAnsi="Cambria Math" w:cs="Arial"/>
                  <w:sz w:val="20"/>
                  <w:szCs w:val="20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-1</m:t>
                      </m:r>
                    </m:sup>
                  </m:sSup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>=2.303 ×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λ</m:t>
                      </m:r>
                    </m:sub>
                  </m:sSub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L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 xml:space="preserve">  #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2</m:t>
              </m:r>
              <m:ctrlPr>
                <w:rPr>
                  <w:rFonts w:ascii="Cambria Math" w:hAnsi="Cambria Math" w:cs="Arial"/>
                  <w:b/>
                  <w:bCs/>
                  <w:i/>
                  <w:sz w:val="20"/>
                  <w:szCs w:val="20"/>
                </w:rPr>
              </m:ctrlPr>
            </m:e>
          </m:eqArr>
        </m:oMath>
      </m:oMathPara>
    </w:p>
    <w:p w14:paraId="7229629F" w14:textId="77777777" w:rsidR="00676664" w:rsidRPr="00AB4242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Where </w:t>
      </w:r>
      <w:r w:rsidRPr="00AB4242">
        <w:rPr>
          <w:rFonts w:ascii="Cambria Math" w:hAnsi="Cambria Math" w:cs="Cambria Math"/>
          <w:sz w:val="20"/>
          <w:szCs w:val="20"/>
        </w:rPr>
        <w:t>𝑎</w:t>
      </w:r>
      <w:r w:rsidRPr="00AB4242">
        <w:rPr>
          <w:rFonts w:ascii="Cambria Math" w:hAnsi="Cambria Math" w:cs="Cambria Math"/>
          <w:sz w:val="20"/>
          <w:szCs w:val="20"/>
          <w:vertAlign w:val="subscript"/>
        </w:rPr>
        <w:t>𝜆</w:t>
      </w:r>
      <w:r w:rsidRPr="00AB424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is </w:t>
      </w:r>
      <w:r w:rsidRPr="00AB4242">
        <w:rPr>
          <w:rFonts w:ascii="Arial" w:hAnsi="Arial" w:cs="Arial"/>
          <w:sz w:val="20"/>
          <w:szCs w:val="20"/>
        </w:rPr>
        <w:t>the absorption coefficient (m</w:t>
      </w:r>
      <w:r w:rsidRPr="00AB4242">
        <w:rPr>
          <w:rFonts w:ascii="Arial" w:hAnsi="Arial" w:cs="Arial"/>
          <w:sz w:val="20"/>
          <w:szCs w:val="20"/>
          <w:vertAlign w:val="superscript"/>
        </w:rPr>
        <w:t>-1</w:t>
      </w:r>
      <w:r w:rsidRPr="00AB4242">
        <w:rPr>
          <w:rFonts w:ascii="Arial" w:hAnsi="Arial" w:cs="Arial"/>
          <w:sz w:val="20"/>
          <w:szCs w:val="20"/>
        </w:rPr>
        <w:t xml:space="preserve">) at the wavelength </w:t>
      </w:r>
      <w:r w:rsidRPr="00AB4242">
        <w:rPr>
          <w:rFonts w:ascii="Cambria Math" w:hAnsi="Cambria Math" w:cs="Cambria Math"/>
          <w:sz w:val="20"/>
          <w:szCs w:val="20"/>
        </w:rPr>
        <w:t>𝜆</w:t>
      </w:r>
      <w:r w:rsidRPr="00AB4242">
        <w:rPr>
          <w:rFonts w:ascii="Arial" w:hAnsi="Arial" w:cs="Arial"/>
          <w:sz w:val="20"/>
          <w:szCs w:val="20"/>
        </w:rPr>
        <w:t>, A</w:t>
      </w:r>
      <w:r w:rsidRPr="00AB4242">
        <w:rPr>
          <w:rFonts w:ascii="Cambria Math" w:hAnsi="Cambria Math" w:cs="Cambria Math"/>
          <w:sz w:val="20"/>
          <w:szCs w:val="20"/>
          <w:vertAlign w:val="subscript"/>
        </w:rPr>
        <w:t>𝜆</w:t>
      </w:r>
      <w:r w:rsidRPr="00AB424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is </w:t>
      </w:r>
      <w:r w:rsidRPr="00AB4242">
        <w:rPr>
          <w:rFonts w:ascii="Arial" w:hAnsi="Arial" w:cs="Arial"/>
          <w:sz w:val="20"/>
          <w:szCs w:val="20"/>
        </w:rPr>
        <w:t>the absorbance value (</w:t>
      </w:r>
      <w:r>
        <w:rPr>
          <w:rFonts w:ascii="Arial" w:hAnsi="Arial" w:cs="Arial"/>
          <w:sz w:val="20"/>
          <w:szCs w:val="20"/>
        </w:rPr>
        <w:t>dimensionless</w:t>
      </w:r>
      <w:r w:rsidRPr="00AB4242">
        <w:rPr>
          <w:rFonts w:ascii="Arial" w:hAnsi="Arial" w:cs="Arial"/>
          <w:sz w:val="20"/>
          <w:szCs w:val="20"/>
        </w:rPr>
        <w:t xml:space="preserve">) at </w:t>
      </w:r>
      <w:r w:rsidRPr="00AB4242">
        <w:rPr>
          <w:rFonts w:ascii="Cambria Math" w:hAnsi="Cambria Math" w:cs="Cambria Math"/>
          <w:sz w:val="20"/>
          <w:szCs w:val="20"/>
        </w:rPr>
        <w:t>𝜆</w:t>
      </w:r>
      <w:r w:rsidRPr="00AB4242">
        <w:rPr>
          <w:rFonts w:ascii="Arial" w:hAnsi="Arial" w:cs="Arial"/>
          <w:i/>
          <w:iCs/>
          <w:sz w:val="20"/>
          <w:szCs w:val="20"/>
        </w:rPr>
        <w:t>,</w:t>
      </w:r>
      <w:r w:rsidRPr="00AB4242">
        <w:rPr>
          <w:rFonts w:ascii="Arial" w:hAnsi="Arial" w:cs="Arial"/>
          <w:sz w:val="20"/>
          <w:szCs w:val="20"/>
        </w:rPr>
        <w:t xml:space="preserve"> and </w:t>
      </w:r>
      <w:r w:rsidRPr="00AB4242">
        <w:rPr>
          <w:rFonts w:ascii="Arial" w:hAnsi="Arial" w:cs="Arial"/>
          <w:i/>
          <w:iCs/>
          <w:sz w:val="20"/>
          <w:szCs w:val="20"/>
        </w:rPr>
        <w:t>L</w:t>
      </w:r>
      <w:r w:rsidRPr="00AB424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is </w:t>
      </w:r>
      <w:r w:rsidRPr="00AB4242">
        <w:rPr>
          <w:rFonts w:ascii="Arial" w:hAnsi="Arial" w:cs="Arial"/>
          <w:sz w:val="20"/>
          <w:szCs w:val="20"/>
        </w:rPr>
        <w:t xml:space="preserve">the optical pathlength of the cuvette (m). </w:t>
      </w:r>
    </w:p>
    <w:p w14:paraId="38B973A9" w14:textId="5748FD3F" w:rsidR="00676664" w:rsidRPr="00AB4242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AB4242">
        <w:rPr>
          <w:rFonts w:ascii="Arial" w:hAnsi="Arial" w:cs="Arial"/>
          <w:sz w:val="20"/>
          <w:szCs w:val="20"/>
        </w:rPr>
        <w:t xml:space="preserve">We calculated the </w:t>
      </w:r>
      <w:r>
        <w:rPr>
          <w:rFonts w:ascii="Arial" w:hAnsi="Arial" w:cs="Arial"/>
          <w:sz w:val="20"/>
          <w:szCs w:val="20"/>
        </w:rPr>
        <w:t>sample-</w:t>
      </w:r>
      <w:r w:rsidRPr="00AB4242">
        <w:rPr>
          <w:rFonts w:ascii="Arial" w:hAnsi="Arial" w:cs="Arial"/>
          <w:sz w:val="20"/>
          <w:szCs w:val="20"/>
        </w:rPr>
        <w:t>specific UV absorbance at 254 nm (SUVA</w:t>
      </w:r>
      <w:r w:rsidRPr="00AB4242">
        <w:rPr>
          <w:rFonts w:ascii="Arial" w:hAnsi="Arial" w:cs="Arial"/>
          <w:sz w:val="20"/>
          <w:szCs w:val="20"/>
          <w:vertAlign w:val="subscript"/>
        </w:rPr>
        <w:t>254</w:t>
      </w:r>
      <w:r w:rsidRPr="00AB4242">
        <w:rPr>
          <w:rFonts w:ascii="Arial" w:hAnsi="Arial" w:cs="Arial"/>
          <w:sz w:val="20"/>
          <w:szCs w:val="20"/>
        </w:rPr>
        <w:t>) for each sample. SUVA</w:t>
      </w:r>
      <w:r w:rsidRPr="00AB4242">
        <w:rPr>
          <w:rFonts w:ascii="Arial" w:hAnsi="Arial" w:cs="Arial"/>
          <w:sz w:val="20"/>
          <w:szCs w:val="20"/>
          <w:vertAlign w:val="subscript"/>
        </w:rPr>
        <w:t>254</w:t>
      </w:r>
      <w:r w:rsidRPr="00AB4242">
        <w:rPr>
          <w:rFonts w:ascii="Arial" w:hAnsi="Arial" w:cs="Arial"/>
          <w:sz w:val="20"/>
          <w:szCs w:val="20"/>
        </w:rPr>
        <w:t xml:space="preserve"> serves as a surrogate for DOM aromaticity and is determined by dividing the absorption coefficient measured at 254 nm (</w:t>
      </w:r>
      <w:r w:rsidRPr="00AB4242">
        <w:rPr>
          <w:rFonts w:ascii="Cambria Math" w:hAnsi="Cambria Math" w:cs="Cambria Math"/>
          <w:sz w:val="20"/>
          <w:szCs w:val="20"/>
        </w:rPr>
        <w:t>𝑎</w:t>
      </w:r>
      <w:r w:rsidRPr="00AB4242">
        <w:rPr>
          <w:rFonts w:ascii="Arial" w:hAnsi="Arial" w:cs="Arial"/>
          <w:sz w:val="20"/>
          <w:szCs w:val="20"/>
          <w:vertAlign w:val="subscript"/>
        </w:rPr>
        <w:t>254</w:t>
      </w:r>
      <w:r w:rsidRPr="00AB4242">
        <w:rPr>
          <w:rFonts w:ascii="Arial" w:hAnsi="Arial" w:cs="Arial"/>
          <w:sz w:val="20"/>
          <w:szCs w:val="20"/>
        </w:rPr>
        <w:t xml:space="preserve">) by the sample DOC concentration </w:t>
      </w:r>
      <w:r w:rsidRPr="007548BA">
        <w:rPr>
          <w:rFonts w:ascii="Arial" w:hAnsi="Arial" w:cs="Arial"/>
          <w:sz w:val="20"/>
        </w:rPr>
        <w:t>(Weishaar et al. 2003)</w:t>
      </w:r>
      <w:r w:rsidRPr="00AB4242">
        <w:rPr>
          <w:rFonts w:ascii="Arial" w:hAnsi="Arial" w:cs="Arial"/>
          <w:sz w:val="20"/>
          <w:szCs w:val="20"/>
        </w:rPr>
        <w:t xml:space="preserve">: </w:t>
      </w:r>
    </w:p>
    <w:p w14:paraId="3D96E4A6" w14:textId="13669038" w:rsidR="00676664" w:rsidRPr="00FA44EA" w:rsidRDefault="00F762B3" w:rsidP="00676664">
      <w:pPr>
        <w:spacing w:after="0" w:line="480" w:lineRule="auto"/>
        <w:jc w:val="both"/>
        <w:rPr>
          <w:rFonts w:ascii="Arial" w:eastAsiaTheme="minorEastAsia" w:hAnsi="Arial" w:cs="Arial"/>
          <w:b/>
          <w:bCs/>
          <w:sz w:val="20"/>
          <w:szCs w:val="20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SUVA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254</m:t>
                  </m:r>
                </m:sub>
              </m:sSub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L 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mg C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-1</m:t>
                      </m:r>
                    </m:sup>
                  </m:s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-1</m:t>
                      </m:r>
                    </m:sup>
                  </m:sSup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254</m:t>
                      </m:r>
                    </m:sub>
                  </m:s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-1</m:t>
                          </m:r>
                        </m:sup>
                      </m:sSup>
                    </m:e>
                  </m:d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DOC 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mg C L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-1</m:t>
                          </m:r>
                        </m:sup>
                      </m:sSup>
                    </m:e>
                  </m:d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>#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3</m:t>
              </m:r>
              <m:ctrlPr>
                <w:rPr>
                  <w:rFonts w:ascii="Cambria Math" w:hAnsi="Cambria Math" w:cs="Arial"/>
                  <w:b/>
                  <w:bCs/>
                  <w:i/>
                  <w:sz w:val="20"/>
                  <w:szCs w:val="20"/>
                </w:rPr>
              </m:ctrlPr>
            </m:e>
          </m:eqArr>
        </m:oMath>
      </m:oMathPara>
    </w:p>
    <w:p w14:paraId="60CE8E5E" w14:textId="5F3EBED9" w:rsidR="00676664" w:rsidRPr="007548BA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AB4242">
        <w:rPr>
          <w:rFonts w:ascii="Arial" w:hAnsi="Arial" w:cs="Arial"/>
          <w:sz w:val="20"/>
          <w:szCs w:val="20"/>
        </w:rPr>
        <w:t>Additionally, we computed several spectral absorption ratios, including E</w:t>
      </w:r>
      <w:r w:rsidRPr="00AB4242">
        <w:rPr>
          <w:rFonts w:ascii="Arial" w:hAnsi="Arial" w:cs="Arial"/>
          <w:sz w:val="20"/>
          <w:szCs w:val="20"/>
          <w:vertAlign w:val="subscript"/>
        </w:rPr>
        <w:t>2</w:t>
      </w:r>
      <w:r w:rsidRPr="00AB4242">
        <w:rPr>
          <w:rFonts w:ascii="Arial" w:hAnsi="Arial" w:cs="Arial"/>
          <w:sz w:val="20"/>
          <w:szCs w:val="20"/>
        </w:rPr>
        <w:t>/E</w:t>
      </w:r>
      <w:r w:rsidRPr="00AB4242">
        <w:rPr>
          <w:rFonts w:ascii="Arial" w:hAnsi="Arial" w:cs="Arial"/>
          <w:sz w:val="20"/>
          <w:szCs w:val="20"/>
          <w:vertAlign w:val="subscript"/>
        </w:rPr>
        <w:t>3</w:t>
      </w:r>
      <w:r w:rsidRPr="00AB4242">
        <w:rPr>
          <w:rFonts w:ascii="Arial" w:hAnsi="Arial" w:cs="Arial"/>
          <w:sz w:val="20"/>
          <w:szCs w:val="20"/>
        </w:rPr>
        <w:t xml:space="preserve"> (ratio of the absorbance coefficients at 250 nm and 365 nm), E</w:t>
      </w:r>
      <w:r w:rsidRPr="00AB4242">
        <w:rPr>
          <w:rFonts w:ascii="Arial" w:hAnsi="Arial" w:cs="Arial"/>
          <w:sz w:val="20"/>
          <w:szCs w:val="20"/>
          <w:vertAlign w:val="subscript"/>
        </w:rPr>
        <w:t>2</w:t>
      </w:r>
      <w:r w:rsidRPr="00AB4242">
        <w:rPr>
          <w:rFonts w:ascii="Arial" w:hAnsi="Arial" w:cs="Arial"/>
          <w:sz w:val="20"/>
          <w:szCs w:val="20"/>
        </w:rPr>
        <w:t>/E</w:t>
      </w:r>
      <w:r w:rsidRPr="00AB4242">
        <w:rPr>
          <w:rFonts w:ascii="Arial" w:hAnsi="Arial" w:cs="Arial"/>
          <w:sz w:val="20"/>
          <w:szCs w:val="20"/>
          <w:vertAlign w:val="subscript"/>
        </w:rPr>
        <w:t xml:space="preserve">4 </w:t>
      </w:r>
      <w:r w:rsidRPr="00AB4242">
        <w:rPr>
          <w:rFonts w:ascii="Arial" w:hAnsi="Arial" w:cs="Arial"/>
          <w:sz w:val="20"/>
          <w:szCs w:val="20"/>
        </w:rPr>
        <w:t>(ratio of the absorbance coefficients at 250 nm and 465 nm), and E</w:t>
      </w:r>
      <w:r w:rsidRPr="00AB4242">
        <w:rPr>
          <w:rFonts w:ascii="Arial" w:hAnsi="Arial" w:cs="Arial"/>
          <w:sz w:val="20"/>
          <w:szCs w:val="20"/>
          <w:vertAlign w:val="subscript"/>
        </w:rPr>
        <w:t>4</w:t>
      </w:r>
      <w:r w:rsidRPr="00AB4242">
        <w:rPr>
          <w:rFonts w:ascii="Arial" w:hAnsi="Arial" w:cs="Arial"/>
          <w:sz w:val="20"/>
          <w:szCs w:val="20"/>
        </w:rPr>
        <w:t>/E</w:t>
      </w:r>
      <w:r w:rsidRPr="00AB4242">
        <w:rPr>
          <w:rFonts w:ascii="Arial" w:hAnsi="Arial" w:cs="Arial"/>
          <w:sz w:val="20"/>
          <w:szCs w:val="20"/>
          <w:vertAlign w:val="subscript"/>
        </w:rPr>
        <w:t xml:space="preserve">6 </w:t>
      </w:r>
      <w:r w:rsidRPr="00AB4242">
        <w:rPr>
          <w:rFonts w:ascii="Arial" w:hAnsi="Arial" w:cs="Arial"/>
          <w:sz w:val="20"/>
          <w:szCs w:val="20"/>
        </w:rPr>
        <w:t xml:space="preserve">(ratio of the absorbance coefficients at 465 nm and 665 nm) </w:t>
      </w:r>
      <w:r w:rsidRPr="007548BA">
        <w:rPr>
          <w:rFonts w:ascii="Arial" w:hAnsi="Arial" w:cs="Arial"/>
          <w:sz w:val="20"/>
        </w:rPr>
        <w:t xml:space="preserve">(Chin et al. 1994; </w:t>
      </w:r>
      <w:proofErr w:type="spellStart"/>
      <w:r w:rsidRPr="007548BA">
        <w:rPr>
          <w:rFonts w:ascii="Arial" w:hAnsi="Arial" w:cs="Arial"/>
          <w:sz w:val="20"/>
        </w:rPr>
        <w:t>Peuravuori</w:t>
      </w:r>
      <w:proofErr w:type="spellEnd"/>
      <w:r w:rsidRPr="007548BA">
        <w:rPr>
          <w:rFonts w:ascii="Arial" w:hAnsi="Arial" w:cs="Arial"/>
          <w:sz w:val="20"/>
        </w:rPr>
        <w:t xml:space="preserve"> and Pihlaja 1997; Helms et al. 2008)</w:t>
      </w:r>
      <w:r w:rsidRPr="007548BA">
        <w:rPr>
          <w:rFonts w:ascii="Arial" w:hAnsi="Arial" w:cs="Arial"/>
          <w:sz w:val="20"/>
          <w:szCs w:val="20"/>
        </w:rPr>
        <w:t>.</w:t>
      </w:r>
    </w:p>
    <w:p w14:paraId="6F3892B9" w14:textId="057CB748" w:rsidR="00676664" w:rsidRPr="00AB4242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AB4242">
        <w:rPr>
          <w:rFonts w:ascii="Arial" w:hAnsi="Arial" w:cs="Arial"/>
          <w:sz w:val="20"/>
          <w:szCs w:val="20"/>
        </w:rPr>
        <w:lastRenderedPageBreak/>
        <w:t>Finally, we determined the absorption slope ratio (S</w:t>
      </w:r>
      <w:r w:rsidRPr="00AB4242">
        <w:rPr>
          <w:rFonts w:ascii="Arial" w:hAnsi="Arial" w:cs="Arial"/>
          <w:sz w:val="20"/>
          <w:szCs w:val="20"/>
          <w:vertAlign w:val="subscript"/>
        </w:rPr>
        <w:t>R</w:t>
      </w:r>
      <w:r w:rsidRPr="00AB4242">
        <w:rPr>
          <w:rFonts w:ascii="Arial" w:hAnsi="Arial" w:cs="Arial"/>
          <w:sz w:val="20"/>
          <w:szCs w:val="20"/>
        </w:rPr>
        <w:t>). S</w:t>
      </w:r>
      <w:r w:rsidRPr="00005B98">
        <w:rPr>
          <w:rFonts w:ascii="Arial" w:hAnsi="Arial" w:cs="Arial"/>
          <w:sz w:val="20"/>
          <w:szCs w:val="20"/>
          <w:vertAlign w:val="subscript"/>
        </w:rPr>
        <w:t>R</w:t>
      </w:r>
      <w:r w:rsidRPr="00AB4242">
        <w:rPr>
          <w:rFonts w:ascii="Arial" w:hAnsi="Arial" w:cs="Arial"/>
          <w:sz w:val="20"/>
          <w:szCs w:val="20"/>
        </w:rPr>
        <w:t xml:space="preserve"> is obtained by dividing the spectral slope between 275 nm and 295 nm by the spectral slope between 350 nm and 400 nm. These spectral slopes are derived from fitting log-transformed absorbance spectra to nonlinear regression</w:t>
      </w:r>
      <w:r>
        <w:rPr>
          <w:rFonts w:ascii="Arial" w:hAnsi="Arial" w:cs="Arial"/>
          <w:sz w:val="20"/>
          <w:szCs w:val="20"/>
        </w:rPr>
        <w:t xml:space="preserve"> </w:t>
      </w:r>
      <w:r w:rsidRPr="007548BA">
        <w:rPr>
          <w:rFonts w:ascii="Arial" w:hAnsi="Arial" w:cs="Arial"/>
          <w:sz w:val="20"/>
        </w:rPr>
        <w:t>(</w:t>
      </w:r>
      <w:proofErr w:type="spellStart"/>
      <w:r w:rsidRPr="007548BA">
        <w:rPr>
          <w:rFonts w:ascii="Arial" w:hAnsi="Arial" w:cs="Arial"/>
          <w:sz w:val="20"/>
        </w:rPr>
        <w:t>Bricaud</w:t>
      </w:r>
      <w:proofErr w:type="spellEnd"/>
      <w:r w:rsidRPr="007548BA">
        <w:rPr>
          <w:rFonts w:ascii="Arial" w:hAnsi="Arial" w:cs="Arial"/>
          <w:sz w:val="20"/>
        </w:rPr>
        <w:t xml:space="preserve"> et al. 1981; Helms et al. 2008)</w:t>
      </w:r>
      <w:r w:rsidRPr="00AB4242">
        <w:rPr>
          <w:rFonts w:ascii="Arial" w:hAnsi="Arial" w:cs="Arial"/>
          <w:sz w:val="20"/>
          <w:szCs w:val="20"/>
        </w:rPr>
        <w:t xml:space="preserve">, according to the following exponential decay equation:  </w:t>
      </w:r>
    </w:p>
    <w:p w14:paraId="6861B698" w14:textId="7924BD4B" w:rsidR="00676664" w:rsidRPr="00C20B42" w:rsidRDefault="00F762B3" w:rsidP="00676664">
      <w:pPr>
        <w:spacing w:after="0" w:line="480" w:lineRule="auto"/>
        <w:jc w:val="both"/>
        <w:rPr>
          <w:rFonts w:ascii="Arial" w:eastAsiaTheme="minorEastAsia" w:hAnsi="Arial" w:cs="Arial"/>
          <w:b/>
          <w:bCs/>
          <w:sz w:val="20"/>
          <w:szCs w:val="20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λ</m:t>
                  </m:r>
                </m:sub>
              </m:sSub>
              <m:r>
                <w:rPr>
                  <w:rFonts w:ascii="Cambria Math" w:hAnsi="Cambria Math" w:cs="Arial"/>
                  <w:sz w:val="20"/>
                  <w:szCs w:val="20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λref</m:t>
                  </m:r>
                </m:sub>
              </m:sSub>
              <m:r>
                <w:rPr>
                  <w:rFonts w:ascii="Cambria Math" w:hAnsi="Cambria Math" w:cs="Arial"/>
                  <w:sz w:val="20"/>
                  <w:szCs w:val="20"/>
                </w:rPr>
                <m:t xml:space="preserve"> ×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e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-S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λ-λref</m:t>
                      </m:r>
                    </m:e>
                  </m:d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>#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4</m:t>
              </m:r>
              <m:ctrlPr>
                <w:rPr>
                  <w:rFonts w:ascii="Cambria Math" w:hAnsi="Cambria Math" w:cs="Arial"/>
                  <w:b/>
                  <w:bCs/>
                  <w:i/>
                  <w:sz w:val="20"/>
                  <w:szCs w:val="20"/>
                </w:rPr>
              </m:ctrlPr>
            </m:e>
          </m:eqArr>
        </m:oMath>
      </m:oMathPara>
    </w:p>
    <w:p w14:paraId="07A6DAEF" w14:textId="0CE5189F" w:rsidR="00676664" w:rsidRPr="00AB4242" w:rsidRDefault="00676664" w:rsidP="006766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AB4242">
        <w:rPr>
          <w:rFonts w:ascii="Arial" w:hAnsi="Arial" w:cs="Arial"/>
          <w:sz w:val="20"/>
          <w:szCs w:val="20"/>
        </w:rPr>
        <w:t xml:space="preserve">With </w:t>
      </w:r>
      <w:r w:rsidRPr="00AB4242">
        <w:rPr>
          <w:rFonts w:ascii="Cambria Math" w:hAnsi="Cambria Math" w:cs="Cambria Math"/>
          <w:sz w:val="20"/>
          <w:szCs w:val="20"/>
        </w:rPr>
        <w:t>𝑎</w:t>
      </w:r>
      <w:r w:rsidRPr="00AB4242">
        <w:rPr>
          <w:rFonts w:ascii="Cambria Math" w:hAnsi="Cambria Math" w:cs="Cambria Math"/>
          <w:sz w:val="20"/>
          <w:szCs w:val="20"/>
          <w:vertAlign w:val="subscript"/>
        </w:rPr>
        <w:t>𝜆</w:t>
      </w:r>
      <w:r w:rsidRPr="00AB4242">
        <w:rPr>
          <w:rFonts w:ascii="Arial" w:hAnsi="Arial" w:cs="Arial"/>
          <w:sz w:val="20"/>
          <w:szCs w:val="20"/>
        </w:rPr>
        <w:t xml:space="preserve"> the absorption coefficient (m</w:t>
      </w:r>
      <w:r w:rsidRPr="00AB4242">
        <w:rPr>
          <w:rFonts w:ascii="Arial" w:hAnsi="Arial" w:cs="Arial"/>
          <w:sz w:val="20"/>
          <w:szCs w:val="20"/>
          <w:vertAlign w:val="superscript"/>
        </w:rPr>
        <w:t>-1</w:t>
      </w:r>
      <w:r w:rsidRPr="00AB4242">
        <w:rPr>
          <w:rFonts w:ascii="Arial" w:hAnsi="Arial" w:cs="Arial"/>
          <w:sz w:val="20"/>
          <w:szCs w:val="20"/>
        </w:rPr>
        <w:t xml:space="preserve">) at a specific wavelength λ, </w:t>
      </w:r>
      <w:r w:rsidRPr="00AB4242">
        <w:rPr>
          <w:rFonts w:ascii="Cambria Math" w:hAnsi="Cambria Math" w:cs="Cambria Math"/>
          <w:sz w:val="20"/>
          <w:szCs w:val="20"/>
        </w:rPr>
        <w:t>𝜆𝑟𝑒𝑓</w:t>
      </w:r>
      <w:r w:rsidRPr="00AB4242">
        <w:rPr>
          <w:rFonts w:ascii="Arial" w:hAnsi="Arial" w:cs="Arial"/>
          <w:sz w:val="20"/>
          <w:szCs w:val="20"/>
        </w:rPr>
        <w:t xml:space="preserve"> the reference wavelength (e.g. 350 nm) and S the spectral slope of the absorption spectra in the wavelength range [λ0-λ], describing the steepness of the spectrum </w:t>
      </w:r>
      <w:r w:rsidRPr="007548BA">
        <w:rPr>
          <w:rFonts w:ascii="Arial" w:hAnsi="Arial" w:cs="Arial"/>
          <w:sz w:val="20"/>
        </w:rPr>
        <w:t>(Loiselle et al. 2009)</w:t>
      </w:r>
      <w:r w:rsidRPr="00AB4242">
        <w:rPr>
          <w:rFonts w:ascii="Arial" w:hAnsi="Arial" w:cs="Arial"/>
          <w:sz w:val="20"/>
          <w:szCs w:val="20"/>
        </w:rPr>
        <w:t xml:space="preserve">.  </w:t>
      </w:r>
    </w:p>
    <w:p w14:paraId="3C775F12" w14:textId="77777777" w:rsidR="00991FB2" w:rsidRDefault="00991FB2" w:rsidP="00991FB2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4A870D81" w14:textId="77777777" w:rsidR="00991FB2" w:rsidRPr="00B826D0" w:rsidRDefault="00991FB2" w:rsidP="00991FB2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B826D0">
        <w:rPr>
          <w:rFonts w:ascii="Arial" w:hAnsi="Arial" w:cs="Arial"/>
          <w:sz w:val="24"/>
          <w:szCs w:val="24"/>
        </w:rPr>
        <w:t>References</w:t>
      </w:r>
    </w:p>
    <w:p w14:paraId="3A1DF125" w14:textId="24D41500" w:rsidR="00991FB2" w:rsidRPr="00B826D0" w:rsidRDefault="00991FB2" w:rsidP="00991FB2">
      <w:pPr>
        <w:pStyle w:val="Bibliography"/>
        <w:jc w:val="both"/>
        <w:rPr>
          <w:rFonts w:ascii="Arial" w:hAnsi="Arial" w:cs="Arial"/>
          <w:sz w:val="20"/>
          <w:szCs w:val="20"/>
        </w:rPr>
      </w:pPr>
      <w:r w:rsidRPr="00B826D0">
        <w:rPr>
          <w:rFonts w:ascii="Arial" w:hAnsi="Arial" w:cs="Arial"/>
          <w:sz w:val="20"/>
          <w:szCs w:val="20"/>
        </w:rPr>
        <w:t xml:space="preserve">Barnes RJ, Dhanoa MS, Lister SJ (1989) Standard Normal Variate Transformation and De-Trending of Near-Infrared Diffuse Reflectance Spectra. Appl </w:t>
      </w:r>
      <w:proofErr w:type="spellStart"/>
      <w:r w:rsidRPr="00B826D0">
        <w:rPr>
          <w:rFonts w:ascii="Arial" w:hAnsi="Arial" w:cs="Arial"/>
          <w:sz w:val="20"/>
          <w:szCs w:val="20"/>
        </w:rPr>
        <w:t>Spectrosc</w:t>
      </w:r>
      <w:proofErr w:type="spellEnd"/>
      <w:r w:rsidRPr="00B826D0">
        <w:rPr>
          <w:rFonts w:ascii="Arial" w:hAnsi="Arial" w:cs="Arial"/>
          <w:sz w:val="20"/>
          <w:szCs w:val="20"/>
        </w:rPr>
        <w:t xml:space="preserve"> 43:772–777. </w:t>
      </w:r>
      <w:hyperlink r:id="rId11" w:history="1">
        <w:r w:rsidR="00B826D0" w:rsidRPr="005B0B42">
          <w:rPr>
            <w:rStyle w:val="Hyperlink"/>
            <w:rFonts w:ascii="Arial" w:hAnsi="Arial" w:cs="Arial"/>
            <w:sz w:val="20"/>
            <w:szCs w:val="20"/>
          </w:rPr>
          <w:t>https://doi.org/10.1366/0003702894202201</w:t>
        </w:r>
      </w:hyperlink>
      <w:r w:rsidR="00B826D0">
        <w:rPr>
          <w:rFonts w:ascii="Arial" w:hAnsi="Arial" w:cs="Arial"/>
          <w:sz w:val="20"/>
          <w:szCs w:val="20"/>
        </w:rPr>
        <w:t xml:space="preserve"> </w:t>
      </w:r>
    </w:p>
    <w:p w14:paraId="29B8E5C5" w14:textId="7D67BEB8" w:rsidR="00991FB2" w:rsidRPr="00B826D0" w:rsidRDefault="00991FB2" w:rsidP="00991FB2">
      <w:pPr>
        <w:pStyle w:val="Bibliography"/>
        <w:jc w:val="both"/>
        <w:rPr>
          <w:rFonts w:ascii="Arial" w:hAnsi="Arial" w:cs="Arial"/>
          <w:sz w:val="20"/>
          <w:szCs w:val="20"/>
        </w:rPr>
      </w:pPr>
      <w:proofErr w:type="spellStart"/>
      <w:r w:rsidRPr="00B826D0">
        <w:rPr>
          <w:rFonts w:ascii="Arial" w:hAnsi="Arial" w:cs="Arial"/>
          <w:sz w:val="20"/>
          <w:szCs w:val="20"/>
        </w:rPr>
        <w:t>Bricaud</w:t>
      </w:r>
      <w:proofErr w:type="spellEnd"/>
      <w:r w:rsidRPr="00B826D0">
        <w:rPr>
          <w:rFonts w:ascii="Arial" w:hAnsi="Arial" w:cs="Arial"/>
          <w:sz w:val="20"/>
          <w:szCs w:val="20"/>
        </w:rPr>
        <w:t xml:space="preserve"> A, Morel A, Prieur L (1981) Absorption by dissolved organic matter of the sea (yellow substance) in the UV and visible domains. </w:t>
      </w:r>
      <w:proofErr w:type="spellStart"/>
      <w:r w:rsidRPr="00B826D0">
        <w:rPr>
          <w:rFonts w:ascii="Arial" w:hAnsi="Arial" w:cs="Arial"/>
          <w:sz w:val="20"/>
          <w:szCs w:val="20"/>
        </w:rPr>
        <w:t>Limnol</w:t>
      </w:r>
      <w:proofErr w:type="spellEnd"/>
      <w:r w:rsidRPr="00B826D0">
        <w:rPr>
          <w:rFonts w:ascii="Arial" w:hAnsi="Arial" w:cs="Arial"/>
          <w:sz w:val="20"/>
          <w:szCs w:val="20"/>
        </w:rPr>
        <w:t xml:space="preserve"> Oceanogr 26:43–53. </w:t>
      </w:r>
      <w:hyperlink r:id="rId12" w:history="1">
        <w:r w:rsidR="00B826D0" w:rsidRPr="005B0B42">
          <w:rPr>
            <w:rStyle w:val="Hyperlink"/>
            <w:rFonts w:ascii="Arial" w:hAnsi="Arial" w:cs="Arial"/>
            <w:sz w:val="20"/>
            <w:szCs w:val="20"/>
          </w:rPr>
          <w:t>https://doi.org/10.4319/lo.1981.26.1.0043</w:t>
        </w:r>
      </w:hyperlink>
      <w:r w:rsidR="00B826D0">
        <w:rPr>
          <w:rFonts w:ascii="Arial" w:hAnsi="Arial" w:cs="Arial"/>
          <w:sz w:val="20"/>
          <w:szCs w:val="20"/>
        </w:rPr>
        <w:t xml:space="preserve">  </w:t>
      </w:r>
    </w:p>
    <w:p w14:paraId="35537B6D" w14:textId="1808BFEA" w:rsidR="00991FB2" w:rsidRPr="00B826D0" w:rsidRDefault="00991FB2" w:rsidP="00991FB2">
      <w:pPr>
        <w:pStyle w:val="Bibliography"/>
        <w:jc w:val="both"/>
        <w:rPr>
          <w:rFonts w:ascii="Arial" w:hAnsi="Arial" w:cs="Arial"/>
          <w:sz w:val="20"/>
          <w:szCs w:val="20"/>
        </w:rPr>
      </w:pPr>
      <w:r w:rsidRPr="00B826D0">
        <w:rPr>
          <w:rFonts w:ascii="Arial" w:hAnsi="Arial" w:cs="Arial"/>
          <w:sz w:val="20"/>
          <w:szCs w:val="20"/>
        </w:rPr>
        <w:t xml:space="preserve">Chin Y-Ping, Aiken George, O’Loughlin Edward (1994) Molecular Weight, Polydispersity, and Spectroscopic Properties of Aquatic Humic Substances. Environ Sci Technol 28:1853–1858. </w:t>
      </w:r>
      <w:hyperlink r:id="rId13" w:history="1">
        <w:r w:rsidR="00B826D0" w:rsidRPr="005B0B42">
          <w:rPr>
            <w:rStyle w:val="Hyperlink"/>
            <w:rFonts w:ascii="Arial" w:hAnsi="Arial" w:cs="Arial"/>
            <w:sz w:val="20"/>
            <w:szCs w:val="20"/>
          </w:rPr>
          <w:t>https://doi.org/10.1021/es00060a015</w:t>
        </w:r>
      </w:hyperlink>
      <w:r w:rsidR="00B826D0">
        <w:rPr>
          <w:rFonts w:ascii="Arial" w:hAnsi="Arial" w:cs="Arial"/>
          <w:sz w:val="20"/>
          <w:szCs w:val="20"/>
        </w:rPr>
        <w:t xml:space="preserve"> </w:t>
      </w:r>
    </w:p>
    <w:p w14:paraId="5EB2DBAA" w14:textId="15F5E4FC" w:rsidR="00991FB2" w:rsidRPr="00B826D0" w:rsidRDefault="00991FB2" w:rsidP="00991FB2">
      <w:pPr>
        <w:pStyle w:val="Bibliography"/>
        <w:jc w:val="both"/>
        <w:rPr>
          <w:rFonts w:ascii="Arial" w:hAnsi="Arial" w:cs="Arial"/>
          <w:sz w:val="20"/>
          <w:szCs w:val="20"/>
        </w:rPr>
      </w:pPr>
      <w:r w:rsidRPr="00B826D0">
        <w:rPr>
          <w:rFonts w:ascii="Arial" w:hAnsi="Arial" w:cs="Arial"/>
          <w:sz w:val="20"/>
          <w:szCs w:val="20"/>
        </w:rPr>
        <w:t xml:space="preserve">Helms JR, Stubbins A, Ritchie JD, Minor EC, Kieber DJ, Mopper K (2008) Absorption spectral slopes and slope ratios as indicators of molecular weight, source, and photobleaching of chromophoric dissolved organic matter. </w:t>
      </w:r>
      <w:proofErr w:type="spellStart"/>
      <w:r w:rsidRPr="00B826D0">
        <w:rPr>
          <w:rFonts w:ascii="Arial" w:hAnsi="Arial" w:cs="Arial"/>
          <w:sz w:val="20"/>
          <w:szCs w:val="20"/>
        </w:rPr>
        <w:t>Limnol</w:t>
      </w:r>
      <w:proofErr w:type="spellEnd"/>
      <w:r w:rsidRPr="00B826D0">
        <w:rPr>
          <w:rFonts w:ascii="Arial" w:hAnsi="Arial" w:cs="Arial"/>
          <w:sz w:val="20"/>
          <w:szCs w:val="20"/>
        </w:rPr>
        <w:t xml:space="preserve"> Oceanogr 53:955–969. </w:t>
      </w:r>
      <w:hyperlink r:id="rId14" w:history="1">
        <w:r w:rsidR="00B826D0" w:rsidRPr="005B0B42">
          <w:rPr>
            <w:rStyle w:val="Hyperlink"/>
            <w:rFonts w:ascii="Arial" w:hAnsi="Arial" w:cs="Arial"/>
            <w:sz w:val="20"/>
            <w:szCs w:val="20"/>
          </w:rPr>
          <w:t>https://doi.org/10.4319/lo.2008.53.3.0955</w:t>
        </w:r>
      </w:hyperlink>
      <w:r w:rsidR="00B826D0">
        <w:rPr>
          <w:rFonts w:ascii="Arial" w:hAnsi="Arial" w:cs="Arial"/>
          <w:sz w:val="20"/>
          <w:szCs w:val="20"/>
        </w:rPr>
        <w:t xml:space="preserve"> </w:t>
      </w:r>
    </w:p>
    <w:p w14:paraId="0EA1E526" w14:textId="27E6241A" w:rsidR="00991FB2" w:rsidRPr="00B826D0" w:rsidRDefault="00991FB2" w:rsidP="00991FB2">
      <w:pPr>
        <w:pStyle w:val="Bibliography"/>
        <w:jc w:val="both"/>
        <w:rPr>
          <w:rFonts w:ascii="Arial" w:hAnsi="Arial" w:cs="Arial"/>
          <w:sz w:val="20"/>
          <w:szCs w:val="20"/>
        </w:rPr>
      </w:pPr>
      <w:r w:rsidRPr="00B826D0">
        <w:rPr>
          <w:rFonts w:ascii="Arial" w:hAnsi="Arial" w:cs="Arial"/>
          <w:sz w:val="20"/>
          <w:szCs w:val="20"/>
        </w:rPr>
        <w:t xml:space="preserve">Kirk JTO (1994) Estimation of the absorption and the scattering coefficients of natural waters by use of underwater irradiance measurements. Appl </w:t>
      </w:r>
      <w:proofErr w:type="spellStart"/>
      <w:r w:rsidRPr="00B826D0">
        <w:rPr>
          <w:rFonts w:ascii="Arial" w:hAnsi="Arial" w:cs="Arial"/>
          <w:sz w:val="20"/>
          <w:szCs w:val="20"/>
        </w:rPr>
        <w:t>Opt</w:t>
      </w:r>
      <w:proofErr w:type="spellEnd"/>
      <w:r w:rsidRPr="00B826D0">
        <w:rPr>
          <w:rFonts w:ascii="Arial" w:hAnsi="Arial" w:cs="Arial"/>
          <w:sz w:val="20"/>
          <w:szCs w:val="20"/>
        </w:rPr>
        <w:t xml:space="preserve"> 33:3276. </w:t>
      </w:r>
      <w:hyperlink r:id="rId15" w:history="1">
        <w:r w:rsidR="00B826D0" w:rsidRPr="005B0B42">
          <w:rPr>
            <w:rStyle w:val="Hyperlink"/>
            <w:rFonts w:ascii="Arial" w:hAnsi="Arial" w:cs="Arial"/>
            <w:sz w:val="20"/>
            <w:szCs w:val="20"/>
          </w:rPr>
          <w:t>https://doi.org/10.1364/AO.33.003276</w:t>
        </w:r>
      </w:hyperlink>
      <w:r w:rsidR="00B826D0">
        <w:rPr>
          <w:rFonts w:ascii="Arial" w:hAnsi="Arial" w:cs="Arial"/>
          <w:sz w:val="20"/>
          <w:szCs w:val="20"/>
        </w:rPr>
        <w:t xml:space="preserve"> </w:t>
      </w:r>
    </w:p>
    <w:p w14:paraId="73E094DB" w14:textId="2ED3BB06" w:rsidR="00991FB2" w:rsidRPr="00B826D0" w:rsidRDefault="00991FB2" w:rsidP="00991FB2">
      <w:pPr>
        <w:pStyle w:val="Bibliography"/>
        <w:jc w:val="both"/>
        <w:rPr>
          <w:rFonts w:ascii="Arial" w:hAnsi="Arial" w:cs="Arial"/>
          <w:sz w:val="20"/>
          <w:szCs w:val="20"/>
        </w:rPr>
      </w:pPr>
      <w:r w:rsidRPr="00B826D0">
        <w:rPr>
          <w:rFonts w:ascii="Arial" w:hAnsi="Arial" w:cs="Arial"/>
          <w:sz w:val="20"/>
          <w:szCs w:val="20"/>
        </w:rPr>
        <w:t xml:space="preserve">Loiselle SA, </w:t>
      </w:r>
      <w:proofErr w:type="spellStart"/>
      <w:r w:rsidRPr="00B826D0">
        <w:rPr>
          <w:rFonts w:ascii="Arial" w:hAnsi="Arial" w:cs="Arial"/>
          <w:sz w:val="20"/>
          <w:szCs w:val="20"/>
        </w:rPr>
        <w:t>Bracchini</w:t>
      </w:r>
      <w:proofErr w:type="spellEnd"/>
      <w:r w:rsidRPr="00B826D0">
        <w:rPr>
          <w:rFonts w:ascii="Arial" w:hAnsi="Arial" w:cs="Arial"/>
          <w:sz w:val="20"/>
          <w:szCs w:val="20"/>
        </w:rPr>
        <w:t xml:space="preserve"> L, Dattilo AM, Ricci M, Tognazzi A, </w:t>
      </w:r>
      <w:proofErr w:type="spellStart"/>
      <w:r w:rsidRPr="00B826D0">
        <w:rPr>
          <w:rFonts w:ascii="Arial" w:hAnsi="Arial" w:cs="Arial"/>
          <w:sz w:val="20"/>
          <w:szCs w:val="20"/>
        </w:rPr>
        <w:t>Cózar</w:t>
      </w:r>
      <w:proofErr w:type="spellEnd"/>
      <w:r w:rsidRPr="00B826D0">
        <w:rPr>
          <w:rFonts w:ascii="Arial" w:hAnsi="Arial" w:cs="Arial"/>
          <w:sz w:val="20"/>
          <w:szCs w:val="20"/>
        </w:rPr>
        <w:t xml:space="preserve"> A, Rossi C (2009) The optical characterization of chromophoric dissolved organic matter using wavelength distribution of absorption spectral slopes. </w:t>
      </w:r>
      <w:proofErr w:type="spellStart"/>
      <w:r w:rsidRPr="00B826D0">
        <w:rPr>
          <w:rFonts w:ascii="Arial" w:hAnsi="Arial" w:cs="Arial"/>
          <w:sz w:val="20"/>
          <w:szCs w:val="20"/>
        </w:rPr>
        <w:t>Limnol</w:t>
      </w:r>
      <w:proofErr w:type="spellEnd"/>
      <w:r w:rsidRPr="00B826D0">
        <w:rPr>
          <w:rFonts w:ascii="Arial" w:hAnsi="Arial" w:cs="Arial"/>
          <w:sz w:val="20"/>
          <w:szCs w:val="20"/>
        </w:rPr>
        <w:t xml:space="preserve"> Oceanogr 54:590–597. </w:t>
      </w:r>
      <w:hyperlink r:id="rId16" w:history="1">
        <w:r w:rsidR="00B826D0" w:rsidRPr="005B0B42">
          <w:rPr>
            <w:rStyle w:val="Hyperlink"/>
            <w:rFonts w:ascii="Arial" w:hAnsi="Arial" w:cs="Arial"/>
            <w:sz w:val="20"/>
            <w:szCs w:val="20"/>
          </w:rPr>
          <w:t>https://doi.org/10.4319/lo.2009.54.2.0590</w:t>
        </w:r>
      </w:hyperlink>
      <w:r w:rsidR="00B826D0">
        <w:rPr>
          <w:rFonts w:ascii="Arial" w:hAnsi="Arial" w:cs="Arial"/>
          <w:sz w:val="20"/>
          <w:szCs w:val="20"/>
        </w:rPr>
        <w:t xml:space="preserve"> </w:t>
      </w:r>
    </w:p>
    <w:p w14:paraId="09BB7C4A" w14:textId="5D17F48D" w:rsidR="00991FB2" w:rsidRPr="00B826D0" w:rsidRDefault="00991FB2" w:rsidP="00991FB2">
      <w:pPr>
        <w:pStyle w:val="Bibliography"/>
        <w:jc w:val="both"/>
        <w:rPr>
          <w:rFonts w:ascii="Arial" w:hAnsi="Arial" w:cs="Arial"/>
          <w:sz w:val="20"/>
          <w:szCs w:val="20"/>
        </w:rPr>
      </w:pPr>
      <w:proofErr w:type="spellStart"/>
      <w:r w:rsidRPr="00B826D0">
        <w:rPr>
          <w:rFonts w:ascii="Arial" w:hAnsi="Arial" w:cs="Arial"/>
          <w:sz w:val="20"/>
          <w:szCs w:val="20"/>
        </w:rPr>
        <w:t>Peuravuori</w:t>
      </w:r>
      <w:proofErr w:type="spellEnd"/>
      <w:r w:rsidRPr="00B826D0">
        <w:rPr>
          <w:rFonts w:ascii="Arial" w:hAnsi="Arial" w:cs="Arial"/>
          <w:sz w:val="20"/>
          <w:szCs w:val="20"/>
        </w:rPr>
        <w:t xml:space="preserve"> J, Pihlaja K (1997) Molecular size distribution and spectroscopic properties of aquatic humic substances. Analytica </w:t>
      </w:r>
      <w:proofErr w:type="spellStart"/>
      <w:r w:rsidRPr="00B826D0">
        <w:rPr>
          <w:rFonts w:ascii="Arial" w:hAnsi="Arial" w:cs="Arial"/>
          <w:sz w:val="20"/>
          <w:szCs w:val="20"/>
        </w:rPr>
        <w:t>Chimica</w:t>
      </w:r>
      <w:proofErr w:type="spellEnd"/>
      <w:r w:rsidRPr="00B826D0">
        <w:rPr>
          <w:rFonts w:ascii="Arial" w:hAnsi="Arial" w:cs="Arial"/>
          <w:sz w:val="20"/>
          <w:szCs w:val="20"/>
        </w:rPr>
        <w:t xml:space="preserve"> Acta 337:133–149. </w:t>
      </w:r>
      <w:hyperlink r:id="rId17" w:history="1">
        <w:r w:rsidR="00B826D0" w:rsidRPr="005B0B42">
          <w:rPr>
            <w:rStyle w:val="Hyperlink"/>
            <w:rFonts w:ascii="Arial" w:hAnsi="Arial" w:cs="Arial"/>
            <w:sz w:val="20"/>
            <w:szCs w:val="20"/>
          </w:rPr>
          <w:t>https://doi.org/10.1016/S0003-2670(96)00412-6</w:t>
        </w:r>
      </w:hyperlink>
      <w:r w:rsidR="00B826D0">
        <w:rPr>
          <w:rFonts w:ascii="Arial" w:hAnsi="Arial" w:cs="Arial"/>
          <w:sz w:val="20"/>
          <w:szCs w:val="20"/>
        </w:rPr>
        <w:t xml:space="preserve"> </w:t>
      </w:r>
    </w:p>
    <w:p w14:paraId="789BD78E" w14:textId="678BC196" w:rsidR="00991FB2" w:rsidRPr="00B826D0" w:rsidRDefault="00991FB2" w:rsidP="00991FB2">
      <w:pPr>
        <w:pStyle w:val="Bibliography"/>
        <w:jc w:val="both"/>
        <w:rPr>
          <w:rFonts w:ascii="Arial" w:hAnsi="Arial" w:cs="Arial"/>
          <w:sz w:val="20"/>
          <w:szCs w:val="20"/>
        </w:rPr>
      </w:pPr>
      <w:proofErr w:type="spellStart"/>
      <w:r w:rsidRPr="00B826D0">
        <w:rPr>
          <w:rFonts w:ascii="Arial" w:hAnsi="Arial" w:cs="Arial"/>
          <w:sz w:val="20"/>
          <w:szCs w:val="20"/>
        </w:rPr>
        <w:t>Savitzky</w:t>
      </w:r>
      <w:proofErr w:type="spellEnd"/>
      <w:r w:rsidRPr="00B826D0">
        <w:rPr>
          <w:rFonts w:ascii="Arial" w:hAnsi="Arial" w:cs="Arial"/>
          <w:sz w:val="20"/>
          <w:szCs w:val="20"/>
        </w:rPr>
        <w:t xml:space="preserve"> Abraham, Golay MJE (1964) Smoothing and Differentiation of Data by Simplified Least Squares Procedures. Anal Chem 36:1627–1639. </w:t>
      </w:r>
      <w:hyperlink r:id="rId18" w:history="1">
        <w:r w:rsidR="00B826D0" w:rsidRPr="005B0B42">
          <w:rPr>
            <w:rStyle w:val="Hyperlink"/>
            <w:rFonts w:ascii="Arial" w:hAnsi="Arial" w:cs="Arial"/>
            <w:sz w:val="20"/>
            <w:szCs w:val="20"/>
          </w:rPr>
          <w:t>https://doi.org/10.1021/ac60214a047</w:t>
        </w:r>
      </w:hyperlink>
      <w:r w:rsidR="00B826D0">
        <w:rPr>
          <w:rFonts w:ascii="Arial" w:hAnsi="Arial" w:cs="Arial"/>
          <w:sz w:val="20"/>
          <w:szCs w:val="20"/>
        </w:rPr>
        <w:t xml:space="preserve"> </w:t>
      </w:r>
    </w:p>
    <w:p w14:paraId="3B3239A8" w14:textId="086CC99D" w:rsidR="008E35AE" w:rsidRDefault="00991FB2" w:rsidP="00DC44A7">
      <w:pPr>
        <w:pStyle w:val="Bibliography"/>
        <w:jc w:val="both"/>
        <w:rPr>
          <w:rFonts w:ascii="Arial" w:hAnsi="Arial" w:cs="Arial"/>
          <w:sz w:val="20"/>
          <w:szCs w:val="20"/>
        </w:rPr>
      </w:pPr>
      <w:r w:rsidRPr="00B826D0">
        <w:rPr>
          <w:rFonts w:ascii="Arial" w:hAnsi="Arial" w:cs="Arial"/>
          <w:sz w:val="20"/>
          <w:szCs w:val="20"/>
        </w:rPr>
        <w:t xml:space="preserve">Weishaar JL, Aiken GR, Bergamaschi BA, Fram MS, Fujii R, Mopper K (2003) Evaluation of Specific Ultraviolet Absorbance as an Indicator of the Chemical Composition and Reactivity of Dissolved Organic Carbon. Environ Sci Technol 37:4702–4708. </w:t>
      </w:r>
      <w:hyperlink r:id="rId19" w:history="1">
        <w:r w:rsidR="00B826D0" w:rsidRPr="005B0B42">
          <w:rPr>
            <w:rStyle w:val="Hyperlink"/>
            <w:rFonts w:ascii="Arial" w:hAnsi="Arial" w:cs="Arial"/>
            <w:sz w:val="20"/>
            <w:szCs w:val="20"/>
          </w:rPr>
          <w:t>https://doi.org/10.1021/es030360x</w:t>
        </w:r>
      </w:hyperlink>
    </w:p>
    <w:p w14:paraId="0E686739" w14:textId="77777777" w:rsidR="00B826D0" w:rsidRDefault="00B826D0" w:rsidP="00B826D0"/>
    <w:p w14:paraId="41BBD692" w14:textId="77777777" w:rsidR="002F0FBF" w:rsidRDefault="002F0FBF" w:rsidP="00B826D0"/>
    <w:p w14:paraId="11CD0252" w14:textId="77777777" w:rsidR="002F0FBF" w:rsidRDefault="002F0FBF" w:rsidP="00B826D0"/>
    <w:p w14:paraId="131686F5" w14:textId="77777777" w:rsidR="00B826D0" w:rsidRDefault="00B826D0" w:rsidP="00B826D0"/>
    <w:p w14:paraId="5F47EF1F" w14:textId="77777777" w:rsidR="00B826D0" w:rsidRPr="00B826D0" w:rsidRDefault="00B826D0" w:rsidP="00B826D0"/>
    <w:p w14:paraId="53DA3EA4" w14:textId="10F70EB5" w:rsidR="00DD6C4B" w:rsidRPr="00115C60" w:rsidRDefault="00115C60" w:rsidP="00115C60">
      <w:pPr>
        <w:spacing w:line="48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Supplementary Tables</w:t>
      </w:r>
    </w:p>
    <w:p w14:paraId="5B51DBE4" w14:textId="45D15DF1" w:rsidR="00771F44" w:rsidRPr="00B826D0" w:rsidRDefault="00A1481B" w:rsidP="00A1481B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627F4">
        <w:rPr>
          <w:rFonts w:ascii="Arial" w:hAnsi="Arial" w:cs="Arial"/>
          <w:b/>
          <w:bCs/>
          <w:sz w:val="20"/>
          <w:szCs w:val="20"/>
        </w:rPr>
        <w:t>Table S</w:t>
      </w:r>
      <w:r w:rsidR="0005354A">
        <w:rPr>
          <w:rFonts w:ascii="Arial" w:hAnsi="Arial" w:cs="Arial"/>
          <w:b/>
          <w:bCs/>
          <w:sz w:val="20"/>
          <w:szCs w:val="20"/>
        </w:rPr>
        <w:t>1</w:t>
      </w:r>
      <w:r w:rsidRPr="003627F4">
        <w:rPr>
          <w:rFonts w:ascii="Arial" w:hAnsi="Arial" w:cs="Arial"/>
          <w:sz w:val="20"/>
          <w:szCs w:val="20"/>
        </w:rPr>
        <w:t xml:space="preserve"> DOC concentrations and δ</w:t>
      </w:r>
      <w:r w:rsidRPr="003627F4">
        <w:rPr>
          <w:rFonts w:ascii="Arial" w:hAnsi="Arial" w:cs="Arial"/>
          <w:sz w:val="20"/>
          <w:szCs w:val="20"/>
          <w:vertAlign w:val="superscript"/>
        </w:rPr>
        <w:t>13</w:t>
      </w:r>
      <w:r w:rsidRPr="003627F4">
        <w:rPr>
          <w:rFonts w:ascii="Arial" w:hAnsi="Arial" w:cs="Arial"/>
          <w:sz w:val="20"/>
          <w:szCs w:val="20"/>
        </w:rPr>
        <w:t>C</w:t>
      </w:r>
      <w:r w:rsidRPr="003627F4">
        <w:rPr>
          <w:rFonts w:ascii="Arial" w:hAnsi="Arial" w:cs="Arial"/>
          <w:sz w:val="20"/>
          <w:szCs w:val="20"/>
          <w:vertAlign w:val="subscript"/>
        </w:rPr>
        <w:t xml:space="preserve">DOC </w:t>
      </w:r>
      <w:r w:rsidRPr="003627F4">
        <w:rPr>
          <w:rFonts w:ascii="Arial" w:hAnsi="Arial" w:cs="Arial"/>
          <w:sz w:val="20"/>
          <w:szCs w:val="20"/>
        </w:rPr>
        <w:t>values in soil water from burned plots (Burned), soil water from unburned control plots (Unburned), and rainwater (Throughfall), at different sampling dates. Values are means with standard error (±SE). Different letters indicate significant differences among samples and date of collection (P &lt; 0.05)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3"/>
        <w:gridCol w:w="79"/>
        <w:gridCol w:w="1340"/>
        <w:gridCol w:w="1276"/>
        <w:gridCol w:w="1559"/>
        <w:gridCol w:w="1504"/>
        <w:gridCol w:w="1376"/>
        <w:gridCol w:w="1371"/>
      </w:tblGrid>
      <w:tr w:rsidR="00A1481B" w:rsidRPr="006D3AF4" w14:paraId="57E484A7" w14:textId="77777777" w:rsidTr="00585BB1">
        <w:trPr>
          <w:trHeight w:val="326"/>
        </w:trPr>
        <w:tc>
          <w:tcPr>
            <w:tcW w:w="587" w:type="pct"/>
            <w:tcBorders>
              <w:top w:val="single" w:sz="4" w:space="0" w:color="auto"/>
            </w:tcBorders>
            <w:vAlign w:val="center"/>
          </w:tcPr>
          <w:p w14:paraId="15E30260" w14:textId="77777777" w:rsidR="00A1481B" w:rsidRPr="006D3AF4" w:rsidRDefault="00A1481B" w:rsidP="00585BB1">
            <w:pPr>
              <w:rPr>
                <w:sz w:val="18"/>
                <w:szCs w:val="18"/>
              </w:rPr>
            </w:pPr>
          </w:p>
        </w:tc>
        <w:tc>
          <w:tcPr>
            <w:tcW w:w="2207" w:type="pct"/>
            <w:gridSpan w:val="4"/>
            <w:tcBorders>
              <w:top w:val="single" w:sz="4" w:space="0" w:color="auto"/>
            </w:tcBorders>
            <w:vAlign w:val="center"/>
          </w:tcPr>
          <w:p w14:paraId="40DEDF60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D309B">
              <w:rPr>
                <w:rFonts w:ascii="Arial" w:eastAsia="Times New Roman" w:hAnsi="Arial" w:cs="Arial"/>
                <w:color w:val="000000"/>
                <w:sz w:val="18"/>
                <w:szCs w:val="18"/>
                <w14:ligatures w14:val="none"/>
              </w:rPr>
              <w:t>DOC [mg</w:t>
            </w:r>
            <w:r w:rsidRPr="006D3AF4">
              <w:rPr>
                <w:rFonts w:ascii="Arial" w:eastAsia="Times New Roman" w:hAnsi="Arial" w:cs="Arial"/>
                <w:color w:val="000000"/>
                <w:sz w:val="18"/>
                <w:szCs w:val="18"/>
                <w14:ligatures w14:val="none"/>
              </w:rPr>
              <w:t xml:space="preserve"> L</w:t>
            </w:r>
            <w:r w:rsidRPr="006D3AF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14:ligatures w14:val="none"/>
              </w:rPr>
              <w:t>-1</w:t>
            </w:r>
            <w:r w:rsidRPr="00DD309B">
              <w:rPr>
                <w:rFonts w:ascii="Arial" w:eastAsia="Times New Roman" w:hAnsi="Arial" w:cs="Arial"/>
                <w:color w:val="00000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2205" w:type="pct"/>
            <w:gridSpan w:val="3"/>
            <w:tcBorders>
              <w:top w:val="single" w:sz="4" w:space="0" w:color="auto"/>
            </w:tcBorders>
            <w:vAlign w:val="center"/>
          </w:tcPr>
          <w:p w14:paraId="412C3470" w14:textId="77777777" w:rsidR="00A1481B" w:rsidRPr="006D3AF4" w:rsidRDefault="00A1481B" w:rsidP="00585BB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14:ligatures w14:val="none"/>
              </w:rPr>
            </w:pPr>
            <w:r w:rsidRPr="006D3AF4">
              <w:rPr>
                <w:rFonts w:ascii="Arial" w:hAnsi="Arial" w:cs="Arial"/>
                <w:sz w:val="18"/>
                <w:szCs w:val="18"/>
              </w:rPr>
              <w:t>δ</w:t>
            </w:r>
            <w:r w:rsidRPr="006D3AF4">
              <w:rPr>
                <w:rFonts w:ascii="Arial" w:hAnsi="Arial" w:cs="Arial"/>
                <w:sz w:val="18"/>
                <w:szCs w:val="18"/>
                <w:vertAlign w:val="superscript"/>
              </w:rPr>
              <w:t>13</w:t>
            </w:r>
            <w:r w:rsidRPr="006D3AF4">
              <w:rPr>
                <w:rFonts w:ascii="Arial" w:hAnsi="Arial" w:cs="Arial"/>
                <w:sz w:val="18"/>
                <w:szCs w:val="18"/>
              </w:rPr>
              <w:t>C</w:t>
            </w:r>
            <w:r w:rsidRPr="006D3AF4">
              <w:rPr>
                <w:rFonts w:ascii="Arial" w:hAnsi="Arial" w:cs="Arial"/>
                <w:sz w:val="18"/>
                <w:szCs w:val="18"/>
                <w:vertAlign w:val="subscript"/>
              </w:rPr>
              <w:t xml:space="preserve">DOC </w:t>
            </w:r>
            <w:r w:rsidRPr="006D3AF4">
              <w:rPr>
                <w:rFonts w:ascii="Arial" w:hAnsi="Arial" w:cs="Arial"/>
                <w:sz w:val="18"/>
                <w:szCs w:val="18"/>
              </w:rPr>
              <w:t>[‰]</w:t>
            </w:r>
          </w:p>
        </w:tc>
      </w:tr>
      <w:tr w:rsidR="00A1481B" w:rsidRPr="006D3AF4" w14:paraId="49BA76C9" w14:textId="77777777" w:rsidTr="00585BB1">
        <w:trPr>
          <w:trHeight w:val="284"/>
        </w:trPr>
        <w:tc>
          <w:tcPr>
            <w:tcW w:w="628" w:type="pct"/>
            <w:gridSpan w:val="2"/>
            <w:tcBorders>
              <w:bottom w:val="single" w:sz="4" w:space="0" w:color="auto"/>
            </w:tcBorders>
          </w:tcPr>
          <w:p w14:paraId="74C1DDF2" w14:textId="77777777" w:rsidR="00A1481B" w:rsidRPr="006D3AF4" w:rsidRDefault="00A1481B" w:rsidP="00585BB1">
            <w:pPr>
              <w:rPr>
                <w:sz w:val="18"/>
                <w:szCs w:val="18"/>
              </w:rPr>
            </w:pPr>
          </w:p>
        </w:tc>
        <w:tc>
          <w:tcPr>
            <w:tcW w:w="695" w:type="pct"/>
            <w:tcBorders>
              <w:bottom w:val="single" w:sz="4" w:space="0" w:color="auto"/>
            </w:tcBorders>
            <w:vAlign w:val="center"/>
          </w:tcPr>
          <w:p w14:paraId="4C6C809A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D3AF4">
              <w:rPr>
                <w:rFonts w:ascii="Arial" w:hAnsi="Arial" w:cs="Arial"/>
                <w:i/>
                <w:iCs/>
                <w:sz w:val="18"/>
                <w:szCs w:val="18"/>
              </w:rPr>
              <w:t>Burned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798E7F2A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D3AF4">
              <w:rPr>
                <w:rFonts w:ascii="Arial" w:hAnsi="Arial" w:cs="Arial"/>
                <w:i/>
                <w:iCs/>
                <w:sz w:val="18"/>
                <w:szCs w:val="18"/>
              </w:rPr>
              <w:t>Unburned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6AB16BAF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D3AF4">
              <w:rPr>
                <w:rFonts w:ascii="Arial" w:hAnsi="Arial" w:cs="Arial"/>
                <w:i/>
                <w:iCs/>
                <w:sz w:val="18"/>
                <w:szCs w:val="18"/>
              </w:rPr>
              <w:t>Throughfall</w:t>
            </w:r>
          </w:p>
        </w:tc>
        <w:tc>
          <w:tcPr>
            <w:tcW w:w="780" w:type="pct"/>
            <w:tcBorders>
              <w:bottom w:val="single" w:sz="4" w:space="0" w:color="auto"/>
            </w:tcBorders>
            <w:vAlign w:val="center"/>
          </w:tcPr>
          <w:p w14:paraId="337D1B7A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D3AF4">
              <w:rPr>
                <w:rFonts w:ascii="Arial" w:hAnsi="Arial" w:cs="Arial"/>
                <w:i/>
                <w:iCs/>
                <w:sz w:val="18"/>
                <w:szCs w:val="18"/>
              </w:rPr>
              <w:t>Burned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14:paraId="6193D74F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D3AF4">
              <w:rPr>
                <w:rFonts w:ascii="Arial" w:hAnsi="Arial" w:cs="Arial"/>
                <w:i/>
                <w:iCs/>
                <w:sz w:val="18"/>
                <w:szCs w:val="18"/>
              </w:rPr>
              <w:t>Unburned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vAlign w:val="center"/>
          </w:tcPr>
          <w:p w14:paraId="7FB7D02E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D3AF4">
              <w:rPr>
                <w:rFonts w:ascii="Arial" w:hAnsi="Arial" w:cs="Arial"/>
                <w:i/>
                <w:iCs/>
                <w:sz w:val="18"/>
                <w:szCs w:val="18"/>
              </w:rPr>
              <w:t>Throughfall</w:t>
            </w:r>
          </w:p>
        </w:tc>
      </w:tr>
      <w:tr w:rsidR="00A1481B" w:rsidRPr="006D3AF4" w14:paraId="0203E3C7" w14:textId="77777777" w:rsidTr="00585BB1">
        <w:trPr>
          <w:trHeight w:val="340"/>
        </w:trPr>
        <w:tc>
          <w:tcPr>
            <w:tcW w:w="628" w:type="pct"/>
            <w:gridSpan w:val="2"/>
            <w:tcBorders>
              <w:top w:val="single" w:sz="4" w:space="0" w:color="auto"/>
            </w:tcBorders>
            <w:vAlign w:val="center"/>
          </w:tcPr>
          <w:p w14:paraId="116BE373" w14:textId="77777777" w:rsidR="00A1481B" w:rsidRPr="006D3AF4" w:rsidRDefault="00A1481B" w:rsidP="00585BB1">
            <w:pPr>
              <w:rPr>
                <w:rFonts w:ascii="Arial" w:hAnsi="Arial" w:cs="Arial"/>
                <w:sz w:val="18"/>
                <w:szCs w:val="18"/>
              </w:rPr>
            </w:pPr>
            <w:r w:rsidRPr="006D3AF4">
              <w:rPr>
                <w:rFonts w:ascii="Arial" w:hAnsi="Arial" w:cs="Arial"/>
                <w:sz w:val="18"/>
                <w:szCs w:val="18"/>
              </w:rPr>
              <w:t>04.08.2022</w:t>
            </w:r>
          </w:p>
        </w:tc>
        <w:tc>
          <w:tcPr>
            <w:tcW w:w="695" w:type="pct"/>
            <w:tcBorders>
              <w:top w:val="single" w:sz="4" w:space="0" w:color="auto"/>
            </w:tcBorders>
            <w:vAlign w:val="center"/>
          </w:tcPr>
          <w:p w14:paraId="730171DD" w14:textId="77777777" w:rsidR="00A1481B" w:rsidRPr="006D3AF4" w:rsidRDefault="00A1481B" w:rsidP="00585BB1">
            <w:pPr>
              <w:jc w:val="center"/>
              <w:rPr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28.70 ± 1.55 </w:t>
            </w:r>
            <w:proofErr w:type="spellStart"/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abd</w:t>
            </w:r>
            <w:proofErr w:type="spellEnd"/>
          </w:p>
        </w:tc>
        <w:tc>
          <w:tcPr>
            <w:tcW w:w="662" w:type="pct"/>
            <w:tcBorders>
              <w:top w:val="single" w:sz="4" w:space="0" w:color="auto"/>
            </w:tcBorders>
            <w:vAlign w:val="center"/>
          </w:tcPr>
          <w:p w14:paraId="197A293E" w14:textId="77777777" w:rsidR="00A1481B" w:rsidRPr="006D3AF4" w:rsidRDefault="00A1481B" w:rsidP="00585BB1">
            <w:pPr>
              <w:jc w:val="center"/>
              <w:rPr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33.00 ± 3.85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7E8CF009" w14:textId="77777777" w:rsidR="00A1481B" w:rsidRPr="006D3AF4" w:rsidRDefault="00A1481B" w:rsidP="00585BB1">
            <w:pPr>
              <w:jc w:val="center"/>
              <w:rPr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12.86 ± 0.70 </w:t>
            </w:r>
            <w:proofErr w:type="spellStart"/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abc</w:t>
            </w:r>
            <w:proofErr w:type="spellEnd"/>
          </w:p>
        </w:tc>
        <w:tc>
          <w:tcPr>
            <w:tcW w:w="780" w:type="pct"/>
            <w:tcBorders>
              <w:top w:val="single" w:sz="4" w:space="0" w:color="auto"/>
            </w:tcBorders>
            <w:vAlign w:val="center"/>
          </w:tcPr>
          <w:p w14:paraId="7FE1722A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-28.55 ± 0.15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06E5C0DA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-29.01 ± 0.07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11" w:type="pct"/>
            <w:tcBorders>
              <w:top w:val="single" w:sz="4" w:space="0" w:color="auto"/>
            </w:tcBorders>
            <w:vAlign w:val="center"/>
          </w:tcPr>
          <w:p w14:paraId="37242DF5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-28.14 ± 0.19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</w:p>
        </w:tc>
      </w:tr>
      <w:tr w:rsidR="00A1481B" w:rsidRPr="006D3AF4" w14:paraId="11249BED" w14:textId="77777777" w:rsidTr="00585BB1">
        <w:trPr>
          <w:trHeight w:val="340"/>
        </w:trPr>
        <w:tc>
          <w:tcPr>
            <w:tcW w:w="628" w:type="pct"/>
            <w:gridSpan w:val="2"/>
            <w:vAlign w:val="center"/>
          </w:tcPr>
          <w:p w14:paraId="6A45FF9D" w14:textId="77777777" w:rsidR="00A1481B" w:rsidRPr="006D3AF4" w:rsidRDefault="00A1481B" w:rsidP="00585BB1">
            <w:pPr>
              <w:rPr>
                <w:rFonts w:ascii="Arial" w:hAnsi="Arial" w:cs="Arial"/>
                <w:sz w:val="18"/>
                <w:szCs w:val="18"/>
              </w:rPr>
            </w:pPr>
            <w:r w:rsidRPr="006D3AF4">
              <w:rPr>
                <w:rFonts w:ascii="Arial" w:hAnsi="Arial" w:cs="Arial"/>
                <w:sz w:val="18"/>
                <w:szCs w:val="18"/>
              </w:rPr>
              <w:t>01.09.2022</w:t>
            </w:r>
          </w:p>
        </w:tc>
        <w:tc>
          <w:tcPr>
            <w:tcW w:w="695" w:type="pct"/>
            <w:vAlign w:val="center"/>
          </w:tcPr>
          <w:p w14:paraId="1A6C1E54" w14:textId="77777777" w:rsidR="00A1481B" w:rsidRPr="006D3AF4" w:rsidRDefault="00A1481B" w:rsidP="00585BB1">
            <w:pPr>
              <w:jc w:val="center"/>
              <w:rPr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26.96 ± 2.78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de</w:t>
            </w:r>
          </w:p>
        </w:tc>
        <w:tc>
          <w:tcPr>
            <w:tcW w:w="662" w:type="pct"/>
            <w:vAlign w:val="center"/>
          </w:tcPr>
          <w:p w14:paraId="40D44366" w14:textId="77777777" w:rsidR="00A1481B" w:rsidRPr="006D3AF4" w:rsidRDefault="00A1481B" w:rsidP="00585BB1">
            <w:pPr>
              <w:jc w:val="center"/>
              <w:rPr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37.45 ± 0.45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809" w:type="pct"/>
            <w:vAlign w:val="center"/>
          </w:tcPr>
          <w:p w14:paraId="2A2A7374" w14:textId="77777777" w:rsidR="00A1481B" w:rsidRPr="006D3AF4" w:rsidRDefault="00A1481B" w:rsidP="00585BB1">
            <w:pPr>
              <w:jc w:val="center"/>
              <w:rPr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18.45 ± 0.17 </w:t>
            </w:r>
            <w:proofErr w:type="spellStart"/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dce</w:t>
            </w:r>
            <w:proofErr w:type="spellEnd"/>
          </w:p>
        </w:tc>
        <w:tc>
          <w:tcPr>
            <w:tcW w:w="780" w:type="pct"/>
            <w:vAlign w:val="center"/>
          </w:tcPr>
          <w:p w14:paraId="399BE2FC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-28.56 ± 0.14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14" w:type="pct"/>
            <w:vAlign w:val="center"/>
          </w:tcPr>
          <w:p w14:paraId="2C5FC014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-29.71 ± 0.06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711" w:type="pct"/>
            <w:vAlign w:val="center"/>
          </w:tcPr>
          <w:p w14:paraId="705893A2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-28.58 ± 0.01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</w:p>
        </w:tc>
      </w:tr>
      <w:tr w:rsidR="00A1481B" w:rsidRPr="006D3AF4" w14:paraId="21147D14" w14:textId="77777777" w:rsidTr="00585BB1">
        <w:trPr>
          <w:trHeight w:val="340"/>
        </w:trPr>
        <w:tc>
          <w:tcPr>
            <w:tcW w:w="628" w:type="pct"/>
            <w:gridSpan w:val="2"/>
            <w:tcBorders>
              <w:bottom w:val="single" w:sz="4" w:space="0" w:color="auto"/>
            </w:tcBorders>
            <w:vAlign w:val="center"/>
          </w:tcPr>
          <w:p w14:paraId="447E8021" w14:textId="77777777" w:rsidR="00A1481B" w:rsidRPr="006D3AF4" w:rsidRDefault="00A1481B" w:rsidP="00585BB1">
            <w:pPr>
              <w:rPr>
                <w:rFonts w:ascii="Arial" w:hAnsi="Arial" w:cs="Arial"/>
                <w:sz w:val="18"/>
                <w:szCs w:val="18"/>
              </w:rPr>
            </w:pPr>
            <w:r w:rsidRPr="006D3AF4">
              <w:rPr>
                <w:rFonts w:ascii="Arial" w:hAnsi="Arial" w:cs="Arial"/>
                <w:sz w:val="18"/>
                <w:szCs w:val="18"/>
              </w:rPr>
              <w:t>31.10.2022</w:t>
            </w:r>
          </w:p>
        </w:tc>
        <w:tc>
          <w:tcPr>
            <w:tcW w:w="695" w:type="pct"/>
            <w:tcBorders>
              <w:bottom w:val="single" w:sz="4" w:space="0" w:color="auto"/>
            </w:tcBorders>
            <w:vAlign w:val="center"/>
          </w:tcPr>
          <w:p w14:paraId="44065232" w14:textId="77777777" w:rsidR="00A1481B" w:rsidRPr="006D3AF4" w:rsidRDefault="00A1481B" w:rsidP="00585BB1">
            <w:pPr>
              <w:jc w:val="center"/>
              <w:rPr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19.88 ± 2.68 </w:t>
            </w:r>
            <w:proofErr w:type="spellStart"/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abe</w:t>
            </w:r>
            <w:proofErr w:type="spellEnd"/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418C2AB2" w14:textId="77777777" w:rsidR="00A1481B" w:rsidRPr="006D3AF4" w:rsidRDefault="00A1481B" w:rsidP="00585BB1">
            <w:pPr>
              <w:jc w:val="center"/>
              <w:rPr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61.99 ± 3.59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394EC309" w14:textId="77777777" w:rsidR="00A1481B" w:rsidRPr="006D3AF4" w:rsidRDefault="00A1481B" w:rsidP="00585BB1">
            <w:pPr>
              <w:jc w:val="center"/>
              <w:rPr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26.78 ± 0.56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de</w:t>
            </w:r>
          </w:p>
        </w:tc>
        <w:tc>
          <w:tcPr>
            <w:tcW w:w="780" w:type="pct"/>
            <w:tcBorders>
              <w:bottom w:val="single" w:sz="4" w:space="0" w:color="auto"/>
            </w:tcBorders>
            <w:vAlign w:val="center"/>
          </w:tcPr>
          <w:p w14:paraId="1D9CF7FA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-29.09 ± 0.20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14:paraId="29E20524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-29.38 ± 0.07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vAlign w:val="center"/>
          </w:tcPr>
          <w:p w14:paraId="5EEC0F51" w14:textId="77777777" w:rsidR="00A1481B" w:rsidRPr="006D3AF4" w:rsidRDefault="00A1481B" w:rsidP="00585B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3AF4">
              <w:rPr>
                <w:rFonts w:ascii="Arial" w:hAnsi="Arial" w:cs="Arial"/>
                <w:sz w:val="16"/>
                <w:szCs w:val="16"/>
              </w:rPr>
              <w:t xml:space="preserve">-28.86 ± 0.11 </w:t>
            </w:r>
            <w:r w:rsidRPr="006D3AF4">
              <w:rPr>
                <w:rFonts w:ascii="Arial" w:hAnsi="Arial" w:cs="Arial"/>
                <w:sz w:val="16"/>
                <w:szCs w:val="16"/>
                <w:vertAlign w:val="superscript"/>
              </w:rPr>
              <w:t>a</w:t>
            </w:r>
          </w:p>
        </w:tc>
      </w:tr>
    </w:tbl>
    <w:p w14:paraId="28F47C8B" w14:textId="77777777" w:rsidR="00115C60" w:rsidRDefault="00115C60" w:rsidP="00A1481B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5D1F4B3C" w14:textId="77777777" w:rsidR="0005354A" w:rsidRDefault="0005354A" w:rsidP="00A1481B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325D8A4B" w14:textId="7F50F1F3" w:rsidR="00991FB2" w:rsidRPr="003A3EAB" w:rsidRDefault="00D70F29" w:rsidP="00991FB2">
      <w:pPr>
        <w:spacing w:line="48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Supplementary figures</w:t>
      </w:r>
    </w:p>
    <w:p w14:paraId="498F2BAC" w14:textId="41CC92CE" w:rsidR="00991FB2" w:rsidRDefault="00B826D0" w:rsidP="00991FB2">
      <w:pPr>
        <w:spacing w:line="480" w:lineRule="auto"/>
        <w:rPr>
          <w:rFonts w:ascii="Arial" w:hAnsi="Arial" w:cs="Arial"/>
          <w:sz w:val="20"/>
          <w:szCs w:val="20"/>
        </w:rPr>
      </w:pPr>
      <w:r w:rsidRPr="003A3EAB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3AB44B52" wp14:editId="6028C811">
            <wp:simplePos x="0" y="0"/>
            <wp:positionH relativeFrom="margin">
              <wp:align>left</wp:align>
            </wp:positionH>
            <wp:positionV relativeFrom="paragraph">
              <wp:posOffset>1713</wp:posOffset>
            </wp:positionV>
            <wp:extent cx="4134485" cy="3206750"/>
            <wp:effectExtent l="0" t="0" r="0" b="0"/>
            <wp:wrapSquare wrapText="bothSides"/>
            <wp:docPr id="29850778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50778" name="Picture 2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485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8B49D1" w14:textId="77777777" w:rsidR="00991FB2" w:rsidRDefault="00991FB2" w:rsidP="00991FB2">
      <w:pPr>
        <w:spacing w:line="480" w:lineRule="auto"/>
        <w:rPr>
          <w:rFonts w:ascii="Arial" w:hAnsi="Arial" w:cs="Arial"/>
          <w:sz w:val="20"/>
          <w:szCs w:val="20"/>
        </w:rPr>
      </w:pPr>
    </w:p>
    <w:p w14:paraId="3E9B92B8" w14:textId="77777777" w:rsidR="00991FB2" w:rsidRDefault="00991FB2" w:rsidP="00991FB2">
      <w:pPr>
        <w:spacing w:line="480" w:lineRule="auto"/>
        <w:rPr>
          <w:rFonts w:ascii="Arial" w:hAnsi="Arial" w:cs="Arial"/>
          <w:sz w:val="20"/>
          <w:szCs w:val="20"/>
        </w:rPr>
      </w:pPr>
    </w:p>
    <w:p w14:paraId="715874BB" w14:textId="77777777" w:rsidR="00991FB2" w:rsidRDefault="00991FB2" w:rsidP="00991FB2">
      <w:pPr>
        <w:spacing w:line="480" w:lineRule="auto"/>
        <w:rPr>
          <w:rFonts w:ascii="Arial" w:hAnsi="Arial" w:cs="Arial"/>
          <w:sz w:val="20"/>
          <w:szCs w:val="20"/>
        </w:rPr>
      </w:pPr>
    </w:p>
    <w:p w14:paraId="69832C9B" w14:textId="77777777" w:rsidR="00991FB2" w:rsidRDefault="00991FB2" w:rsidP="00991FB2">
      <w:pPr>
        <w:spacing w:line="480" w:lineRule="auto"/>
        <w:rPr>
          <w:rFonts w:ascii="Arial" w:hAnsi="Arial" w:cs="Arial"/>
          <w:sz w:val="20"/>
          <w:szCs w:val="20"/>
        </w:rPr>
      </w:pPr>
    </w:p>
    <w:p w14:paraId="68532E1E" w14:textId="1AD2D746" w:rsidR="00991FB2" w:rsidRDefault="00991FB2" w:rsidP="00991FB2">
      <w:pPr>
        <w:spacing w:line="480" w:lineRule="auto"/>
        <w:rPr>
          <w:rFonts w:ascii="Arial" w:hAnsi="Arial" w:cs="Arial"/>
          <w:sz w:val="20"/>
          <w:szCs w:val="20"/>
        </w:rPr>
      </w:pPr>
    </w:p>
    <w:p w14:paraId="5A1D1FBF" w14:textId="1EC6DFC8" w:rsidR="00991FB2" w:rsidRDefault="00991FB2" w:rsidP="00991FB2">
      <w:pPr>
        <w:spacing w:line="480" w:lineRule="auto"/>
        <w:rPr>
          <w:rFonts w:ascii="Arial" w:hAnsi="Arial" w:cs="Arial"/>
          <w:sz w:val="20"/>
          <w:szCs w:val="20"/>
        </w:rPr>
      </w:pPr>
    </w:p>
    <w:p w14:paraId="2A57BCFA" w14:textId="71946B36" w:rsidR="00991FB2" w:rsidRDefault="00991FB2" w:rsidP="00991FB2">
      <w:pPr>
        <w:spacing w:line="480" w:lineRule="auto"/>
        <w:rPr>
          <w:rFonts w:ascii="Arial" w:hAnsi="Arial" w:cs="Arial"/>
          <w:sz w:val="20"/>
          <w:szCs w:val="20"/>
        </w:rPr>
      </w:pPr>
    </w:p>
    <w:p w14:paraId="116FE7D6" w14:textId="77777777" w:rsidR="00B826D0" w:rsidRPr="003627F4" w:rsidRDefault="00B826D0" w:rsidP="00991FB2">
      <w:pPr>
        <w:spacing w:line="480" w:lineRule="auto"/>
        <w:rPr>
          <w:rFonts w:ascii="Arial" w:hAnsi="Arial" w:cs="Arial"/>
          <w:sz w:val="20"/>
          <w:szCs w:val="20"/>
        </w:rPr>
      </w:pPr>
    </w:p>
    <w:p w14:paraId="5160F669" w14:textId="1AE7985B" w:rsidR="00A1481B" w:rsidRPr="00365369" w:rsidRDefault="00991FB2" w:rsidP="00365369">
      <w:pPr>
        <w:spacing w:after="0" w:line="480" w:lineRule="auto"/>
        <w:jc w:val="both"/>
        <w:rPr>
          <w:rFonts w:ascii="Arial" w:hAnsi="Arial" w:cs="Arial"/>
        </w:rPr>
      </w:pPr>
      <w:r w:rsidRPr="003627F4">
        <w:rPr>
          <w:rFonts w:ascii="Arial" w:hAnsi="Arial" w:cs="Arial"/>
          <w:b/>
          <w:bCs/>
          <w:sz w:val="20"/>
          <w:szCs w:val="20"/>
        </w:rPr>
        <w:t>Fig. S1</w:t>
      </w:r>
      <w:r w:rsidRPr="003627F4">
        <w:rPr>
          <w:rFonts w:ascii="Arial" w:hAnsi="Arial" w:cs="Arial"/>
          <w:sz w:val="20"/>
          <w:szCs w:val="20"/>
        </w:rPr>
        <w:t xml:space="preserve"> Average carbon (C) stocks from burned plots (Burned) and unburned control plots (Unburned). Values are means for the different horizons (L- litter; O- organic horizon; M1- mineral soil from 0 to 5 cm; M2- mineral soil from 5 to 15 cm), with standard error for the mean total C stock (±SE). Different letters indicate significant differences among samples and date of collection (P &lt; 0.05) </w:t>
      </w:r>
    </w:p>
    <w:p w14:paraId="41FF3876" w14:textId="143ED88C" w:rsidR="00365369" w:rsidRDefault="00B826D0" w:rsidP="0036109F">
      <w:pPr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627F4">
        <w:rPr>
          <w:rFonts w:ascii="Arial" w:hAnsi="Arial" w:cs="Arial"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4F8F8EAA" wp14:editId="00DEAD4E">
            <wp:simplePos x="0" y="0"/>
            <wp:positionH relativeFrom="margin">
              <wp:align>left</wp:align>
            </wp:positionH>
            <wp:positionV relativeFrom="paragraph">
              <wp:posOffset>390</wp:posOffset>
            </wp:positionV>
            <wp:extent cx="6120130" cy="3060065"/>
            <wp:effectExtent l="0" t="0" r="0" b="6985"/>
            <wp:wrapSquare wrapText="bothSides"/>
            <wp:docPr id="2059949671" name="Picture 4" descr="A line of a person with a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949671" name="Picture 4" descr="A line of a person with a white backgroun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60B99B" w14:textId="29EF09AA" w:rsidR="009E37BB" w:rsidRPr="003627F4" w:rsidRDefault="0036109F" w:rsidP="0036109F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627F4">
        <w:rPr>
          <w:rFonts w:ascii="Arial" w:hAnsi="Arial" w:cs="Arial"/>
          <w:b/>
          <w:bCs/>
          <w:sz w:val="20"/>
          <w:szCs w:val="20"/>
        </w:rPr>
        <w:t>Fig. S</w:t>
      </w:r>
      <w:r w:rsidR="0005354A">
        <w:rPr>
          <w:rFonts w:ascii="Arial" w:hAnsi="Arial" w:cs="Arial"/>
          <w:b/>
          <w:bCs/>
          <w:sz w:val="20"/>
          <w:szCs w:val="20"/>
        </w:rPr>
        <w:t>2</w:t>
      </w:r>
      <w:r w:rsidRPr="003627F4">
        <w:rPr>
          <w:rFonts w:ascii="Arial" w:hAnsi="Arial" w:cs="Arial"/>
          <w:sz w:val="20"/>
          <w:szCs w:val="20"/>
        </w:rPr>
        <w:t xml:space="preserve"> SNV-</w:t>
      </w:r>
      <w:r w:rsidR="00C365E1" w:rsidRPr="003627F4">
        <w:rPr>
          <w:rFonts w:ascii="Arial" w:hAnsi="Arial" w:cs="Arial"/>
          <w:sz w:val="20"/>
          <w:szCs w:val="20"/>
        </w:rPr>
        <w:t>transformed</w:t>
      </w:r>
      <w:r w:rsidRPr="003627F4">
        <w:rPr>
          <w:rFonts w:ascii="Arial" w:hAnsi="Arial" w:cs="Arial"/>
          <w:sz w:val="20"/>
          <w:szCs w:val="20"/>
        </w:rPr>
        <w:t xml:space="preserve"> UV-visible absorbance spectra of water samples collected during the summer 2022. In the legend, letters represent the type of sample (RB- soil water from burned plots; RUB- soil water from unburned control plot; RR- throughfall). Numbers indicate the date of collection</w:t>
      </w:r>
    </w:p>
    <w:p w14:paraId="7BBF56B5" w14:textId="77777777" w:rsidR="00771F44" w:rsidRPr="003627F4" w:rsidRDefault="00771F44" w:rsidP="009E37BB">
      <w:pPr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63ED431" w14:textId="77777777" w:rsidR="00771F44" w:rsidRPr="003627F4" w:rsidRDefault="00771F44" w:rsidP="009E37BB">
      <w:pPr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043DE44" w14:textId="5EC80284" w:rsidR="00771F44" w:rsidRPr="003627F4" w:rsidRDefault="00771F44" w:rsidP="009E37BB">
      <w:pPr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644A64C" w14:textId="6091ABED" w:rsidR="00771F44" w:rsidRPr="003627F4" w:rsidRDefault="00771F44" w:rsidP="009E37BB">
      <w:pPr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DFDB1ED" w14:textId="426D9D04" w:rsidR="00A1481B" w:rsidRDefault="00771F44" w:rsidP="009E37BB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627F4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349E407" wp14:editId="50F01C6D">
            <wp:simplePos x="0" y="0"/>
            <wp:positionH relativeFrom="margin">
              <wp:posOffset>16510</wp:posOffset>
            </wp:positionH>
            <wp:positionV relativeFrom="paragraph">
              <wp:posOffset>-290195</wp:posOffset>
            </wp:positionV>
            <wp:extent cx="6104890" cy="2581910"/>
            <wp:effectExtent l="0" t="0" r="0" b="8890"/>
            <wp:wrapSquare wrapText="bothSides"/>
            <wp:docPr id="1170627879" name="Picture 8" descr="A black background with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627879" name="Picture 8" descr="A black background with a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109F" w:rsidRPr="003627F4">
        <w:rPr>
          <w:rFonts w:ascii="Arial" w:hAnsi="Arial" w:cs="Arial"/>
          <w:b/>
          <w:bCs/>
          <w:sz w:val="20"/>
          <w:szCs w:val="20"/>
        </w:rPr>
        <w:t>Fig. S</w:t>
      </w:r>
      <w:r w:rsidR="0005354A">
        <w:rPr>
          <w:rFonts w:ascii="Arial" w:hAnsi="Arial" w:cs="Arial"/>
          <w:b/>
          <w:bCs/>
          <w:sz w:val="20"/>
          <w:szCs w:val="20"/>
        </w:rPr>
        <w:t>3</w:t>
      </w:r>
      <w:r w:rsidR="0036109F" w:rsidRPr="003627F4">
        <w:rPr>
          <w:rFonts w:ascii="Arial" w:hAnsi="Arial" w:cs="Arial"/>
          <w:sz w:val="20"/>
          <w:szCs w:val="20"/>
        </w:rPr>
        <w:t xml:space="preserve"> second derivative of the UV-visible absorbance spectra of water samples collected during the summer 2022. In the legend, letters represent the type of sample (RB- soil water from burned plots; RUB- soil water from unburned control plot; RR- throughfall). Numbers indicate the date of collection</w:t>
      </w:r>
    </w:p>
    <w:p w14:paraId="1C521584" w14:textId="1C4570F9" w:rsidR="00391133" w:rsidRDefault="00391133" w:rsidP="00391133">
      <w:pPr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91133">
        <w:rPr>
          <w:rFonts w:ascii="Arial" w:hAnsi="Arial" w:cs="Arial"/>
          <w:noProof/>
          <w:sz w:val="20"/>
          <w:szCs w:val="20"/>
        </w:rPr>
        <w:lastRenderedPageBreak/>
        <w:drawing>
          <wp:anchor distT="0" distB="0" distL="114300" distR="114300" simplePos="0" relativeHeight="251664384" behindDoc="1" locked="0" layoutInCell="1" allowOverlap="0" wp14:anchorId="5A69F4C5" wp14:editId="2F0BD13B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6120130" cy="4597400"/>
            <wp:effectExtent l="0" t="0" r="0" b="0"/>
            <wp:wrapSquare wrapText="bothSides"/>
            <wp:docPr id="1620295992" name="Picture 4" descr="A screenshot of a computer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screenshot of a computer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E00308" w14:textId="19C2F3AF" w:rsidR="00391133" w:rsidRPr="00391133" w:rsidRDefault="00391133" w:rsidP="00391133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91133">
        <w:rPr>
          <w:rFonts w:ascii="Arial" w:hAnsi="Arial" w:cs="Arial"/>
          <w:b/>
          <w:bCs/>
          <w:sz w:val="20"/>
          <w:szCs w:val="20"/>
        </w:rPr>
        <w:t xml:space="preserve">Fig. </w:t>
      </w:r>
      <w:r>
        <w:rPr>
          <w:rFonts w:ascii="Arial" w:hAnsi="Arial" w:cs="Arial"/>
          <w:b/>
          <w:bCs/>
          <w:sz w:val="20"/>
          <w:szCs w:val="20"/>
        </w:rPr>
        <w:t>S</w:t>
      </w:r>
      <w:r w:rsidR="007F4163">
        <w:rPr>
          <w:rFonts w:ascii="Arial" w:hAnsi="Arial" w:cs="Arial"/>
          <w:b/>
          <w:bCs/>
          <w:sz w:val="20"/>
          <w:szCs w:val="20"/>
        </w:rPr>
        <w:t>4</w:t>
      </w:r>
      <w:r w:rsidRPr="00391133">
        <w:rPr>
          <w:rFonts w:ascii="Arial" w:hAnsi="Arial" w:cs="Arial"/>
          <w:sz w:val="20"/>
          <w:szCs w:val="20"/>
        </w:rPr>
        <w:t xml:space="preserve"> Principal component analysis (PCA) biplot of SNV-transformed first derivative UV-visible absorbance spectra of dissolved organic matter (DOM). Symbols represent the individual scores of DOM samples with different treatments (RB- Burned soils; RR- Throughfall; RUB- Unburned control soils) at different date of collection (04.08.2022; 01.09.2022; 31.10.2022). Vectors symbolize the loading of the variables, corresponding to wavelengths from 200 to 800 nm at a 10 nm step. Percentage in the axis label indicates the variability of the data explained. Ellipses mark a 95 % confidence interval</w:t>
      </w:r>
    </w:p>
    <w:p w14:paraId="491846EF" w14:textId="77777777" w:rsidR="00365369" w:rsidRDefault="00365369" w:rsidP="009E37BB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30A60E91" w14:textId="77777777" w:rsidR="00365369" w:rsidRDefault="00365369" w:rsidP="009E37BB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sectPr w:rsidR="00365369" w:rsidSect="00E60D5D">
      <w:footerReference w:type="default" r:id="rId24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Mathilde Rebiffé" w:date="2024-04-16T13:43:00Z" w:initials="MR">
    <w:p w14:paraId="70DAC207" w14:textId="77777777" w:rsidR="00676664" w:rsidRDefault="00676664" w:rsidP="00676664">
      <w:pPr>
        <w:pStyle w:val="CommentText"/>
      </w:pPr>
      <w:r>
        <w:rPr>
          <w:rStyle w:val="CommentReference"/>
        </w:rPr>
        <w:annotationRef/>
      </w:r>
      <w:r>
        <w:t xml:space="preserve">(Savitzky-Golay filter of 17 interval size and polynomial order of 3)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70DAC20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3C546FA" w16cex:dateUtc="2024-04-16T10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0DAC207" w16cid:durableId="63C546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E2C274" w14:textId="77777777" w:rsidR="0077324F" w:rsidRDefault="0077324F" w:rsidP="00623972">
      <w:pPr>
        <w:spacing w:after="0" w:line="240" w:lineRule="auto"/>
      </w:pPr>
      <w:r>
        <w:separator/>
      </w:r>
    </w:p>
  </w:endnote>
  <w:endnote w:type="continuationSeparator" w:id="0">
    <w:p w14:paraId="05FA5B80" w14:textId="77777777" w:rsidR="0077324F" w:rsidRDefault="0077324F" w:rsidP="00623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451215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8D1BE7" w14:textId="75A2916D" w:rsidR="00716CC5" w:rsidRDefault="00716CC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7E8393" w14:textId="77777777" w:rsidR="00716CC5" w:rsidRDefault="00716C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54F1D6" w14:textId="77777777" w:rsidR="0077324F" w:rsidRDefault="0077324F" w:rsidP="00623972">
      <w:pPr>
        <w:spacing w:after="0" w:line="240" w:lineRule="auto"/>
      </w:pPr>
      <w:r>
        <w:separator/>
      </w:r>
    </w:p>
  </w:footnote>
  <w:footnote w:type="continuationSeparator" w:id="0">
    <w:p w14:paraId="2ADBB884" w14:textId="77777777" w:rsidR="0077324F" w:rsidRDefault="0077324F" w:rsidP="0062397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athilde Rebiffé">
    <w15:presenceInfo w15:providerId="AD" w15:userId="S::mrebiffe@uef.fi::6f2d56a0-1a63-44ab-aa8a-d8f078992f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81B"/>
    <w:rsid w:val="00000D3D"/>
    <w:rsid w:val="00015276"/>
    <w:rsid w:val="0005354A"/>
    <w:rsid w:val="00104F16"/>
    <w:rsid w:val="0011372C"/>
    <w:rsid w:val="00115C60"/>
    <w:rsid w:val="00136928"/>
    <w:rsid w:val="001429E2"/>
    <w:rsid w:val="001863F6"/>
    <w:rsid w:val="001C1275"/>
    <w:rsid w:val="001F6338"/>
    <w:rsid w:val="00202957"/>
    <w:rsid w:val="00282538"/>
    <w:rsid w:val="002E62BC"/>
    <w:rsid w:val="002F0FBF"/>
    <w:rsid w:val="0036109F"/>
    <w:rsid w:val="003627F4"/>
    <w:rsid w:val="00365369"/>
    <w:rsid w:val="00373193"/>
    <w:rsid w:val="00390BB5"/>
    <w:rsid w:val="00391133"/>
    <w:rsid w:val="003A3EAB"/>
    <w:rsid w:val="00410A85"/>
    <w:rsid w:val="00412307"/>
    <w:rsid w:val="00413653"/>
    <w:rsid w:val="004548BD"/>
    <w:rsid w:val="004D5F37"/>
    <w:rsid w:val="005101E0"/>
    <w:rsid w:val="00561234"/>
    <w:rsid w:val="005C31F3"/>
    <w:rsid w:val="005D500D"/>
    <w:rsid w:val="00623972"/>
    <w:rsid w:val="00660F37"/>
    <w:rsid w:val="006764AA"/>
    <w:rsid w:val="00676664"/>
    <w:rsid w:val="006C0CF8"/>
    <w:rsid w:val="006D2B23"/>
    <w:rsid w:val="006D6D92"/>
    <w:rsid w:val="00704B9D"/>
    <w:rsid w:val="00712F8B"/>
    <w:rsid w:val="00716CC5"/>
    <w:rsid w:val="00771F44"/>
    <w:rsid w:val="00772CA4"/>
    <w:rsid w:val="0077324F"/>
    <w:rsid w:val="007B1F40"/>
    <w:rsid w:val="007D70F2"/>
    <w:rsid w:val="007F4163"/>
    <w:rsid w:val="00831FBC"/>
    <w:rsid w:val="00833676"/>
    <w:rsid w:val="00866164"/>
    <w:rsid w:val="008A5F37"/>
    <w:rsid w:val="008E35AE"/>
    <w:rsid w:val="00926DDF"/>
    <w:rsid w:val="00985E76"/>
    <w:rsid w:val="00986872"/>
    <w:rsid w:val="00991FB2"/>
    <w:rsid w:val="009C0E71"/>
    <w:rsid w:val="009E37BB"/>
    <w:rsid w:val="00A1481B"/>
    <w:rsid w:val="00A20F82"/>
    <w:rsid w:val="00A43B92"/>
    <w:rsid w:val="00AC2C16"/>
    <w:rsid w:val="00AF293F"/>
    <w:rsid w:val="00B13B85"/>
    <w:rsid w:val="00B826D0"/>
    <w:rsid w:val="00B927B3"/>
    <w:rsid w:val="00BC5991"/>
    <w:rsid w:val="00C03DAF"/>
    <w:rsid w:val="00C365E1"/>
    <w:rsid w:val="00C873FD"/>
    <w:rsid w:val="00CE0D0A"/>
    <w:rsid w:val="00CF5372"/>
    <w:rsid w:val="00D060FB"/>
    <w:rsid w:val="00D213DA"/>
    <w:rsid w:val="00D46032"/>
    <w:rsid w:val="00D70F29"/>
    <w:rsid w:val="00D7524B"/>
    <w:rsid w:val="00D932D9"/>
    <w:rsid w:val="00DB11E1"/>
    <w:rsid w:val="00DC44A7"/>
    <w:rsid w:val="00DD6C4B"/>
    <w:rsid w:val="00E42083"/>
    <w:rsid w:val="00E60D5D"/>
    <w:rsid w:val="00EC6724"/>
    <w:rsid w:val="00EC7934"/>
    <w:rsid w:val="00EE222E"/>
    <w:rsid w:val="00F0218C"/>
    <w:rsid w:val="00F06C5D"/>
    <w:rsid w:val="00F87B3A"/>
    <w:rsid w:val="00FC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95B1D5"/>
  <w15:chartTrackingRefBased/>
  <w15:docId w15:val="{70AC13CB-94FB-4E64-B8C8-CA22A421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F29"/>
  </w:style>
  <w:style w:type="paragraph" w:styleId="Heading1">
    <w:name w:val="heading 1"/>
    <w:basedOn w:val="Normal"/>
    <w:next w:val="Normal"/>
    <w:link w:val="Heading1Char"/>
    <w:uiPriority w:val="9"/>
    <w:qFormat/>
    <w:rsid w:val="00A14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48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48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4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4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4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4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4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4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4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4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4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48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48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8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48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14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397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972"/>
  </w:style>
  <w:style w:type="paragraph" w:styleId="Footer">
    <w:name w:val="footer"/>
    <w:basedOn w:val="Normal"/>
    <w:link w:val="FooterChar"/>
    <w:uiPriority w:val="99"/>
    <w:unhideWhenUsed/>
    <w:rsid w:val="0062397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972"/>
  </w:style>
  <w:style w:type="character" w:styleId="Hyperlink">
    <w:name w:val="Hyperlink"/>
    <w:basedOn w:val="DefaultParagraphFont"/>
    <w:uiPriority w:val="99"/>
    <w:unhideWhenUsed/>
    <w:rsid w:val="00660F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0F37"/>
    <w:rPr>
      <w:color w:val="605E5C"/>
      <w:shd w:val="clear" w:color="auto" w:fill="E1DFDD"/>
    </w:rPr>
  </w:style>
  <w:style w:type="paragraph" w:customStyle="1" w:styleId="FAARaffiliations">
    <w:name w:val="FAAR_affiliations"/>
    <w:next w:val="Normal"/>
    <w:qFormat/>
    <w:rsid w:val="006C0CF8"/>
    <w:pPr>
      <w:spacing w:after="0" w:line="240" w:lineRule="auto"/>
      <w:jc w:val="center"/>
    </w:pPr>
    <w:rPr>
      <w:rFonts w:ascii="Times New Roman" w:eastAsia="Times New Roman" w:hAnsi="Times New Roman" w:cs="Times New Roman"/>
      <w:lang w:val="en-GB"/>
      <w14:ligatures w14:val="none"/>
    </w:rPr>
  </w:style>
  <w:style w:type="paragraph" w:customStyle="1" w:styleId="FAARauthorlist">
    <w:name w:val="FAAR_authorlist"/>
    <w:basedOn w:val="Header"/>
    <w:next w:val="FAARaffiliations"/>
    <w:qFormat/>
    <w:rsid w:val="006C0CF8"/>
    <w:pPr>
      <w:tabs>
        <w:tab w:val="clear" w:pos="4986"/>
        <w:tab w:val="clear" w:pos="9972"/>
        <w:tab w:val="center" w:pos="4153"/>
        <w:tab w:val="right" w:pos="8306"/>
      </w:tabs>
      <w:spacing w:after="220"/>
      <w:jc w:val="center"/>
    </w:pPr>
    <w:rPr>
      <w:rFonts w:ascii="Times New Roman" w:eastAsia="Times New Roman" w:hAnsi="Times New Roman" w:cs="Times New Roman"/>
      <w:caps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766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66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6664"/>
    <w:rPr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D46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yperlink" Target="https://doi.org/10.1021/es00060a015" TargetMode="External"/><Relationship Id="rId18" Type="http://schemas.openxmlformats.org/officeDocument/2006/relationships/hyperlink" Target="https://doi.org/10.1021/ac60214a047" TargetMode="External"/><Relationship Id="rId26" Type="http://schemas.microsoft.com/office/2011/relationships/people" Target="people.xml"/><Relationship Id="rId3" Type="http://schemas.openxmlformats.org/officeDocument/2006/relationships/webSettings" Target="webSettings.xml"/><Relationship Id="rId21" Type="http://schemas.openxmlformats.org/officeDocument/2006/relationships/image" Target="media/image2.png"/><Relationship Id="rId7" Type="http://schemas.openxmlformats.org/officeDocument/2006/relationships/comments" Target="comments.xml"/><Relationship Id="rId12" Type="http://schemas.openxmlformats.org/officeDocument/2006/relationships/hyperlink" Target="https://doi.org/10.4319/lo.1981.26.1.0043" TargetMode="External"/><Relationship Id="rId17" Type="http://schemas.openxmlformats.org/officeDocument/2006/relationships/hyperlink" Target="https://doi.org/10.1016/S0003-2670(96)00412-6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oi.org/10.4319/lo.2009.54.2.0590" TargetMode="External"/><Relationship Id="rId20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hyperlink" Target="mailto:mathilde.rebiffe@uef.fi" TargetMode="External"/><Relationship Id="rId11" Type="http://schemas.openxmlformats.org/officeDocument/2006/relationships/hyperlink" Target="https://doi.org/10.1366/0003702894202201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doi.org/10.1364/AO.33.003276" TargetMode="External"/><Relationship Id="rId23" Type="http://schemas.openxmlformats.org/officeDocument/2006/relationships/image" Target="media/image4.png"/><Relationship Id="rId10" Type="http://schemas.microsoft.com/office/2018/08/relationships/commentsExtensible" Target="commentsExtensible.xml"/><Relationship Id="rId19" Type="http://schemas.openxmlformats.org/officeDocument/2006/relationships/hyperlink" Target="https://doi.org/10.1021/es030360x" TargetMode="External"/><Relationship Id="rId4" Type="http://schemas.openxmlformats.org/officeDocument/2006/relationships/footnotes" Target="footnotes.xml"/><Relationship Id="rId9" Type="http://schemas.microsoft.com/office/2016/09/relationships/commentsIds" Target="commentsIds.xml"/><Relationship Id="rId14" Type="http://schemas.openxmlformats.org/officeDocument/2006/relationships/hyperlink" Target="https://doi.org/10.4319/lo.2008.53.3.0955" TargetMode="External"/><Relationship Id="rId22" Type="http://schemas.openxmlformats.org/officeDocument/2006/relationships/image" Target="media/image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Rebiffé</dc:creator>
  <cp:keywords/>
  <dc:description/>
  <cp:lastModifiedBy>Mathilde Rebiffé</cp:lastModifiedBy>
  <cp:revision>2</cp:revision>
  <dcterms:created xsi:type="dcterms:W3CDTF">2024-11-08T08:42:00Z</dcterms:created>
  <dcterms:modified xsi:type="dcterms:W3CDTF">2024-11-08T08:42:00Z</dcterms:modified>
</cp:coreProperties>
</file>