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214" w:rsidRDefault="00C24214" w:rsidP="00C24214">
      <w:pPr>
        <w:pStyle w:val="TableofFigures"/>
        <w:tabs>
          <w:tab w:val="right" w:leader="dot" w:pos="9617"/>
        </w:tabs>
        <w:rPr>
          <w:b/>
          <w:bCs/>
          <w:sz w:val="32"/>
          <w:szCs w:val="28"/>
        </w:rPr>
      </w:pPr>
      <w:bookmarkStart w:id="0" w:name="_GoBack"/>
      <w:bookmarkEnd w:id="0"/>
      <w:r w:rsidRPr="00142E33">
        <w:rPr>
          <w:b/>
          <w:bCs/>
          <w:sz w:val="32"/>
          <w:szCs w:val="28"/>
        </w:rPr>
        <w:t>Internet Appendix</w:t>
      </w:r>
      <w:r>
        <w:rPr>
          <w:b/>
          <w:bCs/>
          <w:sz w:val="32"/>
          <w:szCs w:val="28"/>
        </w:rPr>
        <w:t xml:space="preserve"> </w:t>
      </w:r>
      <w:r w:rsidRPr="00142E33">
        <w:rPr>
          <w:b/>
          <w:bCs/>
          <w:sz w:val="32"/>
          <w:szCs w:val="28"/>
        </w:rPr>
        <w:t xml:space="preserve">(not for publication) </w:t>
      </w:r>
    </w:p>
    <w:p w:rsidR="00C24214" w:rsidRPr="00BA03B3" w:rsidRDefault="00C24214" w:rsidP="00C24214">
      <w:r w:rsidRPr="00BA03B3">
        <w:t xml:space="preserve">This web appendix provides </w:t>
      </w:r>
      <w:r>
        <w:t>s</w:t>
      </w:r>
      <w:r w:rsidRPr="00142E33">
        <w:t xml:space="preserve">upplementary material </w:t>
      </w:r>
      <w:r>
        <w:t xml:space="preserve">and </w:t>
      </w:r>
      <w:r w:rsidRPr="00BA03B3">
        <w:t>additional results for the paper: “</w:t>
      </w:r>
      <w:r w:rsidRPr="00F02481">
        <w:t xml:space="preserve">The Impact of Monetary Policy on Stock Prices: </w:t>
      </w:r>
      <w:r w:rsidRPr="00E33081">
        <w:t xml:space="preserve">Gaining </w:t>
      </w:r>
      <w:r>
        <w:t xml:space="preserve">Momentum or </w:t>
      </w:r>
      <w:r w:rsidRPr="00E33081">
        <w:t>Losing Steam</w:t>
      </w:r>
      <w:r>
        <w:t>?</w:t>
      </w:r>
      <w:r w:rsidRPr="00BA03B3">
        <w:t>”</w:t>
      </w:r>
    </w:p>
    <w:p w:rsidR="00C24214" w:rsidRDefault="00C24214" w:rsidP="00C24214"/>
    <w:p w:rsidR="00C24214" w:rsidRPr="00BA03B3" w:rsidRDefault="00C24214" w:rsidP="00C24214">
      <w:pPr>
        <w:pStyle w:val="TableofFigures"/>
        <w:tabs>
          <w:tab w:val="right" w:leader="dot" w:pos="9617"/>
        </w:tabs>
        <w:rPr>
          <w:b/>
          <w:bCs/>
          <w:sz w:val="32"/>
          <w:szCs w:val="28"/>
        </w:rPr>
      </w:pPr>
      <w:r w:rsidRPr="00BA03B3">
        <w:rPr>
          <w:b/>
          <w:bCs/>
          <w:sz w:val="32"/>
          <w:szCs w:val="28"/>
        </w:rPr>
        <w:t>List of Tables</w:t>
      </w:r>
    </w:p>
    <w:p w:rsidR="00C24214" w:rsidRDefault="00C24214" w:rsidP="00C24214">
      <w:pPr>
        <w:pStyle w:val="TableofFigures"/>
        <w:tabs>
          <w:tab w:val="right" w:leader="dot" w:pos="9617"/>
        </w:tabs>
        <w:rPr>
          <w:rFonts w:asciiTheme="minorHAnsi" w:eastAsiaTheme="minorEastAsia" w:hAnsiTheme="minorHAnsi" w:cstheme="minorBidi"/>
          <w:noProof/>
          <w:kern w:val="2"/>
          <w:sz w:val="24"/>
          <w:szCs w:val="24"/>
          <w:lang w:bidi="ar-SA"/>
          <w14:ligatures w14:val="standardContextual"/>
        </w:rPr>
      </w:pPr>
      <w:r w:rsidRPr="00BA03B3">
        <w:rPr>
          <w:lang w:val="it-IT"/>
        </w:rPr>
        <w:fldChar w:fldCharType="begin"/>
      </w:r>
      <w:r w:rsidRPr="00BA03B3">
        <w:rPr>
          <w:lang w:val="it-IT"/>
        </w:rPr>
        <w:instrText xml:space="preserve"> TOC \h \z \c "Table A" </w:instrText>
      </w:r>
      <w:r w:rsidRPr="00BA03B3">
        <w:rPr>
          <w:lang w:val="it-IT"/>
        </w:rPr>
        <w:fldChar w:fldCharType="separate"/>
      </w:r>
      <w:hyperlink w:anchor="_Toc194730196" w:history="1">
        <w:r w:rsidRPr="001A590E">
          <w:rPr>
            <w:rStyle w:val="Hyperlink"/>
            <w:b/>
            <w:noProof/>
          </w:rPr>
          <w:t xml:space="preserve">Exhibit A1 - The response of stock prices to FOMC announcements: </w:t>
        </w:r>
        <w:r w:rsidRPr="001A590E">
          <w:rPr>
            <w:rStyle w:val="Hyperlink"/>
            <w:rFonts w:ascii="TimesNewRomanPSMT" w:hAnsi="TimesNewRomanPSMT" w:cs="TimesNewRomanPSMT"/>
            <w:b/>
            <w:noProof/>
          </w:rPr>
          <w:t>Speed</w:t>
        </w:r>
        <w:r>
          <w:rPr>
            <w:noProof/>
            <w:webHidden/>
          </w:rPr>
          <w:tab/>
        </w:r>
        <w:r>
          <w:rPr>
            <w:noProof/>
            <w:webHidden/>
          </w:rPr>
          <w:fldChar w:fldCharType="begin"/>
        </w:r>
        <w:r>
          <w:rPr>
            <w:noProof/>
            <w:webHidden/>
          </w:rPr>
          <w:instrText xml:space="preserve"> PAGEREF _Toc194730196 \h </w:instrText>
        </w:r>
        <w:r>
          <w:rPr>
            <w:noProof/>
            <w:webHidden/>
          </w:rPr>
        </w:r>
        <w:r>
          <w:rPr>
            <w:noProof/>
            <w:webHidden/>
          </w:rPr>
          <w:fldChar w:fldCharType="separate"/>
        </w:r>
        <w:r>
          <w:rPr>
            <w:noProof/>
            <w:webHidden/>
          </w:rPr>
          <w:t>42</w:t>
        </w:r>
        <w:r>
          <w:rPr>
            <w:noProof/>
            <w:webHidden/>
          </w:rPr>
          <w:fldChar w:fldCharType="end"/>
        </w:r>
      </w:hyperlink>
    </w:p>
    <w:p w:rsidR="00C24214" w:rsidRDefault="00C24214" w:rsidP="00C24214">
      <w:pPr>
        <w:pStyle w:val="TableofFigures"/>
        <w:tabs>
          <w:tab w:val="right" w:leader="dot" w:pos="9617"/>
        </w:tabs>
        <w:rPr>
          <w:rFonts w:asciiTheme="minorHAnsi" w:eastAsiaTheme="minorEastAsia" w:hAnsiTheme="minorHAnsi" w:cstheme="minorBidi"/>
          <w:noProof/>
          <w:kern w:val="2"/>
          <w:sz w:val="24"/>
          <w:szCs w:val="24"/>
          <w:lang w:bidi="ar-SA"/>
          <w14:ligatures w14:val="standardContextual"/>
        </w:rPr>
      </w:pPr>
      <w:hyperlink w:anchor="_Toc194730197" w:history="1">
        <w:r w:rsidRPr="001A590E">
          <w:rPr>
            <w:rStyle w:val="Hyperlink"/>
            <w:b/>
            <w:noProof/>
          </w:rPr>
          <w:t xml:space="preserve">Exhibit A2 - The response of stock prices to FOMC announcements: </w:t>
        </w:r>
        <w:r w:rsidRPr="001A590E">
          <w:rPr>
            <w:rStyle w:val="Hyperlink"/>
            <w:rFonts w:ascii="TimesNewRomanPSMT" w:hAnsi="TimesNewRomanPSMT" w:cs="TimesNewRomanPSMT"/>
            <w:b/>
            <w:noProof/>
          </w:rPr>
          <w:t>Persistence</w:t>
        </w:r>
        <w:r>
          <w:rPr>
            <w:noProof/>
            <w:webHidden/>
          </w:rPr>
          <w:tab/>
        </w:r>
        <w:r>
          <w:rPr>
            <w:noProof/>
            <w:webHidden/>
          </w:rPr>
          <w:fldChar w:fldCharType="begin"/>
        </w:r>
        <w:r>
          <w:rPr>
            <w:noProof/>
            <w:webHidden/>
          </w:rPr>
          <w:instrText xml:space="preserve"> PAGEREF _Toc194730197 \h </w:instrText>
        </w:r>
        <w:r>
          <w:rPr>
            <w:noProof/>
            <w:webHidden/>
          </w:rPr>
        </w:r>
        <w:r>
          <w:rPr>
            <w:noProof/>
            <w:webHidden/>
          </w:rPr>
          <w:fldChar w:fldCharType="separate"/>
        </w:r>
        <w:r>
          <w:rPr>
            <w:noProof/>
            <w:webHidden/>
          </w:rPr>
          <w:t>43</w:t>
        </w:r>
        <w:r>
          <w:rPr>
            <w:noProof/>
            <w:webHidden/>
          </w:rPr>
          <w:fldChar w:fldCharType="end"/>
        </w:r>
      </w:hyperlink>
    </w:p>
    <w:p w:rsidR="00C24214" w:rsidRDefault="00C24214" w:rsidP="00C24214">
      <w:pPr>
        <w:pStyle w:val="TableofFigures"/>
        <w:tabs>
          <w:tab w:val="right" w:leader="dot" w:pos="9617"/>
        </w:tabs>
        <w:rPr>
          <w:rFonts w:asciiTheme="minorHAnsi" w:eastAsiaTheme="minorEastAsia" w:hAnsiTheme="minorHAnsi" w:cstheme="minorBidi"/>
          <w:noProof/>
          <w:kern w:val="2"/>
          <w:sz w:val="24"/>
          <w:szCs w:val="24"/>
          <w:lang w:bidi="ar-SA"/>
          <w14:ligatures w14:val="standardContextual"/>
        </w:rPr>
      </w:pPr>
      <w:hyperlink w:anchor="_Toc194730198" w:history="1">
        <w:r w:rsidRPr="001A590E">
          <w:rPr>
            <w:rStyle w:val="Hyperlink"/>
            <w:b/>
            <w:noProof/>
          </w:rPr>
          <w:t>Exhibit A3 - The response of stock prices to FOMC announcements: Median regression</w:t>
        </w:r>
        <w:r>
          <w:rPr>
            <w:noProof/>
            <w:webHidden/>
          </w:rPr>
          <w:tab/>
        </w:r>
        <w:r>
          <w:rPr>
            <w:noProof/>
            <w:webHidden/>
          </w:rPr>
          <w:fldChar w:fldCharType="begin"/>
        </w:r>
        <w:r>
          <w:rPr>
            <w:noProof/>
            <w:webHidden/>
          </w:rPr>
          <w:instrText xml:space="preserve"> PAGEREF _Toc194730198 \h </w:instrText>
        </w:r>
        <w:r>
          <w:rPr>
            <w:noProof/>
            <w:webHidden/>
          </w:rPr>
        </w:r>
        <w:r>
          <w:rPr>
            <w:noProof/>
            <w:webHidden/>
          </w:rPr>
          <w:fldChar w:fldCharType="separate"/>
        </w:r>
        <w:r>
          <w:rPr>
            <w:noProof/>
            <w:webHidden/>
          </w:rPr>
          <w:t>44</w:t>
        </w:r>
        <w:r>
          <w:rPr>
            <w:noProof/>
            <w:webHidden/>
          </w:rPr>
          <w:fldChar w:fldCharType="end"/>
        </w:r>
      </w:hyperlink>
    </w:p>
    <w:p w:rsidR="00C24214" w:rsidRDefault="00C24214" w:rsidP="00C24214">
      <w:pPr>
        <w:pStyle w:val="TableofFigures"/>
        <w:tabs>
          <w:tab w:val="right" w:leader="dot" w:pos="9617"/>
        </w:tabs>
        <w:rPr>
          <w:rFonts w:asciiTheme="minorHAnsi" w:eastAsiaTheme="minorEastAsia" w:hAnsiTheme="minorHAnsi" w:cstheme="minorBidi"/>
          <w:noProof/>
          <w:kern w:val="2"/>
          <w:sz w:val="24"/>
          <w:szCs w:val="24"/>
          <w:lang w:bidi="ar-SA"/>
          <w14:ligatures w14:val="standardContextual"/>
        </w:rPr>
      </w:pPr>
      <w:hyperlink w:anchor="_Toc194730199" w:history="1">
        <w:r w:rsidRPr="001A590E">
          <w:rPr>
            <w:rStyle w:val="Hyperlink"/>
            <w:b/>
            <w:noProof/>
          </w:rPr>
          <w:t>Exhibit A4 - The response of stock prices to FOMC announcements: Non-linear effects</w:t>
        </w:r>
        <w:r>
          <w:rPr>
            <w:noProof/>
            <w:webHidden/>
          </w:rPr>
          <w:tab/>
        </w:r>
        <w:r>
          <w:rPr>
            <w:noProof/>
            <w:webHidden/>
          </w:rPr>
          <w:fldChar w:fldCharType="begin"/>
        </w:r>
        <w:r>
          <w:rPr>
            <w:noProof/>
            <w:webHidden/>
          </w:rPr>
          <w:instrText xml:space="preserve"> PAGEREF _Toc194730199 \h </w:instrText>
        </w:r>
        <w:r>
          <w:rPr>
            <w:noProof/>
            <w:webHidden/>
          </w:rPr>
        </w:r>
        <w:r>
          <w:rPr>
            <w:noProof/>
            <w:webHidden/>
          </w:rPr>
          <w:fldChar w:fldCharType="separate"/>
        </w:r>
        <w:r>
          <w:rPr>
            <w:noProof/>
            <w:webHidden/>
          </w:rPr>
          <w:t>45</w:t>
        </w:r>
        <w:r>
          <w:rPr>
            <w:noProof/>
            <w:webHidden/>
          </w:rPr>
          <w:fldChar w:fldCharType="end"/>
        </w:r>
      </w:hyperlink>
    </w:p>
    <w:p w:rsidR="00C24214" w:rsidRDefault="00C24214" w:rsidP="00C24214">
      <w:pPr>
        <w:pStyle w:val="TableofFigures"/>
        <w:tabs>
          <w:tab w:val="right" w:leader="dot" w:pos="9617"/>
        </w:tabs>
        <w:rPr>
          <w:rFonts w:asciiTheme="minorHAnsi" w:eastAsiaTheme="minorEastAsia" w:hAnsiTheme="minorHAnsi" w:cstheme="minorBidi"/>
          <w:noProof/>
          <w:kern w:val="2"/>
          <w:sz w:val="24"/>
          <w:szCs w:val="24"/>
          <w:lang w:bidi="ar-SA"/>
          <w14:ligatures w14:val="standardContextual"/>
        </w:rPr>
      </w:pPr>
      <w:hyperlink w:anchor="_Toc194730200" w:history="1">
        <w:r w:rsidRPr="001A590E">
          <w:rPr>
            <w:rStyle w:val="Hyperlink"/>
            <w:b/>
            <w:noProof/>
          </w:rPr>
          <w:t>Exhibit A5 - The response of stock prices to FOMC announcements: Cash ETFs</w:t>
        </w:r>
        <w:r>
          <w:rPr>
            <w:noProof/>
            <w:webHidden/>
          </w:rPr>
          <w:tab/>
        </w:r>
        <w:r>
          <w:rPr>
            <w:noProof/>
            <w:webHidden/>
          </w:rPr>
          <w:fldChar w:fldCharType="begin"/>
        </w:r>
        <w:r>
          <w:rPr>
            <w:noProof/>
            <w:webHidden/>
          </w:rPr>
          <w:instrText xml:space="preserve"> PAGEREF _Toc194730200 \h </w:instrText>
        </w:r>
        <w:r>
          <w:rPr>
            <w:noProof/>
            <w:webHidden/>
          </w:rPr>
        </w:r>
        <w:r>
          <w:rPr>
            <w:noProof/>
            <w:webHidden/>
          </w:rPr>
          <w:fldChar w:fldCharType="separate"/>
        </w:r>
        <w:r>
          <w:rPr>
            <w:noProof/>
            <w:webHidden/>
          </w:rPr>
          <w:t>46</w:t>
        </w:r>
        <w:r>
          <w:rPr>
            <w:noProof/>
            <w:webHidden/>
          </w:rPr>
          <w:fldChar w:fldCharType="end"/>
        </w:r>
      </w:hyperlink>
    </w:p>
    <w:p w:rsidR="00C24214" w:rsidRDefault="00C24214" w:rsidP="00C24214">
      <w:pPr>
        <w:rPr>
          <w:lang w:val="it-IT"/>
        </w:rPr>
      </w:pPr>
      <w:r w:rsidRPr="00BA03B3">
        <w:rPr>
          <w:lang w:val="it-IT"/>
        </w:rPr>
        <w:fldChar w:fldCharType="end"/>
      </w:r>
    </w:p>
    <w:p w:rsidR="00C24214" w:rsidRDefault="00C24214" w:rsidP="00C24214">
      <w:pPr>
        <w:rPr>
          <w:lang w:val="it-IT"/>
        </w:rPr>
      </w:pPr>
      <w:r>
        <w:rPr>
          <w:lang w:val="it-IT"/>
        </w:rPr>
        <w:br w:type="page"/>
      </w:r>
    </w:p>
    <w:p w:rsidR="00C24214" w:rsidRPr="00FB56B8" w:rsidRDefault="00C24214" w:rsidP="00C24214">
      <w:pPr>
        <w:pStyle w:val="Caption"/>
        <w:spacing w:line="240" w:lineRule="auto"/>
        <w:rPr>
          <w:rFonts w:ascii="TimesNewRomanPSMT" w:hAnsi="TimesNewRomanPSMT" w:cs="TimesNewRomanPSMT"/>
          <w:b/>
          <w:bCs w:val="0"/>
        </w:rPr>
      </w:pPr>
      <w:bookmarkStart w:id="1" w:name="_Toc194730196"/>
      <w:r w:rsidRPr="00766C14">
        <w:rPr>
          <w:b/>
        </w:rPr>
        <w:lastRenderedPageBreak/>
        <w:t>Exhibit A</w:t>
      </w:r>
      <w:r w:rsidRPr="00766C14">
        <w:rPr>
          <w:b/>
        </w:rPr>
        <w:fldChar w:fldCharType="begin"/>
      </w:r>
      <w:r w:rsidRPr="00766C14">
        <w:rPr>
          <w:b/>
        </w:rPr>
        <w:instrText xml:space="preserve"> SEQ Table_A \* ARABIC </w:instrText>
      </w:r>
      <w:r w:rsidRPr="00766C14">
        <w:rPr>
          <w:b/>
        </w:rPr>
        <w:fldChar w:fldCharType="separate"/>
      </w:r>
      <w:r>
        <w:rPr>
          <w:b/>
          <w:noProof/>
        </w:rPr>
        <w:t>1</w:t>
      </w:r>
      <w:r w:rsidRPr="00766C14">
        <w:rPr>
          <w:b/>
        </w:rPr>
        <w:fldChar w:fldCharType="end"/>
      </w:r>
      <w:r w:rsidRPr="00766C14">
        <w:rPr>
          <w:b/>
        </w:rPr>
        <w:t xml:space="preserve"> - The response of stock prices to FOMC announcements: </w:t>
      </w:r>
      <w:r w:rsidRPr="00766C14">
        <w:rPr>
          <w:rFonts w:ascii="TimesNewRomanPSMT" w:hAnsi="TimesNewRomanPSMT" w:cs="TimesNewRomanPSMT"/>
          <w:b/>
        </w:rPr>
        <w:t>Speed</w:t>
      </w:r>
      <w:bookmarkEnd w:id="1"/>
    </w:p>
    <w:p w:rsidR="00C24214" w:rsidRPr="00FB56B8" w:rsidRDefault="00C24214" w:rsidP="00C24214">
      <w:pPr>
        <w:autoSpaceDE w:val="0"/>
        <w:autoSpaceDN w:val="0"/>
        <w:adjustRightInd w:val="0"/>
        <w:spacing w:line="240" w:lineRule="auto"/>
        <w:rPr>
          <w:rFonts w:ascii="TimesNewRomanPSMT" w:hAnsi="TimesNewRomanPSMT" w:cs="TimesNewRomanPSMT"/>
        </w:rPr>
      </w:pPr>
    </w:p>
    <w:p w:rsidR="00C24214" w:rsidRDefault="00C24214" w:rsidP="00C24214">
      <w:pPr>
        <w:spacing w:line="240" w:lineRule="auto"/>
        <w:rPr>
          <w:sz w:val="20"/>
          <w:szCs w:val="20"/>
        </w:rPr>
      </w:pPr>
      <w:r w:rsidRPr="00FB56B8">
        <w:rPr>
          <w:sz w:val="20"/>
          <w:szCs w:val="20"/>
        </w:rPr>
        <w:t xml:space="preserve">The figure </w:t>
      </w:r>
      <w:r w:rsidRPr="0003565E">
        <w:rPr>
          <w:sz w:val="20"/>
          <w:szCs w:val="20"/>
        </w:rPr>
        <w:t xml:space="preserve">displays </w:t>
      </w:r>
      <w:r w:rsidRPr="00FB56B8">
        <w:rPr>
          <w:sz w:val="20"/>
          <w:szCs w:val="20"/>
        </w:rPr>
        <w:t xml:space="preserve">the speed of the response of intraday equity futures returns on a constant, </w:t>
      </w:r>
      <w:r w:rsidRPr="0003565E">
        <w:rPr>
          <w:rFonts w:ascii="TimesNewRomanPSMT" w:hAnsi="TimesNewRomanPSMT" w:cs="TimesNewRomanPSMT"/>
          <w:sz w:val="20"/>
          <w:szCs w:val="20"/>
        </w:rPr>
        <w:t>target (TS), path (PS), and LSAP (LS) surprises</w:t>
      </w:r>
      <w:r w:rsidRPr="00FB56B8">
        <w:rPr>
          <w:sz w:val="20"/>
          <w:szCs w:val="20"/>
        </w:rPr>
        <w:t xml:space="preserve"> </w:t>
      </w:r>
      <w:r w:rsidRPr="00FB56B8">
        <w:rPr>
          <w:rFonts w:ascii="TimesNewRomanPSMT" w:hAnsi="TimesNewRomanPSMT" w:cs="TimesNewRomanPSMT"/>
          <w:sz w:val="20"/>
          <w:szCs w:val="20"/>
        </w:rPr>
        <w:t>on the DJIA, NASDAQ 100, Russell 2000 and S&amp;P MidCap 400 stock indexes</w:t>
      </w:r>
      <w:r w:rsidRPr="00FB56B8">
        <w:rPr>
          <w:sz w:val="20"/>
          <w:szCs w:val="20"/>
        </w:rPr>
        <w:t xml:space="preserve">. The sample is from January 1999 to December 2022 </w:t>
      </w:r>
      <w:r w:rsidRPr="00FB56B8">
        <w:rPr>
          <w:rFonts w:asciiTheme="majorBidi" w:hAnsiTheme="majorBidi" w:cstheme="majorBidi"/>
          <w:sz w:val="20"/>
          <w:szCs w:val="20"/>
        </w:rPr>
        <w:t>(or determined by data availability).</w:t>
      </w:r>
      <w:r w:rsidRPr="00FB56B8">
        <w:rPr>
          <w:sz w:val="20"/>
          <w:szCs w:val="20"/>
        </w:rPr>
        <w:t xml:space="preserve"> </w:t>
      </w:r>
      <w:r w:rsidRPr="0003565E">
        <w:rPr>
          <w:rFonts w:ascii="TimesNewRomanPSMT" w:hAnsi="TimesNewRomanPSMT" w:cs="TimesNewRomanPSMT"/>
          <w:sz w:val="20"/>
          <w:szCs w:val="20"/>
        </w:rPr>
        <w:t xml:space="preserve">The dependent variable is the </w:t>
      </w:r>
      <w:r w:rsidRPr="0003565E">
        <w:rPr>
          <w:sz w:val="20"/>
          <w:szCs w:val="20"/>
        </w:rPr>
        <w:t xml:space="preserve">intraday </w:t>
      </w:r>
      <w:r w:rsidRPr="0003565E">
        <w:rPr>
          <w:rFonts w:ascii="TimesNewRomanPSMT" w:hAnsi="TimesNewRomanPSMT" w:cs="TimesNewRomanPSMT"/>
          <w:sz w:val="20"/>
          <w:szCs w:val="20"/>
        </w:rPr>
        <w:t xml:space="preserve">percentage changes in the S&amp;P 500 </w:t>
      </w:r>
      <w:r w:rsidRPr="0003565E">
        <w:rPr>
          <w:sz w:val="20"/>
          <w:szCs w:val="20"/>
        </w:rPr>
        <w:t xml:space="preserve">equity futures </w:t>
      </w:r>
      <w:r w:rsidRPr="0003565E">
        <w:rPr>
          <w:rFonts w:ascii="TimesNewRomanPSMT" w:hAnsi="TimesNewRomanPSMT" w:cs="TimesNewRomanPSMT"/>
          <w:sz w:val="20"/>
          <w:szCs w:val="20"/>
        </w:rPr>
        <w:t xml:space="preserve">price from one hour before the release of the FOMC announcement to two hours after. </w:t>
      </w:r>
      <w:r w:rsidRPr="00FB56B8">
        <w:rPr>
          <w:sz w:val="20"/>
          <w:szCs w:val="20"/>
        </w:rPr>
        <w:t>The variable TS measures unanticipated changes in the current</w:t>
      </w:r>
      <w:r>
        <w:rPr>
          <w:sz w:val="20"/>
          <w:szCs w:val="20"/>
        </w:rPr>
        <w:t xml:space="preserve"> federal funds </w:t>
      </w:r>
      <w:r w:rsidRPr="00675399">
        <w:rPr>
          <w:sz w:val="20"/>
          <w:szCs w:val="20"/>
        </w:rPr>
        <w:t>rate target. The variable PS measures changes in futures rates out to horizons of two years that are independent of changes in the current funds rate target. The variable LS measures unanticipated changes in large-scale asset purchases. The vertical line is placed at the time of the FOMC announcement</w:t>
      </w:r>
      <w:r>
        <w:rPr>
          <w:sz w:val="20"/>
          <w:szCs w:val="20"/>
        </w:rPr>
        <w:t xml:space="preserve"> (normalized to zero)</w:t>
      </w:r>
      <w:r w:rsidRPr="00675399">
        <w:rPr>
          <w:sz w:val="20"/>
          <w:szCs w:val="20"/>
        </w:rPr>
        <w:t xml:space="preserve">. </w:t>
      </w:r>
      <w:r w:rsidRPr="00675399">
        <w:rPr>
          <w:rFonts w:ascii="TimesNewRomanPSMT" w:hAnsi="TimesNewRomanPSMT" w:cs="TimesNewRomanPSMT"/>
          <w:sz w:val="20"/>
          <w:szCs w:val="20"/>
        </w:rPr>
        <w:t>The solid blue lines represent the point estimates and the dashed red lines represent two standard error confidence intervals. The econometric method is ordinary least squares</w:t>
      </w:r>
      <w:r w:rsidRPr="00675399">
        <w:rPr>
          <w:sz w:val="20"/>
          <w:szCs w:val="20"/>
        </w:rPr>
        <w:t xml:space="preserve"> with standard errors clustered by date. The interval spans from one hour before to two hours after the FOMC announcement, with tick units representing a 5-minute interval.</w:t>
      </w:r>
    </w:p>
    <w:p w:rsidR="00C24214" w:rsidRDefault="00C24214" w:rsidP="00C24214">
      <w:pPr>
        <w:spacing w:line="240" w:lineRule="auto"/>
        <w:rPr>
          <w:sz w:val="20"/>
          <w:szCs w:val="20"/>
        </w:rPr>
      </w:pPr>
    </w:p>
    <w:p w:rsidR="00C24214" w:rsidRDefault="00C24214" w:rsidP="00C24214">
      <w:pPr>
        <w:spacing w:line="240" w:lineRule="auto"/>
        <w:rPr>
          <w:sz w:val="20"/>
          <w:szCs w:val="20"/>
        </w:rPr>
      </w:pPr>
      <w:r w:rsidRPr="00766C14">
        <w:rPr>
          <w:noProof/>
          <w:sz w:val="20"/>
          <w:szCs w:val="20"/>
          <w:lang w:eastAsia="en-IN"/>
        </w:rPr>
        <w:drawing>
          <wp:inline distT="0" distB="0" distL="0" distR="0" wp14:anchorId="65926DD2" wp14:editId="3D8BF40C">
            <wp:extent cx="6113145" cy="6007735"/>
            <wp:effectExtent l="0" t="0" r="1905" b="0"/>
            <wp:docPr id="426078584"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78584" name="Picture 1" descr="A graph of a graph of a graph&#10;&#10;AI-generated content may be incorrect."/>
                    <pic:cNvPicPr/>
                  </pic:nvPicPr>
                  <pic:blipFill>
                    <a:blip r:embed="rId4"/>
                    <a:stretch>
                      <a:fillRect/>
                    </a:stretch>
                  </pic:blipFill>
                  <pic:spPr>
                    <a:xfrm>
                      <a:off x="0" y="0"/>
                      <a:ext cx="6113145" cy="6007735"/>
                    </a:xfrm>
                    <a:prstGeom prst="rect">
                      <a:avLst/>
                    </a:prstGeom>
                  </pic:spPr>
                </pic:pic>
              </a:graphicData>
            </a:graphic>
          </wp:inline>
        </w:drawing>
      </w:r>
    </w:p>
    <w:p w:rsidR="00C24214" w:rsidRDefault="00C24214" w:rsidP="00C24214">
      <w:pPr>
        <w:spacing w:line="240" w:lineRule="auto"/>
        <w:rPr>
          <w:sz w:val="20"/>
          <w:szCs w:val="20"/>
        </w:rPr>
      </w:pPr>
    </w:p>
    <w:p w:rsidR="00C24214" w:rsidRDefault="00C24214" w:rsidP="00C24214">
      <w:pPr>
        <w:spacing w:line="240" w:lineRule="auto"/>
        <w:rPr>
          <w:sz w:val="20"/>
          <w:szCs w:val="20"/>
        </w:rPr>
      </w:pPr>
    </w:p>
    <w:p w:rsidR="00C24214" w:rsidRPr="00FB56B8" w:rsidRDefault="00C24214" w:rsidP="00C24214">
      <w:r w:rsidRPr="00FB56B8">
        <w:br w:type="page"/>
      </w:r>
    </w:p>
    <w:p w:rsidR="00C24214" w:rsidRPr="005B670E" w:rsidRDefault="00C24214" w:rsidP="00C24214">
      <w:pPr>
        <w:pStyle w:val="Caption"/>
        <w:spacing w:line="240" w:lineRule="auto"/>
        <w:rPr>
          <w:rFonts w:ascii="TimesNewRomanPSMT" w:hAnsi="TimesNewRomanPSMT" w:cs="TimesNewRomanPSMT"/>
          <w:b/>
          <w:bCs w:val="0"/>
        </w:rPr>
      </w:pPr>
      <w:bookmarkStart w:id="2" w:name="_Toc194730197"/>
      <w:r w:rsidRPr="00580A4F">
        <w:rPr>
          <w:b/>
        </w:rPr>
        <w:lastRenderedPageBreak/>
        <w:t>Exhibit A</w:t>
      </w:r>
      <w:r w:rsidRPr="00580A4F">
        <w:rPr>
          <w:b/>
        </w:rPr>
        <w:fldChar w:fldCharType="begin"/>
      </w:r>
      <w:r w:rsidRPr="00580A4F">
        <w:rPr>
          <w:b/>
        </w:rPr>
        <w:instrText xml:space="preserve"> SEQ Table_A \* ARABIC </w:instrText>
      </w:r>
      <w:r w:rsidRPr="00580A4F">
        <w:rPr>
          <w:b/>
        </w:rPr>
        <w:fldChar w:fldCharType="separate"/>
      </w:r>
      <w:r>
        <w:rPr>
          <w:b/>
          <w:noProof/>
        </w:rPr>
        <w:t>2</w:t>
      </w:r>
      <w:r w:rsidRPr="00580A4F">
        <w:rPr>
          <w:b/>
        </w:rPr>
        <w:fldChar w:fldCharType="end"/>
      </w:r>
      <w:r w:rsidRPr="00580A4F">
        <w:rPr>
          <w:b/>
        </w:rPr>
        <w:t xml:space="preserve"> - The response of stock prices to FOMC announcements: </w:t>
      </w:r>
      <w:r w:rsidRPr="00580A4F">
        <w:rPr>
          <w:rFonts w:ascii="TimesNewRomanPSMT" w:hAnsi="TimesNewRomanPSMT" w:cs="TimesNewRomanPSMT"/>
          <w:b/>
        </w:rPr>
        <w:t>Persistence</w:t>
      </w:r>
      <w:bookmarkEnd w:id="2"/>
    </w:p>
    <w:p w:rsidR="00C24214" w:rsidRPr="005B670E" w:rsidRDefault="00C24214" w:rsidP="00C24214">
      <w:pPr>
        <w:autoSpaceDE w:val="0"/>
        <w:autoSpaceDN w:val="0"/>
        <w:adjustRightInd w:val="0"/>
        <w:spacing w:line="240" w:lineRule="auto"/>
        <w:rPr>
          <w:rFonts w:ascii="TimesNewRomanPSMT" w:hAnsi="TimesNewRomanPSMT" w:cs="TimesNewRomanPSMT"/>
        </w:rPr>
      </w:pPr>
    </w:p>
    <w:p w:rsidR="00C24214" w:rsidRDefault="00C24214" w:rsidP="00C24214">
      <w:pPr>
        <w:autoSpaceDE w:val="0"/>
        <w:autoSpaceDN w:val="0"/>
        <w:adjustRightInd w:val="0"/>
        <w:spacing w:line="240" w:lineRule="auto"/>
        <w:rPr>
          <w:rFonts w:ascii="TimesNewRomanPSMT" w:hAnsi="TimesNewRomanPSMT" w:cs="TimesNewRomanPSMT"/>
          <w:sz w:val="20"/>
          <w:szCs w:val="20"/>
        </w:rPr>
      </w:pPr>
      <w:r w:rsidRPr="005B670E">
        <w:rPr>
          <w:rFonts w:ascii="TimesNewRomanPSMT" w:hAnsi="TimesNewRomanPSMT" w:cs="TimesNewRomanPSMT"/>
          <w:sz w:val="20"/>
          <w:szCs w:val="20"/>
        </w:rPr>
        <w:t>The figure displays the persistenc</w:t>
      </w:r>
      <w:r>
        <w:rPr>
          <w:rFonts w:ascii="TimesNewRomanPSMT" w:hAnsi="TimesNewRomanPSMT" w:cs="TimesNewRomanPSMT"/>
          <w:sz w:val="20"/>
          <w:szCs w:val="20"/>
        </w:rPr>
        <w:t>e</w:t>
      </w:r>
      <w:r w:rsidRPr="005B670E">
        <w:rPr>
          <w:rFonts w:ascii="TimesNewRomanPSMT" w:hAnsi="TimesNewRomanPSMT" w:cs="TimesNewRomanPSMT"/>
          <w:sz w:val="20"/>
          <w:szCs w:val="20"/>
        </w:rPr>
        <w:t xml:space="preserve"> of the effects of target (TS), path (PS) and LSAP </w:t>
      </w:r>
      <w:r>
        <w:rPr>
          <w:rFonts w:ascii="TimesNewRomanPSMT" w:hAnsi="TimesNewRomanPSMT" w:cs="TimesNewRomanPSMT"/>
          <w:sz w:val="20"/>
          <w:szCs w:val="20"/>
        </w:rPr>
        <w:t xml:space="preserve">(LS) </w:t>
      </w:r>
      <w:r w:rsidRPr="005B670E">
        <w:rPr>
          <w:rFonts w:ascii="TimesNewRomanPSMT" w:hAnsi="TimesNewRomanPSMT" w:cs="TimesNewRomanPSMT"/>
          <w:sz w:val="20"/>
          <w:szCs w:val="20"/>
        </w:rPr>
        <w:t>surprises</w:t>
      </w:r>
      <w:r>
        <w:rPr>
          <w:rFonts w:ascii="TimesNewRomanPSMT" w:hAnsi="TimesNewRomanPSMT" w:cs="TimesNewRomanPSMT"/>
          <w:sz w:val="20"/>
          <w:szCs w:val="20"/>
        </w:rPr>
        <w:t xml:space="preserve"> </w:t>
      </w:r>
      <w:r w:rsidRPr="005B670E">
        <w:rPr>
          <w:rFonts w:ascii="TimesNewRomanPSMT" w:hAnsi="TimesNewRomanPSMT" w:cs="TimesNewRomanPSMT"/>
          <w:sz w:val="20"/>
          <w:szCs w:val="20"/>
        </w:rPr>
        <w:t>on the DJIA, NASDAQ 100, Russell 2000 and S&amp;P MidCap 400 stock indexes. The sample period is January 1999 to December 2022</w:t>
      </w:r>
      <w:r>
        <w:rPr>
          <w:rFonts w:ascii="TimesNewRomanPSMT" w:hAnsi="TimesNewRomanPSMT" w:cs="TimesNewRomanPSMT"/>
          <w:sz w:val="20"/>
          <w:szCs w:val="20"/>
        </w:rPr>
        <w:t xml:space="preserve"> </w:t>
      </w:r>
      <w:r w:rsidRPr="004C79C1">
        <w:rPr>
          <w:rFonts w:asciiTheme="majorBidi" w:hAnsiTheme="majorBidi" w:cstheme="majorBidi"/>
          <w:sz w:val="20"/>
          <w:szCs w:val="20"/>
        </w:rPr>
        <w:t>(or determined by data availability).</w:t>
      </w:r>
      <w:r w:rsidRPr="005B670E">
        <w:rPr>
          <w:rFonts w:ascii="TimesNewRomanPSMT" w:hAnsi="TimesNewRomanPSMT" w:cs="TimesNewRomanPSMT"/>
          <w:sz w:val="20"/>
          <w:szCs w:val="20"/>
        </w:rPr>
        <w:t xml:space="preserve"> </w:t>
      </w:r>
      <w:r>
        <w:rPr>
          <w:sz w:val="20"/>
          <w:szCs w:val="20"/>
        </w:rPr>
        <w:t xml:space="preserve">The regression includes a constant. </w:t>
      </w:r>
      <w:r w:rsidRPr="005B670E">
        <w:rPr>
          <w:rFonts w:ascii="TimesNewRomanPSMT" w:hAnsi="TimesNewRomanPSMT" w:cs="TimesNewRomanPSMT"/>
          <w:sz w:val="20"/>
          <w:szCs w:val="20"/>
        </w:rPr>
        <w:t xml:space="preserve">The dependent variable is the percentage changes in the stock price from five minutes before the FOMC announcement up to twenty days after. The solid blue lines represent the point estimates and the dashed red lines represent two standard error confidence intervals. The econometric method is ordinary least squares with </w:t>
      </w:r>
      <w:r w:rsidRPr="005B670E">
        <w:rPr>
          <w:sz w:val="20"/>
          <w:szCs w:val="20"/>
        </w:rPr>
        <w:t>standard errors clustered by date.</w:t>
      </w:r>
      <w:r w:rsidRPr="005B670E">
        <w:rPr>
          <w:rFonts w:ascii="TimesNewRomanPSMT" w:hAnsi="TimesNewRomanPSMT" w:cs="TimesNewRomanPSMT"/>
          <w:sz w:val="20"/>
          <w:szCs w:val="20"/>
        </w:rPr>
        <w:t xml:space="preserve"> The interval spans from the announcement day to twenty days after the FOMC meeting.</w:t>
      </w:r>
    </w:p>
    <w:p w:rsidR="00C24214" w:rsidRDefault="00C24214" w:rsidP="00C24214">
      <w:pPr>
        <w:autoSpaceDE w:val="0"/>
        <w:autoSpaceDN w:val="0"/>
        <w:adjustRightInd w:val="0"/>
        <w:spacing w:line="240" w:lineRule="auto"/>
        <w:rPr>
          <w:rFonts w:ascii="TimesNewRomanPSMT" w:hAnsi="TimesNewRomanPSMT" w:cs="TimesNewRomanPSMT"/>
          <w:sz w:val="20"/>
          <w:szCs w:val="20"/>
        </w:rPr>
      </w:pPr>
      <w:r w:rsidRPr="00580A4F">
        <w:rPr>
          <w:rFonts w:ascii="TimesNewRomanPSMT" w:hAnsi="TimesNewRomanPSMT" w:cs="TimesNewRomanPSMT"/>
          <w:noProof/>
          <w:sz w:val="20"/>
          <w:szCs w:val="20"/>
          <w:lang w:eastAsia="en-IN"/>
        </w:rPr>
        <w:drawing>
          <wp:inline distT="0" distB="0" distL="0" distR="0" wp14:anchorId="3D1E3345" wp14:editId="4AA1BFC6">
            <wp:extent cx="6113145" cy="7153910"/>
            <wp:effectExtent l="0" t="0" r="1905" b="8890"/>
            <wp:docPr id="756068416" name="Picture 1" descr="A graph of blue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68416" name="Picture 1" descr="A graph of blue and red lines&#10;&#10;AI-generated content may be incorrect."/>
                    <pic:cNvPicPr/>
                  </pic:nvPicPr>
                  <pic:blipFill>
                    <a:blip r:embed="rId5"/>
                    <a:stretch>
                      <a:fillRect/>
                    </a:stretch>
                  </pic:blipFill>
                  <pic:spPr>
                    <a:xfrm>
                      <a:off x="0" y="0"/>
                      <a:ext cx="6113145" cy="7153910"/>
                    </a:xfrm>
                    <a:prstGeom prst="rect">
                      <a:avLst/>
                    </a:prstGeom>
                  </pic:spPr>
                </pic:pic>
              </a:graphicData>
            </a:graphic>
          </wp:inline>
        </w:drawing>
      </w:r>
    </w:p>
    <w:p w:rsidR="00C24214" w:rsidRPr="00C95579" w:rsidRDefault="00C24214" w:rsidP="00C24214">
      <w:pPr>
        <w:spacing w:line="240" w:lineRule="auto"/>
      </w:pPr>
      <w:r w:rsidRPr="00C95579">
        <w:lastRenderedPageBreak/>
        <w:br w:type="page"/>
      </w:r>
    </w:p>
    <w:p w:rsidR="00C24214" w:rsidRPr="002C5E99" w:rsidRDefault="00C24214" w:rsidP="00C24214">
      <w:pPr>
        <w:pStyle w:val="Caption"/>
        <w:spacing w:line="240" w:lineRule="auto"/>
        <w:rPr>
          <w:b/>
        </w:rPr>
      </w:pPr>
      <w:bookmarkStart w:id="3" w:name="_Ref438149791"/>
      <w:bookmarkStart w:id="4" w:name="_Toc194730198"/>
      <w:r w:rsidRPr="00EE4190">
        <w:rPr>
          <w:b/>
        </w:rPr>
        <w:lastRenderedPageBreak/>
        <w:t>Exhibit A</w:t>
      </w:r>
      <w:r w:rsidRPr="00EE4190">
        <w:rPr>
          <w:b/>
        </w:rPr>
        <w:fldChar w:fldCharType="begin"/>
      </w:r>
      <w:r w:rsidRPr="00EE4190">
        <w:rPr>
          <w:b/>
        </w:rPr>
        <w:instrText xml:space="preserve"> SEQ Table_A \* ARABIC </w:instrText>
      </w:r>
      <w:r w:rsidRPr="00EE4190">
        <w:rPr>
          <w:b/>
        </w:rPr>
        <w:fldChar w:fldCharType="separate"/>
      </w:r>
      <w:r>
        <w:rPr>
          <w:b/>
          <w:noProof/>
        </w:rPr>
        <w:t>3</w:t>
      </w:r>
      <w:r w:rsidRPr="00EE4190">
        <w:rPr>
          <w:b/>
        </w:rPr>
        <w:fldChar w:fldCharType="end"/>
      </w:r>
      <w:r w:rsidRPr="00EE4190">
        <w:rPr>
          <w:b/>
        </w:rPr>
        <w:t xml:space="preserve"> - </w:t>
      </w:r>
      <w:bookmarkEnd w:id="3"/>
      <w:r w:rsidRPr="00EE4190">
        <w:rPr>
          <w:b/>
        </w:rPr>
        <w:t>The response of stock prices to FOMC announcements: Median regression</w:t>
      </w:r>
      <w:bookmarkEnd w:id="4"/>
    </w:p>
    <w:p w:rsidR="00C24214" w:rsidRPr="00674DFE" w:rsidRDefault="00C24214" w:rsidP="00C24214">
      <w:pPr>
        <w:spacing w:line="240" w:lineRule="auto"/>
        <w:rPr>
          <w:sz w:val="20"/>
          <w:szCs w:val="20"/>
        </w:rPr>
      </w:pPr>
    </w:p>
    <w:p w:rsidR="00C24214" w:rsidRPr="00674DFE" w:rsidRDefault="00C24214" w:rsidP="00C24214">
      <w:pPr>
        <w:spacing w:line="240" w:lineRule="auto"/>
        <w:rPr>
          <w:sz w:val="20"/>
          <w:szCs w:val="20"/>
        </w:rPr>
      </w:pPr>
      <w:r w:rsidRPr="00674DFE">
        <w:rPr>
          <w:sz w:val="20"/>
          <w:szCs w:val="20"/>
        </w:rPr>
        <w:t>The table reports the results from a regression of intraday equity returns (from five minutes before the event to twenty-five minutes after) on a constant, TS, PS and LS:</w:t>
      </w:r>
    </w:p>
    <w:p w:rsidR="00C24214" w:rsidRPr="00674DFE" w:rsidRDefault="00C24214" w:rsidP="00C24214">
      <w:pPr>
        <w:spacing w:line="240" w:lineRule="auto"/>
        <w:rPr>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R</m:t>
              </m:r>
            </m:e>
            <m:sub>
              <m:r>
                <w:rPr>
                  <w:rFonts w:ascii="Cambria Math" w:eastAsia="Cambria Math" w:hAnsi="Cambria Math" w:cs="Cambria Math"/>
                  <w:sz w:val="20"/>
                  <w:szCs w:val="20"/>
                </w:rPr>
                <m:t>i,t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i,0</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i,TS</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TS</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i,PS</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PS</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i,LS</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LS</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ε</m:t>
              </m:r>
            </m:e>
            <m:sub>
              <m:r>
                <w:rPr>
                  <w:rFonts w:ascii="Cambria Math" w:eastAsia="Cambria Math" w:hAnsi="Cambria Math" w:cs="Cambria Math"/>
                  <w:sz w:val="20"/>
                  <w:szCs w:val="20"/>
                </w:rPr>
                <m:t>i,t</m:t>
              </m:r>
            </m:sub>
          </m:sSub>
        </m:oMath>
      </m:oMathPara>
    </w:p>
    <w:p w:rsidR="00C24214" w:rsidRPr="00674DFE" w:rsidRDefault="00C24214" w:rsidP="00C24214">
      <w:pPr>
        <w:spacing w:line="240" w:lineRule="auto"/>
        <w:rPr>
          <w:sz w:val="20"/>
          <w:szCs w:val="20"/>
        </w:rPr>
      </w:pPr>
      <w:r w:rsidRPr="00674DFE">
        <w:rPr>
          <w:sz w:val="20"/>
          <w:szCs w:val="20"/>
        </w:rPr>
        <w:t>The sample is from January 1999 to December 2022 (or determined by data availability). The variable TS measures unanticipated changes in the current</w:t>
      </w:r>
      <w:r>
        <w:rPr>
          <w:sz w:val="20"/>
          <w:szCs w:val="20"/>
        </w:rPr>
        <w:t xml:space="preserve"> federal funds </w:t>
      </w:r>
      <w:r w:rsidRPr="00674DFE">
        <w:rPr>
          <w:sz w:val="20"/>
          <w:szCs w:val="20"/>
        </w:rPr>
        <w:t xml:space="preserve">rate target. The variable PS measures changes in futures rates out to horizons of two years that are independent of changes in the current funds rate target. The variable LS measures unanticipated changes in large-scale asset purchases. The econometric method is median regression with robust standard errors. The superscripts </w:t>
      </w:r>
      <w:r w:rsidRPr="00E21C04">
        <w:rPr>
          <w:sz w:val="20"/>
          <w:szCs w:val="20"/>
          <w:vertAlign w:val="superscript"/>
        </w:rPr>
        <w:t>***</w:t>
      </w:r>
      <w:r w:rsidRPr="00674DFE">
        <w:rPr>
          <w:sz w:val="20"/>
          <w:szCs w:val="20"/>
        </w:rPr>
        <w:t xml:space="preserve">, </w:t>
      </w:r>
      <w:r w:rsidRPr="00E21C04">
        <w:rPr>
          <w:sz w:val="20"/>
          <w:szCs w:val="20"/>
          <w:vertAlign w:val="superscript"/>
        </w:rPr>
        <w:t>**</w:t>
      </w:r>
      <w:r w:rsidRPr="00674DFE">
        <w:rPr>
          <w:sz w:val="20"/>
          <w:szCs w:val="20"/>
        </w:rPr>
        <w:t xml:space="preserve">, and </w:t>
      </w:r>
      <w:r w:rsidRPr="00E21C04">
        <w:rPr>
          <w:sz w:val="20"/>
          <w:szCs w:val="20"/>
          <w:vertAlign w:val="superscript"/>
        </w:rPr>
        <w:t>*</w:t>
      </w:r>
      <w:r w:rsidRPr="00674DFE">
        <w:rPr>
          <w:sz w:val="20"/>
          <w:szCs w:val="20"/>
        </w:rPr>
        <w:t xml:space="preserve"> indicate statistical significance at the 1%, 5%, and 10% levels, respectively.</w:t>
      </w:r>
    </w:p>
    <w:p w:rsidR="00C24214" w:rsidRPr="00674DFE" w:rsidRDefault="00C24214" w:rsidP="00C24214">
      <w:pPr>
        <w:spacing w:line="240" w:lineRule="auto"/>
        <w:rPr>
          <w:sz w:val="20"/>
          <w:szCs w:val="20"/>
        </w:rPr>
      </w:pPr>
    </w:p>
    <w:tbl>
      <w:tblPr>
        <w:tblW w:w="9247" w:type="dxa"/>
        <w:jc w:val="center"/>
        <w:tblLayout w:type="fixed"/>
        <w:tblCellMar>
          <w:left w:w="0" w:type="dxa"/>
          <w:right w:w="0" w:type="dxa"/>
        </w:tblCellMar>
        <w:tblLook w:val="0000" w:firstRow="0" w:lastRow="0" w:firstColumn="0" w:lastColumn="0" w:noHBand="0" w:noVBand="0"/>
      </w:tblPr>
      <w:tblGrid>
        <w:gridCol w:w="2160"/>
        <w:gridCol w:w="1378"/>
        <w:gridCol w:w="1379"/>
        <w:gridCol w:w="1379"/>
        <w:gridCol w:w="1379"/>
        <w:gridCol w:w="1572"/>
      </w:tblGrid>
      <w:tr w:rsidR="00C24214" w:rsidRPr="00ED11B2" w:rsidTr="009C6E73">
        <w:trPr>
          <w:trHeight w:val="225"/>
          <w:jc w:val="center"/>
        </w:trPr>
        <w:tc>
          <w:tcPr>
            <w:tcW w:w="2160" w:type="dxa"/>
            <w:tcBorders>
              <w:top w:val="double" w:sz="4" w:space="0" w:color="auto"/>
              <w:left w:val="nil"/>
              <w:bottom w:val="single" w:sz="4" w:space="0" w:color="auto"/>
              <w:right w:val="nil"/>
            </w:tcBorders>
            <w:vAlign w:val="center"/>
          </w:tcPr>
          <w:p w:rsidR="00C24214" w:rsidRPr="009355E4" w:rsidRDefault="00C24214" w:rsidP="009C6E73">
            <w:pPr>
              <w:pStyle w:val="Heading4"/>
              <w:jc w:val="left"/>
              <w:rPr>
                <w:b/>
                <w:sz w:val="20"/>
                <w:szCs w:val="20"/>
                <w:lang w:bidi="ar-SA"/>
              </w:rPr>
            </w:pPr>
          </w:p>
        </w:tc>
        <w:tc>
          <w:tcPr>
            <w:tcW w:w="1378" w:type="dxa"/>
            <w:tcBorders>
              <w:top w:val="double" w:sz="4" w:space="0" w:color="auto"/>
              <w:left w:val="nil"/>
              <w:bottom w:val="single" w:sz="4" w:space="0" w:color="auto"/>
              <w:right w:val="nil"/>
            </w:tcBorders>
            <w:vAlign w:val="center"/>
          </w:tcPr>
          <w:p w:rsidR="00C24214" w:rsidRPr="009355E4" w:rsidRDefault="00C24214" w:rsidP="009C6E73">
            <w:pPr>
              <w:pStyle w:val="Heading4"/>
              <w:rPr>
                <w:b/>
                <w:bCs w:val="0"/>
                <w:sz w:val="20"/>
                <w:szCs w:val="20"/>
                <w:lang w:bidi="ar-SA"/>
              </w:rPr>
            </w:pPr>
            <w:r w:rsidRPr="009355E4">
              <w:rPr>
                <w:b/>
                <w:bCs w:val="0"/>
                <w:sz w:val="20"/>
                <w:szCs w:val="20"/>
              </w:rPr>
              <w:t>S&amp;P 500</w:t>
            </w:r>
          </w:p>
        </w:tc>
        <w:tc>
          <w:tcPr>
            <w:tcW w:w="1379" w:type="dxa"/>
            <w:tcBorders>
              <w:top w:val="double" w:sz="4" w:space="0" w:color="auto"/>
              <w:left w:val="nil"/>
              <w:bottom w:val="single" w:sz="4" w:space="0" w:color="auto"/>
              <w:right w:val="nil"/>
            </w:tcBorders>
            <w:vAlign w:val="center"/>
          </w:tcPr>
          <w:p w:rsidR="00C24214" w:rsidRPr="009355E4" w:rsidRDefault="00C24214" w:rsidP="009C6E73">
            <w:pPr>
              <w:pStyle w:val="Heading4"/>
              <w:rPr>
                <w:b/>
                <w:bCs w:val="0"/>
                <w:sz w:val="20"/>
                <w:szCs w:val="20"/>
              </w:rPr>
            </w:pPr>
            <w:r w:rsidRPr="009355E4">
              <w:rPr>
                <w:b/>
                <w:bCs w:val="0"/>
                <w:sz w:val="20"/>
                <w:szCs w:val="20"/>
              </w:rPr>
              <w:t>DJIA</w:t>
            </w:r>
          </w:p>
        </w:tc>
        <w:tc>
          <w:tcPr>
            <w:tcW w:w="1379" w:type="dxa"/>
            <w:tcBorders>
              <w:top w:val="double" w:sz="4" w:space="0" w:color="auto"/>
              <w:left w:val="nil"/>
              <w:bottom w:val="single" w:sz="4" w:space="0" w:color="auto"/>
              <w:right w:val="nil"/>
            </w:tcBorders>
            <w:vAlign w:val="center"/>
          </w:tcPr>
          <w:p w:rsidR="00C24214" w:rsidRPr="009355E4" w:rsidRDefault="00C24214" w:rsidP="009C6E73">
            <w:pPr>
              <w:pStyle w:val="Heading4"/>
              <w:rPr>
                <w:b/>
                <w:bCs w:val="0"/>
                <w:sz w:val="20"/>
                <w:szCs w:val="20"/>
                <w:lang w:bidi="ar-SA"/>
              </w:rPr>
            </w:pPr>
            <w:r w:rsidRPr="009355E4">
              <w:rPr>
                <w:b/>
                <w:bCs w:val="0"/>
                <w:sz w:val="20"/>
                <w:szCs w:val="20"/>
              </w:rPr>
              <w:t>Nasdaq 100</w:t>
            </w:r>
          </w:p>
        </w:tc>
        <w:tc>
          <w:tcPr>
            <w:tcW w:w="1379" w:type="dxa"/>
            <w:tcBorders>
              <w:top w:val="double" w:sz="4" w:space="0" w:color="auto"/>
              <w:left w:val="nil"/>
              <w:bottom w:val="single" w:sz="4" w:space="0" w:color="auto"/>
              <w:right w:val="nil"/>
            </w:tcBorders>
            <w:vAlign w:val="center"/>
          </w:tcPr>
          <w:p w:rsidR="00C24214" w:rsidRPr="009355E4" w:rsidRDefault="00C24214" w:rsidP="009C6E73">
            <w:pPr>
              <w:pStyle w:val="Heading4"/>
              <w:rPr>
                <w:b/>
                <w:bCs w:val="0"/>
                <w:sz w:val="20"/>
                <w:szCs w:val="20"/>
                <w:lang w:bidi="ar-SA"/>
              </w:rPr>
            </w:pPr>
            <w:r w:rsidRPr="009355E4">
              <w:rPr>
                <w:b/>
                <w:bCs w:val="0"/>
                <w:sz w:val="20"/>
                <w:szCs w:val="20"/>
              </w:rPr>
              <w:t>Russell 2000</w:t>
            </w:r>
          </w:p>
        </w:tc>
        <w:tc>
          <w:tcPr>
            <w:tcW w:w="1572" w:type="dxa"/>
            <w:tcBorders>
              <w:top w:val="double" w:sz="4" w:space="0" w:color="auto"/>
              <w:left w:val="nil"/>
              <w:bottom w:val="single" w:sz="4" w:space="0" w:color="auto"/>
              <w:right w:val="nil"/>
            </w:tcBorders>
            <w:vAlign w:val="center"/>
          </w:tcPr>
          <w:p w:rsidR="00C24214" w:rsidRPr="009355E4" w:rsidRDefault="00C24214" w:rsidP="009C6E73">
            <w:pPr>
              <w:pStyle w:val="Heading4"/>
              <w:rPr>
                <w:b/>
                <w:bCs w:val="0"/>
                <w:sz w:val="20"/>
                <w:szCs w:val="20"/>
                <w:lang w:bidi="ar-SA"/>
              </w:rPr>
            </w:pPr>
            <w:r w:rsidRPr="009355E4">
              <w:rPr>
                <w:b/>
                <w:bCs w:val="0"/>
                <w:sz w:val="20"/>
                <w:szCs w:val="20"/>
              </w:rPr>
              <w:t>S&amp;P MidCap 400</w:t>
            </w:r>
          </w:p>
        </w:tc>
      </w:tr>
      <w:tr w:rsidR="00C24214" w:rsidRPr="00ED11B2" w:rsidTr="009C6E73">
        <w:trPr>
          <w:trHeight w:val="225"/>
          <w:jc w:val="center"/>
        </w:trPr>
        <w:tc>
          <w:tcPr>
            <w:tcW w:w="2160" w:type="dxa"/>
            <w:tcBorders>
              <w:left w:val="nil"/>
              <w:bottom w:val="nil"/>
              <w:right w:val="nil"/>
            </w:tcBorders>
          </w:tcPr>
          <w:p w:rsidR="00C24214" w:rsidRPr="002C5E99" w:rsidRDefault="00C24214" w:rsidP="009C6E73">
            <w:pPr>
              <w:pStyle w:val="NoSpacing"/>
              <w:jc w:val="left"/>
              <w:rPr>
                <w:sz w:val="20"/>
                <w:szCs w:val="20"/>
              </w:rPr>
            </w:pPr>
            <w:r w:rsidRPr="002C5E99">
              <w:rPr>
                <w:sz w:val="20"/>
                <w:szCs w:val="20"/>
              </w:rPr>
              <w:t>Constant</w:t>
            </w:r>
          </w:p>
        </w:tc>
        <w:tc>
          <w:tcPr>
            <w:tcW w:w="1378" w:type="dxa"/>
            <w:tcBorders>
              <w:left w:val="nil"/>
              <w:bottom w:val="nil"/>
              <w:right w:val="nil"/>
            </w:tcBorders>
          </w:tcPr>
          <w:p w:rsidR="00C24214" w:rsidRPr="00EE4190" w:rsidRDefault="00C24214" w:rsidP="009C6E73">
            <w:pPr>
              <w:pStyle w:val="Heading4"/>
              <w:rPr>
                <w:sz w:val="20"/>
                <w:szCs w:val="24"/>
                <w:highlight w:val="yellow"/>
              </w:rPr>
            </w:pPr>
            <w:r w:rsidRPr="00EE4190">
              <w:rPr>
                <w:sz w:val="20"/>
                <w:szCs w:val="24"/>
              </w:rPr>
              <w:t>0.05</w:t>
            </w:r>
          </w:p>
        </w:tc>
        <w:tc>
          <w:tcPr>
            <w:tcW w:w="1379" w:type="dxa"/>
            <w:tcBorders>
              <w:left w:val="nil"/>
              <w:bottom w:val="nil"/>
              <w:right w:val="nil"/>
            </w:tcBorders>
          </w:tcPr>
          <w:p w:rsidR="00C24214" w:rsidRPr="00EE4190" w:rsidRDefault="00C24214" w:rsidP="009C6E73">
            <w:pPr>
              <w:pStyle w:val="Heading4"/>
              <w:rPr>
                <w:sz w:val="20"/>
                <w:szCs w:val="24"/>
                <w:highlight w:val="yellow"/>
              </w:rPr>
            </w:pPr>
            <w:r w:rsidRPr="00EE4190">
              <w:rPr>
                <w:sz w:val="20"/>
                <w:szCs w:val="24"/>
              </w:rPr>
              <w:t>0.08</w:t>
            </w:r>
            <w:r w:rsidRPr="00E21C04">
              <w:rPr>
                <w:sz w:val="20"/>
                <w:szCs w:val="24"/>
                <w:vertAlign w:val="superscript"/>
              </w:rPr>
              <w:t>**</w:t>
            </w:r>
          </w:p>
        </w:tc>
        <w:tc>
          <w:tcPr>
            <w:tcW w:w="1379" w:type="dxa"/>
            <w:tcBorders>
              <w:left w:val="nil"/>
              <w:bottom w:val="nil"/>
              <w:right w:val="nil"/>
            </w:tcBorders>
          </w:tcPr>
          <w:p w:rsidR="00C24214" w:rsidRPr="00EE4190" w:rsidRDefault="00C24214" w:rsidP="009C6E73">
            <w:pPr>
              <w:pStyle w:val="Heading4"/>
              <w:rPr>
                <w:sz w:val="20"/>
                <w:szCs w:val="24"/>
                <w:highlight w:val="yellow"/>
              </w:rPr>
            </w:pPr>
            <w:r w:rsidRPr="00EE4190">
              <w:rPr>
                <w:sz w:val="20"/>
                <w:szCs w:val="24"/>
              </w:rPr>
              <w:t>0.07</w:t>
            </w:r>
          </w:p>
        </w:tc>
        <w:tc>
          <w:tcPr>
            <w:tcW w:w="1379" w:type="dxa"/>
            <w:tcBorders>
              <w:left w:val="nil"/>
              <w:bottom w:val="nil"/>
              <w:right w:val="nil"/>
            </w:tcBorders>
          </w:tcPr>
          <w:p w:rsidR="00C24214" w:rsidRPr="00EE4190" w:rsidRDefault="00C24214" w:rsidP="009C6E73">
            <w:pPr>
              <w:pStyle w:val="Heading4"/>
              <w:rPr>
                <w:sz w:val="20"/>
                <w:szCs w:val="24"/>
                <w:highlight w:val="yellow"/>
              </w:rPr>
            </w:pPr>
            <w:r w:rsidRPr="00EE4190">
              <w:rPr>
                <w:sz w:val="20"/>
                <w:szCs w:val="24"/>
              </w:rPr>
              <w:t>0.07</w:t>
            </w:r>
          </w:p>
        </w:tc>
        <w:tc>
          <w:tcPr>
            <w:tcW w:w="1572" w:type="dxa"/>
            <w:tcBorders>
              <w:left w:val="nil"/>
              <w:bottom w:val="nil"/>
              <w:right w:val="nil"/>
            </w:tcBorders>
          </w:tcPr>
          <w:p w:rsidR="00C24214" w:rsidRPr="00EE4190" w:rsidRDefault="00C24214" w:rsidP="009C6E73">
            <w:pPr>
              <w:pStyle w:val="Heading4"/>
              <w:rPr>
                <w:sz w:val="20"/>
                <w:szCs w:val="24"/>
                <w:highlight w:val="yellow"/>
              </w:rPr>
            </w:pPr>
            <w:r w:rsidRPr="00EE4190">
              <w:rPr>
                <w:sz w:val="20"/>
                <w:szCs w:val="24"/>
              </w:rPr>
              <w:t>0.07</w:t>
            </w:r>
            <w:r w:rsidRPr="00E21C04">
              <w:rPr>
                <w:sz w:val="20"/>
                <w:szCs w:val="24"/>
                <w:vertAlign w:val="superscript"/>
              </w:rPr>
              <w:t>*</w:t>
            </w:r>
          </w:p>
        </w:tc>
      </w:tr>
      <w:tr w:rsidR="00C24214" w:rsidRPr="00ED11B2" w:rsidTr="009C6E73">
        <w:trPr>
          <w:trHeight w:val="225"/>
          <w:jc w:val="center"/>
        </w:trPr>
        <w:tc>
          <w:tcPr>
            <w:tcW w:w="2160" w:type="dxa"/>
            <w:tcBorders>
              <w:top w:val="nil"/>
              <w:left w:val="nil"/>
              <w:bottom w:val="nil"/>
              <w:right w:val="nil"/>
            </w:tcBorders>
          </w:tcPr>
          <w:p w:rsidR="00C24214" w:rsidRPr="002C5E99" w:rsidRDefault="00C24214" w:rsidP="009C6E73">
            <w:pPr>
              <w:pStyle w:val="NoSpacing"/>
              <w:jc w:val="left"/>
              <w:rPr>
                <w:sz w:val="20"/>
                <w:szCs w:val="20"/>
              </w:rPr>
            </w:pPr>
            <w:r w:rsidRPr="002C5E99">
              <w:rPr>
                <w:sz w:val="20"/>
                <w:szCs w:val="20"/>
              </w:rPr>
              <w:t>TS</w:t>
            </w:r>
          </w:p>
        </w:tc>
        <w:tc>
          <w:tcPr>
            <w:tcW w:w="1378"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-3.83</w:t>
            </w:r>
            <w:r w:rsidRPr="00E21C04">
              <w:rPr>
                <w:sz w:val="20"/>
                <w:szCs w:val="24"/>
                <w:vertAlign w:val="superscript"/>
              </w:rPr>
              <w:t>**</w:t>
            </w:r>
          </w:p>
        </w:tc>
        <w:tc>
          <w:tcPr>
            <w:tcW w:w="1379"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-9.09</w:t>
            </w:r>
            <w:r w:rsidRPr="00E21C04">
              <w:rPr>
                <w:sz w:val="20"/>
                <w:szCs w:val="24"/>
                <w:vertAlign w:val="superscript"/>
              </w:rPr>
              <w:t>***</w:t>
            </w:r>
          </w:p>
        </w:tc>
        <w:tc>
          <w:tcPr>
            <w:tcW w:w="1379"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-8.07</w:t>
            </w:r>
            <w:r w:rsidRPr="00E21C04">
              <w:rPr>
                <w:sz w:val="20"/>
                <w:szCs w:val="24"/>
                <w:vertAlign w:val="superscript"/>
              </w:rPr>
              <w:t>***</w:t>
            </w:r>
          </w:p>
        </w:tc>
        <w:tc>
          <w:tcPr>
            <w:tcW w:w="1379"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-6.96</w:t>
            </w:r>
            <w:r w:rsidRPr="00E21C04">
              <w:rPr>
                <w:sz w:val="20"/>
                <w:szCs w:val="24"/>
                <w:vertAlign w:val="superscript"/>
              </w:rPr>
              <w:t>*</w:t>
            </w:r>
          </w:p>
        </w:tc>
        <w:tc>
          <w:tcPr>
            <w:tcW w:w="1572"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-5.16</w:t>
            </w:r>
          </w:p>
        </w:tc>
      </w:tr>
      <w:tr w:rsidR="00C24214" w:rsidRPr="00ED11B2" w:rsidTr="009C6E73">
        <w:trPr>
          <w:trHeight w:val="225"/>
          <w:jc w:val="center"/>
        </w:trPr>
        <w:tc>
          <w:tcPr>
            <w:tcW w:w="2160" w:type="dxa"/>
            <w:tcBorders>
              <w:top w:val="nil"/>
              <w:left w:val="nil"/>
              <w:bottom w:val="nil"/>
              <w:right w:val="nil"/>
            </w:tcBorders>
          </w:tcPr>
          <w:p w:rsidR="00C24214" w:rsidRPr="002C5E99" w:rsidRDefault="00C24214" w:rsidP="009C6E73">
            <w:pPr>
              <w:pStyle w:val="NoSpacing"/>
              <w:jc w:val="left"/>
              <w:rPr>
                <w:sz w:val="20"/>
                <w:szCs w:val="20"/>
              </w:rPr>
            </w:pPr>
            <w:r w:rsidRPr="002C5E99">
              <w:rPr>
                <w:sz w:val="20"/>
                <w:szCs w:val="20"/>
              </w:rPr>
              <w:t>PS</w:t>
            </w:r>
          </w:p>
        </w:tc>
        <w:tc>
          <w:tcPr>
            <w:tcW w:w="1378"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-3.06</w:t>
            </w:r>
            <w:r w:rsidRPr="00E21C04">
              <w:rPr>
                <w:sz w:val="20"/>
                <w:szCs w:val="24"/>
                <w:vertAlign w:val="superscript"/>
              </w:rPr>
              <w:t>***</w:t>
            </w:r>
          </w:p>
        </w:tc>
        <w:tc>
          <w:tcPr>
            <w:tcW w:w="1379"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-2.48</w:t>
            </w:r>
            <w:r w:rsidRPr="00E21C04">
              <w:rPr>
                <w:sz w:val="20"/>
                <w:szCs w:val="24"/>
                <w:vertAlign w:val="superscript"/>
              </w:rPr>
              <w:t>***</w:t>
            </w:r>
          </w:p>
        </w:tc>
        <w:tc>
          <w:tcPr>
            <w:tcW w:w="1379"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-2.71</w:t>
            </w:r>
            <w:r w:rsidRPr="00E21C04">
              <w:rPr>
                <w:sz w:val="20"/>
                <w:szCs w:val="24"/>
                <w:vertAlign w:val="superscript"/>
              </w:rPr>
              <w:t>***</w:t>
            </w:r>
          </w:p>
        </w:tc>
        <w:tc>
          <w:tcPr>
            <w:tcW w:w="1379"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-2.51</w:t>
            </w:r>
            <w:r w:rsidRPr="00E21C04">
              <w:rPr>
                <w:sz w:val="20"/>
                <w:szCs w:val="24"/>
                <w:vertAlign w:val="superscript"/>
              </w:rPr>
              <w:t>**</w:t>
            </w:r>
          </w:p>
        </w:tc>
        <w:tc>
          <w:tcPr>
            <w:tcW w:w="1572" w:type="dxa"/>
            <w:tcBorders>
              <w:top w:val="nil"/>
              <w:left w:val="nil"/>
              <w:bottom w:val="nil"/>
              <w:right w:val="nil"/>
            </w:tcBorders>
          </w:tcPr>
          <w:p w:rsidR="00C24214" w:rsidRPr="00EE4190" w:rsidRDefault="00C24214" w:rsidP="009C6E73">
            <w:pPr>
              <w:pStyle w:val="Heading4"/>
              <w:rPr>
                <w:sz w:val="20"/>
                <w:szCs w:val="24"/>
                <w:highlight w:val="yellow"/>
              </w:rPr>
            </w:pPr>
            <w:r w:rsidRPr="00EE4190">
              <w:rPr>
                <w:sz w:val="20"/>
                <w:szCs w:val="24"/>
              </w:rPr>
              <w:t>-2.11</w:t>
            </w:r>
            <w:r w:rsidRPr="00E21C04">
              <w:rPr>
                <w:sz w:val="20"/>
                <w:szCs w:val="24"/>
                <w:vertAlign w:val="superscript"/>
              </w:rPr>
              <w:t>**</w:t>
            </w:r>
          </w:p>
        </w:tc>
      </w:tr>
      <w:tr w:rsidR="00C24214" w:rsidRPr="00ED11B2" w:rsidTr="009C6E73">
        <w:trPr>
          <w:trHeight w:val="225"/>
          <w:jc w:val="center"/>
        </w:trPr>
        <w:tc>
          <w:tcPr>
            <w:tcW w:w="2160" w:type="dxa"/>
            <w:tcBorders>
              <w:top w:val="nil"/>
              <w:left w:val="nil"/>
              <w:right w:val="nil"/>
            </w:tcBorders>
          </w:tcPr>
          <w:p w:rsidR="00C24214" w:rsidRPr="002C5E99" w:rsidRDefault="00C24214" w:rsidP="009C6E73">
            <w:pPr>
              <w:pStyle w:val="NoSpacing"/>
              <w:jc w:val="left"/>
              <w:rPr>
                <w:sz w:val="20"/>
                <w:szCs w:val="20"/>
              </w:rPr>
            </w:pPr>
            <w:r w:rsidRPr="002C5E99">
              <w:rPr>
                <w:sz w:val="20"/>
                <w:szCs w:val="20"/>
              </w:rPr>
              <w:t>LS</w:t>
            </w:r>
          </w:p>
        </w:tc>
        <w:tc>
          <w:tcPr>
            <w:tcW w:w="1378" w:type="dxa"/>
            <w:tcBorders>
              <w:top w:val="nil"/>
              <w:left w:val="nil"/>
              <w:right w:val="nil"/>
            </w:tcBorders>
          </w:tcPr>
          <w:p w:rsidR="00C24214" w:rsidRPr="00EE4190" w:rsidRDefault="00C24214" w:rsidP="009C6E73">
            <w:pPr>
              <w:pStyle w:val="Heading4"/>
              <w:rPr>
                <w:sz w:val="20"/>
                <w:szCs w:val="24"/>
                <w:highlight w:val="yellow"/>
              </w:rPr>
            </w:pPr>
            <w:r w:rsidRPr="00EE4190">
              <w:rPr>
                <w:sz w:val="20"/>
                <w:szCs w:val="24"/>
              </w:rPr>
              <w:t>-4.93</w:t>
            </w:r>
            <w:r w:rsidRPr="00E21C04">
              <w:rPr>
                <w:sz w:val="20"/>
                <w:szCs w:val="24"/>
                <w:vertAlign w:val="superscript"/>
              </w:rPr>
              <w:t>***</w:t>
            </w:r>
          </w:p>
        </w:tc>
        <w:tc>
          <w:tcPr>
            <w:tcW w:w="1379" w:type="dxa"/>
            <w:tcBorders>
              <w:top w:val="nil"/>
              <w:left w:val="nil"/>
              <w:right w:val="nil"/>
            </w:tcBorders>
          </w:tcPr>
          <w:p w:rsidR="00C24214" w:rsidRPr="00EE4190" w:rsidRDefault="00C24214" w:rsidP="009C6E73">
            <w:pPr>
              <w:pStyle w:val="Heading4"/>
              <w:rPr>
                <w:sz w:val="20"/>
                <w:szCs w:val="24"/>
                <w:highlight w:val="yellow"/>
              </w:rPr>
            </w:pPr>
            <w:r w:rsidRPr="00EE4190">
              <w:rPr>
                <w:sz w:val="20"/>
                <w:szCs w:val="24"/>
              </w:rPr>
              <w:t>-5.75</w:t>
            </w:r>
            <w:r w:rsidRPr="00E21C04">
              <w:rPr>
                <w:sz w:val="20"/>
                <w:szCs w:val="24"/>
                <w:vertAlign w:val="superscript"/>
              </w:rPr>
              <w:t>***</w:t>
            </w:r>
          </w:p>
        </w:tc>
        <w:tc>
          <w:tcPr>
            <w:tcW w:w="1379" w:type="dxa"/>
            <w:tcBorders>
              <w:top w:val="nil"/>
              <w:left w:val="nil"/>
              <w:right w:val="nil"/>
            </w:tcBorders>
          </w:tcPr>
          <w:p w:rsidR="00C24214" w:rsidRPr="00EE4190" w:rsidRDefault="00C24214" w:rsidP="009C6E73">
            <w:pPr>
              <w:pStyle w:val="Heading4"/>
              <w:rPr>
                <w:sz w:val="20"/>
                <w:szCs w:val="24"/>
                <w:highlight w:val="yellow"/>
              </w:rPr>
            </w:pPr>
            <w:r w:rsidRPr="00EE4190">
              <w:rPr>
                <w:sz w:val="20"/>
                <w:szCs w:val="24"/>
              </w:rPr>
              <w:t>-1.80</w:t>
            </w:r>
            <w:r w:rsidRPr="00E21C04">
              <w:rPr>
                <w:sz w:val="20"/>
                <w:szCs w:val="24"/>
                <w:vertAlign w:val="superscript"/>
              </w:rPr>
              <w:t>***</w:t>
            </w:r>
          </w:p>
        </w:tc>
        <w:tc>
          <w:tcPr>
            <w:tcW w:w="1379" w:type="dxa"/>
            <w:tcBorders>
              <w:top w:val="nil"/>
              <w:left w:val="nil"/>
              <w:right w:val="nil"/>
            </w:tcBorders>
          </w:tcPr>
          <w:p w:rsidR="00C24214" w:rsidRPr="00EE4190" w:rsidRDefault="00C24214" w:rsidP="009C6E73">
            <w:pPr>
              <w:pStyle w:val="Heading4"/>
              <w:rPr>
                <w:sz w:val="20"/>
                <w:szCs w:val="24"/>
                <w:highlight w:val="yellow"/>
              </w:rPr>
            </w:pPr>
            <w:r w:rsidRPr="00EE4190">
              <w:rPr>
                <w:sz w:val="20"/>
                <w:szCs w:val="24"/>
              </w:rPr>
              <w:t>-3.09</w:t>
            </w:r>
            <w:r w:rsidRPr="00E21C04">
              <w:rPr>
                <w:sz w:val="20"/>
                <w:szCs w:val="24"/>
                <w:vertAlign w:val="superscript"/>
              </w:rPr>
              <w:t>***</w:t>
            </w:r>
          </w:p>
        </w:tc>
        <w:tc>
          <w:tcPr>
            <w:tcW w:w="1572" w:type="dxa"/>
            <w:tcBorders>
              <w:top w:val="nil"/>
              <w:left w:val="nil"/>
              <w:right w:val="nil"/>
            </w:tcBorders>
          </w:tcPr>
          <w:p w:rsidR="00C24214" w:rsidRPr="00EE4190" w:rsidRDefault="00C24214" w:rsidP="009C6E73">
            <w:pPr>
              <w:pStyle w:val="Heading4"/>
              <w:rPr>
                <w:sz w:val="20"/>
                <w:szCs w:val="24"/>
                <w:highlight w:val="yellow"/>
              </w:rPr>
            </w:pPr>
            <w:r w:rsidRPr="00EE4190">
              <w:rPr>
                <w:sz w:val="20"/>
                <w:szCs w:val="24"/>
              </w:rPr>
              <w:t>-3.06</w:t>
            </w:r>
            <w:r w:rsidRPr="00E21C04">
              <w:rPr>
                <w:sz w:val="20"/>
                <w:szCs w:val="24"/>
                <w:vertAlign w:val="superscript"/>
              </w:rPr>
              <w:t>***</w:t>
            </w:r>
          </w:p>
        </w:tc>
      </w:tr>
      <w:tr w:rsidR="00C24214" w:rsidRPr="00ED11B2" w:rsidTr="009C6E73">
        <w:trPr>
          <w:trHeight w:val="225"/>
          <w:jc w:val="center"/>
        </w:trPr>
        <w:tc>
          <w:tcPr>
            <w:tcW w:w="2160" w:type="dxa"/>
            <w:tcBorders>
              <w:top w:val="nil"/>
              <w:left w:val="nil"/>
              <w:right w:val="nil"/>
            </w:tcBorders>
          </w:tcPr>
          <w:p w:rsidR="00C24214" w:rsidRPr="002C5E99" w:rsidRDefault="00C24214" w:rsidP="009C6E73">
            <w:pPr>
              <w:pStyle w:val="NoSpacing"/>
              <w:jc w:val="left"/>
              <w:rPr>
                <w:sz w:val="20"/>
                <w:szCs w:val="20"/>
              </w:rPr>
            </w:pPr>
            <w:r w:rsidRPr="002C5E99">
              <w:rPr>
                <w:sz w:val="20"/>
                <w:szCs w:val="20"/>
              </w:rPr>
              <w:t>R</w:t>
            </w:r>
            <w:r w:rsidRPr="002C5E99">
              <w:rPr>
                <w:sz w:val="20"/>
                <w:szCs w:val="20"/>
                <w:vertAlign w:val="superscript"/>
              </w:rPr>
              <w:t>2</w:t>
            </w:r>
          </w:p>
        </w:tc>
        <w:tc>
          <w:tcPr>
            <w:tcW w:w="1378" w:type="dxa"/>
            <w:tcBorders>
              <w:top w:val="nil"/>
              <w:left w:val="nil"/>
              <w:right w:val="nil"/>
            </w:tcBorders>
          </w:tcPr>
          <w:p w:rsidR="00C24214" w:rsidRPr="00EE4190" w:rsidRDefault="00C24214" w:rsidP="009C6E73">
            <w:pPr>
              <w:pStyle w:val="Heading4"/>
              <w:rPr>
                <w:sz w:val="20"/>
                <w:szCs w:val="24"/>
              </w:rPr>
            </w:pPr>
            <w:r w:rsidRPr="00EE4190">
              <w:rPr>
                <w:sz w:val="20"/>
                <w:szCs w:val="24"/>
              </w:rPr>
              <w:t>0.119</w:t>
            </w:r>
          </w:p>
        </w:tc>
        <w:tc>
          <w:tcPr>
            <w:tcW w:w="1379" w:type="dxa"/>
            <w:tcBorders>
              <w:top w:val="nil"/>
              <w:left w:val="nil"/>
              <w:right w:val="nil"/>
            </w:tcBorders>
          </w:tcPr>
          <w:p w:rsidR="00C24214" w:rsidRPr="00EE4190" w:rsidRDefault="00C24214" w:rsidP="009C6E73">
            <w:pPr>
              <w:pStyle w:val="Heading4"/>
              <w:rPr>
                <w:sz w:val="20"/>
                <w:szCs w:val="24"/>
              </w:rPr>
            </w:pPr>
            <w:r w:rsidRPr="00EE4190">
              <w:rPr>
                <w:sz w:val="20"/>
                <w:szCs w:val="24"/>
              </w:rPr>
              <w:t>0.128</w:t>
            </w:r>
          </w:p>
        </w:tc>
        <w:tc>
          <w:tcPr>
            <w:tcW w:w="1379" w:type="dxa"/>
            <w:tcBorders>
              <w:top w:val="nil"/>
              <w:left w:val="nil"/>
              <w:right w:val="nil"/>
            </w:tcBorders>
          </w:tcPr>
          <w:p w:rsidR="00C24214" w:rsidRPr="00EE4190" w:rsidRDefault="00C24214" w:rsidP="009C6E73">
            <w:pPr>
              <w:pStyle w:val="Heading4"/>
              <w:rPr>
                <w:sz w:val="20"/>
                <w:szCs w:val="24"/>
              </w:rPr>
            </w:pPr>
            <w:r w:rsidRPr="00EE4190">
              <w:rPr>
                <w:sz w:val="20"/>
                <w:szCs w:val="24"/>
              </w:rPr>
              <w:t>0.106</w:t>
            </w:r>
          </w:p>
        </w:tc>
        <w:tc>
          <w:tcPr>
            <w:tcW w:w="1379" w:type="dxa"/>
            <w:tcBorders>
              <w:top w:val="nil"/>
              <w:left w:val="nil"/>
              <w:right w:val="nil"/>
            </w:tcBorders>
          </w:tcPr>
          <w:p w:rsidR="00C24214" w:rsidRPr="00EE4190" w:rsidRDefault="00C24214" w:rsidP="009C6E73">
            <w:pPr>
              <w:pStyle w:val="Heading4"/>
              <w:rPr>
                <w:sz w:val="20"/>
                <w:szCs w:val="24"/>
              </w:rPr>
            </w:pPr>
            <w:r w:rsidRPr="00EE4190">
              <w:rPr>
                <w:sz w:val="20"/>
                <w:szCs w:val="24"/>
              </w:rPr>
              <w:t>0.044</w:t>
            </w:r>
          </w:p>
        </w:tc>
        <w:tc>
          <w:tcPr>
            <w:tcW w:w="1572" w:type="dxa"/>
            <w:tcBorders>
              <w:top w:val="nil"/>
              <w:left w:val="nil"/>
              <w:right w:val="nil"/>
            </w:tcBorders>
          </w:tcPr>
          <w:p w:rsidR="00C24214" w:rsidRPr="00EE4190" w:rsidRDefault="00C24214" w:rsidP="009C6E73">
            <w:pPr>
              <w:pStyle w:val="Heading4"/>
              <w:rPr>
                <w:sz w:val="20"/>
                <w:szCs w:val="24"/>
              </w:rPr>
            </w:pPr>
            <w:r w:rsidRPr="00EE4190">
              <w:rPr>
                <w:sz w:val="20"/>
                <w:szCs w:val="24"/>
              </w:rPr>
              <w:t>0.078</w:t>
            </w:r>
          </w:p>
        </w:tc>
      </w:tr>
      <w:tr w:rsidR="00C24214" w:rsidRPr="00ED11B2" w:rsidTr="009C6E73">
        <w:trPr>
          <w:trHeight w:val="225"/>
          <w:jc w:val="center"/>
        </w:trPr>
        <w:tc>
          <w:tcPr>
            <w:tcW w:w="2160" w:type="dxa"/>
            <w:tcBorders>
              <w:top w:val="nil"/>
              <w:left w:val="nil"/>
              <w:bottom w:val="double" w:sz="4" w:space="0" w:color="auto"/>
              <w:right w:val="nil"/>
            </w:tcBorders>
          </w:tcPr>
          <w:p w:rsidR="00C24214" w:rsidRPr="002C5E99" w:rsidRDefault="00C24214" w:rsidP="009C6E73">
            <w:pPr>
              <w:pStyle w:val="NoSpacing"/>
              <w:jc w:val="left"/>
              <w:rPr>
                <w:sz w:val="20"/>
                <w:szCs w:val="20"/>
              </w:rPr>
            </w:pPr>
            <w:r w:rsidRPr="002C5E99">
              <w:rPr>
                <w:sz w:val="20"/>
                <w:szCs w:val="20"/>
              </w:rPr>
              <w:t>Observations</w:t>
            </w:r>
          </w:p>
        </w:tc>
        <w:tc>
          <w:tcPr>
            <w:tcW w:w="1378" w:type="dxa"/>
            <w:tcBorders>
              <w:top w:val="nil"/>
              <w:left w:val="nil"/>
              <w:bottom w:val="double" w:sz="4" w:space="0" w:color="auto"/>
              <w:right w:val="nil"/>
            </w:tcBorders>
          </w:tcPr>
          <w:p w:rsidR="00C24214" w:rsidRPr="00EE4190" w:rsidRDefault="00C24214" w:rsidP="009C6E73">
            <w:pPr>
              <w:pStyle w:val="Heading4"/>
              <w:rPr>
                <w:sz w:val="20"/>
                <w:szCs w:val="24"/>
                <w:highlight w:val="yellow"/>
              </w:rPr>
            </w:pPr>
            <w:r w:rsidRPr="00EE4190">
              <w:rPr>
                <w:sz w:val="20"/>
                <w:szCs w:val="24"/>
              </w:rPr>
              <w:t>191</w:t>
            </w:r>
          </w:p>
        </w:tc>
        <w:tc>
          <w:tcPr>
            <w:tcW w:w="1379" w:type="dxa"/>
            <w:tcBorders>
              <w:top w:val="nil"/>
              <w:left w:val="nil"/>
              <w:bottom w:val="double" w:sz="4" w:space="0" w:color="auto"/>
              <w:right w:val="nil"/>
            </w:tcBorders>
          </w:tcPr>
          <w:p w:rsidR="00C24214" w:rsidRPr="00EE4190" w:rsidRDefault="00C24214" w:rsidP="009C6E73">
            <w:pPr>
              <w:pStyle w:val="Heading4"/>
              <w:rPr>
                <w:sz w:val="20"/>
                <w:szCs w:val="24"/>
                <w:highlight w:val="yellow"/>
              </w:rPr>
            </w:pPr>
            <w:r w:rsidRPr="00EE4190">
              <w:rPr>
                <w:sz w:val="20"/>
                <w:szCs w:val="24"/>
              </w:rPr>
              <w:t>165</w:t>
            </w:r>
          </w:p>
        </w:tc>
        <w:tc>
          <w:tcPr>
            <w:tcW w:w="1379" w:type="dxa"/>
            <w:tcBorders>
              <w:top w:val="nil"/>
              <w:left w:val="nil"/>
              <w:bottom w:val="double" w:sz="4" w:space="0" w:color="auto"/>
              <w:right w:val="nil"/>
            </w:tcBorders>
          </w:tcPr>
          <w:p w:rsidR="00C24214" w:rsidRPr="00EE4190" w:rsidRDefault="00C24214" w:rsidP="009C6E73">
            <w:pPr>
              <w:pStyle w:val="Heading4"/>
              <w:rPr>
                <w:sz w:val="20"/>
                <w:szCs w:val="24"/>
                <w:highlight w:val="yellow"/>
              </w:rPr>
            </w:pPr>
            <w:r w:rsidRPr="00EE4190">
              <w:rPr>
                <w:sz w:val="20"/>
                <w:szCs w:val="24"/>
              </w:rPr>
              <w:t>187</w:t>
            </w:r>
          </w:p>
        </w:tc>
        <w:tc>
          <w:tcPr>
            <w:tcW w:w="1379" w:type="dxa"/>
            <w:tcBorders>
              <w:top w:val="nil"/>
              <w:left w:val="nil"/>
              <w:bottom w:val="double" w:sz="4" w:space="0" w:color="auto"/>
              <w:right w:val="nil"/>
            </w:tcBorders>
          </w:tcPr>
          <w:p w:rsidR="00C24214" w:rsidRPr="00EE4190" w:rsidRDefault="00C24214" w:rsidP="009C6E73">
            <w:pPr>
              <w:pStyle w:val="Heading4"/>
              <w:rPr>
                <w:sz w:val="20"/>
                <w:szCs w:val="24"/>
                <w:highlight w:val="yellow"/>
              </w:rPr>
            </w:pPr>
            <w:r w:rsidRPr="00EE4190">
              <w:rPr>
                <w:sz w:val="20"/>
                <w:szCs w:val="24"/>
              </w:rPr>
              <w:t>168</w:t>
            </w:r>
          </w:p>
        </w:tc>
        <w:tc>
          <w:tcPr>
            <w:tcW w:w="1572" w:type="dxa"/>
            <w:tcBorders>
              <w:top w:val="nil"/>
              <w:left w:val="nil"/>
              <w:bottom w:val="double" w:sz="4" w:space="0" w:color="auto"/>
              <w:right w:val="nil"/>
            </w:tcBorders>
          </w:tcPr>
          <w:p w:rsidR="00C24214" w:rsidRPr="00EE4190" w:rsidRDefault="00C24214" w:rsidP="009C6E73">
            <w:pPr>
              <w:pStyle w:val="Heading4"/>
              <w:rPr>
                <w:sz w:val="20"/>
                <w:szCs w:val="24"/>
                <w:highlight w:val="yellow"/>
              </w:rPr>
            </w:pPr>
            <w:r w:rsidRPr="00EE4190">
              <w:rPr>
                <w:sz w:val="20"/>
                <w:szCs w:val="24"/>
              </w:rPr>
              <w:t>166</w:t>
            </w:r>
          </w:p>
        </w:tc>
      </w:tr>
    </w:tbl>
    <w:p w:rsidR="00C24214" w:rsidRDefault="00C24214" w:rsidP="00C24214">
      <w:pPr>
        <w:spacing w:line="240" w:lineRule="auto"/>
        <w:rPr>
          <w:sz w:val="20"/>
          <w:szCs w:val="20"/>
        </w:rPr>
      </w:pPr>
    </w:p>
    <w:p w:rsidR="00C24214" w:rsidRDefault="00C24214" w:rsidP="00C24214">
      <w:pPr>
        <w:rPr>
          <w:sz w:val="20"/>
          <w:szCs w:val="20"/>
        </w:rPr>
      </w:pPr>
      <w:r>
        <w:rPr>
          <w:sz w:val="20"/>
          <w:szCs w:val="20"/>
        </w:rPr>
        <w:br w:type="page"/>
      </w:r>
    </w:p>
    <w:p w:rsidR="00C24214" w:rsidRPr="00804F9F" w:rsidRDefault="00C24214" w:rsidP="00C24214">
      <w:pPr>
        <w:pStyle w:val="Caption"/>
        <w:spacing w:line="240" w:lineRule="auto"/>
        <w:rPr>
          <w:b/>
        </w:rPr>
      </w:pPr>
      <w:bookmarkStart w:id="5" w:name="_Toc194730199"/>
      <w:r w:rsidRPr="00965176">
        <w:rPr>
          <w:b/>
        </w:rPr>
        <w:lastRenderedPageBreak/>
        <w:t>Exhibit A</w:t>
      </w:r>
      <w:r w:rsidRPr="00965176">
        <w:rPr>
          <w:b/>
        </w:rPr>
        <w:fldChar w:fldCharType="begin"/>
      </w:r>
      <w:r w:rsidRPr="00965176">
        <w:rPr>
          <w:b/>
        </w:rPr>
        <w:instrText xml:space="preserve"> SEQ Table_A \* ARABIC </w:instrText>
      </w:r>
      <w:r w:rsidRPr="00965176">
        <w:rPr>
          <w:b/>
        </w:rPr>
        <w:fldChar w:fldCharType="separate"/>
      </w:r>
      <w:r>
        <w:rPr>
          <w:b/>
          <w:noProof/>
        </w:rPr>
        <w:t>4</w:t>
      </w:r>
      <w:r w:rsidRPr="00965176">
        <w:rPr>
          <w:b/>
        </w:rPr>
        <w:fldChar w:fldCharType="end"/>
      </w:r>
      <w:r w:rsidRPr="00965176">
        <w:rPr>
          <w:b/>
        </w:rPr>
        <w:t xml:space="preserve"> - The response of stock prices to FOMC announcements: </w:t>
      </w:r>
      <w:bookmarkStart w:id="6" w:name="_Hlk148286539"/>
      <w:r w:rsidRPr="00965176">
        <w:rPr>
          <w:b/>
        </w:rPr>
        <w:t>Non-linear effects</w:t>
      </w:r>
      <w:bookmarkEnd w:id="5"/>
      <w:bookmarkEnd w:id="6"/>
    </w:p>
    <w:p w:rsidR="00C24214" w:rsidRPr="00804F9F" w:rsidRDefault="00C24214" w:rsidP="00C24214">
      <w:pPr>
        <w:spacing w:line="240" w:lineRule="auto"/>
        <w:rPr>
          <w:sz w:val="20"/>
          <w:szCs w:val="20"/>
        </w:rPr>
      </w:pPr>
    </w:p>
    <w:p w:rsidR="00C24214" w:rsidRDefault="00C24214" w:rsidP="00C24214">
      <w:pPr>
        <w:spacing w:line="240" w:lineRule="auto"/>
        <w:rPr>
          <w:sz w:val="20"/>
          <w:szCs w:val="20"/>
        </w:rPr>
      </w:pPr>
      <w:r w:rsidRPr="00804F9F">
        <w:rPr>
          <w:sz w:val="20"/>
          <w:szCs w:val="20"/>
        </w:rPr>
        <w:t>The table reports the results from a regression of intraday equity returns (from five minutes before the event to twenty-five minutes after) on a constant, TS, PS and LS</w:t>
      </w:r>
      <w:r w:rsidRPr="009B0871">
        <w:rPr>
          <w:sz w:val="20"/>
          <w:szCs w:val="20"/>
        </w:rPr>
        <w:t xml:space="preserve"> </w:t>
      </w:r>
      <w:r>
        <w:rPr>
          <w:sz w:val="20"/>
          <w:szCs w:val="20"/>
        </w:rPr>
        <w:t>interacted with period dummies:</w:t>
      </w:r>
    </w:p>
    <w:p w:rsidR="00C24214" w:rsidRPr="009B0871" w:rsidRDefault="00C24214" w:rsidP="00C24214">
      <w:pPr>
        <w:spacing w:line="240" w:lineRule="auto"/>
        <w:rPr>
          <w:sz w:val="16"/>
          <w:szCs w:val="16"/>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R</m:t>
              </m:r>
            </m:e>
            <m:sub>
              <m:r>
                <w:rPr>
                  <w:rFonts w:ascii="Cambria Math" w:eastAsia="Cambria Math" w:hAnsi="Cambria Math" w:cs="Cambria Math"/>
                  <w:sz w:val="20"/>
                  <w:szCs w:val="20"/>
                </w:rPr>
                <m:t>i,t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i,0</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i,1</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TS</m:t>
              </m:r>
            </m:e>
            <m:sub>
              <m:r>
                <w:rPr>
                  <w:rFonts w:ascii="Cambria Math" w:eastAsia="Cambria Math" w:hAnsi="Cambria Math" w:cs="Cambria Math"/>
                  <w:sz w:val="20"/>
                  <w:szCs w:val="20"/>
                </w:rPr>
                <m:t>t</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i,2</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TS</m:t>
              </m:r>
            </m:e>
            <m:sub>
              <m:r>
                <w:rPr>
                  <w:rFonts w:ascii="Cambria Math" w:eastAsia="Cambria Math" w:hAnsi="Cambria Math" w:cs="Cambria Math"/>
                  <w:sz w:val="20"/>
                  <w:szCs w:val="20"/>
                </w:rPr>
                <m:t>t</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1-</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t</m:t>
                  </m:r>
                </m:sub>
              </m:sSub>
            </m:e>
          </m:d>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i,3</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PS</m:t>
              </m:r>
            </m:e>
            <m:sub>
              <m:r>
                <w:rPr>
                  <w:rFonts w:ascii="Cambria Math" w:eastAsia="Cambria Math" w:hAnsi="Cambria Math" w:cs="Cambria Math"/>
                  <w:sz w:val="20"/>
                  <w:szCs w:val="20"/>
                </w:rPr>
                <m:t>t</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i,4</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PS</m:t>
              </m:r>
            </m:e>
            <m:sub>
              <m:r>
                <w:rPr>
                  <w:rFonts w:ascii="Cambria Math" w:eastAsia="Cambria Math" w:hAnsi="Cambria Math" w:cs="Cambria Math"/>
                  <w:sz w:val="20"/>
                  <w:szCs w:val="20"/>
                </w:rPr>
                <m:t>t</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1-</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t</m:t>
                  </m:r>
                </m:sub>
              </m:sSub>
            </m:e>
          </m:d>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i,5</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LS</m:t>
              </m:r>
            </m:e>
            <m:sub>
              <m:r>
                <w:rPr>
                  <w:rFonts w:ascii="Cambria Math" w:eastAsia="Cambria Math" w:hAnsi="Cambria Math" w:cs="Cambria Math"/>
                  <w:sz w:val="20"/>
                  <w:szCs w:val="20"/>
                </w:rPr>
                <m:t>t</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i,6</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LS</m:t>
              </m:r>
            </m:e>
            <m:sub>
              <m:r>
                <w:rPr>
                  <w:rFonts w:ascii="Cambria Math" w:eastAsia="Cambria Math" w:hAnsi="Cambria Math" w:cs="Cambria Math"/>
                  <w:sz w:val="20"/>
                  <w:szCs w:val="20"/>
                </w:rPr>
                <m:t>t</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1-</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t</m:t>
                  </m:r>
                </m:sub>
              </m:sSub>
            </m:e>
          </m:d>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ε</m:t>
              </m:r>
            </m:e>
            <m:sub>
              <m:r>
                <w:rPr>
                  <w:rFonts w:ascii="Cambria Math" w:eastAsia="Cambria Math" w:hAnsi="Cambria Math" w:cs="Cambria Math"/>
                  <w:sz w:val="20"/>
                  <w:szCs w:val="20"/>
                </w:rPr>
                <m:t>i,t</m:t>
              </m:r>
            </m:sub>
          </m:sSub>
        </m:oMath>
      </m:oMathPara>
    </w:p>
    <w:p w:rsidR="00C24214" w:rsidRPr="002715D7" w:rsidRDefault="00C24214" w:rsidP="00C24214">
      <w:pPr>
        <w:spacing w:line="240" w:lineRule="auto"/>
        <w:rPr>
          <w:sz w:val="20"/>
          <w:szCs w:val="20"/>
        </w:rPr>
      </w:pPr>
      <w:r w:rsidRPr="009B0871">
        <w:rPr>
          <w:sz w:val="20"/>
          <w:szCs w:val="20"/>
        </w:rPr>
        <w:t xml:space="preserve">where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D</m:t>
            </m:r>
          </m:e>
          <m:sub>
            <m:r>
              <w:rPr>
                <w:rFonts w:ascii="Cambria Math" w:eastAsia="Cambria Math" w:hAnsi="Cambria Math" w:cs="Cambria Math"/>
                <w:sz w:val="20"/>
                <w:szCs w:val="20"/>
              </w:rPr>
              <m:t>t</m:t>
            </m:r>
          </m:sub>
        </m:sSub>
      </m:oMath>
      <w:r>
        <w:rPr>
          <w:sz w:val="20"/>
          <w:szCs w:val="20"/>
        </w:rPr>
        <w:t xml:space="preserve"> </w:t>
      </w:r>
      <w:r w:rsidRPr="009B0871">
        <w:rPr>
          <w:sz w:val="20"/>
          <w:szCs w:val="20"/>
        </w:rPr>
        <w:t>is a dummy variable that distinguishes between different periods.</w:t>
      </w:r>
      <w:r>
        <w:rPr>
          <w:sz w:val="20"/>
          <w:szCs w:val="20"/>
        </w:rPr>
        <w:t xml:space="preserve"> </w:t>
      </w:r>
      <w:r w:rsidRPr="00804F9F">
        <w:rPr>
          <w:sz w:val="20"/>
          <w:szCs w:val="20"/>
        </w:rPr>
        <w:t>The sample is from January 1999 to December 2022 (or determined by data availability). The variable TS measures unanticipated changes in the current</w:t>
      </w:r>
      <w:r>
        <w:rPr>
          <w:sz w:val="20"/>
          <w:szCs w:val="20"/>
        </w:rPr>
        <w:t xml:space="preserve"> federal funds </w:t>
      </w:r>
      <w:r w:rsidRPr="00804F9F">
        <w:rPr>
          <w:sz w:val="20"/>
          <w:szCs w:val="20"/>
        </w:rPr>
        <w:t>rate target. The variable PS measures changes in futures rates out to horizons of two years that are independent of changes in the current funds rate target. The variable LS measures unanticipated changes in large-scale asset purchases. The NBER recession dummy in Panel A is a daily recession dummy indicator. The dummies D1, D2 and D3 in Panel B are set to 1 for observations when the Target, Path and LSAP factors are, respectively, negative</w:t>
      </w:r>
      <w:r>
        <w:rPr>
          <w:sz w:val="20"/>
          <w:szCs w:val="20"/>
        </w:rPr>
        <w:t>, and zero otherwise</w:t>
      </w:r>
      <w:r w:rsidRPr="00804F9F">
        <w:rPr>
          <w:sz w:val="20"/>
          <w:szCs w:val="20"/>
        </w:rPr>
        <w:t xml:space="preserve">. The econometric method is ordinary least squares. The superscripts </w:t>
      </w:r>
      <w:r w:rsidRPr="00E21C04">
        <w:rPr>
          <w:sz w:val="20"/>
          <w:szCs w:val="20"/>
          <w:vertAlign w:val="superscript"/>
        </w:rPr>
        <w:t>***</w:t>
      </w:r>
      <w:r w:rsidRPr="00804F9F">
        <w:rPr>
          <w:sz w:val="20"/>
          <w:szCs w:val="20"/>
        </w:rPr>
        <w:t xml:space="preserve">, </w:t>
      </w:r>
      <w:r w:rsidRPr="00E21C04">
        <w:rPr>
          <w:sz w:val="20"/>
          <w:szCs w:val="20"/>
          <w:vertAlign w:val="superscript"/>
        </w:rPr>
        <w:t>**</w:t>
      </w:r>
      <w:r w:rsidRPr="00804F9F">
        <w:rPr>
          <w:sz w:val="20"/>
          <w:szCs w:val="20"/>
        </w:rPr>
        <w:t xml:space="preserve">, and </w:t>
      </w:r>
      <w:r w:rsidRPr="00E21C04">
        <w:rPr>
          <w:sz w:val="20"/>
          <w:szCs w:val="20"/>
          <w:vertAlign w:val="superscript"/>
        </w:rPr>
        <w:t>*</w:t>
      </w:r>
      <w:r w:rsidRPr="00804F9F">
        <w:rPr>
          <w:sz w:val="20"/>
          <w:szCs w:val="20"/>
        </w:rPr>
        <w:t xml:space="preserve"> indicate statistical significance at the 1%, 5% and 10% level, respectively, and are based on standard errors clustered by date. The last rows “H</w:t>
      </w:r>
      <w:r w:rsidRPr="00804F9F">
        <w:rPr>
          <w:sz w:val="20"/>
          <w:szCs w:val="20"/>
          <w:vertAlign w:val="subscript"/>
        </w:rPr>
        <w:t>0</w:t>
      </w:r>
      <w:r w:rsidRPr="00804F9F">
        <w:rPr>
          <w:sz w:val="20"/>
          <w:szCs w:val="20"/>
        </w:rPr>
        <w:t xml:space="preserve">: </w:t>
      </w:r>
      <w:r w:rsidRPr="00804F9F">
        <w:rPr>
          <w:sz w:val="20"/>
          <w:szCs w:val="20"/>
        </w:rPr>
        <w:sym w:font="Symbol" w:char="F062"/>
      </w:r>
      <w:r w:rsidRPr="00804F9F">
        <w:rPr>
          <w:sz w:val="20"/>
          <w:szCs w:val="20"/>
          <w:vertAlign w:val="subscript"/>
        </w:rPr>
        <w:t>1</w:t>
      </w:r>
      <w:r w:rsidRPr="00804F9F">
        <w:rPr>
          <w:sz w:val="20"/>
          <w:szCs w:val="20"/>
        </w:rPr>
        <w:t xml:space="preserve"> = </w:t>
      </w:r>
      <w:r w:rsidRPr="00804F9F">
        <w:rPr>
          <w:sz w:val="20"/>
          <w:szCs w:val="20"/>
        </w:rPr>
        <w:sym w:font="Symbol" w:char="F062"/>
      </w:r>
      <w:r w:rsidRPr="00804F9F">
        <w:rPr>
          <w:sz w:val="20"/>
          <w:szCs w:val="20"/>
          <w:vertAlign w:val="subscript"/>
        </w:rPr>
        <w:t>2</w:t>
      </w:r>
      <w:r w:rsidRPr="00804F9F">
        <w:rPr>
          <w:sz w:val="20"/>
          <w:szCs w:val="20"/>
        </w:rPr>
        <w:t>”, “H</w:t>
      </w:r>
      <w:r w:rsidRPr="00804F9F">
        <w:rPr>
          <w:sz w:val="20"/>
          <w:szCs w:val="20"/>
          <w:vertAlign w:val="subscript"/>
        </w:rPr>
        <w:t>0</w:t>
      </w:r>
      <w:r w:rsidRPr="00804F9F">
        <w:rPr>
          <w:sz w:val="20"/>
          <w:szCs w:val="20"/>
        </w:rPr>
        <w:t xml:space="preserve">: </w:t>
      </w:r>
      <w:r w:rsidRPr="00804F9F">
        <w:rPr>
          <w:sz w:val="20"/>
          <w:szCs w:val="20"/>
        </w:rPr>
        <w:sym w:font="Symbol" w:char="F062"/>
      </w:r>
      <w:r>
        <w:rPr>
          <w:sz w:val="20"/>
          <w:szCs w:val="20"/>
          <w:vertAlign w:val="subscript"/>
        </w:rPr>
        <w:t>3</w:t>
      </w:r>
      <w:r w:rsidRPr="00804F9F">
        <w:rPr>
          <w:sz w:val="20"/>
          <w:szCs w:val="20"/>
        </w:rPr>
        <w:t xml:space="preserve"> = </w:t>
      </w:r>
      <w:r w:rsidRPr="00804F9F">
        <w:rPr>
          <w:sz w:val="20"/>
          <w:szCs w:val="20"/>
        </w:rPr>
        <w:sym w:font="Symbol" w:char="F062"/>
      </w:r>
      <w:r>
        <w:rPr>
          <w:sz w:val="20"/>
          <w:szCs w:val="20"/>
          <w:vertAlign w:val="subscript"/>
        </w:rPr>
        <w:t>4</w:t>
      </w:r>
      <w:r w:rsidRPr="00804F9F">
        <w:rPr>
          <w:sz w:val="20"/>
          <w:szCs w:val="20"/>
        </w:rPr>
        <w:t>” and “H</w:t>
      </w:r>
      <w:r w:rsidRPr="00804F9F">
        <w:rPr>
          <w:sz w:val="20"/>
          <w:szCs w:val="20"/>
          <w:vertAlign w:val="subscript"/>
        </w:rPr>
        <w:t>0</w:t>
      </w:r>
      <w:r w:rsidRPr="00804F9F">
        <w:rPr>
          <w:sz w:val="20"/>
          <w:szCs w:val="20"/>
        </w:rPr>
        <w:t xml:space="preserve">: </w:t>
      </w:r>
      <w:r w:rsidRPr="00804F9F">
        <w:rPr>
          <w:sz w:val="20"/>
          <w:szCs w:val="20"/>
        </w:rPr>
        <w:sym w:font="Symbol" w:char="F062"/>
      </w:r>
      <w:r>
        <w:rPr>
          <w:sz w:val="20"/>
          <w:szCs w:val="20"/>
          <w:vertAlign w:val="subscript"/>
        </w:rPr>
        <w:t>5</w:t>
      </w:r>
      <w:r w:rsidRPr="00804F9F">
        <w:rPr>
          <w:sz w:val="20"/>
          <w:szCs w:val="20"/>
        </w:rPr>
        <w:t xml:space="preserve"> = </w:t>
      </w:r>
      <w:r w:rsidRPr="00804F9F">
        <w:rPr>
          <w:sz w:val="20"/>
          <w:szCs w:val="20"/>
        </w:rPr>
        <w:sym w:font="Symbol" w:char="F062"/>
      </w:r>
      <w:r>
        <w:rPr>
          <w:sz w:val="20"/>
          <w:szCs w:val="20"/>
          <w:vertAlign w:val="subscript"/>
        </w:rPr>
        <w:t>6</w:t>
      </w:r>
      <w:r w:rsidRPr="00804F9F">
        <w:rPr>
          <w:sz w:val="20"/>
          <w:szCs w:val="20"/>
        </w:rPr>
        <w:t>” report the p-value based on the F-statistics of the null hypotheses that the coefficients of the Target, Path and LSAP surprises are equal in both sub-periods.</w:t>
      </w:r>
    </w:p>
    <w:p w:rsidR="00C24214" w:rsidRDefault="00C24214" w:rsidP="00C24214">
      <w:pPr>
        <w:spacing w:line="240" w:lineRule="auto"/>
        <w:rPr>
          <w:bCs/>
          <w:iCs/>
          <w:sz w:val="20"/>
          <w:szCs w:val="20"/>
        </w:rPr>
      </w:pPr>
    </w:p>
    <w:p w:rsidR="00C24214" w:rsidRDefault="00C24214" w:rsidP="00C24214">
      <w:pPr>
        <w:spacing w:line="240" w:lineRule="auto"/>
        <w:rPr>
          <w:b/>
          <w:sz w:val="20"/>
          <w:szCs w:val="20"/>
        </w:rPr>
      </w:pPr>
      <w:r w:rsidRPr="002715D7">
        <w:rPr>
          <w:b/>
          <w:sz w:val="20"/>
          <w:szCs w:val="20"/>
        </w:rPr>
        <w:t xml:space="preserve">Panel </w:t>
      </w:r>
      <w:r>
        <w:rPr>
          <w:b/>
          <w:sz w:val="20"/>
          <w:szCs w:val="20"/>
        </w:rPr>
        <w:t>A</w:t>
      </w:r>
      <w:r w:rsidRPr="002715D7">
        <w:rPr>
          <w:b/>
          <w:sz w:val="20"/>
          <w:szCs w:val="20"/>
        </w:rPr>
        <w:t>: NBER recessions</w:t>
      </w:r>
    </w:p>
    <w:p w:rsidR="00C24214" w:rsidRPr="002715D7" w:rsidRDefault="00C24214" w:rsidP="00C24214">
      <w:pPr>
        <w:spacing w:line="240" w:lineRule="auto"/>
        <w:rPr>
          <w:b/>
          <w:bCs/>
          <w:sz w:val="20"/>
          <w:szCs w:val="20"/>
        </w:rPr>
      </w:pPr>
    </w:p>
    <w:tbl>
      <w:tblPr>
        <w:tblW w:w="9214" w:type="dxa"/>
        <w:jc w:val="center"/>
        <w:tblLayout w:type="fixed"/>
        <w:tblCellMar>
          <w:left w:w="0" w:type="dxa"/>
          <w:right w:w="0" w:type="dxa"/>
        </w:tblCellMar>
        <w:tblLook w:val="0000" w:firstRow="0" w:lastRow="0" w:firstColumn="0" w:lastColumn="0" w:noHBand="0" w:noVBand="0"/>
      </w:tblPr>
      <w:tblGrid>
        <w:gridCol w:w="1985"/>
        <w:gridCol w:w="1378"/>
        <w:gridCol w:w="1379"/>
        <w:gridCol w:w="1379"/>
        <w:gridCol w:w="1379"/>
        <w:gridCol w:w="1714"/>
      </w:tblGrid>
      <w:tr w:rsidR="00C24214" w:rsidRPr="002715D7" w:rsidTr="009C6E73">
        <w:trPr>
          <w:trHeight w:val="225"/>
          <w:jc w:val="center"/>
        </w:trPr>
        <w:tc>
          <w:tcPr>
            <w:tcW w:w="1985" w:type="dxa"/>
            <w:tcBorders>
              <w:top w:val="double" w:sz="4" w:space="0" w:color="auto"/>
              <w:left w:val="nil"/>
              <w:bottom w:val="single" w:sz="4" w:space="0" w:color="auto"/>
              <w:right w:val="nil"/>
            </w:tcBorders>
            <w:vAlign w:val="center"/>
          </w:tcPr>
          <w:p w:rsidR="00C24214" w:rsidRPr="002715D7" w:rsidRDefault="00C24214" w:rsidP="009C6E73">
            <w:pPr>
              <w:spacing w:line="240" w:lineRule="auto"/>
              <w:rPr>
                <w:b/>
                <w:bCs/>
                <w:iCs/>
                <w:sz w:val="20"/>
                <w:szCs w:val="20"/>
              </w:rPr>
            </w:pPr>
          </w:p>
        </w:tc>
        <w:tc>
          <w:tcPr>
            <w:tcW w:w="1378"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S&amp;P 500</w:t>
            </w:r>
          </w:p>
        </w:tc>
        <w:tc>
          <w:tcPr>
            <w:tcW w:w="1379"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DJIA</w:t>
            </w:r>
          </w:p>
        </w:tc>
        <w:tc>
          <w:tcPr>
            <w:tcW w:w="1379"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Nasdaq 100</w:t>
            </w:r>
          </w:p>
        </w:tc>
        <w:tc>
          <w:tcPr>
            <w:tcW w:w="1379"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Russell 2000</w:t>
            </w:r>
          </w:p>
        </w:tc>
        <w:tc>
          <w:tcPr>
            <w:tcW w:w="1714"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S&amp;P MidCap 400</w:t>
            </w:r>
          </w:p>
        </w:tc>
      </w:tr>
      <w:tr w:rsidR="00C24214" w:rsidRPr="002715D7" w:rsidTr="009C6E73">
        <w:trPr>
          <w:trHeight w:val="225"/>
          <w:jc w:val="center"/>
        </w:trPr>
        <w:tc>
          <w:tcPr>
            <w:tcW w:w="1985" w:type="dxa"/>
            <w:tcBorders>
              <w:left w:val="nil"/>
              <w:bottom w:val="nil"/>
              <w:right w:val="nil"/>
            </w:tcBorders>
          </w:tcPr>
          <w:p w:rsidR="00C24214" w:rsidRPr="002715D7" w:rsidRDefault="00C24214" w:rsidP="009C6E73">
            <w:pPr>
              <w:spacing w:line="240" w:lineRule="auto"/>
              <w:rPr>
                <w:sz w:val="20"/>
                <w:szCs w:val="20"/>
              </w:rPr>
            </w:pPr>
            <w:r w:rsidRPr="002715D7">
              <w:rPr>
                <w:sz w:val="20"/>
                <w:szCs w:val="20"/>
              </w:rPr>
              <w:t>Constant</w:t>
            </w:r>
          </w:p>
        </w:tc>
        <w:tc>
          <w:tcPr>
            <w:tcW w:w="1378"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-0.03</w:t>
            </w:r>
          </w:p>
        </w:tc>
        <w:tc>
          <w:tcPr>
            <w:tcW w:w="1379"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-0.02</w:t>
            </w:r>
          </w:p>
        </w:tc>
        <w:tc>
          <w:tcPr>
            <w:tcW w:w="1379"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-0.04</w:t>
            </w:r>
          </w:p>
        </w:tc>
        <w:tc>
          <w:tcPr>
            <w:tcW w:w="1379"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0.01</w:t>
            </w:r>
          </w:p>
        </w:tc>
        <w:tc>
          <w:tcPr>
            <w:tcW w:w="1714"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0.01</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sidRPr="00706C86">
              <w:rPr>
                <w:sz w:val="20"/>
                <w:szCs w:val="20"/>
              </w:rPr>
              <w:t>T</w:t>
            </w:r>
            <w:r>
              <w:rPr>
                <w:sz w:val="20"/>
                <w:szCs w:val="20"/>
              </w:rPr>
              <w:t>S</w:t>
            </w:r>
            <w:r w:rsidRPr="00706C86">
              <w:rPr>
                <w:sz w:val="20"/>
                <w:szCs w:val="20"/>
              </w:rPr>
              <w:t xml:space="preserve"> </w:t>
            </w:r>
            <w:r w:rsidRPr="00706C86">
              <w:rPr>
                <w:sz w:val="20"/>
                <w:szCs w:val="20"/>
              </w:rPr>
              <w:sym w:font="Symbol" w:char="F0B4"/>
            </w:r>
            <w:r w:rsidRPr="00706C86">
              <w:rPr>
                <w:sz w:val="20"/>
                <w:szCs w:val="20"/>
              </w:rPr>
              <w:t xml:space="preserve"> (1 – D) (</w:t>
            </w:r>
            <w:r w:rsidRPr="00706C86">
              <w:rPr>
                <w:sz w:val="20"/>
                <w:szCs w:val="20"/>
              </w:rPr>
              <w:sym w:font="Symbol" w:char="F062"/>
            </w:r>
            <w:r>
              <w:rPr>
                <w:sz w:val="20"/>
                <w:szCs w:val="20"/>
                <w:vertAlign w:val="subscript"/>
              </w:rPr>
              <w:t>1</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-6.19</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-6.28</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-6.31</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-9.52</w:t>
            </w:r>
            <w:r w:rsidRPr="00E21C04">
              <w:rPr>
                <w:sz w:val="20"/>
                <w:szCs w:val="20"/>
                <w:vertAlign w:val="superscript"/>
              </w:rPr>
              <w:t>**</w:t>
            </w:r>
          </w:p>
        </w:tc>
        <w:tc>
          <w:tcPr>
            <w:tcW w:w="1714"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-7.36</w:t>
            </w:r>
            <w:r w:rsidRPr="00E21C04">
              <w:rPr>
                <w:sz w:val="20"/>
                <w:szCs w:val="20"/>
                <w:vertAlign w:val="superscript"/>
              </w:rPr>
              <w:t>*</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sidRPr="00706C86">
              <w:rPr>
                <w:sz w:val="20"/>
                <w:szCs w:val="20"/>
              </w:rPr>
              <w:t>T</w:t>
            </w:r>
            <w:r>
              <w:rPr>
                <w:sz w:val="20"/>
                <w:szCs w:val="20"/>
              </w:rPr>
              <w:t>S</w:t>
            </w:r>
            <w:r w:rsidRPr="00706C86">
              <w:rPr>
                <w:sz w:val="20"/>
                <w:szCs w:val="20"/>
              </w:rPr>
              <w:t xml:space="preserve"> </w:t>
            </w:r>
            <w:r w:rsidRPr="00706C86">
              <w:rPr>
                <w:sz w:val="20"/>
                <w:szCs w:val="20"/>
              </w:rPr>
              <w:sym w:font="Symbol" w:char="F0B4"/>
            </w:r>
            <w:r w:rsidRPr="00706C86">
              <w:rPr>
                <w:sz w:val="20"/>
                <w:szCs w:val="20"/>
              </w:rPr>
              <w:t xml:space="preserve"> D (</w:t>
            </w:r>
            <w:r w:rsidRPr="00706C86">
              <w:rPr>
                <w:sz w:val="20"/>
                <w:szCs w:val="20"/>
              </w:rPr>
              <w:sym w:font="Symbol" w:char="F062"/>
            </w:r>
            <w:r>
              <w:rPr>
                <w:sz w:val="20"/>
                <w:szCs w:val="20"/>
                <w:vertAlign w:val="subscript"/>
              </w:rPr>
              <w:t>2</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-6.96</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-8.65</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-7.58</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-5.86</w:t>
            </w:r>
            <w:r w:rsidRPr="00E21C04">
              <w:rPr>
                <w:sz w:val="20"/>
                <w:szCs w:val="20"/>
                <w:vertAlign w:val="superscript"/>
              </w:rPr>
              <w:t>**</w:t>
            </w:r>
          </w:p>
        </w:tc>
        <w:tc>
          <w:tcPr>
            <w:tcW w:w="1714"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-4.89</w:t>
            </w:r>
            <w:r w:rsidRPr="00E21C04">
              <w:rPr>
                <w:sz w:val="20"/>
                <w:szCs w:val="20"/>
                <w:vertAlign w:val="superscript"/>
              </w:rPr>
              <w:t>**</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sidRPr="00706C86">
              <w:rPr>
                <w:sz w:val="20"/>
                <w:szCs w:val="20"/>
              </w:rPr>
              <w:t>P</w:t>
            </w:r>
            <w:r>
              <w:rPr>
                <w:sz w:val="20"/>
                <w:szCs w:val="20"/>
              </w:rPr>
              <w:t>S</w:t>
            </w:r>
            <w:r w:rsidRPr="00706C86">
              <w:rPr>
                <w:sz w:val="20"/>
                <w:szCs w:val="20"/>
              </w:rPr>
              <w:t xml:space="preserve"> </w:t>
            </w:r>
            <w:r w:rsidRPr="00706C86">
              <w:rPr>
                <w:sz w:val="20"/>
                <w:szCs w:val="20"/>
              </w:rPr>
              <w:sym w:font="Symbol" w:char="F0B4"/>
            </w:r>
            <w:r w:rsidRPr="00706C86">
              <w:rPr>
                <w:sz w:val="20"/>
                <w:szCs w:val="20"/>
              </w:rPr>
              <w:t xml:space="preserve"> (1 – D) (</w:t>
            </w:r>
            <w:r w:rsidRPr="00706C86">
              <w:rPr>
                <w:sz w:val="20"/>
                <w:szCs w:val="20"/>
              </w:rPr>
              <w:sym w:font="Symbol" w:char="F062"/>
            </w:r>
            <w:r>
              <w:rPr>
                <w:sz w:val="20"/>
                <w:szCs w:val="20"/>
                <w:vertAlign w:val="subscript"/>
              </w:rPr>
              <w:t>3</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-2.66</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-2.11</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-2.17</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-2.08</w:t>
            </w:r>
            <w:r w:rsidRPr="00E21C04">
              <w:rPr>
                <w:sz w:val="20"/>
                <w:szCs w:val="20"/>
                <w:vertAlign w:val="superscript"/>
              </w:rPr>
              <w:t>**</w:t>
            </w:r>
          </w:p>
        </w:tc>
        <w:tc>
          <w:tcPr>
            <w:tcW w:w="1714"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-2.03</w:t>
            </w:r>
            <w:r w:rsidRPr="00E21C04">
              <w:rPr>
                <w:sz w:val="20"/>
                <w:szCs w:val="20"/>
                <w:vertAlign w:val="superscript"/>
              </w:rPr>
              <w:t>**</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sidRPr="00706C86">
              <w:rPr>
                <w:sz w:val="20"/>
                <w:szCs w:val="20"/>
              </w:rPr>
              <w:t>P</w:t>
            </w:r>
            <w:r>
              <w:rPr>
                <w:sz w:val="20"/>
                <w:szCs w:val="20"/>
              </w:rPr>
              <w:t>S</w:t>
            </w:r>
            <w:r w:rsidRPr="00706C86">
              <w:rPr>
                <w:sz w:val="20"/>
                <w:szCs w:val="20"/>
              </w:rPr>
              <w:t xml:space="preserve"> </w:t>
            </w:r>
            <w:r w:rsidRPr="00706C86">
              <w:rPr>
                <w:sz w:val="20"/>
                <w:szCs w:val="20"/>
              </w:rPr>
              <w:sym w:font="Symbol" w:char="F0B4"/>
            </w:r>
            <w:r w:rsidRPr="00706C86">
              <w:rPr>
                <w:sz w:val="20"/>
                <w:szCs w:val="20"/>
              </w:rPr>
              <w:t xml:space="preserve"> D (</w:t>
            </w:r>
            <w:r w:rsidRPr="00706C86">
              <w:rPr>
                <w:sz w:val="20"/>
                <w:szCs w:val="20"/>
              </w:rPr>
              <w:sym w:font="Symbol" w:char="F062"/>
            </w:r>
            <w:r>
              <w:rPr>
                <w:sz w:val="20"/>
                <w:szCs w:val="20"/>
                <w:vertAlign w:val="subscript"/>
              </w:rPr>
              <w:t>4</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0.66</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-0.29</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0.16</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2.74</w:t>
            </w:r>
          </w:p>
        </w:tc>
        <w:tc>
          <w:tcPr>
            <w:tcW w:w="1714"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1.85</w:t>
            </w:r>
          </w:p>
        </w:tc>
      </w:tr>
      <w:tr w:rsidR="00C24214" w:rsidRPr="002715D7" w:rsidTr="009C6E73">
        <w:trPr>
          <w:trHeight w:val="225"/>
          <w:jc w:val="center"/>
        </w:trPr>
        <w:tc>
          <w:tcPr>
            <w:tcW w:w="1985" w:type="dxa"/>
            <w:tcBorders>
              <w:top w:val="nil"/>
              <w:left w:val="nil"/>
              <w:bottom w:val="nil"/>
              <w:right w:val="nil"/>
            </w:tcBorders>
          </w:tcPr>
          <w:p w:rsidR="00C24214" w:rsidRPr="00706C86" w:rsidRDefault="00C24214" w:rsidP="009C6E73">
            <w:pPr>
              <w:spacing w:line="240" w:lineRule="auto"/>
              <w:rPr>
                <w:sz w:val="20"/>
                <w:szCs w:val="20"/>
              </w:rPr>
            </w:pPr>
            <w:r>
              <w:rPr>
                <w:sz w:val="20"/>
                <w:szCs w:val="20"/>
              </w:rPr>
              <w:t>LS</w:t>
            </w:r>
            <w:r w:rsidRPr="00706C86">
              <w:rPr>
                <w:sz w:val="20"/>
                <w:szCs w:val="20"/>
              </w:rPr>
              <w:t xml:space="preserve"> </w:t>
            </w:r>
            <w:r w:rsidRPr="00706C86">
              <w:rPr>
                <w:sz w:val="20"/>
                <w:szCs w:val="20"/>
              </w:rPr>
              <w:sym w:font="Symbol" w:char="F0B4"/>
            </w:r>
            <w:r w:rsidRPr="00706C86">
              <w:rPr>
                <w:sz w:val="20"/>
                <w:szCs w:val="20"/>
              </w:rPr>
              <w:t xml:space="preserve"> (1 – D) (</w:t>
            </w:r>
            <w:r w:rsidRPr="00706C86">
              <w:rPr>
                <w:sz w:val="20"/>
                <w:szCs w:val="20"/>
              </w:rPr>
              <w:sym w:font="Symbol" w:char="F062"/>
            </w:r>
            <w:r>
              <w:rPr>
                <w:sz w:val="20"/>
                <w:szCs w:val="20"/>
                <w:vertAlign w:val="subscript"/>
              </w:rPr>
              <w:t>5</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-1.11</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-1.22</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-0.14</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-0.52</w:t>
            </w:r>
          </w:p>
        </w:tc>
        <w:tc>
          <w:tcPr>
            <w:tcW w:w="1714"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-0.37</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Pr>
                <w:sz w:val="20"/>
                <w:szCs w:val="20"/>
              </w:rPr>
              <w:t>LS</w:t>
            </w:r>
            <w:r w:rsidRPr="00706C86">
              <w:rPr>
                <w:sz w:val="20"/>
                <w:szCs w:val="20"/>
              </w:rPr>
              <w:t xml:space="preserve"> </w:t>
            </w:r>
            <w:r w:rsidRPr="00706C86">
              <w:rPr>
                <w:sz w:val="20"/>
                <w:szCs w:val="20"/>
              </w:rPr>
              <w:sym w:font="Symbol" w:char="F0B4"/>
            </w:r>
            <w:r w:rsidRPr="00706C86">
              <w:rPr>
                <w:sz w:val="20"/>
                <w:szCs w:val="20"/>
              </w:rPr>
              <w:t xml:space="preserve"> D (</w:t>
            </w:r>
            <w:r w:rsidRPr="00706C86">
              <w:rPr>
                <w:sz w:val="20"/>
                <w:szCs w:val="20"/>
              </w:rPr>
              <w:sym w:font="Symbol" w:char="F062"/>
            </w:r>
            <w:r>
              <w:rPr>
                <w:sz w:val="20"/>
                <w:szCs w:val="20"/>
                <w:vertAlign w:val="subscript"/>
              </w:rPr>
              <w:t>6</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-5.50</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-6.18</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-2.33</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-3.83</w:t>
            </w:r>
            <w:r w:rsidRPr="00E21C04">
              <w:rPr>
                <w:sz w:val="20"/>
                <w:szCs w:val="20"/>
                <w:vertAlign w:val="superscript"/>
              </w:rPr>
              <w:t>***</w:t>
            </w:r>
          </w:p>
        </w:tc>
        <w:tc>
          <w:tcPr>
            <w:tcW w:w="1714"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-3.69</w:t>
            </w:r>
            <w:r w:rsidRPr="00E21C04">
              <w:rPr>
                <w:sz w:val="20"/>
                <w:szCs w:val="20"/>
                <w:vertAlign w:val="superscript"/>
              </w:rPr>
              <w:t>***</w:t>
            </w:r>
          </w:p>
        </w:tc>
      </w:tr>
      <w:tr w:rsidR="00C24214" w:rsidRPr="002715D7" w:rsidTr="009C6E73">
        <w:trPr>
          <w:trHeight w:val="225"/>
          <w:jc w:val="center"/>
        </w:trPr>
        <w:tc>
          <w:tcPr>
            <w:tcW w:w="1985" w:type="dxa"/>
            <w:tcBorders>
              <w:top w:val="nil"/>
              <w:left w:val="nil"/>
              <w:right w:val="nil"/>
            </w:tcBorders>
          </w:tcPr>
          <w:p w:rsidR="00C24214" w:rsidRPr="002715D7" w:rsidRDefault="00C24214" w:rsidP="009C6E73">
            <w:pPr>
              <w:spacing w:line="240" w:lineRule="auto"/>
              <w:rPr>
                <w:sz w:val="20"/>
                <w:szCs w:val="20"/>
              </w:rPr>
            </w:pPr>
            <w:r w:rsidRPr="002715D7">
              <w:rPr>
                <w:sz w:val="20"/>
                <w:szCs w:val="20"/>
              </w:rPr>
              <w:t>R</w:t>
            </w:r>
            <w:r w:rsidRPr="002715D7">
              <w:rPr>
                <w:sz w:val="20"/>
                <w:szCs w:val="20"/>
                <w:vertAlign w:val="superscript"/>
              </w:rPr>
              <w:t>2</w:t>
            </w:r>
          </w:p>
        </w:tc>
        <w:tc>
          <w:tcPr>
            <w:tcW w:w="1378"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0.298</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0.318</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0.215</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0.228</w:t>
            </w:r>
          </w:p>
        </w:tc>
        <w:tc>
          <w:tcPr>
            <w:tcW w:w="1714"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0.250</w:t>
            </w:r>
          </w:p>
        </w:tc>
      </w:tr>
      <w:tr w:rsidR="00C24214" w:rsidRPr="002715D7" w:rsidTr="009C6E73">
        <w:trPr>
          <w:trHeight w:val="225"/>
          <w:jc w:val="center"/>
        </w:trPr>
        <w:tc>
          <w:tcPr>
            <w:tcW w:w="1985" w:type="dxa"/>
            <w:tcBorders>
              <w:top w:val="nil"/>
              <w:left w:val="nil"/>
              <w:right w:val="nil"/>
            </w:tcBorders>
          </w:tcPr>
          <w:p w:rsidR="00C24214" w:rsidRPr="002715D7" w:rsidRDefault="00C24214" w:rsidP="009C6E73">
            <w:pPr>
              <w:spacing w:line="240" w:lineRule="auto"/>
              <w:rPr>
                <w:sz w:val="20"/>
                <w:szCs w:val="20"/>
              </w:rPr>
            </w:pPr>
            <w:r w:rsidRPr="002715D7">
              <w:rPr>
                <w:sz w:val="20"/>
                <w:szCs w:val="20"/>
              </w:rPr>
              <w:t>Observations</w:t>
            </w:r>
          </w:p>
        </w:tc>
        <w:tc>
          <w:tcPr>
            <w:tcW w:w="1378"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191</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165</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187</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168</w:t>
            </w:r>
          </w:p>
        </w:tc>
        <w:tc>
          <w:tcPr>
            <w:tcW w:w="1714"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166</w:t>
            </w:r>
          </w:p>
        </w:tc>
      </w:tr>
      <w:tr w:rsidR="00C24214" w:rsidRPr="002715D7" w:rsidTr="009C6E73">
        <w:trPr>
          <w:trHeight w:val="225"/>
          <w:jc w:val="center"/>
        </w:trPr>
        <w:tc>
          <w:tcPr>
            <w:tcW w:w="1985" w:type="dxa"/>
            <w:tcBorders>
              <w:top w:val="nil"/>
              <w:left w:val="nil"/>
              <w:right w:val="nil"/>
            </w:tcBorders>
          </w:tcPr>
          <w:p w:rsidR="00C24214" w:rsidRPr="002715D7" w:rsidRDefault="00C24214" w:rsidP="009C6E73">
            <w:pPr>
              <w:spacing w:line="240" w:lineRule="auto"/>
              <w:rPr>
                <w:sz w:val="20"/>
                <w:szCs w:val="20"/>
              </w:rPr>
            </w:pPr>
            <w:r w:rsidRPr="00706C86">
              <w:rPr>
                <w:sz w:val="20"/>
                <w:szCs w:val="20"/>
              </w:rPr>
              <w:t>H</w:t>
            </w:r>
            <w:r w:rsidRPr="00706C86">
              <w:rPr>
                <w:sz w:val="20"/>
                <w:szCs w:val="20"/>
                <w:vertAlign w:val="subscript"/>
              </w:rPr>
              <w:t>0</w:t>
            </w:r>
            <w:r w:rsidRPr="00706C86">
              <w:rPr>
                <w:sz w:val="20"/>
                <w:szCs w:val="20"/>
              </w:rPr>
              <w:t xml:space="preserve">: </w:t>
            </w:r>
            <w:r w:rsidRPr="00706C86">
              <w:rPr>
                <w:sz w:val="20"/>
                <w:szCs w:val="20"/>
              </w:rPr>
              <w:sym w:font="Symbol" w:char="F062"/>
            </w:r>
            <w:r>
              <w:rPr>
                <w:sz w:val="20"/>
                <w:szCs w:val="20"/>
                <w:vertAlign w:val="subscript"/>
              </w:rPr>
              <w:t>1</w:t>
            </w:r>
            <w:r w:rsidRPr="00706C86">
              <w:rPr>
                <w:sz w:val="20"/>
                <w:szCs w:val="20"/>
              </w:rPr>
              <w:t xml:space="preserve"> = </w:t>
            </w:r>
            <w:r w:rsidRPr="00706C86">
              <w:rPr>
                <w:sz w:val="20"/>
                <w:szCs w:val="20"/>
              </w:rPr>
              <w:sym w:font="Symbol" w:char="F062"/>
            </w:r>
            <w:r>
              <w:rPr>
                <w:sz w:val="20"/>
                <w:szCs w:val="20"/>
                <w:vertAlign w:val="subscript"/>
              </w:rPr>
              <w:t>2</w:t>
            </w:r>
          </w:p>
        </w:tc>
        <w:tc>
          <w:tcPr>
            <w:tcW w:w="1378"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0.85</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0.62</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0.74</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0.50</w:t>
            </w:r>
          </w:p>
        </w:tc>
        <w:tc>
          <w:tcPr>
            <w:tcW w:w="1714"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0.58</w:t>
            </w:r>
          </w:p>
        </w:tc>
      </w:tr>
      <w:tr w:rsidR="00C24214" w:rsidRPr="002715D7" w:rsidTr="009C6E73">
        <w:trPr>
          <w:trHeight w:val="225"/>
          <w:jc w:val="center"/>
        </w:trPr>
        <w:tc>
          <w:tcPr>
            <w:tcW w:w="1985" w:type="dxa"/>
            <w:tcBorders>
              <w:top w:val="nil"/>
              <w:left w:val="nil"/>
              <w:right w:val="nil"/>
            </w:tcBorders>
          </w:tcPr>
          <w:p w:rsidR="00C24214" w:rsidRPr="00706C86" w:rsidRDefault="00C24214" w:rsidP="009C6E73">
            <w:pPr>
              <w:spacing w:line="240" w:lineRule="auto"/>
              <w:rPr>
                <w:sz w:val="20"/>
                <w:szCs w:val="20"/>
              </w:rPr>
            </w:pPr>
            <w:r w:rsidRPr="00706C86">
              <w:rPr>
                <w:sz w:val="20"/>
                <w:szCs w:val="20"/>
              </w:rPr>
              <w:t>H</w:t>
            </w:r>
            <w:r w:rsidRPr="00706C86">
              <w:rPr>
                <w:sz w:val="20"/>
                <w:szCs w:val="20"/>
                <w:vertAlign w:val="subscript"/>
              </w:rPr>
              <w:t>0</w:t>
            </w:r>
            <w:r w:rsidRPr="00706C86">
              <w:rPr>
                <w:sz w:val="20"/>
                <w:szCs w:val="20"/>
              </w:rPr>
              <w:t xml:space="preserve">: </w:t>
            </w:r>
            <w:r w:rsidRPr="00706C86">
              <w:rPr>
                <w:sz w:val="20"/>
                <w:szCs w:val="20"/>
              </w:rPr>
              <w:sym w:font="Symbol" w:char="F062"/>
            </w:r>
            <w:r>
              <w:rPr>
                <w:sz w:val="20"/>
                <w:szCs w:val="20"/>
                <w:vertAlign w:val="subscript"/>
              </w:rPr>
              <w:t>3</w:t>
            </w:r>
            <w:r w:rsidRPr="00706C86">
              <w:rPr>
                <w:sz w:val="20"/>
                <w:szCs w:val="20"/>
              </w:rPr>
              <w:t xml:space="preserve"> = </w:t>
            </w:r>
            <w:r w:rsidRPr="00706C86">
              <w:rPr>
                <w:sz w:val="20"/>
                <w:szCs w:val="20"/>
              </w:rPr>
              <w:sym w:font="Symbol" w:char="F062"/>
            </w:r>
            <w:r>
              <w:rPr>
                <w:sz w:val="20"/>
                <w:szCs w:val="20"/>
                <w:vertAlign w:val="subscript"/>
              </w:rPr>
              <w:t>4</w:t>
            </w:r>
          </w:p>
        </w:tc>
        <w:tc>
          <w:tcPr>
            <w:tcW w:w="1378"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0.17</w:t>
            </w:r>
          </w:p>
        </w:tc>
        <w:tc>
          <w:tcPr>
            <w:tcW w:w="1379"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0.50</w:t>
            </w:r>
          </w:p>
        </w:tc>
        <w:tc>
          <w:tcPr>
            <w:tcW w:w="1379"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0.19</w:t>
            </w:r>
          </w:p>
        </w:tc>
        <w:tc>
          <w:tcPr>
            <w:tcW w:w="1379"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0.08</w:t>
            </w:r>
          </w:p>
        </w:tc>
        <w:tc>
          <w:tcPr>
            <w:tcW w:w="1714"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0.09</w:t>
            </w:r>
          </w:p>
        </w:tc>
      </w:tr>
      <w:tr w:rsidR="00C24214" w:rsidRPr="002715D7" w:rsidTr="009C6E73">
        <w:trPr>
          <w:trHeight w:val="225"/>
          <w:jc w:val="center"/>
        </w:trPr>
        <w:tc>
          <w:tcPr>
            <w:tcW w:w="1985" w:type="dxa"/>
            <w:tcBorders>
              <w:top w:val="nil"/>
              <w:left w:val="nil"/>
              <w:bottom w:val="double" w:sz="4" w:space="0" w:color="auto"/>
              <w:right w:val="nil"/>
            </w:tcBorders>
          </w:tcPr>
          <w:p w:rsidR="00C24214" w:rsidRPr="002715D7" w:rsidRDefault="00C24214" w:rsidP="009C6E73">
            <w:pPr>
              <w:spacing w:line="240" w:lineRule="auto"/>
              <w:rPr>
                <w:sz w:val="20"/>
                <w:szCs w:val="20"/>
              </w:rPr>
            </w:pPr>
            <w:r w:rsidRPr="00706C86">
              <w:rPr>
                <w:sz w:val="20"/>
                <w:szCs w:val="20"/>
              </w:rPr>
              <w:t>H</w:t>
            </w:r>
            <w:r w:rsidRPr="00706C86">
              <w:rPr>
                <w:sz w:val="20"/>
                <w:szCs w:val="20"/>
                <w:vertAlign w:val="subscript"/>
              </w:rPr>
              <w:t>0</w:t>
            </w:r>
            <w:r w:rsidRPr="00706C86">
              <w:rPr>
                <w:sz w:val="20"/>
                <w:szCs w:val="20"/>
              </w:rPr>
              <w:t xml:space="preserve">: </w:t>
            </w:r>
            <w:r w:rsidRPr="00706C86">
              <w:rPr>
                <w:sz w:val="20"/>
                <w:szCs w:val="20"/>
              </w:rPr>
              <w:sym w:font="Symbol" w:char="F062"/>
            </w:r>
            <w:r>
              <w:rPr>
                <w:sz w:val="20"/>
                <w:szCs w:val="20"/>
                <w:vertAlign w:val="subscript"/>
              </w:rPr>
              <w:t>5</w:t>
            </w:r>
            <w:r w:rsidRPr="00706C86">
              <w:rPr>
                <w:sz w:val="20"/>
                <w:szCs w:val="20"/>
              </w:rPr>
              <w:t xml:space="preserve"> = </w:t>
            </w:r>
            <w:r w:rsidRPr="00706C86">
              <w:rPr>
                <w:sz w:val="20"/>
                <w:szCs w:val="20"/>
              </w:rPr>
              <w:sym w:font="Symbol" w:char="F062"/>
            </w:r>
            <w:r>
              <w:rPr>
                <w:sz w:val="20"/>
                <w:szCs w:val="20"/>
                <w:vertAlign w:val="subscript"/>
              </w:rPr>
              <w:t>6</w:t>
            </w:r>
          </w:p>
        </w:tc>
        <w:tc>
          <w:tcPr>
            <w:tcW w:w="1378"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0.15</w:t>
            </w:r>
          </w:p>
        </w:tc>
        <w:tc>
          <w:tcPr>
            <w:tcW w:w="1379"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0.10</w:t>
            </w:r>
          </w:p>
        </w:tc>
        <w:tc>
          <w:tcPr>
            <w:tcW w:w="1379"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0.40</w:t>
            </w:r>
          </w:p>
        </w:tc>
        <w:tc>
          <w:tcPr>
            <w:tcW w:w="1379"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0.37</w:t>
            </w:r>
          </w:p>
        </w:tc>
        <w:tc>
          <w:tcPr>
            <w:tcW w:w="1714"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0.27</w:t>
            </w:r>
          </w:p>
        </w:tc>
      </w:tr>
    </w:tbl>
    <w:p w:rsidR="00C24214" w:rsidRDefault="00C24214" w:rsidP="00C24214">
      <w:pPr>
        <w:spacing w:line="240" w:lineRule="auto"/>
        <w:rPr>
          <w:sz w:val="20"/>
          <w:szCs w:val="20"/>
        </w:rPr>
      </w:pPr>
    </w:p>
    <w:p w:rsidR="00C24214" w:rsidRPr="002715D7" w:rsidRDefault="00C24214" w:rsidP="00C24214">
      <w:pPr>
        <w:spacing w:line="240" w:lineRule="auto"/>
        <w:rPr>
          <w:sz w:val="20"/>
          <w:szCs w:val="20"/>
        </w:rPr>
      </w:pPr>
    </w:p>
    <w:p w:rsidR="00C24214" w:rsidRDefault="00C24214" w:rsidP="00C24214">
      <w:pPr>
        <w:spacing w:line="240" w:lineRule="auto"/>
        <w:rPr>
          <w:b/>
          <w:sz w:val="20"/>
          <w:szCs w:val="20"/>
        </w:rPr>
      </w:pPr>
      <w:r w:rsidRPr="002715D7">
        <w:rPr>
          <w:b/>
          <w:sz w:val="20"/>
          <w:szCs w:val="20"/>
        </w:rPr>
        <w:t xml:space="preserve">Panel </w:t>
      </w:r>
      <w:r>
        <w:rPr>
          <w:b/>
          <w:sz w:val="20"/>
          <w:szCs w:val="20"/>
        </w:rPr>
        <w:t>B</w:t>
      </w:r>
      <w:r w:rsidRPr="002715D7">
        <w:rPr>
          <w:b/>
          <w:sz w:val="20"/>
          <w:szCs w:val="20"/>
        </w:rPr>
        <w:t xml:space="preserve">: Negative and </w:t>
      </w:r>
      <w:r>
        <w:rPr>
          <w:b/>
          <w:sz w:val="20"/>
          <w:szCs w:val="20"/>
        </w:rPr>
        <w:t>p</w:t>
      </w:r>
      <w:r w:rsidRPr="002715D7">
        <w:rPr>
          <w:b/>
          <w:sz w:val="20"/>
          <w:szCs w:val="20"/>
        </w:rPr>
        <w:t xml:space="preserve">ositive </w:t>
      </w:r>
      <w:r>
        <w:rPr>
          <w:b/>
          <w:sz w:val="20"/>
          <w:szCs w:val="20"/>
        </w:rPr>
        <w:t>m</w:t>
      </w:r>
      <w:r w:rsidRPr="002715D7">
        <w:rPr>
          <w:b/>
          <w:sz w:val="20"/>
          <w:szCs w:val="20"/>
        </w:rPr>
        <w:t xml:space="preserve">onetary </w:t>
      </w:r>
      <w:r>
        <w:rPr>
          <w:b/>
          <w:sz w:val="20"/>
          <w:szCs w:val="20"/>
        </w:rPr>
        <w:t>surprises</w:t>
      </w:r>
    </w:p>
    <w:p w:rsidR="00C24214" w:rsidRPr="002715D7" w:rsidRDefault="00C24214" w:rsidP="00C24214">
      <w:pPr>
        <w:spacing w:line="240" w:lineRule="auto"/>
        <w:rPr>
          <w:sz w:val="20"/>
          <w:szCs w:val="20"/>
        </w:rPr>
      </w:pPr>
    </w:p>
    <w:tbl>
      <w:tblPr>
        <w:tblW w:w="9214" w:type="dxa"/>
        <w:jc w:val="center"/>
        <w:tblLayout w:type="fixed"/>
        <w:tblCellMar>
          <w:left w:w="0" w:type="dxa"/>
          <w:right w:w="0" w:type="dxa"/>
        </w:tblCellMar>
        <w:tblLook w:val="0000" w:firstRow="0" w:lastRow="0" w:firstColumn="0" w:lastColumn="0" w:noHBand="0" w:noVBand="0"/>
      </w:tblPr>
      <w:tblGrid>
        <w:gridCol w:w="1985"/>
        <w:gridCol w:w="1378"/>
        <w:gridCol w:w="1379"/>
        <w:gridCol w:w="1379"/>
        <w:gridCol w:w="1379"/>
        <w:gridCol w:w="1714"/>
      </w:tblGrid>
      <w:tr w:rsidR="00C24214" w:rsidRPr="002715D7" w:rsidTr="009C6E73">
        <w:trPr>
          <w:trHeight w:val="225"/>
          <w:jc w:val="center"/>
        </w:trPr>
        <w:tc>
          <w:tcPr>
            <w:tcW w:w="1985" w:type="dxa"/>
            <w:tcBorders>
              <w:top w:val="double" w:sz="4" w:space="0" w:color="auto"/>
              <w:left w:val="nil"/>
              <w:bottom w:val="single" w:sz="4" w:space="0" w:color="auto"/>
              <w:right w:val="nil"/>
            </w:tcBorders>
            <w:vAlign w:val="center"/>
          </w:tcPr>
          <w:p w:rsidR="00C24214" w:rsidRPr="002715D7" w:rsidRDefault="00C24214" w:rsidP="009C6E73">
            <w:pPr>
              <w:spacing w:line="240" w:lineRule="auto"/>
              <w:rPr>
                <w:b/>
                <w:bCs/>
                <w:iCs/>
                <w:sz w:val="20"/>
                <w:szCs w:val="20"/>
              </w:rPr>
            </w:pPr>
          </w:p>
        </w:tc>
        <w:tc>
          <w:tcPr>
            <w:tcW w:w="1378"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S&amp;P 500</w:t>
            </w:r>
          </w:p>
        </w:tc>
        <w:tc>
          <w:tcPr>
            <w:tcW w:w="1379"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DJIA</w:t>
            </w:r>
          </w:p>
        </w:tc>
        <w:tc>
          <w:tcPr>
            <w:tcW w:w="1379"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Nasdaq 100</w:t>
            </w:r>
          </w:p>
        </w:tc>
        <w:tc>
          <w:tcPr>
            <w:tcW w:w="1379"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Russell 2000</w:t>
            </w:r>
          </w:p>
        </w:tc>
        <w:tc>
          <w:tcPr>
            <w:tcW w:w="1714" w:type="dxa"/>
            <w:tcBorders>
              <w:top w:val="double" w:sz="4" w:space="0" w:color="auto"/>
              <w:left w:val="nil"/>
              <w:bottom w:val="single" w:sz="4" w:space="0" w:color="auto"/>
              <w:right w:val="nil"/>
            </w:tcBorders>
            <w:vAlign w:val="center"/>
          </w:tcPr>
          <w:p w:rsidR="00C24214" w:rsidRPr="002715D7" w:rsidRDefault="00C24214" w:rsidP="009C6E73">
            <w:pPr>
              <w:spacing w:line="240" w:lineRule="auto"/>
              <w:jc w:val="center"/>
              <w:rPr>
                <w:b/>
                <w:iCs/>
                <w:sz w:val="20"/>
                <w:szCs w:val="20"/>
              </w:rPr>
            </w:pPr>
            <w:r w:rsidRPr="002715D7">
              <w:rPr>
                <w:b/>
                <w:iCs/>
                <w:sz w:val="20"/>
                <w:szCs w:val="20"/>
              </w:rPr>
              <w:t>S&amp;P MidCap 400</w:t>
            </w:r>
          </w:p>
        </w:tc>
      </w:tr>
      <w:tr w:rsidR="00C24214" w:rsidRPr="002715D7" w:rsidTr="009C6E73">
        <w:trPr>
          <w:trHeight w:val="225"/>
          <w:jc w:val="center"/>
        </w:trPr>
        <w:tc>
          <w:tcPr>
            <w:tcW w:w="1985" w:type="dxa"/>
            <w:tcBorders>
              <w:left w:val="nil"/>
              <w:bottom w:val="nil"/>
              <w:right w:val="nil"/>
            </w:tcBorders>
          </w:tcPr>
          <w:p w:rsidR="00C24214" w:rsidRPr="002715D7" w:rsidRDefault="00C24214" w:rsidP="009C6E73">
            <w:pPr>
              <w:spacing w:line="240" w:lineRule="auto"/>
              <w:rPr>
                <w:sz w:val="20"/>
                <w:szCs w:val="20"/>
              </w:rPr>
            </w:pPr>
            <w:r w:rsidRPr="002715D7">
              <w:rPr>
                <w:sz w:val="20"/>
                <w:szCs w:val="20"/>
              </w:rPr>
              <w:t>Constant</w:t>
            </w:r>
          </w:p>
        </w:tc>
        <w:tc>
          <w:tcPr>
            <w:tcW w:w="1378"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0.14</w:t>
            </w:r>
            <w:r w:rsidRPr="00E21C04">
              <w:rPr>
                <w:sz w:val="20"/>
                <w:szCs w:val="20"/>
                <w:vertAlign w:val="superscript"/>
              </w:rPr>
              <w:t>**</w:t>
            </w:r>
          </w:p>
        </w:tc>
        <w:tc>
          <w:tcPr>
            <w:tcW w:w="1379"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0.16</w:t>
            </w:r>
            <w:r w:rsidRPr="00E21C04">
              <w:rPr>
                <w:sz w:val="20"/>
                <w:szCs w:val="20"/>
                <w:vertAlign w:val="superscript"/>
              </w:rPr>
              <w:t>**</w:t>
            </w:r>
          </w:p>
        </w:tc>
        <w:tc>
          <w:tcPr>
            <w:tcW w:w="1379"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0.12</w:t>
            </w:r>
            <w:r w:rsidRPr="00E21C04">
              <w:rPr>
                <w:sz w:val="20"/>
                <w:szCs w:val="20"/>
                <w:vertAlign w:val="superscript"/>
              </w:rPr>
              <w:t>*</w:t>
            </w:r>
          </w:p>
        </w:tc>
        <w:tc>
          <w:tcPr>
            <w:tcW w:w="1379"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0.22</w:t>
            </w:r>
            <w:r w:rsidRPr="00E21C04">
              <w:rPr>
                <w:sz w:val="20"/>
                <w:szCs w:val="20"/>
                <w:vertAlign w:val="superscript"/>
              </w:rPr>
              <w:t>**</w:t>
            </w:r>
          </w:p>
        </w:tc>
        <w:tc>
          <w:tcPr>
            <w:tcW w:w="1714" w:type="dxa"/>
            <w:tcBorders>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0.18</w:t>
            </w:r>
            <w:r w:rsidRPr="00E21C04">
              <w:rPr>
                <w:sz w:val="20"/>
                <w:szCs w:val="20"/>
                <w:vertAlign w:val="superscript"/>
              </w:rPr>
              <w:t>***</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sidRPr="00706C86">
              <w:rPr>
                <w:sz w:val="20"/>
                <w:szCs w:val="20"/>
              </w:rPr>
              <w:lastRenderedPageBreak/>
              <w:t>T</w:t>
            </w:r>
            <w:r>
              <w:rPr>
                <w:sz w:val="20"/>
                <w:szCs w:val="20"/>
              </w:rPr>
              <w:t>S</w:t>
            </w:r>
            <w:r w:rsidRPr="00706C86">
              <w:rPr>
                <w:sz w:val="20"/>
                <w:szCs w:val="20"/>
              </w:rPr>
              <w:t xml:space="preserve"> </w:t>
            </w:r>
            <w:r w:rsidRPr="00706C86">
              <w:rPr>
                <w:sz w:val="20"/>
                <w:szCs w:val="20"/>
              </w:rPr>
              <w:sym w:font="Symbol" w:char="F0B4"/>
            </w:r>
            <w:r w:rsidRPr="00706C86">
              <w:rPr>
                <w:sz w:val="20"/>
                <w:szCs w:val="20"/>
              </w:rPr>
              <w:t xml:space="preserve"> D</w:t>
            </w:r>
            <w:r>
              <w:rPr>
                <w:sz w:val="20"/>
                <w:szCs w:val="20"/>
              </w:rPr>
              <w:t>1</w:t>
            </w:r>
            <w:r w:rsidRPr="00706C86">
              <w:rPr>
                <w:sz w:val="20"/>
                <w:szCs w:val="20"/>
              </w:rPr>
              <w:t xml:space="preserve"> (</w:t>
            </w:r>
            <w:r w:rsidRPr="00706C86">
              <w:rPr>
                <w:sz w:val="20"/>
                <w:szCs w:val="20"/>
              </w:rPr>
              <w:sym w:font="Symbol" w:char="F062"/>
            </w:r>
            <w:r>
              <w:rPr>
                <w:sz w:val="20"/>
                <w:szCs w:val="20"/>
                <w:vertAlign w:val="subscript"/>
              </w:rPr>
              <w:t>1</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-11.07</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-14.10</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-11.45</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-15.35</w:t>
            </w:r>
            <w:r w:rsidRPr="00E21C04">
              <w:rPr>
                <w:sz w:val="20"/>
                <w:szCs w:val="20"/>
                <w:vertAlign w:val="superscript"/>
              </w:rPr>
              <w:t>***</w:t>
            </w:r>
          </w:p>
        </w:tc>
        <w:tc>
          <w:tcPr>
            <w:tcW w:w="1714"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-12.18</w:t>
            </w:r>
            <w:r w:rsidRPr="00E21C04">
              <w:rPr>
                <w:sz w:val="20"/>
                <w:szCs w:val="20"/>
                <w:vertAlign w:val="superscript"/>
              </w:rPr>
              <w:t>***</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sidRPr="00706C86">
              <w:rPr>
                <w:sz w:val="20"/>
                <w:szCs w:val="20"/>
              </w:rPr>
              <w:t>T</w:t>
            </w:r>
            <w:r>
              <w:rPr>
                <w:sz w:val="20"/>
                <w:szCs w:val="20"/>
              </w:rPr>
              <w:t>S</w:t>
            </w:r>
            <w:r w:rsidRPr="00706C86">
              <w:rPr>
                <w:sz w:val="20"/>
                <w:szCs w:val="20"/>
              </w:rPr>
              <w:t xml:space="preserve"> </w:t>
            </w:r>
            <w:r w:rsidRPr="00706C86">
              <w:rPr>
                <w:sz w:val="20"/>
                <w:szCs w:val="20"/>
              </w:rPr>
              <w:sym w:font="Symbol" w:char="F0B4"/>
            </w:r>
            <w:r w:rsidRPr="00706C86">
              <w:rPr>
                <w:sz w:val="20"/>
                <w:szCs w:val="20"/>
              </w:rPr>
              <w:t xml:space="preserve"> (1 – D</w:t>
            </w:r>
            <w:r>
              <w:rPr>
                <w:sz w:val="20"/>
                <w:szCs w:val="20"/>
              </w:rPr>
              <w:t>1</w:t>
            </w:r>
            <w:r w:rsidRPr="00706C86">
              <w:rPr>
                <w:sz w:val="20"/>
                <w:szCs w:val="20"/>
              </w:rPr>
              <w:t>) (</w:t>
            </w:r>
            <w:r w:rsidRPr="00706C86">
              <w:rPr>
                <w:sz w:val="20"/>
                <w:szCs w:val="20"/>
              </w:rPr>
              <w:sym w:font="Symbol" w:char="F062"/>
            </w:r>
            <w:r>
              <w:rPr>
                <w:sz w:val="20"/>
                <w:szCs w:val="20"/>
                <w:vertAlign w:val="subscript"/>
              </w:rPr>
              <w:t>2</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-3.82</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-3.84</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-4.27</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-3.70</w:t>
            </w:r>
          </w:p>
        </w:tc>
        <w:tc>
          <w:tcPr>
            <w:tcW w:w="1714"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-2.94</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sidRPr="00706C86">
              <w:rPr>
                <w:sz w:val="20"/>
                <w:szCs w:val="20"/>
              </w:rPr>
              <w:t>P</w:t>
            </w:r>
            <w:r>
              <w:rPr>
                <w:sz w:val="20"/>
                <w:szCs w:val="20"/>
              </w:rPr>
              <w:t>S</w:t>
            </w:r>
            <w:r w:rsidRPr="00706C86">
              <w:rPr>
                <w:sz w:val="20"/>
                <w:szCs w:val="20"/>
              </w:rPr>
              <w:t xml:space="preserve"> </w:t>
            </w:r>
            <w:r w:rsidRPr="00706C86">
              <w:rPr>
                <w:sz w:val="20"/>
                <w:szCs w:val="20"/>
              </w:rPr>
              <w:sym w:font="Symbol" w:char="F0B4"/>
            </w:r>
            <w:r w:rsidRPr="00706C86">
              <w:rPr>
                <w:sz w:val="20"/>
                <w:szCs w:val="20"/>
              </w:rPr>
              <w:t xml:space="preserve"> D</w:t>
            </w:r>
            <w:r>
              <w:rPr>
                <w:sz w:val="20"/>
                <w:szCs w:val="20"/>
              </w:rPr>
              <w:t>2</w:t>
            </w:r>
            <w:r w:rsidRPr="00706C86">
              <w:rPr>
                <w:sz w:val="20"/>
                <w:szCs w:val="20"/>
              </w:rPr>
              <w:t xml:space="preserve"> (</w:t>
            </w:r>
            <w:r w:rsidRPr="00706C86">
              <w:rPr>
                <w:sz w:val="20"/>
                <w:szCs w:val="20"/>
              </w:rPr>
              <w:sym w:font="Symbol" w:char="F062"/>
            </w:r>
            <w:r>
              <w:rPr>
                <w:sz w:val="20"/>
                <w:szCs w:val="20"/>
                <w:vertAlign w:val="subscript"/>
              </w:rPr>
              <w:t>3</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-5.40</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-4.98</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-4.70</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-5.22</w:t>
            </w:r>
            <w:r w:rsidRPr="00E21C04">
              <w:rPr>
                <w:sz w:val="20"/>
                <w:szCs w:val="20"/>
                <w:vertAlign w:val="superscript"/>
              </w:rPr>
              <w:t>***</w:t>
            </w:r>
          </w:p>
        </w:tc>
        <w:tc>
          <w:tcPr>
            <w:tcW w:w="1714"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-4.61</w:t>
            </w:r>
            <w:r w:rsidRPr="00E21C04">
              <w:rPr>
                <w:sz w:val="20"/>
                <w:szCs w:val="20"/>
                <w:vertAlign w:val="superscript"/>
              </w:rPr>
              <w:t>***</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sidRPr="00706C86">
              <w:rPr>
                <w:sz w:val="20"/>
                <w:szCs w:val="20"/>
              </w:rPr>
              <w:t>P</w:t>
            </w:r>
            <w:r>
              <w:rPr>
                <w:sz w:val="20"/>
                <w:szCs w:val="20"/>
              </w:rPr>
              <w:t>S</w:t>
            </w:r>
            <w:r w:rsidRPr="00706C86">
              <w:rPr>
                <w:sz w:val="20"/>
                <w:szCs w:val="20"/>
              </w:rPr>
              <w:t xml:space="preserve"> </w:t>
            </w:r>
            <w:r w:rsidRPr="00706C86">
              <w:rPr>
                <w:sz w:val="20"/>
                <w:szCs w:val="20"/>
              </w:rPr>
              <w:sym w:font="Symbol" w:char="F0B4"/>
            </w:r>
            <w:r w:rsidRPr="00706C86">
              <w:rPr>
                <w:sz w:val="20"/>
                <w:szCs w:val="20"/>
              </w:rPr>
              <w:t xml:space="preserve"> (1 – D</w:t>
            </w:r>
            <w:r>
              <w:rPr>
                <w:sz w:val="20"/>
                <w:szCs w:val="20"/>
              </w:rPr>
              <w:t>2</w:t>
            </w:r>
            <w:r w:rsidRPr="00706C86">
              <w:rPr>
                <w:sz w:val="20"/>
                <w:szCs w:val="20"/>
              </w:rPr>
              <w:t>) (</w:t>
            </w:r>
            <w:r w:rsidRPr="00706C86">
              <w:rPr>
                <w:sz w:val="20"/>
                <w:szCs w:val="20"/>
              </w:rPr>
              <w:sym w:font="Symbol" w:char="F062"/>
            </w:r>
            <w:r>
              <w:rPr>
                <w:sz w:val="20"/>
                <w:szCs w:val="20"/>
                <w:vertAlign w:val="subscript"/>
              </w:rPr>
              <w:t>4</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-0.33</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-0.45</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-0.24</w:t>
            </w:r>
          </w:p>
        </w:tc>
        <w:tc>
          <w:tcPr>
            <w:tcW w:w="1379"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0.84</w:t>
            </w:r>
          </w:p>
        </w:tc>
        <w:tc>
          <w:tcPr>
            <w:tcW w:w="1714" w:type="dxa"/>
            <w:tcBorders>
              <w:top w:val="nil"/>
              <w:left w:val="nil"/>
              <w:bottom w:val="nil"/>
              <w:right w:val="nil"/>
            </w:tcBorders>
          </w:tcPr>
          <w:p w:rsidR="00C24214" w:rsidRPr="00965176" w:rsidRDefault="00C24214" w:rsidP="009C6E73">
            <w:pPr>
              <w:spacing w:line="240" w:lineRule="auto"/>
              <w:jc w:val="center"/>
              <w:rPr>
                <w:bCs/>
                <w:iCs/>
                <w:sz w:val="20"/>
                <w:szCs w:val="20"/>
              </w:rPr>
            </w:pPr>
            <w:r w:rsidRPr="00965176">
              <w:rPr>
                <w:sz w:val="20"/>
                <w:szCs w:val="20"/>
              </w:rPr>
              <w:t>0.30</w:t>
            </w:r>
          </w:p>
        </w:tc>
      </w:tr>
      <w:tr w:rsidR="00C24214" w:rsidRPr="002715D7" w:rsidTr="009C6E73">
        <w:trPr>
          <w:trHeight w:val="225"/>
          <w:jc w:val="center"/>
        </w:trPr>
        <w:tc>
          <w:tcPr>
            <w:tcW w:w="1985" w:type="dxa"/>
            <w:tcBorders>
              <w:top w:val="nil"/>
              <w:left w:val="nil"/>
              <w:bottom w:val="nil"/>
              <w:right w:val="nil"/>
            </w:tcBorders>
          </w:tcPr>
          <w:p w:rsidR="00C24214" w:rsidRPr="002715D7" w:rsidRDefault="00C24214" w:rsidP="009C6E73">
            <w:pPr>
              <w:spacing w:line="240" w:lineRule="auto"/>
              <w:rPr>
                <w:sz w:val="20"/>
                <w:szCs w:val="20"/>
              </w:rPr>
            </w:pPr>
            <w:r>
              <w:rPr>
                <w:sz w:val="20"/>
                <w:szCs w:val="20"/>
              </w:rPr>
              <w:t>LS</w:t>
            </w:r>
            <w:r w:rsidRPr="00706C86">
              <w:rPr>
                <w:sz w:val="20"/>
                <w:szCs w:val="20"/>
              </w:rPr>
              <w:t xml:space="preserve"> </w:t>
            </w:r>
            <w:r w:rsidRPr="00706C86">
              <w:rPr>
                <w:sz w:val="20"/>
                <w:szCs w:val="20"/>
              </w:rPr>
              <w:sym w:font="Symbol" w:char="F0B4"/>
            </w:r>
            <w:r w:rsidRPr="00706C86">
              <w:rPr>
                <w:sz w:val="20"/>
                <w:szCs w:val="20"/>
              </w:rPr>
              <w:t xml:space="preserve"> D</w:t>
            </w:r>
            <w:r>
              <w:rPr>
                <w:sz w:val="20"/>
                <w:szCs w:val="20"/>
              </w:rPr>
              <w:t>3</w:t>
            </w:r>
            <w:r w:rsidRPr="00706C86">
              <w:rPr>
                <w:sz w:val="20"/>
                <w:szCs w:val="20"/>
              </w:rPr>
              <w:t xml:space="preserve"> (</w:t>
            </w:r>
            <w:r w:rsidRPr="00706C86">
              <w:rPr>
                <w:sz w:val="20"/>
                <w:szCs w:val="20"/>
              </w:rPr>
              <w:sym w:font="Symbol" w:char="F062"/>
            </w:r>
            <w:r>
              <w:rPr>
                <w:sz w:val="20"/>
                <w:szCs w:val="20"/>
                <w:vertAlign w:val="subscript"/>
              </w:rPr>
              <w:t>5</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-0.57</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-1.27</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0.39</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0.02</w:t>
            </w:r>
          </w:p>
        </w:tc>
        <w:tc>
          <w:tcPr>
            <w:tcW w:w="1714"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-0.43</w:t>
            </w:r>
          </w:p>
        </w:tc>
      </w:tr>
      <w:tr w:rsidR="00C24214" w:rsidRPr="002715D7" w:rsidTr="009C6E73">
        <w:trPr>
          <w:trHeight w:val="225"/>
          <w:jc w:val="center"/>
        </w:trPr>
        <w:tc>
          <w:tcPr>
            <w:tcW w:w="1985" w:type="dxa"/>
            <w:tcBorders>
              <w:top w:val="nil"/>
              <w:left w:val="nil"/>
              <w:bottom w:val="nil"/>
              <w:right w:val="nil"/>
            </w:tcBorders>
          </w:tcPr>
          <w:p w:rsidR="00C24214" w:rsidRPr="00706C86" w:rsidRDefault="00C24214" w:rsidP="009C6E73">
            <w:pPr>
              <w:spacing w:line="240" w:lineRule="auto"/>
              <w:rPr>
                <w:sz w:val="20"/>
                <w:szCs w:val="20"/>
              </w:rPr>
            </w:pPr>
            <w:r>
              <w:rPr>
                <w:sz w:val="20"/>
                <w:szCs w:val="20"/>
              </w:rPr>
              <w:t>LS</w:t>
            </w:r>
            <w:r w:rsidRPr="00706C86">
              <w:rPr>
                <w:sz w:val="20"/>
                <w:szCs w:val="20"/>
              </w:rPr>
              <w:t xml:space="preserve"> </w:t>
            </w:r>
            <w:r w:rsidRPr="00706C86">
              <w:rPr>
                <w:sz w:val="20"/>
                <w:szCs w:val="20"/>
              </w:rPr>
              <w:sym w:font="Symbol" w:char="F0B4"/>
            </w:r>
            <w:r w:rsidRPr="00706C86">
              <w:rPr>
                <w:sz w:val="20"/>
                <w:szCs w:val="20"/>
              </w:rPr>
              <w:t xml:space="preserve"> (1 – D</w:t>
            </w:r>
            <w:r>
              <w:rPr>
                <w:sz w:val="20"/>
                <w:szCs w:val="20"/>
              </w:rPr>
              <w:t>3</w:t>
            </w:r>
            <w:r w:rsidRPr="00706C86">
              <w:rPr>
                <w:sz w:val="20"/>
                <w:szCs w:val="20"/>
              </w:rPr>
              <w:t>) (</w:t>
            </w:r>
            <w:r w:rsidRPr="00706C86">
              <w:rPr>
                <w:sz w:val="20"/>
                <w:szCs w:val="20"/>
              </w:rPr>
              <w:sym w:font="Symbol" w:char="F062"/>
            </w:r>
            <w:r>
              <w:rPr>
                <w:sz w:val="20"/>
                <w:szCs w:val="20"/>
                <w:vertAlign w:val="subscript"/>
              </w:rPr>
              <w:t>6</w:t>
            </w:r>
            <w:r w:rsidRPr="00706C86">
              <w:rPr>
                <w:sz w:val="20"/>
                <w:szCs w:val="20"/>
              </w:rPr>
              <w:t>)</w:t>
            </w:r>
          </w:p>
        </w:tc>
        <w:tc>
          <w:tcPr>
            <w:tcW w:w="1378"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-4.75</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-5.46</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-1.93</w:t>
            </w:r>
            <w:r w:rsidRPr="00E21C04">
              <w:rPr>
                <w:sz w:val="20"/>
                <w:szCs w:val="20"/>
                <w:vertAlign w:val="superscript"/>
              </w:rPr>
              <w:t>***</w:t>
            </w:r>
          </w:p>
        </w:tc>
        <w:tc>
          <w:tcPr>
            <w:tcW w:w="1379"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-2.98</w:t>
            </w:r>
            <w:r w:rsidRPr="00E21C04">
              <w:rPr>
                <w:sz w:val="20"/>
                <w:szCs w:val="20"/>
                <w:vertAlign w:val="superscript"/>
              </w:rPr>
              <w:t>***</w:t>
            </w:r>
          </w:p>
        </w:tc>
        <w:tc>
          <w:tcPr>
            <w:tcW w:w="1714" w:type="dxa"/>
            <w:tcBorders>
              <w:top w:val="nil"/>
              <w:left w:val="nil"/>
              <w:bottom w:val="nil"/>
              <w:right w:val="nil"/>
            </w:tcBorders>
          </w:tcPr>
          <w:p w:rsidR="00C24214" w:rsidRPr="00965176" w:rsidRDefault="00C24214" w:rsidP="009C6E73">
            <w:pPr>
              <w:spacing w:line="240" w:lineRule="auto"/>
              <w:jc w:val="center"/>
              <w:rPr>
                <w:sz w:val="20"/>
                <w:szCs w:val="20"/>
              </w:rPr>
            </w:pPr>
            <w:r w:rsidRPr="00965176">
              <w:rPr>
                <w:sz w:val="20"/>
                <w:szCs w:val="20"/>
              </w:rPr>
              <w:t>-2.83</w:t>
            </w:r>
            <w:r w:rsidRPr="00E21C04">
              <w:rPr>
                <w:sz w:val="20"/>
                <w:szCs w:val="20"/>
                <w:vertAlign w:val="superscript"/>
              </w:rPr>
              <w:t>***</w:t>
            </w:r>
          </w:p>
        </w:tc>
      </w:tr>
      <w:tr w:rsidR="00C24214" w:rsidRPr="002715D7" w:rsidTr="009C6E73">
        <w:trPr>
          <w:trHeight w:val="225"/>
          <w:jc w:val="center"/>
        </w:trPr>
        <w:tc>
          <w:tcPr>
            <w:tcW w:w="1985" w:type="dxa"/>
            <w:tcBorders>
              <w:top w:val="nil"/>
              <w:left w:val="nil"/>
              <w:right w:val="nil"/>
            </w:tcBorders>
          </w:tcPr>
          <w:p w:rsidR="00C24214" w:rsidRPr="002715D7" w:rsidRDefault="00C24214" w:rsidP="009C6E73">
            <w:pPr>
              <w:spacing w:line="240" w:lineRule="auto"/>
              <w:rPr>
                <w:sz w:val="20"/>
                <w:szCs w:val="20"/>
              </w:rPr>
            </w:pPr>
            <w:r w:rsidRPr="002715D7">
              <w:rPr>
                <w:sz w:val="20"/>
                <w:szCs w:val="20"/>
              </w:rPr>
              <w:t>R</w:t>
            </w:r>
            <w:r w:rsidRPr="002715D7">
              <w:rPr>
                <w:sz w:val="20"/>
                <w:szCs w:val="20"/>
                <w:vertAlign w:val="superscript"/>
              </w:rPr>
              <w:t>2</w:t>
            </w:r>
          </w:p>
        </w:tc>
        <w:tc>
          <w:tcPr>
            <w:tcW w:w="1378"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0.358</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0.388</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0.276</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0.308</w:t>
            </w:r>
          </w:p>
        </w:tc>
        <w:tc>
          <w:tcPr>
            <w:tcW w:w="1714"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0.327</w:t>
            </w:r>
          </w:p>
        </w:tc>
      </w:tr>
      <w:tr w:rsidR="00C24214" w:rsidRPr="002715D7" w:rsidTr="009C6E73">
        <w:trPr>
          <w:trHeight w:val="225"/>
          <w:jc w:val="center"/>
        </w:trPr>
        <w:tc>
          <w:tcPr>
            <w:tcW w:w="1985" w:type="dxa"/>
            <w:tcBorders>
              <w:top w:val="nil"/>
              <w:left w:val="nil"/>
              <w:right w:val="nil"/>
            </w:tcBorders>
          </w:tcPr>
          <w:p w:rsidR="00C24214" w:rsidRPr="002715D7" w:rsidRDefault="00C24214" w:rsidP="009C6E73">
            <w:pPr>
              <w:spacing w:line="240" w:lineRule="auto"/>
              <w:rPr>
                <w:sz w:val="20"/>
                <w:szCs w:val="20"/>
              </w:rPr>
            </w:pPr>
            <w:r w:rsidRPr="002715D7">
              <w:rPr>
                <w:sz w:val="20"/>
                <w:szCs w:val="20"/>
              </w:rPr>
              <w:t>Observations</w:t>
            </w:r>
          </w:p>
        </w:tc>
        <w:tc>
          <w:tcPr>
            <w:tcW w:w="1378"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191</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165</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187</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168</w:t>
            </w:r>
          </w:p>
        </w:tc>
        <w:tc>
          <w:tcPr>
            <w:tcW w:w="1714"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166</w:t>
            </w:r>
          </w:p>
        </w:tc>
      </w:tr>
      <w:tr w:rsidR="00C24214" w:rsidRPr="002715D7" w:rsidTr="009C6E73">
        <w:trPr>
          <w:trHeight w:val="225"/>
          <w:jc w:val="center"/>
        </w:trPr>
        <w:tc>
          <w:tcPr>
            <w:tcW w:w="1985" w:type="dxa"/>
            <w:tcBorders>
              <w:top w:val="nil"/>
              <w:left w:val="nil"/>
              <w:right w:val="nil"/>
            </w:tcBorders>
          </w:tcPr>
          <w:p w:rsidR="00C24214" w:rsidRPr="002715D7" w:rsidRDefault="00C24214" w:rsidP="009C6E73">
            <w:pPr>
              <w:spacing w:line="240" w:lineRule="auto"/>
              <w:rPr>
                <w:sz w:val="20"/>
                <w:szCs w:val="20"/>
              </w:rPr>
            </w:pPr>
            <w:r w:rsidRPr="00706C86">
              <w:rPr>
                <w:sz w:val="20"/>
                <w:szCs w:val="20"/>
              </w:rPr>
              <w:t>H</w:t>
            </w:r>
            <w:r w:rsidRPr="00706C86">
              <w:rPr>
                <w:sz w:val="20"/>
                <w:szCs w:val="20"/>
                <w:vertAlign w:val="subscript"/>
              </w:rPr>
              <w:t>0</w:t>
            </w:r>
            <w:r w:rsidRPr="00706C86">
              <w:rPr>
                <w:sz w:val="20"/>
                <w:szCs w:val="20"/>
              </w:rPr>
              <w:t xml:space="preserve">: </w:t>
            </w:r>
            <w:r w:rsidRPr="00706C86">
              <w:rPr>
                <w:sz w:val="20"/>
                <w:szCs w:val="20"/>
              </w:rPr>
              <w:sym w:font="Symbol" w:char="F062"/>
            </w:r>
            <w:r>
              <w:rPr>
                <w:sz w:val="20"/>
                <w:szCs w:val="20"/>
                <w:vertAlign w:val="subscript"/>
              </w:rPr>
              <w:t>1</w:t>
            </w:r>
            <w:r w:rsidRPr="00706C86">
              <w:rPr>
                <w:sz w:val="20"/>
                <w:szCs w:val="20"/>
              </w:rPr>
              <w:t xml:space="preserve"> = </w:t>
            </w:r>
            <w:r w:rsidRPr="00706C86">
              <w:rPr>
                <w:sz w:val="20"/>
                <w:szCs w:val="20"/>
              </w:rPr>
              <w:sym w:font="Symbol" w:char="F062"/>
            </w:r>
            <w:r>
              <w:rPr>
                <w:sz w:val="20"/>
                <w:szCs w:val="20"/>
                <w:vertAlign w:val="subscript"/>
              </w:rPr>
              <w:t>2</w:t>
            </w:r>
          </w:p>
        </w:tc>
        <w:tc>
          <w:tcPr>
            <w:tcW w:w="1378"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0.15</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0.13</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0.15</w:t>
            </w:r>
          </w:p>
        </w:tc>
        <w:tc>
          <w:tcPr>
            <w:tcW w:w="1379"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0.12</w:t>
            </w:r>
          </w:p>
        </w:tc>
        <w:tc>
          <w:tcPr>
            <w:tcW w:w="1714" w:type="dxa"/>
            <w:tcBorders>
              <w:top w:val="nil"/>
              <w:left w:val="nil"/>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0.13</w:t>
            </w:r>
          </w:p>
        </w:tc>
      </w:tr>
      <w:tr w:rsidR="00C24214" w:rsidRPr="002715D7" w:rsidTr="009C6E73">
        <w:trPr>
          <w:trHeight w:val="225"/>
          <w:jc w:val="center"/>
        </w:trPr>
        <w:tc>
          <w:tcPr>
            <w:tcW w:w="1985" w:type="dxa"/>
            <w:tcBorders>
              <w:top w:val="nil"/>
              <w:left w:val="nil"/>
              <w:right w:val="nil"/>
            </w:tcBorders>
          </w:tcPr>
          <w:p w:rsidR="00C24214" w:rsidRPr="00706C86" w:rsidRDefault="00C24214" w:rsidP="009C6E73">
            <w:pPr>
              <w:spacing w:line="240" w:lineRule="auto"/>
              <w:rPr>
                <w:sz w:val="20"/>
                <w:szCs w:val="20"/>
              </w:rPr>
            </w:pPr>
            <w:r w:rsidRPr="00706C86">
              <w:rPr>
                <w:sz w:val="20"/>
                <w:szCs w:val="20"/>
              </w:rPr>
              <w:t>H</w:t>
            </w:r>
            <w:r w:rsidRPr="00706C86">
              <w:rPr>
                <w:sz w:val="20"/>
                <w:szCs w:val="20"/>
                <w:vertAlign w:val="subscript"/>
              </w:rPr>
              <w:t>0</w:t>
            </w:r>
            <w:r w:rsidRPr="00706C86">
              <w:rPr>
                <w:sz w:val="20"/>
                <w:szCs w:val="20"/>
              </w:rPr>
              <w:t xml:space="preserve">: </w:t>
            </w:r>
            <w:r w:rsidRPr="00706C86">
              <w:rPr>
                <w:sz w:val="20"/>
                <w:szCs w:val="20"/>
              </w:rPr>
              <w:sym w:font="Symbol" w:char="F062"/>
            </w:r>
            <w:r>
              <w:rPr>
                <w:sz w:val="20"/>
                <w:szCs w:val="20"/>
                <w:vertAlign w:val="subscript"/>
              </w:rPr>
              <w:t>3</w:t>
            </w:r>
            <w:r w:rsidRPr="00706C86">
              <w:rPr>
                <w:sz w:val="20"/>
                <w:szCs w:val="20"/>
              </w:rPr>
              <w:t xml:space="preserve"> = </w:t>
            </w:r>
            <w:r w:rsidRPr="00706C86">
              <w:rPr>
                <w:sz w:val="20"/>
                <w:szCs w:val="20"/>
              </w:rPr>
              <w:sym w:font="Symbol" w:char="F062"/>
            </w:r>
            <w:r>
              <w:rPr>
                <w:sz w:val="20"/>
                <w:szCs w:val="20"/>
                <w:vertAlign w:val="subscript"/>
              </w:rPr>
              <w:t>4</w:t>
            </w:r>
          </w:p>
        </w:tc>
        <w:tc>
          <w:tcPr>
            <w:tcW w:w="1378"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0.01</w:t>
            </w:r>
          </w:p>
        </w:tc>
        <w:tc>
          <w:tcPr>
            <w:tcW w:w="1379"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0.02</w:t>
            </w:r>
          </w:p>
        </w:tc>
        <w:tc>
          <w:tcPr>
            <w:tcW w:w="1379"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0.01</w:t>
            </w:r>
          </w:p>
        </w:tc>
        <w:tc>
          <w:tcPr>
            <w:tcW w:w="1379"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0.01</w:t>
            </w:r>
          </w:p>
        </w:tc>
        <w:tc>
          <w:tcPr>
            <w:tcW w:w="1714" w:type="dxa"/>
            <w:tcBorders>
              <w:top w:val="nil"/>
              <w:left w:val="nil"/>
              <w:right w:val="nil"/>
            </w:tcBorders>
          </w:tcPr>
          <w:p w:rsidR="00C24214" w:rsidRPr="00965176" w:rsidRDefault="00C24214" w:rsidP="009C6E73">
            <w:pPr>
              <w:spacing w:line="240" w:lineRule="auto"/>
              <w:jc w:val="center"/>
              <w:rPr>
                <w:sz w:val="20"/>
                <w:szCs w:val="20"/>
              </w:rPr>
            </w:pPr>
            <w:r w:rsidRPr="00965176">
              <w:rPr>
                <w:sz w:val="20"/>
                <w:szCs w:val="20"/>
              </w:rPr>
              <w:t xml:space="preserve"> 0.01</w:t>
            </w:r>
          </w:p>
        </w:tc>
      </w:tr>
      <w:tr w:rsidR="00C24214" w:rsidRPr="002715D7" w:rsidTr="009C6E73">
        <w:trPr>
          <w:trHeight w:val="225"/>
          <w:jc w:val="center"/>
        </w:trPr>
        <w:tc>
          <w:tcPr>
            <w:tcW w:w="1985" w:type="dxa"/>
            <w:tcBorders>
              <w:top w:val="nil"/>
              <w:left w:val="nil"/>
              <w:bottom w:val="double" w:sz="4" w:space="0" w:color="auto"/>
              <w:right w:val="nil"/>
            </w:tcBorders>
          </w:tcPr>
          <w:p w:rsidR="00C24214" w:rsidRPr="002715D7" w:rsidRDefault="00C24214" w:rsidP="009C6E73">
            <w:pPr>
              <w:spacing w:line="240" w:lineRule="auto"/>
              <w:rPr>
                <w:sz w:val="20"/>
                <w:szCs w:val="20"/>
              </w:rPr>
            </w:pPr>
            <w:r w:rsidRPr="00706C86">
              <w:rPr>
                <w:sz w:val="20"/>
                <w:szCs w:val="20"/>
              </w:rPr>
              <w:t>H</w:t>
            </w:r>
            <w:r w:rsidRPr="00706C86">
              <w:rPr>
                <w:sz w:val="20"/>
                <w:szCs w:val="20"/>
                <w:vertAlign w:val="subscript"/>
              </w:rPr>
              <w:t>0</w:t>
            </w:r>
            <w:r w:rsidRPr="00706C86">
              <w:rPr>
                <w:sz w:val="20"/>
                <w:szCs w:val="20"/>
              </w:rPr>
              <w:t xml:space="preserve">: </w:t>
            </w:r>
            <w:r w:rsidRPr="00706C86">
              <w:rPr>
                <w:sz w:val="20"/>
                <w:szCs w:val="20"/>
              </w:rPr>
              <w:sym w:font="Symbol" w:char="F062"/>
            </w:r>
            <w:r>
              <w:rPr>
                <w:sz w:val="20"/>
                <w:szCs w:val="20"/>
                <w:vertAlign w:val="subscript"/>
              </w:rPr>
              <w:t>5</w:t>
            </w:r>
            <w:r w:rsidRPr="00706C86">
              <w:rPr>
                <w:sz w:val="20"/>
                <w:szCs w:val="20"/>
              </w:rPr>
              <w:t xml:space="preserve"> = </w:t>
            </w:r>
            <w:r w:rsidRPr="00706C86">
              <w:rPr>
                <w:sz w:val="20"/>
                <w:szCs w:val="20"/>
              </w:rPr>
              <w:sym w:font="Symbol" w:char="F062"/>
            </w:r>
            <w:r>
              <w:rPr>
                <w:sz w:val="20"/>
                <w:szCs w:val="20"/>
                <w:vertAlign w:val="subscript"/>
              </w:rPr>
              <w:t>6</w:t>
            </w:r>
          </w:p>
        </w:tc>
        <w:tc>
          <w:tcPr>
            <w:tcW w:w="1378"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0.25</w:t>
            </w:r>
          </w:p>
        </w:tc>
        <w:tc>
          <w:tcPr>
            <w:tcW w:w="1379"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0.27</w:t>
            </w:r>
          </w:p>
        </w:tc>
        <w:tc>
          <w:tcPr>
            <w:tcW w:w="1379"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0.44</w:t>
            </w:r>
          </w:p>
        </w:tc>
        <w:tc>
          <w:tcPr>
            <w:tcW w:w="1379"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0.48</w:t>
            </w:r>
          </w:p>
        </w:tc>
        <w:tc>
          <w:tcPr>
            <w:tcW w:w="1714" w:type="dxa"/>
            <w:tcBorders>
              <w:top w:val="nil"/>
              <w:left w:val="nil"/>
              <w:bottom w:val="double" w:sz="4" w:space="0" w:color="auto"/>
              <w:right w:val="nil"/>
            </w:tcBorders>
          </w:tcPr>
          <w:p w:rsidR="00C24214" w:rsidRPr="00965176" w:rsidRDefault="00C24214" w:rsidP="009C6E73">
            <w:pPr>
              <w:spacing w:line="240" w:lineRule="auto"/>
              <w:jc w:val="center"/>
              <w:rPr>
                <w:bCs/>
                <w:iCs/>
                <w:sz w:val="20"/>
                <w:szCs w:val="20"/>
              </w:rPr>
            </w:pPr>
            <w:r w:rsidRPr="00965176">
              <w:rPr>
                <w:sz w:val="20"/>
                <w:szCs w:val="20"/>
              </w:rPr>
              <w:t xml:space="preserve"> 0.46</w:t>
            </w:r>
          </w:p>
        </w:tc>
      </w:tr>
    </w:tbl>
    <w:p w:rsidR="00C24214" w:rsidRDefault="00C24214" w:rsidP="00C24214">
      <w:pPr>
        <w:spacing w:line="240" w:lineRule="auto"/>
        <w:rPr>
          <w:sz w:val="20"/>
          <w:szCs w:val="20"/>
        </w:rPr>
      </w:pPr>
    </w:p>
    <w:p w:rsidR="00C24214" w:rsidRDefault="00C24214" w:rsidP="00C24214">
      <w:pPr>
        <w:spacing w:line="240" w:lineRule="auto"/>
        <w:rPr>
          <w:sz w:val="20"/>
          <w:szCs w:val="20"/>
        </w:rPr>
      </w:pPr>
      <w:r>
        <w:rPr>
          <w:sz w:val="20"/>
          <w:szCs w:val="20"/>
        </w:rPr>
        <w:br w:type="page"/>
      </w:r>
    </w:p>
    <w:p w:rsidR="00C24214" w:rsidRPr="00804F9F" w:rsidRDefault="00C24214" w:rsidP="00C24214">
      <w:pPr>
        <w:pStyle w:val="Caption"/>
        <w:spacing w:line="240" w:lineRule="auto"/>
        <w:rPr>
          <w:b/>
        </w:rPr>
      </w:pPr>
      <w:bookmarkStart w:id="7" w:name="_Toc194730200"/>
      <w:r w:rsidRPr="00EE4190">
        <w:rPr>
          <w:b/>
        </w:rPr>
        <w:lastRenderedPageBreak/>
        <w:t>Exhibit A</w:t>
      </w:r>
      <w:r w:rsidRPr="00EE4190">
        <w:rPr>
          <w:b/>
        </w:rPr>
        <w:fldChar w:fldCharType="begin"/>
      </w:r>
      <w:r w:rsidRPr="00EE4190">
        <w:rPr>
          <w:b/>
        </w:rPr>
        <w:instrText xml:space="preserve"> SEQ Table_A \* ARABIC </w:instrText>
      </w:r>
      <w:r w:rsidRPr="00EE4190">
        <w:rPr>
          <w:b/>
        </w:rPr>
        <w:fldChar w:fldCharType="separate"/>
      </w:r>
      <w:r>
        <w:rPr>
          <w:b/>
          <w:noProof/>
        </w:rPr>
        <w:t>5</w:t>
      </w:r>
      <w:r w:rsidRPr="00EE4190">
        <w:rPr>
          <w:b/>
        </w:rPr>
        <w:fldChar w:fldCharType="end"/>
      </w:r>
      <w:r w:rsidRPr="00EE4190">
        <w:rPr>
          <w:b/>
        </w:rPr>
        <w:t xml:space="preserve"> - The response of stock prices to FOMC announcements: Cash ETFs</w:t>
      </w:r>
      <w:bookmarkEnd w:id="7"/>
    </w:p>
    <w:p w:rsidR="00C24214" w:rsidRPr="00804F9F" w:rsidRDefault="00C24214" w:rsidP="00C24214">
      <w:pPr>
        <w:spacing w:line="240" w:lineRule="auto"/>
        <w:rPr>
          <w:sz w:val="20"/>
          <w:szCs w:val="20"/>
        </w:rPr>
      </w:pPr>
    </w:p>
    <w:p w:rsidR="00C24214" w:rsidRPr="00A272F2" w:rsidRDefault="00C24214" w:rsidP="00C24214">
      <w:pPr>
        <w:spacing w:line="240" w:lineRule="auto"/>
        <w:rPr>
          <w:sz w:val="20"/>
          <w:szCs w:val="20"/>
        </w:rPr>
      </w:pPr>
      <w:r w:rsidRPr="00804F9F">
        <w:rPr>
          <w:sz w:val="20"/>
          <w:szCs w:val="20"/>
        </w:rPr>
        <w:t>The table in Panel A reports the estimation results from a panel regression of intraday equity cash ETF returns (from five minutes before the event to twenty-five minutes after) on a constant, TS, PS</w:t>
      </w:r>
      <w:r w:rsidRPr="00A272F2">
        <w:rPr>
          <w:sz w:val="20"/>
          <w:szCs w:val="20"/>
        </w:rPr>
        <w:t xml:space="preserve"> and LS shocks:</w:t>
      </w:r>
    </w:p>
    <w:p w:rsidR="00C24214" w:rsidRPr="00507423" w:rsidRDefault="00C24214" w:rsidP="00C24214">
      <w:pPr>
        <w:spacing w:line="240" w:lineRule="auto"/>
        <w:rPr>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R</m:t>
              </m:r>
            </m:e>
            <m:sub>
              <m:r>
                <w:rPr>
                  <w:rFonts w:ascii="Cambria Math" w:eastAsia="Cambria Math" w:hAnsi="Cambria Math" w:cs="Cambria Math"/>
                  <w:sz w:val="20"/>
                  <w:szCs w:val="20"/>
                </w:rPr>
                <m:t>i,t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i,0</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i,TS</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TS</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i,PS</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PS</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i,LS</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LS</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ε</m:t>
              </m:r>
            </m:e>
            <m:sub>
              <m:r>
                <w:rPr>
                  <w:rFonts w:ascii="Cambria Math" w:eastAsia="Cambria Math" w:hAnsi="Cambria Math" w:cs="Cambria Math"/>
                  <w:sz w:val="20"/>
                  <w:szCs w:val="20"/>
                </w:rPr>
                <m:t>i,t</m:t>
              </m:r>
            </m:sub>
          </m:sSub>
        </m:oMath>
      </m:oMathPara>
    </w:p>
    <w:p w:rsidR="00C24214" w:rsidRDefault="00C24214" w:rsidP="00C24214">
      <w:pPr>
        <w:spacing w:line="240" w:lineRule="auto"/>
        <w:rPr>
          <w:sz w:val="20"/>
          <w:szCs w:val="20"/>
        </w:rPr>
      </w:pPr>
      <w:r w:rsidRPr="00A272F2">
        <w:rPr>
          <w:sz w:val="20"/>
          <w:szCs w:val="20"/>
        </w:rPr>
        <w:t>The sample is from January 1999 to December 2022 (or determined by data availability). The variable TS measures unanticipated changes in the current</w:t>
      </w:r>
      <w:r>
        <w:rPr>
          <w:sz w:val="20"/>
          <w:szCs w:val="20"/>
        </w:rPr>
        <w:t xml:space="preserve"> federal funds </w:t>
      </w:r>
      <w:r w:rsidRPr="00A272F2">
        <w:rPr>
          <w:sz w:val="20"/>
          <w:szCs w:val="20"/>
        </w:rPr>
        <w:t>rate target. The variable PS measures changes in futures rates out to horizons of two years that are independent of changes in the current funds rate target. The variable LS measures unanticipated changes in large-scale asset purchases</w:t>
      </w:r>
      <w:r w:rsidRPr="00632F1B">
        <w:rPr>
          <w:sz w:val="20"/>
          <w:szCs w:val="20"/>
        </w:rPr>
        <w:t xml:space="preserve">. </w:t>
      </w:r>
      <w:r>
        <w:rPr>
          <w:sz w:val="20"/>
          <w:szCs w:val="20"/>
        </w:rPr>
        <w:t xml:space="preserve">The econometric method is ordinary least squares. The superscripts </w:t>
      </w:r>
      <w:r w:rsidRPr="00E21C04">
        <w:rPr>
          <w:sz w:val="20"/>
          <w:szCs w:val="20"/>
          <w:vertAlign w:val="superscript"/>
        </w:rPr>
        <w:t>***</w:t>
      </w:r>
      <w:r>
        <w:rPr>
          <w:sz w:val="20"/>
          <w:szCs w:val="20"/>
        </w:rPr>
        <w:t xml:space="preserve">, </w:t>
      </w:r>
      <w:r w:rsidRPr="00E21C04">
        <w:rPr>
          <w:sz w:val="20"/>
          <w:szCs w:val="20"/>
          <w:vertAlign w:val="superscript"/>
        </w:rPr>
        <w:t>**</w:t>
      </w:r>
      <w:r>
        <w:rPr>
          <w:sz w:val="20"/>
          <w:szCs w:val="20"/>
        </w:rPr>
        <w:t xml:space="preserve">, and </w:t>
      </w:r>
      <w:r w:rsidRPr="00E21C04">
        <w:rPr>
          <w:sz w:val="20"/>
          <w:szCs w:val="20"/>
          <w:vertAlign w:val="superscript"/>
        </w:rPr>
        <w:t>*</w:t>
      </w:r>
      <w:r>
        <w:rPr>
          <w:sz w:val="20"/>
          <w:szCs w:val="20"/>
        </w:rPr>
        <w:t xml:space="preserve"> indicate statistical significance at the 1%, 5% and 10% level, respectively, </w:t>
      </w:r>
      <w:r w:rsidRPr="00792399">
        <w:rPr>
          <w:sz w:val="20"/>
          <w:szCs w:val="20"/>
        </w:rPr>
        <w:t>and are based on standard errors</w:t>
      </w:r>
      <w:r w:rsidRPr="00296201">
        <w:rPr>
          <w:sz w:val="20"/>
          <w:szCs w:val="20"/>
        </w:rPr>
        <w:t xml:space="preserve"> clustered by date</w:t>
      </w:r>
      <w:r w:rsidRPr="00792399">
        <w:rPr>
          <w:sz w:val="20"/>
          <w:szCs w:val="20"/>
        </w:rPr>
        <w:t>.</w:t>
      </w:r>
      <w:r>
        <w:rPr>
          <w:sz w:val="20"/>
          <w:szCs w:val="20"/>
        </w:rPr>
        <w:t xml:space="preserve"> The table in Panel B reports the p-values of the F-statistic of testing the null hypothesis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0</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i,TS</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j,TS</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i,PS</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j,PS</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i,LS</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j,LS</m:t>
            </m:r>
          </m:sub>
        </m:sSub>
      </m:oMath>
      <w:r>
        <w:rPr>
          <w:sz w:val="20"/>
          <w:szCs w:val="20"/>
        </w:rPr>
        <w:t xml:space="preserve"> for all </w:t>
      </w:r>
      <w:r w:rsidRPr="003A10B9">
        <w:rPr>
          <w:sz w:val="20"/>
          <w:szCs w:val="20"/>
        </w:rPr>
        <w:t xml:space="preserve">stock index pairs </w:t>
      </w:r>
      <m:oMath>
        <m:d>
          <m:dPr>
            <m:begChr m:val="{"/>
            <m:endChr m:val="}"/>
            <m:ctrlPr>
              <w:rPr>
                <w:rFonts w:ascii="Cambria Math" w:eastAsia="Cambria Math" w:hAnsi="Cambria Math" w:cs="Cambria Math"/>
                <w:sz w:val="20"/>
                <w:szCs w:val="20"/>
              </w:rPr>
            </m:ctrlPr>
          </m:dPr>
          <m:e>
            <m:r>
              <w:rPr>
                <w:rFonts w:ascii="Cambria Math" w:eastAsia="Cambria Math" w:hAnsi="Cambria Math" w:cs="Cambria Math"/>
                <w:sz w:val="20"/>
                <w:szCs w:val="20"/>
              </w:rPr>
              <m:t>i,j</m:t>
            </m:r>
          </m:e>
        </m:d>
      </m:oMath>
      <w:r>
        <w:rPr>
          <w:sz w:val="20"/>
          <w:szCs w:val="20"/>
        </w:rPr>
        <w:t>.</w:t>
      </w:r>
    </w:p>
    <w:p w:rsidR="00C24214" w:rsidRDefault="00C24214" w:rsidP="00C24214">
      <w:pPr>
        <w:spacing w:line="240" w:lineRule="auto"/>
        <w:rPr>
          <w:sz w:val="20"/>
          <w:szCs w:val="20"/>
        </w:rPr>
      </w:pPr>
    </w:p>
    <w:p w:rsidR="00C24214" w:rsidRDefault="00C24214" w:rsidP="00C24214">
      <w:pPr>
        <w:spacing w:line="240" w:lineRule="auto"/>
        <w:rPr>
          <w:sz w:val="20"/>
          <w:szCs w:val="20"/>
        </w:rPr>
      </w:pPr>
      <w:r>
        <w:rPr>
          <w:b/>
        </w:rPr>
        <w:t>Panel A: Estimation results</w:t>
      </w:r>
    </w:p>
    <w:p w:rsidR="00C24214" w:rsidRDefault="00C24214" w:rsidP="00C24214">
      <w:pPr>
        <w:spacing w:line="240" w:lineRule="auto"/>
        <w:rPr>
          <w:sz w:val="20"/>
          <w:szCs w:val="20"/>
        </w:rPr>
      </w:pPr>
    </w:p>
    <w:tbl>
      <w:tblPr>
        <w:tblW w:w="9337" w:type="dxa"/>
        <w:jc w:val="center"/>
        <w:tblLayout w:type="fixed"/>
        <w:tblLook w:val="0000" w:firstRow="0" w:lastRow="0" w:firstColumn="0" w:lastColumn="0" w:noHBand="0" w:noVBand="0"/>
      </w:tblPr>
      <w:tblGrid>
        <w:gridCol w:w="2250"/>
        <w:gridCol w:w="1378"/>
        <w:gridCol w:w="1379"/>
        <w:gridCol w:w="1379"/>
        <w:gridCol w:w="1379"/>
        <w:gridCol w:w="1572"/>
      </w:tblGrid>
      <w:tr w:rsidR="00C24214" w:rsidTr="009C6E73">
        <w:trPr>
          <w:trHeight w:val="225"/>
          <w:jc w:val="center"/>
        </w:trPr>
        <w:tc>
          <w:tcPr>
            <w:tcW w:w="2250" w:type="dxa"/>
            <w:tcBorders>
              <w:top w:val="double" w:sz="4" w:space="0" w:color="auto"/>
              <w:left w:val="nil"/>
              <w:bottom w:val="single" w:sz="4" w:space="0" w:color="000000"/>
              <w:right w:val="nil"/>
            </w:tcBorders>
            <w:vAlign w:val="center"/>
          </w:tcPr>
          <w:p w:rsidR="00C24214" w:rsidRPr="00F80D72" w:rsidRDefault="00C24214" w:rsidP="009C6E73"/>
        </w:tc>
        <w:tc>
          <w:tcPr>
            <w:tcW w:w="1378" w:type="dxa"/>
            <w:tcBorders>
              <w:top w:val="double" w:sz="4" w:space="0" w:color="auto"/>
              <w:left w:val="nil"/>
              <w:bottom w:val="single" w:sz="4" w:space="0" w:color="000000"/>
              <w:right w:val="nil"/>
            </w:tcBorders>
            <w:vAlign w:val="center"/>
          </w:tcPr>
          <w:p w:rsidR="00C24214" w:rsidRDefault="00C24214" w:rsidP="009C6E73">
            <w:pPr>
              <w:pStyle w:val="Heading4"/>
              <w:rPr>
                <w:b/>
                <w:sz w:val="20"/>
                <w:szCs w:val="20"/>
              </w:rPr>
            </w:pPr>
            <w:r>
              <w:rPr>
                <w:b/>
                <w:sz w:val="20"/>
                <w:szCs w:val="20"/>
              </w:rPr>
              <w:t>S&amp;P 500</w:t>
            </w:r>
          </w:p>
        </w:tc>
        <w:tc>
          <w:tcPr>
            <w:tcW w:w="1379" w:type="dxa"/>
            <w:tcBorders>
              <w:top w:val="double" w:sz="4" w:space="0" w:color="auto"/>
              <w:left w:val="nil"/>
              <w:bottom w:val="single" w:sz="4" w:space="0" w:color="000000"/>
              <w:right w:val="nil"/>
            </w:tcBorders>
            <w:vAlign w:val="center"/>
          </w:tcPr>
          <w:p w:rsidR="00C24214" w:rsidRDefault="00C24214" w:rsidP="009C6E73">
            <w:pPr>
              <w:pStyle w:val="Heading4"/>
              <w:rPr>
                <w:b/>
                <w:sz w:val="20"/>
                <w:szCs w:val="20"/>
              </w:rPr>
            </w:pPr>
            <w:r>
              <w:rPr>
                <w:b/>
                <w:sz w:val="20"/>
                <w:szCs w:val="20"/>
              </w:rPr>
              <w:t>DJIA</w:t>
            </w:r>
          </w:p>
        </w:tc>
        <w:tc>
          <w:tcPr>
            <w:tcW w:w="1379" w:type="dxa"/>
            <w:tcBorders>
              <w:top w:val="double" w:sz="4" w:space="0" w:color="auto"/>
              <w:left w:val="nil"/>
              <w:bottom w:val="single" w:sz="4" w:space="0" w:color="000000"/>
              <w:right w:val="nil"/>
            </w:tcBorders>
            <w:vAlign w:val="center"/>
          </w:tcPr>
          <w:p w:rsidR="00C24214" w:rsidRDefault="00C24214" w:rsidP="009C6E73">
            <w:pPr>
              <w:pStyle w:val="Heading4"/>
              <w:rPr>
                <w:b/>
                <w:sz w:val="20"/>
                <w:szCs w:val="20"/>
              </w:rPr>
            </w:pPr>
            <w:r>
              <w:rPr>
                <w:b/>
                <w:sz w:val="20"/>
                <w:szCs w:val="20"/>
              </w:rPr>
              <w:t>Nasdaq 100</w:t>
            </w:r>
          </w:p>
        </w:tc>
        <w:tc>
          <w:tcPr>
            <w:tcW w:w="1379" w:type="dxa"/>
            <w:tcBorders>
              <w:top w:val="double" w:sz="4" w:space="0" w:color="auto"/>
              <w:left w:val="nil"/>
              <w:bottom w:val="single" w:sz="4" w:space="0" w:color="000000"/>
              <w:right w:val="nil"/>
            </w:tcBorders>
            <w:vAlign w:val="center"/>
          </w:tcPr>
          <w:p w:rsidR="00C24214" w:rsidRDefault="00C24214" w:rsidP="009C6E73">
            <w:pPr>
              <w:pStyle w:val="Heading4"/>
              <w:rPr>
                <w:b/>
                <w:sz w:val="20"/>
                <w:szCs w:val="20"/>
              </w:rPr>
            </w:pPr>
            <w:r>
              <w:rPr>
                <w:b/>
                <w:sz w:val="20"/>
                <w:szCs w:val="20"/>
              </w:rPr>
              <w:t>Russell 2000</w:t>
            </w:r>
          </w:p>
        </w:tc>
        <w:tc>
          <w:tcPr>
            <w:tcW w:w="1572" w:type="dxa"/>
            <w:tcBorders>
              <w:top w:val="double" w:sz="4" w:space="0" w:color="auto"/>
              <w:left w:val="nil"/>
              <w:bottom w:val="single" w:sz="4" w:space="0" w:color="000000"/>
              <w:right w:val="nil"/>
            </w:tcBorders>
            <w:vAlign w:val="center"/>
          </w:tcPr>
          <w:p w:rsidR="00C24214" w:rsidRDefault="00C24214" w:rsidP="009C6E73">
            <w:pPr>
              <w:pStyle w:val="Heading4"/>
              <w:rPr>
                <w:b/>
                <w:sz w:val="20"/>
                <w:szCs w:val="20"/>
              </w:rPr>
            </w:pPr>
            <w:r>
              <w:rPr>
                <w:b/>
                <w:sz w:val="20"/>
                <w:szCs w:val="20"/>
              </w:rPr>
              <w:t>S&amp;P MidCap 400</w:t>
            </w:r>
          </w:p>
        </w:tc>
      </w:tr>
      <w:tr w:rsidR="00C24214" w:rsidTr="009C6E73">
        <w:trPr>
          <w:trHeight w:val="225"/>
          <w:jc w:val="center"/>
        </w:trPr>
        <w:tc>
          <w:tcPr>
            <w:tcW w:w="2250" w:type="dxa"/>
            <w:tcBorders>
              <w:left w:val="nil"/>
              <w:bottom w:val="nil"/>
              <w:right w:val="nil"/>
            </w:tcBorders>
          </w:tcPr>
          <w:p w:rsidR="00C24214" w:rsidRDefault="00C24214" w:rsidP="009C6E73">
            <w:pPr>
              <w:pBdr>
                <w:top w:val="nil"/>
                <w:left w:val="nil"/>
                <w:bottom w:val="nil"/>
                <w:right w:val="nil"/>
                <w:between w:val="nil"/>
              </w:pBdr>
              <w:spacing w:line="240" w:lineRule="auto"/>
              <w:rPr>
                <w:color w:val="000000"/>
                <w:sz w:val="20"/>
                <w:szCs w:val="20"/>
              </w:rPr>
            </w:pPr>
            <w:r>
              <w:rPr>
                <w:color w:val="000000"/>
                <w:sz w:val="20"/>
                <w:szCs w:val="20"/>
              </w:rPr>
              <w:t>Constant</w:t>
            </w:r>
          </w:p>
        </w:tc>
        <w:tc>
          <w:tcPr>
            <w:tcW w:w="1378" w:type="dxa"/>
            <w:tcBorders>
              <w:left w:val="nil"/>
              <w:bottom w:val="nil"/>
              <w:right w:val="nil"/>
            </w:tcBorders>
          </w:tcPr>
          <w:p w:rsidR="00C24214" w:rsidRPr="00157995" w:rsidRDefault="00C24214" w:rsidP="009C6E73">
            <w:pPr>
              <w:pStyle w:val="Heading4"/>
              <w:rPr>
                <w:sz w:val="20"/>
                <w:szCs w:val="24"/>
                <w:highlight w:val="yellow"/>
              </w:rPr>
            </w:pPr>
            <w:r w:rsidRPr="00157995">
              <w:rPr>
                <w:sz w:val="20"/>
                <w:szCs w:val="24"/>
              </w:rPr>
              <w:t>-0.02</w:t>
            </w:r>
          </w:p>
        </w:tc>
        <w:tc>
          <w:tcPr>
            <w:tcW w:w="1379" w:type="dxa"/>
            <w:tcBorders>
              <w:left w:val="nil"/>
              <w:bottom w:val="nil"/>
              <w:right w:val="nil"/>
            </w:tcBorders>
          </w:tcPr>
          <w:p w:rsidR="00C24214" w:rsidRPr="00157995" w:rsidRDefault="00C24214" w:rsidP="009C6E73">
            <w:pPr>
              <w:pStyle w:val="Heading4"/>
              <w:rPr>
                <w:sz w:val="20"/>
                <w:szCs w:val="24"/>
                <w:highlight w:val="yellow"/>
              </w:rPr>
            </w:pPr>
            <w:r w:rsidRPr="00157995">
              <w:rPr>
                <w:sz w:val="20"/>
                <w:szCs w:val="24"/>
              </w:rPr>
              <w:t>-0.02</w:t>
            </w:r>
          </w:p>
        </w:tc>
        <w:tc>
          <w:tcPr>
            <w:tcW w:w="1379" w:type="dxa"/>
            <w:tcBorders>
              <w:left w:val="nil"/>
              <w:bottom w:val="nil"/>
              <w:right w:val="nil"/>
            </w:tcBorders>
          </w:tcPr>
          <w:p w:rsidR="00C24214" w:rsidRPr="00157995" w:rsidRDefault="00C24214" w:rsidP="009C6E73">
            <w:pPr>
              <w:pStyle w:val="Heading4"/>
              <w:rPr>
                <w:sz w:val="20"/>
                <w:szCs w:val="24"/>
                <w:highlight w:val="yellow"/>
              </w:rPr>
            </w:pPr>
            <w:r w:rsidRPr="00157995">
              <w:rPr>
                <w:sz w:val="20"/>
                <w:szCs w:val="24"/>
              </w:rPr>
              <w:t>-0.05</w:t>
            </w:r>
          </w:p>
        </w:tc>
        <w:tc>
          <w:tcPr>
            <w:tcW w:w="1379" w:type="dxa"/>
            <w:tcBorders>
              <w:left w:val="nil"/>
              <w:bottom w:val="nil"/>
              <w:right w:val="nil"/>
            </w:tcBorders>
          </w:tcPr>
          <w:p w:rsidR="00C24214" w:rsidRPr="00157995" w:rsidRDefault="00C24214" w:rsidP="009C6E73">
            <w:pPr>
              <w:pStyle w:val="Heading4"/>
              <w:rPr>
                <w:sz w:val="20"/>
                <w:szCs w:val="24"/>
                <w:highlight w:val="yellow"/>
              </w:rPr>
            </w:pPr>
            <w:r w:rsidRPr="00157995">
              <w:rPr>
                <w:sz w:val="20"/>
                <w:szCs w:val="24"/>
              </w:rPr>
              <w:t>-0.01</w:t>
            </w:r>
          </w:p>
        </w:tc>
        <w:tc>
          <w:tcPr>
            <w:tcW w:w="1572" w:type="dxa"/>
            <w:tcBorders>
              <w:left w:val="nil"/>
              <w:bottom w:val="nil"/>
              <w:right w:val="nil"/>
            </w:tcBorders>
          </w:tcPr>
          <w:p w:rsidR="00C24214" w:rsidRPr="00157995" w:rsidRDefault="00C24214" w:rsidP="009C6E73">
            <w:pPr>
              <w:pStyle w:val="Heading4"/>
              <w:rPr>
                <w:sz w:val="20"/>
                <w:szCs w:val="24"/>
                <w:highlight w:val="yellow"/>
              </w:rPr>
            </w:pPr>
            <w:r w:rsidRPr="00157995">
              <w:rPr>
                <w:sz w:val="20"/>
                <w:szCs w:val="24"/>
              </w:rPr>
              <w:t>-0.02</w:t>
            </w:r>
          </w:p>
        </w:tc>
      </w:tr>
      <w:tr w:rsidR="00C24214" w:rsidTr="009C6E73">
        <w:trPr>
          <w:trHeight w:val="225"/>
          <w:jc w:val="center"/>
        </w:trPr>
        <w:tc>
          <w:tcPr>
            <w:tcW w:w="2250" w:type="dxa"/>
            <w:tcBorders>
              <w:top w:val="nil"/>
              <w:left w:val="nil"/>
              <w:bottom w:val="nil"/>
              <w:right w:val="nil"/>
            </w:tcBorders>
          </w:tcPr>
          <w:p w:rsidR="00C24214" w:rsidRDefault="00C24214" w:rsidP="009C6E73">
            <w:pPr>
              <w:pBdr>
                <w:top w:val="nil"/>
                <w:left w:val="nil"/>
                <w:bottom w:val="nil"/>
                <w:right w:val="nil"/>
                <w:between w:val="nil"/>
              </w:pBdr>
              <w:spacing w:line="240" w:lineRule="auto"/>
              <w:rPr>
                <w:color w:val="000000"/>
                <w:sz w:val="20"/>
                <w:szCs w:val="20"/>
              </w:rPr>
            </w:pPr>
            <w:r>
              <w:rPr>
                <w:color w:val="000000"/>
                <w:sz w:val="20"/>
                <w:szCs w:val="20"/>
              </w:rPr>
              <w:t>TS</w:t>
            </w:r>
          </w:p>
        </w:tc>
        <w:tc>
          <w:tcPr>
            <w:tcW w:w="1378"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-5.14</w:t>
            </w:r>
            <w:r w:rsidRPr="00E21C04">
              <w:rPr>
                <w:sz w:val="20"/>
                <w:szCs w:val="24"/>
                <w:vertAlign w:val="superscript"/>
              </w:rPr>
              <w:t>***</w:t>
            </w:r>
          </w:p>
        </w:tc>
        <w:tc>
          <w:tcPr>
            <w:tcW w:w="1379"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-5.13</w:t>
            </w:r>
            <w:r w:rsidRPr="00E21C04">
              <w:rPr>
                <w:sz w:val="20"/>
                <w:szCs w:val="24"/>
                <w:vertAlign w:val="superscript"/>
              </w:rPr>
              <w:t>***</w:t>
            </w:r>
          </w:p>
        </w:tc>
        <w:tc>
          <w:tcPr>
            <w:tcW w:w="1379"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-7.28</w:t>
            </w:r>
            <w:r w:rsidRPr="00E21C04">
              <w:rPr>
                <w:sz w:val="20"/>
                <w:szCs w:val="24"/>
                <w:vertAlign w:val="superscript"/>
              </w:rPr>
              <w:t>***</w:t>
            </w:r>
          </w:p>
        </w:tc>
        <w:tc>
          <w:tcPr>
            <w:tcW w:w="1379"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-5.78</w:t>
            </w:r>
            <w:r w:rsidRPr="00E21C04">
              <w:rPr>
                <w:sz w:val="20"/>
                <w:szCs w:val="24"/>
                <w:vertAlign w:val="superscript"/>
              </w:rPr>
              <w:t>**</w:t>
            </w:r>
          </w:p>
        </w:tc>
        <w:tc>
          <w:tcPr>
            <w:tcW w:w="1572"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-4.85</w:t>
            </w:r>
            <w:r w:rsidRPr="00E21C04">
              <w:rPr>
                <w:sz w:val="20"/>
                <w:szCs w:val="24"/>
                <w:vertAlign w:val="superscript"/>
              </w:rPr>
              <w:t>***</w:t>
            </w:r>
          </w:p>
        </w:tc>
      </w:tr>
      <w:tr w:rsidR="00C24214" w:rsidTr="009C6E73">
        <w:trPr>
          <w:trHeight w:val="225"/>
          <w:jc w:val="center"/>
        </w:trPr>
        <w:tc>
          <w:tcPr>
            <w:tcW w:w="2250" w:type="dxa"/>
            <w:tcBorders>
              <w:top w:val="nil"/>
              <w:left w:val="nil"/>
              <w:bottom w:val="nil"/>
              <w:right w:val="nil"/>
            </w:tcBorders>
          </w:tcPr>
          <w:p w:rsidR="00C24214" w:rsidRDefault="00C24214" w:rsidP="009C6E73">
            <w:pPr>
              <w:pBdr>
                <w:top w:val="nil"/>
                <w:left w:val="nil"/>
                <w:bottom w:val="nil"/>
                <w:right w:val="nil"/>
                <w:between w:val="nil"/>
              </w:pBdr>
              <w:spacing w:line="240" w:lineRule="auto"/>
              <w:rPr>
                <w:color w:val="000000"/>
                <w:sz w:val="20"/>
                <w:szCs w:val="20"/>
              </w:rPr>
            </w:pPr>
            <w:r>
              <w:rPr>
                <w:color w:val="000000"/>
                <w:sz w:val="20"/>
                <w:szCs w:val="20"/>
              </w:rPr>
              <w:t>PS</w:t>
            </w:r>
          </w:p>
        </w:tc>
        <w:tc>
          <w:tcPr>
            <w:tcW w:w="1378"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-2.24</w:t>
            </w:r>
            <w:r w:rsidRPr="00E21C04">
              <w:rPr>
                <w:sz w:val="20"/>
                <w:szCs w:val="24"/>
                <w:vertAlign w:val="superscript"/>
              </w:rPr>
              <w:t>***</w:t>
            </w:r>
          </w:p>
        </w:tc>
        <w:tc>
          <w:tcPr>
            <w:tcW w:w="1379"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-2.14</w:t>
            </w:r>
            <w:r w:rsidRPr="00E21C04">
              <w:rPr>
                <w:sz w:val="20"/>
                <w:szCs w:val="24"/>
                <w:vertAlign w:val="superscript"/>
              </w:rPr>
              <w:t>***</w:t>
            </w:r>
          </w:p>
        </w:tc>
        <w:tc>
          <w:tcPr>
            <w:tcW w:w="1379"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-2.62</w:t>
            </w:r>
            <w:r w:rsidRPr="00E21C04">
              <w:rPr>
                <w:sz w:val="20"/>
                <w:szCs w:val="24"/>
                <w:vertAlign w:val="superscript"/>
              </w:rPr>
              <w:t>***</w:t>
            </w:r>
          </w:p>
        </w:tc>
        <w:tc>
          <w:tcPr>
            <w:tcW w:w="1379"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-1.22</w:t>
            </w:r>
          </w:p>
        </w:tc>
        <w:tc>
          <w:tcPr>
            <w:tcW w:w="1572" w:type="dxa"/>
            <w:tcBorders>
              <w:top w:val="nil"/>
              <w:left w:val="nil"/>
              <w:bottom w:val="nil"/>
              <w:right w:val="nil"/>
            </w:tcBorders>
          </w:tcPr>
          <w:p w:rsidR="00C24214" w:rsidRPr="00157995" w:rsidRDefault="00C24214" w:rsidP="009C6E73">
            <w:pPr>
              <w:pStyle w:val="Heading4"/>
              <w:rPr>
                <w:sz w:val="20"/>
                <w:szCs w:val="24"/>
                <w:highlight w:val="yellow"/>
              </w:rPr>
            </w:pPr>
            <w:r w:rsidRPr="00157995">
              <w:rPr>
                <w:sz w:val="20"/>
                <w:szCs w:val="24"/>
              </w:rPr>
              <w:t>-1.73</w:t>
            </w:r>
            <w:r w:rsidRPr="00E21C04">
              <w:rPr>
                <w:sz w:val="20"/>
                <w:szCs w:val="24"/>
                <w:vertAlign w:val="superscript"/>
              </w:rPr>
              <w:t>**</w:t>
            </w:r>
          </w:p>
        </w:tc>
      </w:tr>
      <w:tr w:rsidR="00C24214" w:rsidTr="009C6E73">
        <w:trPr>
          <w:trHeight w:val="225"/>
          <w:jc w:val="center"/>
        </w:trPr>
        <w:tc>
          <w:tcPr>
            <w:tcW w:w="2250" w:type="dxa"/>
            <w:tcBorders>
              <w:top w:val="nil"/>
              <w:left w:val="nil"/>
              <w:right w:val="nil"/>
            </w:tcBorders>
          </w:tcPr>
          <w:p w:rsidR="00C24214" w:rsidRDefault="00C24214" w:rsidP="009C6E73">
            <w:pPr>
              <w:pBdr>
                <w:top w:val="nil"/>
                <w:left w:val="nil"/>
                <w:bottom w:val="nil"/>
                <w:right w:val="nil"/>
                <w:between w:val="nil"/>
              </w:pBdr>
              <w:spacing w:line="240" w:lineRule="auto"/>
              <w:rPr>
                <w:color w:val="000000"/>
                <w:sz w:val="20"/>
                <w:szCs w:val="20"/>
              </w:rPr>
            </w:pPr>
            <w:r>
              <w:rPr>
                <w:color w:val="000000"/>
                <w:sz w:val="20"/>
                <w:szCs w:val="20"/>
              </w:rPr>
              <w:t>LS</w:t>
            </w:r>
          </w:p>
        </w:tc>
        <w:tc>
          <w:tcPr>
            <w:tcW w:w="1378"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-2.71</w:t>
            </w:r>
            <w:r w:rsidRPr="00E21C04">
              <w:rPr>
                <w:sz w:val="20"/>
                <w:szCs w:val="24"/>
                <w:vertAlign w:val="superscript"/>
              </w:rPr>
              <w:t>***</w:t>
            </w:r>
          </w:p>
        </w:tc>
        <w:tc>
          <w:tcPr>
            <w:tcW w:w="1379"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-2.70</w:t>
            </w:r>
            <w:r w:rsidRPr="00E21C04">
              <w:rPr>
                <w:sz w:val="20"/>
                <w:szCs w:val="24"/>
                <w:vertAlign w:val="superscript"/>
              </w:rPr>
              <w:t>***</w:t>
            </w:r>
          </w:p>
        </w:tc>
        <w:tc>
          <w:tcPr>
            <w:tcW w:w="1379"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-1.71</w:t>
            </w:r>
            <w:r w:rsidRPr="00E21C04">
              <w:rPr>
                <w:sz w:val="20"/>
                <w:szCs w:val="24"/>
                <w:vertAlign w:val="superscript"/>
              </w:rPr>
              <w:t>**</w:t>
            </w:r>
          </w:p>
        </w:tc>
        <w:tc>
          <w:tcPr>
            <w:tcW w:w="1379"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-1.74</w:t>
            </w:r>
            <w:r w:rsidRPr="00E21C04">
              <w:rPr>
                <w:sz w:val="20"/>
                <w:szCs w:val="24"/>
                <w:vertAlign w:val="superscript"/>
              </w:rPr>
              <w:t>*</w:t>
            </w:r>
          </w:p>
        </w:tc>
        <w:tc>
          <w:tcPr>
            <w:tcW w:w="1572"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-1.94</w:t>
            </w:r>
            <w:r w:rsidRPr="00E21C04">
              <w:rPr>
                <w:sz w:val="20"/>
                <w:szCs w:val="24"/>
                <w:vertAlign w:val="superscript"/>
              </w:rPr>
              <w:t>*</w:t>
            </w:r>
          </w:p>
        </w:tc>
      </w:tr>
      <w:tr w:rsidR="00C24214" w:rsidTr="009C6E73">
        <w:trPr>
          <w:trHeight w:val="225"/>
          <w:jc w:val="center"/>
        </w:trPr>
        <w:tc>
          <w:tcPr>
            <w:tcW w:w="2250" w:type="dxa"/>
            <w:tcBorders>
              <w:top w:val="nil"/>
              <w:left w:val="nil"/>
              <w:right w:val="nil"/>
            </w:tcBorders>
          </w:tcPr>
          <w:p w:rsidR="00C24214" w:rsidRDefault="00C24214" w:rsidP="009C6E73">
            <w:pPr>
              <w:pBdr>
                <w:top w:val="nil"/>
                <w:left w:val="nil"/>
                <w:bottom w:val="nil"/>
                <w:right w:val="nil"/>
                <w:between w:val="nil"/>
              </w:pBdr>
              <w:spacing w:line="240" w:lineRule="auto"/>
              <w:rPr>
                <w:color w:val="000000"/>
                <w:sz w:val="20"/>
                <w:szCs w:val="20"/>
              </w:rPr>
            </w:pPr>
            <w:r>
              <w:rPr>
                <w:color w:val="000000"/>
                <w:sz w:val="20"/>
                <w:szCs w:val="20"/>
              </w:rPr>
              <w:t>R</w:t>
            </w:r>
            <w:r w:rsidRPr="00A45B76">
              <w:rPr>
                <w:color w:val="000000"/>
                <w:sz w:val="20"/>
                <w:szCs w:val="20"/>
                <w:vertAlign w:val="superscript"/>
              </w:rPr>
              <w:t>2</w:t>
            </w:r>
          </w:p>
        </w:tc>
        <w:tc>
          <w:tcPr>
            <w:tcW w:w="1378"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0.247</w:t>
            </w:r>
          </w:p>
        </w:tc>
        <w:tc>
          <w:tcPr>
            <w:tcW w:w="1379"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0.261</w:t>
            </w:r>
          </w:p>
        </w:tc>
        <w:tc>
          <w:tcPr>
            <w:tcW w:w="1379"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0.219</w:t>
            </w:r>
          </w:p>
        </w:tc>
        <w:tc>
          <w:tcPr>
            <w:tcW w:w="1379"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0.152</w:t>
            </w:r>
          </w:p>
        </w:tc>
        <w:tc>
          <w:tcPr>
            <w:tcW w:w="1572" w:type="dxa"/>
            <w:tcBorders>
              <w:top w:val="nil"/>
              <w:left w:val="nil"/>
              <w:right w:val="nil"/>
            </w:tcBorders>
          </w:tcPr>
          <w:p w:rsidR="00C24214" w:rsidRPr="00157995" w:rsidRDefault="00C24214" w:rsidP="009C6E73">
            <w:pPr>
              <w:pStyle w:val="Heading4"/>
              <w:rPr>
                <w:sz w:val="20"/>
                <w:szCs w:val="24"/>
                <w:highlight w:val="yellow"/>
              </w:rPr>
            </w:pPr>
            <w:r w:rsidRPr="00157995">
              <w:rPr>
                <w:sz w:val="20"/>
                <w:szCs w:val="24"/>
              </w:rPr>
              <w:t>0.200</w:t>
            </w:r>
          </w:p>
        </w:tc>
      </w:tr>
      <w:tr w:rsidR="00C24214" w:rsidTr="009C6E73">
        <w:trPr>
          <w:trHeight w:val="225"/>
          <w:jc w:val="center"/>
        </w:trPr>
        <w:tc>
          <w:tcPr>
            <w:tcW w:w="2250" w:type="dxa"/>
            <w:tcBorders>
              <w:top w:val="nil"/>
              <w:left w:val="nil"/>
              <w:bottom w:val="double" w:sz="4" w:space="0" w:color="auto"/>
              <w:right w:val="nil"/>
            </w:tcBorders>
          </w:tcPr>
          <w:p w:rsidR="00C24214" w:rsidRDefault="00C24214" w:rsidP="009C6E73">
            <w:pPr>
              <w:pBdr>
                <w:top w:val="nil"/>
                <w:left w:val="nil"/>
                <w:bottom w:val="nil"/>
                <w:right w:val="nil"/>
                <w:between w:val="nil"/>
              </w:pBdr>
              <w:spacing w:line="240" w:lineRule="auto"/>
              <w:rPr>
                <w:color w:val="000000"/>
                <w:sz w:val="20"/>
                <w:szCs w:val="20"/>
              </w:rPr>
            </w:pPr>
            <w:r>
              <w:rPr>
                <w:color w:val="000000"/>
                <w:sz w:val="20"/>
                <w:szCs w:val="20"/>
              </w:rPr>
              <w:t>Observations</w:t>
            </w:r>
          </w:p>
        </w:tc>
        <w:tc>
          <w:tcPr>
            <w:tcW w:w="1378" w:type="dxa"/>
            <w:tcBorders>
              <w:top w:val="nil"/>
              <w:left w:val="nil"/>
              <w:bottom w:val="double" w:sz="4" w:space="0" w:color="auto"/>
              <w:right w:val="nil"/>
            </w:tcBorders>
          </w:tcPr>
          <w:p w:rsidR="00C24214" w:rsidRPr="00157995" w:rsidRDefault="00C24214" w:rsidP="009C6E73">
            <w:pPr>
              <w:pStyle w:val="Heading4"/>
              <w:rPr>
                <w:sz w:val="20"/>
                <w:szCs w:val="24"/>
                <w:highlight w:val="yellow"/>
              </w:rPr>
            </w:pPr>
            <w:r w:rsidRPr="00157995">
              <w:rPr>
                <w:sz w:val="20"/>
                <w:szCs w:val="24"/>
              </w:rPr>
              <w:t>191</w:t>
            </w:r>
          </w:p>
        </w:tc>
        <w:tc>
          <w:tcPr>
            <w:tcW w:w="1379" w:type="dxa"/>
            <w:tcBorders>
              <w:top w:val="nil"/>
              <w:left w:val="nil"/>
              <w:bottom w:val="double" w:sz="4" w:space="0" w:color="auto"/>
              <w:right w:val="nil"/>
            </w:tcBorders>
          </w:tcPr>
          <w:p w:rsidR="00C24214" w:rsidRPr="00157995" w:rsidRDefault="00C24214" w:rsidP="009C6E73">
            <w:pPr>
              <w:pStyle w:val="Heading4"/>
              <w:rPr>
                <w:sz w:val="20"/>
                <w:szCs w:val="24"/>
                <w:highlight w:val="yellow"/>
              </w:rPr>
            </w:pPr>
            <w:r w:rsidRPr="00157995">
              <w:rPr>
                <w:sz w:val="20"/>
                <w:szCs w:val="24"/>
              </w:rPr>
              <w:t>191</w:t>
            </w:r>
          </w:p>
        </w:tc>
        <w:tc>
          <w:tcPr>
            <w:tcW w:w="1379" w:type="dxa"/>
            <w:tcBorders>
              <w:top w:val="nil"/>
              <w:left w:val="nil"/>
              <w:bottom w:val="double" w:sz="4" w:space="0" w:color="auto"/>
              <w:right w:val="nil"/>
            </w:tcBorders>
          </w:tcPr>
          <w:p w:rsidR="00C24214" w:rsidRPr="00157995" w:rsidRDefault="00C24214" w:rsidP="009C6E73">
            <w:pPr>
              <w:pStyle w:val="Heading4"/>
              <w:rPr>
                <w:sz w:val="20"/>
                <w:szCs w:val="24"/>
                <w:highlight w:val="yellow"/>
              </w:rPr>
            </w:pPr>
            <w:r w:rsidRPr="00157995">
              <w:rPr>
                <w:sz w:val="20"/>
                <w:szCs w:val="24"/>
              </w:rPr>
              <w:t>190</w:t>
            </w:r>
          </w:p>
        </w:tc>
        <w:tc>
          <w:tcPr>
            <w:tcW w:w="1379" w:type="dxa"/>
            <w:tcBorders>
              <w:top w:val="nil"/>
              <w:left w:val="nil"/>
              <w:bottom w:val="double" w:sz="4" w:space="0" w:color="auto"/>
              <w:right w:val="nil"/>
            </w:tcBorders>
          </w:tcPr>
          <w:p w:rsidR="00C24214" w:rsidRPr="00157995" w:rsidRDefault="00C24214" w:rsidP="009C6E73">
            <w:pPr>
              <w:pStyle w:val="Heading4"/>
              <w:rPr>
                <w:sz w:val="20"/>
                <w:szCs w:val="24"/>
                <w:highlight w:val="yellow"/>
              </w:rPr>
            </w:pPr>
            <w:r w:rsidRPr="00157995">
              <w:rPr>
                <w:sz w:val="20"/>
                <w:szCs w:val="24"/>
              </w:rPr>
              <w:t>179</w:t>
            </w:r>
          </w:p>
        </w:tc>
        <w:tc>
          <w:tcPr>
            <w:tcW w:w="1572" w:type="dxa"/>
            <w:tcBorders>
              <w:top w:val="nil"/>
              <w:left w:val="nil"/>
              <w:bottom w:val="double" w:sz="4" w:space="0" w:color="auto"/>
              <w:right w:val="nil"/>
            </w:tcBorders>
          </w:tcPr>
          <w:p w:rsidR="00C24214" w:rsidRPr="00157995" w:rsidRDefault="00C24214" w:rsidP="009C6E73">
            <w:pPr>
              <w:pStyle w:val="Heading4"/>
              <w:rPr>
                <w:sz w:val="20"/>
                <w:szCs w:val="24"/>
                <w:highlight w:val="yellow"/>
              </w:rPr>
            </w:pPr>
            <w:r w:rsidRPr="00157995">
              <w:rPr>
                <w:sz w:val="20"/>
                <w:szCs w:val="24"/>
              </w:rPr>
              <w:t>190</w:t>
            </w:r>
          </w:p>
        </w:tc>
      </w:tr>
    </w:tbl>
    <w:p w:rsidR="00C24214" w:rsidRDefault="00C24214" w:rsidP="00C24214">
      <w:pPr>
        <w:spacing w:line="240" w:lineRule="auto"/>
      </w:pPr>
    </w:p>
    <w:p w:rsidR="00C24214" w:rsidRDefault="00C24214" w:rsidP="00C24214">
      <w:pPr>
        <w:spacing w:line="240" w:lineRule="auto"/>
        <w:rPr>
          <w:sz w:val="20"/>
          <w:szCs w:val="20"/>
        </w:rPr>
      </w:pPr>
      <w:r>
        <w:rPr>
          <w:b/>
        </w:rPr>
        <w:t>Panel B: Hypothesis testing</w:t>
      </w:r>
    </w:p>
    <w:p w:rsidR="00C24214" w:rsidRDefault="00C24214" w:rsidP="00C24214">
      <w:pPr>
        <w:spacing w:line="240" w:lineRule="auto"/>
      </w:pPr>
    </w:p>
    <w:tbl>
      <w:tblPr>
        <w:tblW w:w="7796" w:type="dxa"/>
        <w:jc w:val="center"/>
        <w:tblLayout w:type="fixed"/>
        <w:tblLook w:val="0000" w:firstRow="0" w:lastRow="0" w:firstColumn="0" w:lastColumn="0" w:noHBand="0" w:noVBand="0"/>
      </w:tblPr>
      <w:tblGrid>
        <w:gridCol w:w="1984"/>
        <w:gridCol w:w="1379"/>
        <w:gridCol w:w="1379"/>
        <w:gridCol w:w="1379"/>
        <w:gridCol w:w="1675"/>
      </w:tblGrid>
      <w:tr w:rsidR="00C24214" w:rsidTr="009C6E73">
        <w:trPr>
          <w:trHeight w:val="225"/>
          <w:jc w:val="center"/>
        </w:trPr>
        <w:tc>
          <w:tcPr>
            <w:tcW w:w="1984" w:type="dxa"/>
            <w:tcBorders>
              <w:top w:val="double" w:sz="4" w:space="0" w:color="auto"/>
              <w:left w:val="nil"/>
              <w:bottom w:val="single" w:sz="4" w:space="0" w:color="000000"/>
              <w:right w:val="nil"/>
            </w:tcBorders>
            <w:vAlign w:val="center"/>
          </w:tcPr>
          <w:p w:rsidR="00C24214" w:rsidRDefault="00C24214" w:rsidP="009C6E73">
            <w:pPr>
              <w:pStyle w:val="Heading4"/>
              <w:ind w:left="156"/>
              <w:jc w:val="left"/>
              <w:rPr>
                <w:b/>
                <w:sz w:val="20"/>
                <w:szCs w:val="20"/>
              </w:rPr>
            </w:pPr>
          </w:p>
        </w:tc>
        <w:tc>
          <w:tcPr>
            <w:tcW w:w="1379" w:type="dxa"/>
            <w:tcBorders>
              <w:top w:val="double" w:sz="4" w:space="0" w:color="auto"/>
              <w:left w:val="nil"/>
              <w:bottom w:val="single" w:sz="4" w:space="0" w:color="000000"/>
              <w:right w:val="nil"/>
            </w:tcBorders>
            <w:vAlign w:val="center"/>
          </w:tcPr>
          <w:p w:rsidR="00C24214" w:rsidRDefault="00C24214" w:rsidP="009C6E73">
            <w:pPr>
              <w:pStyle w:val="Heading4"/>
              <w:ind w:left="156"/>
              <w:rPr>
                <w:b/>
                <w:sz w:val="20"/>
                <w:szCs w:val="20"/>
              </w:rPr>
            </w:pPr>
            <w:r>
              <w:rPr>
                <w:b/>
                <w:sz w:val="20"/>
                <w:szCs w:val="20"/>
              </w:rPr>
              <w:t>DJIA</w:t>
            </w:r>
          </w:p>
        </w:tc>
        <w:tc>
          <w:tcPr>
            <w:tcW w:w="1379" w:type="dxa"/>
            <w:tcBorders>
              <w:top w:val="double" w:sz="4" w:space="0" w:color="auto"/>
              <w:left w:val="nil"/>
              <w:bottom w:val="single" w:sz="4" w:space="0" w:color="000000"/>
              <w:right w:val="nil"/>
            </w:tcBorders>
            <w:vAlign w:val="center"/>
          </w:tcPr>
          <w:p w:rsidR="00C24214" w:rsidRDefault="00C24214" w:rsidP="009C6E73">
            <w:pPr>
              <w:pStyle w:val="Heading4"/>
              <w:ind w:left="156"/>
              <w:rPr>
                <w:b/>
                <w:sz w:val="20"/>
                <w:szCs w:val="20"/>
              </w:rPr>
            </w:pPr>
            <w:r>
              <w:rPr>
                <w:b/>
                <w:sz w:val="20"/>
                <w:szCs w:val="20"/>
              </w:rPr>
              <w:t>Nasdaq 100</w:t>
            </w:r>
          </w:p>
        </w:tc>
        <w:tc>
          <w:tcPr>
            <w:tcW w:w="1379" w:type="dxa"/>
            <w:tcBorders>
              <w:top w:val="double" w:sz="4" w:space="0" w:color="auto"/>
              <w:left w:val="nil"/>
              <w:bottom w:val="single" w:sz="4" w:space="0" w:color="000000"/>
              <w:right w:val="nil"/>
            </w:tcBorders>
            <w:vAlign w:val="center"/>
          </w:tcPr>
          <w:p w:rsidR="00C24214" w:rsidRDefault="00C24214" w:rsidP="009C6E73">
            <w:pPr>
              <w:pStyle w:val="Heading4"/>
              <w:ind w:left="156"/>
              <w:rPr>
                <w:b/>
                <w:sz w:val="20"/>
                <w:szCs w:val="20"/>
              </w:rPr>
            </w:pPr>
            <w:r>
              <w:rPr>
                <w:b/>
                <w:sz w:val="20"/>
                <w:szCs w:val="20"/>
              </w:rPr>
              <w:t>Russell 2000</w:t>
            </w:r>
          </w:p>
        </w:tc>
        <w:tc>
          <w:tcPr>
            <w:tcW w:w="1675" w:type="dxa"/>
            <w:tcBorders>
              <w:top w:val="double" w:sz="4" w:space="0" w:color="auto"/>
              <w:left w:val="nil"/>
              <w:bottom w:val="single" w:sz="4" w:space="0" w:color="000000"/>
              <w:right w:val="nil"/>
            </w:tcBorders>
            <w:vAlign w:val="center"/>
          </w:tcPr>
          <w:p w:rsidR="00C24214" w:rsidRDefault="00C24214" w:rsidP="009C6E73">
            <w:pPr>
              <w:pStyle w:val="Heading4"/>
              <w:ind w:left="156"/>
              <w:rPr>
                <w:b/>
                <w:sz w:val="20"/>
                <w:szCs w:val="20"/>
              </w:rPr>
            </w:pPr>
            <w:r>
              <w:rPr>
                <w:b/>
                <w:sz w:val="20"/>
                <w:szCs w:val="20"/>
              </w:rPr>
              <w:t>S&amp;P MidCap 400</w:t>
            </w:r>
          </w:p>
        </w:tc>
      </w:tr>
      <w:tr w:rsidR="00C24214" w:rsidTr="009C6E73">
        <w:trPr>
          <w:trHeight w:val="225"/>
          <w:jc w:val="center"/>
        </w:trPr>
        <w:tc>
          <w:tcPr>
            <w:tcW w:w="1984" w:type="dxa"/>
            <w:tcBorders>
              <w:left w:val="nil"/>
              <w:bottom w:val="nil"/>
              <w:right w:val="nil"/>
            </w:tcBorders>
          </w:tcPr>
          <w:p w:rsidR="00C24214" w:rsidRDefault="00C24214" w:rsidP="009C6E73">
            <w:pPr>
              <w:pBdr>
                <w:top w:val="nil"/>
                <w:left w:val="nil"/>
                <w:bottom w:val="nil"/>
                <w:right w:val="nil"/>
                <w:between w:val="nil"/>
              </w:pBdr>
              <w:spacing w:line="240" w:lineRule="auto"/>
              <w:ind w:left="156"/>
              <w:rPr>
                <w:b/>
                <w:color w:val="000000"/>
                <w:sz w:val="20"/>
                <w:szCs w:val="20"/>
              </w:rPr>
            </w:pPr>
            <w:r>
              <w:rPr>
                <w:b/>
                <w:color w:val="000000"/>
                <w:sz w:val="20"/>
                <w:szCs w:val="20"/>
              </w:rPr>
              <w:t>S&amp;P 500</w:t>
            </w:r>
          </w:p>
        </w:tc>
        <w:tc>
          <w:tcPr>
            <w:tcW w:w="1379" w:type="dxa"/>
            <w:tcBorders>
              <w:left w:val="nil"/>
              <w:bottom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0.90</w:t>
            </w:r>
          </w:p>
        </w:tc>
        <w:tc>
          <w:tcPr>
            <w:tcW w:w="1379" w:type="dxa"/>
            <w:tcBorders>
              <w:left w:val="nil"/>
              <w:bottom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0.00</w:t>
            </w:r>
          </w:p>
        </w:tc>
        <w:tc>
          <w:tcPr>
            <w:tcW w:w="1379" w:type="dxa"/>
            <w:tcBorders>
              <w:left w:val="nil"/>
              <w:bottom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0.00</w:t>
            </w:r>
          </w:p>
        </w:tc>
        <w:tc>
          <w:tcPr>
            <w:tcW w:w="1675" w:type="dxa"/>
            <w:tcBorders>
              <w:left w:val="nil"/>
              <w:bottom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0.00</w:t>
            </w:r>
          </w:p>
        </w:tc>
      </w:tr>
      <w:tr w:rsidR="00C24214" w:rsidTr="009C6E73">
        <w:trPr>
          <w:trHeight w:val="225"/>
          <w:jc w:val="center"/>
        </w:trPr>
        <w:tc>
          <w:tcPr>
            <w:tcW w:w="1984" w:type="dxa"/>
            <w:tcBorders>
              <w:top w:val="nil"/>
              <w:left w:val="nil"/>
              <w:bottom w:val="nil"/>
              <w:right w:val="nil"/>
            </w:tcBorders>
          </w:tcPr>
          <w:p w:rsidR="00C24214" w:rsidRDefault="00C24214" w:rsidP="009C6E73">
            <w:pPr>
              <w:pBdr>
                <w:top w:val="nil"/>
                <w:left w:val="nil"/>
                <w:bottom w:val="nil"/>
                <w:right w:val="nil"/>
                <w:between w:val="nil"/>
              </w:pBdr>
              <w:spacing w:line="240" w:lineRule="auto"/>
              <w:ind w:left="156"/>
              <w:rPr>
                <w:b/>
                <w:color w:val="000000"/>
                <w:sz w:val="20"/>
                <w:szCs w:val="20"/>
              </w:rPr>
            </w:pPr>
            <w:r>
              <w:rPr>
                <w:b/>
                <w:color w:val="000000"/>
                <w:sz w:val="20"/>
                <w:szCs w:val="20"/>
              </w:rPr>
              <w:t>DJIA</w:t>
            </w:r>
          </w:p>
        </w:tc>
        <w:tc>
          <w:tcPr>
            <w:tcW w:w="1379" w:type="dxa"/>
            <w:tcBorders>
              <w:top w:val="nil"/>
              <w:left w:val="nil"/>
              <w:bottom w:val="nil"/>
              <w:right w:val="nil"/>
            </w:tcBorders>
          </w:tcPr>
          <w:p w:rsidR="00C24214" w:rsidRPr="00157995" w:rsidRDefault="00C24214" w:rsidP="009C6E73">
            <w:pPr>
              <w:pStyle w:val="Heading4"/>
              <w:ind w:left="156"/>
              <w:rPr>
                <w:sz w:val="20"/>
                <w:szCs w:val="24"/>
                <w:highlight w:val="yellow"/>
              </w:rPr>
            </w:pPr>
          </w:p>
        </w:tc>
        <w:tc>
          <w:tcPr>
            <w:tcW w:w="1379" w:type="dxa"/>
            <w:tcBorders>
              <w:top w:val="nil"/>
              <w:left w:val="nil"/>
              <w:bottom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0.00</w:t>
            </w:r>
          </w:p>
        </w:tc>
        <w:tc>
          <w:tcPr>
            <w:tcW w:w="1379" w:type="dxa"/>
            <w:tcBorders>
              <w:top w:val="nil"/>
              <w:left w:val="nil"/>
              <w:bottom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0.00</w:t>
            </w:r>
          </w:p>
        </w:tc>
        <w:tc>
          <w:tcPr>
            <w:tcW w:w="1675" w:type="dxa"/>
            <w:tcBorders>
              <w:top w:val="nil"/>
              <w:left w:val="nil"/>
              <w:bottom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0.00</w:t>
            </w:r>
          </w:p>
        </w:tc>
      </w:tr>
      <w:tr w:rsidR="00C24214" w:rsidTr="009C6E73">
        <w:trPr>
          <w:trHeight w:val="225"/>
          <w:jc w:val="center"/>
        </w:trPr>
        <w:tc>
          <w:tcPr>
            <w:tcW w:w="1984" w:type="dxa"/>
            <w:tcBorders>
              <w:top w:val="nil"/>
              <w:left w:val="nil"/>
              <w:right w:val="nil"/>
            </w:tcBorders>
          </w:tcPr>
          <w:p w:rsidR="00C24214" w:rsidRDefault="00C24214" w:rsidP="009C6E73">
            <w:pPr>
              <w:pBdr>
                <w:top w:val="nil"/>
                <w:left w:val="nil"/>
                <w:bottom w:val="nil"/>
                <w:right w:val="nil"/>
                <w:between w:val="nil"/>
              </w:pBdr>
              <w:spacing w:line="240" w:lineRule="auto"/>
              <w:ind w:left="156"/>
              <w:rPr>
                <w:b/>
                <w:color w:val="000000"/>
                <w:sz w:val="20"/>
                <w:szCs w:val="20"/>
              </w:rPr>
            </w:pPr>
            <w:r>
              <w:rPr>
                <w:b/>
                <w:color w:val="000000"/>
                <w:sz w:val="20"/>
                <w:szCs w:val="20"/>
              </w:rPr>
              <w:t>Nasdaq 100</w:t>
            </w:r>
          </w:p>
        </w:tc>
        <w:tc>
          <w:tcPr>
            <w:tcW w:w="1379" w:type="dxa"/>
            <w:tcBorders>
              <w:top w:val="nil"/>
              <w:left w:val="nil"/>
              <w:right w:val="nil"/>
            </w:tcBorders>
          </w:tcPr>
          <w:p w:rsidR="00C24214" w:rsidRPr="00157995" w:rsidRDefault="00C24214" w:rsidP="009C6E73">
            <w:pPr>
              <w:pStyle w:val="Heading4"/>
              <w:ind w:left="156"/>
              <w:rPr>
                <w:sz w:val="20"/>
                <w:szCs w:val="24"/>
                <w:highlight w:val="yellow"/>
              </w:rPr>
            </w:pPr>
          </w:p>
        </w:tc>
        <w:tc>
          <w:tcPr>
            <w:tcW w:w="1379" w:type="dxa"/>
            <w:tcBorders>
              <w:top w:val="nil"/>
              <w:left w:val="nil"/>
              <w:right w:val="nil"/>
            </w:tcBorders>
          </w:tcPr>
          <w:p w:rsidR="00C24214" w:rsidRPr="00157995" w:rsidRDefault="00C24214" w:rsidP="009C6E73">
            <w:pPr>
              <w:pStyle w:val="Heading4"/>
              <w:ind w:left="156"/>
              <w:rPr>
                <w:sz w:val="20"/>
                <w:szCs w:val="24"/>
                <w:highlight w:val="yellow"/>
              </w:rPr>
            </w:pPr>
          </w:p>
        </w:tc>
        <w:tc>
          <w:tcPr>
            <w:tcW w:w="1379" w:type="dxa"/>
            <w:tcBorders>
              <w:top w:val="nil"/>
              <w:left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0.14</w:t>
            </w:r>
          </w:p>
        </w:tc>
        <w:tc>
          <w:tcPr>
            <w:tcW w:w="1675" w:type="dxa"/>
            <w:tcBorders>
              <w:top w:val="nil"/>
              <w:left w:val="nil"/>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0.04</w:t>
            </w:r>
          </w:p>
        </w:tc>
      </w:tr>
      <w:tr w:rsidR="00C24214" w:rsidTr="009C6E73">
        <w:trPr>
          <w:trHeight w:val="225"/>
          <w:jc w:val="center"/>
        </w:trPr>
        <w:tc>
          <w:tcPr>
            <w:tcW w:w="1984" w:type="dxa"/>
            <w:tcBorders>
              <w:top w:val="nil"/>
              <w:left w:val="nil"/>
              <w:bottom w:val="double" w:sz="4" w:space="0" w:color="auto"/>
              <w:right w:val="nil"/>
            </w:tcBorders>
            <w:vAlign w:val="center"/>
          </w:tcPr>
          <w:p w:rsidR="00C24214" w:rsidRDefault="00C24214" w:rsidP="009C6E73">
            <w:pPr>
              <w:pBdr>
                <w:top w:val="nil"/>
                <w:left w:val="nil"/>
                <w:bottom w:val="nil"/>
                <w:right w:val="nil"/>
                <w:between w:val="nil"/>
              </w:pBdr>
              <w:spacing w:line="240" w:lineRule="auto"/>
              <w:ind w:left="156"/>
              <w:rPr>
                <w:b/>
                <w:color w:val="000000"/>
                <w:sz w:val="20"/>
                <w:szCs w:val="20"/>
              </w:rPr>
            </w:pPr>
            <w:r>
              <w:rPr>
                <w:b/>
                <w:color w:val="000000"/>
                <w:sz w:val="20"/>
                <w:szCs w:val="20"/>
              </w:rPr>
              <w:t>Russell 2000</w:t>
            </w:r>
          </w:p>
        </w:tc>
        <w:tc>
          <w:tcPr>
            <w:tcW w:w="1379" w:type="dxa"/>
            <w:tcBorders>
              <w:top w:val="nil"/>
              <w:left w:val="nil"/>
              <w:bottom w:val="double" w:sz="4" w:space="0" w:color="auto"/>
              <w:right w:val="nil"/>
            </w:tcBorders>
          </w:tcPr>
          <w:p w:rsidR="00C24214" w:rsidRPr="00157995" w:rsidRDefault="00C24214" w:rsidP="009C6E73">
            <w:pPr>
              <w:pStyle w:val="Heading4"/>
              <w:ind w:left="156"/>
              <w:rPr>
                <w:sz w:val="20"/>
                <w:szCs w:val="24"/>
                <w:highlight w:val="yellow"/>
              </w:rPr>
            </w:pPr>
          </w:p>
        </w:tc>
        <w:tc>
          <w:tcPr>
            <w:tcW w:w="1379" w:type="dxa"/>
            <w:tcBorders>
              <w:top w:val="nil"/>
              <w:left w:val="nil"/>
              <w:bottom w:val="double" w:sz="4" w:space="0" w:color="auto"/>
              <w:right w:val="nil"/>
            </w:tcBorders>
          </w:tcPr>
          <w:p w:rsidR="00C24214" w:rsidRPr="00157995" w:rsidRDefault="00C24214" w:rsidP="009C6E73">
            <w:pPr>
              <w:pStyle w:val="Heading4"/>
              <w:ind w:left="156"/>
              <w:rPr>
                <w:sz w:val="20"/>
                <w:szCs w:val="24"/>
                <w:highlight w:val="yellow"/>
              </w:rPr>
            </w:pPr>
          </w:p>
        </w:tc>
        <w:tc>
          <w:tcPr>
            <w:tcW w:w="1379" w:type="dxa"/>
            <w:tcBorders>
              <w:top w:val="nil"/>
              <w:left w:val="nil"/>
              <w:bottom w:val="double" w:sz="4" w:space="0" w:color="auto"/>
              <w:right w:val="nil"/>
            </w:tcBorders>
          </w:tcPr>
          <w:p w:rsidR="00C24214" w:rsidRPr="00157995" w:rsidRDefault="00C24214" w:rsidP="009C6E73">
            <w:pPr>
              <w:pStyle w:val="Heading4"/>
              <w:ind w:left="156"/>
              <w:rPr>
                <w:sz w:val="20"/>
                <w:szCs w:val="24"/>
                <w:highlight w:val="yellow"/>
              </w:rPr>
            </w:pPr>
          </w:p>
        </w:tc>
        <w:tc>
          <w:tcPr>
            <w:tcW w:w="1675" w:type="dxa"/>
            <w:tcBorders>
              <w:top w:val="nil"/>
              <w:left w:val="nil"/>
              <w:bottom w:val="double" w:sz="4" w:space="0" w:color="auto"/>
              <w:right w:val="nil"/>
            </w:tcBorders>
          </w:tcPr>
          <w:p w:rsidR="00C24214" w:rsidRPr="00157995" w:rsidRDefault="00C24214" w:rsidP="009C6E73">
            <w:pPr>
              <w:pStyle w:val="Heading4"/>
              <w:ind w:left="156"/>
              <w:rPr>
                <w:sz w:val="20"/>
                <w:szCs w:val="24"/>
                <w:highlight w:val="yellow"/>
              </w:rPr>
            </w:pPr>
            <w:r w:rsidRPr="00157995">
              <w:rPr>
                <w:sz w:val="20"/>
                <w:szCs w:val="24"/>
              </w:rPr>
              <w:t xml:space="preserve"> 0.14</w:t>
            </w:r>
          </w:p>
        </w:tc>
      </w:tr>
    </w:tbl>
    <w:p w:rsidR="00C24214" w:rsidRDefault="00C24214" w:rsidP="00C24214">
      <w:pPr>
        <w:spacing w:line="240" w:lineRule="auto"/>
      </w:pPr>
    </w:p>
    <w:p w:rsidR="00C24214" w:rsidRDefault="00C24214" w:rsidP="00C24214">
      <w:pPr>
        <w:spacing w:line="240" w:lineRule="auto"/>
        <w:rPr>
          <w:sz w:val="20"/>
          <w:szCs w:val="20"/>
        </w:rPr>
      </w:pPr>
    </w:p>
    <w:p w:rsidR="00C24214" w:rsidRDefault="00C24214" w:rsidP="00C24214">
      <w:pPr>
        <w:spacing w:line="240" w:lineRule="auto"/>
        <w:rPr>
          <w:sz w:val="20"/>
          <w:szCs w:val="20"/>
        </w:rPr>
      </w:pPr>
    </w:p>
    <w:p w:rsidR="00C24214" w:rsidRDefault="00C24214" w:rsidP="00C24214"/>
    <w:p w:rsidR="007B3B46" w:rsidRDefault="007B3B46"/>
    <w:sectPr w:rsidR="007B3B46" w:rsidSect="00104E30">
      <w:footerReference w:type="default" r:id="rId6"/>
      <w:pgSz w:w="11907" w:h="16839"/>
      <w:pgMar w:top="1525" w:right="1140" w:bottom="1525" w:left="1140" w:header="709" w:footer="709" w:gutter="0"/>
      <w:pgNumType w:start="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C3D" w:rsidRDefault="00C24214">
    <w:pPr>
      <w:pBdr>
        <w:top w:val="nil"/>
        <w:left w:val="nil"/>
        <w:bottom w:val="nil"/>
        <w:right w:val="nil"/>
        <w:between w:val="nil"/>
      </w:pBdr>
      <w:tabs>
        <w:tab w:val="center" w:pos="4986"/>
        <w:tab w:val="right" w:pos="9972"/>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951C3D" w:rsidRDefault="00C24214">
    <w:pPr>
      <w:pBdr>
        <w:top w:val="nil"/>
        <w:left w:val="nil"/>
        <w:bottom w:val="nil"/>
        <w:right w:val="nil"/>
        <w:between w:val="nil"/>
      </w:pBdr>
      <w:tabs>
        <w:tab w:val="center" w:pos="4986"/>
        <w:tab w:val="right" w:pos="9972"/>
      </w:tabs>
      <w:spacing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214"/>
    <w:rsid w:val="000009D5"/>
    <w:rsid w:val="00000D20"/>
    <w:rsid w:val="000018D7"/>
    <w:rsid w:val="000019BD"/>
    <w:rsid w:val="000031A7"/>
    <w:rsid w:val="00010838"/>
    <w:rsid w:val="00012CA2"/>
    <w:rsid w:val="000139D4"/>
    <w:rsid w:val="0002119B"/>
    <w:rsid w:val="0002133B"/>
    <w:rsid w:val="00027178"/>
    <w:rsid w:val="00030650"/>
    <w:rsid w:val="0003393F"/>
    <w:rsid w:val="00037DB6"/>
    <w:rsid w:val="00037E3C"/>
    <w:rsid w:val="000408A6"/>
    <w:rsid w:val="00042AF3"/>
    <w:rsid w:val="00046082"/>
    <w:rsid w:val="00046964"/>
    <w:rsid w:val="0005047A"/>
    <w:rsid w:val="00050AD3"/>
    <w:rsid w:val="00051CA9"/>
    <w:rsid w:val="0005236E"/>
    <w:rsid w:val="00053C59"/>
    <w:rsid w:val="00053EE9"/>
    <w:rsid w:val="00054165"/>
    <w:rsid w:val="00054906"/>
    <w:rsid w:val="00060FDF"/>
    <w:rsid w:val="000615CE"/>
    <w:rsid w:val="0006275C"/>
    <w:rsid w:val="00063490"/>
    <w:rsid w:val="0006365A"/>
    <w:rsid w:val="00065ADB"/>
    <w:rsid w:val="000707A5"/>
    <w:rsid w:val="00071631"/>
    <w:rsid w:val="000765DB"/>
    <w:rsid w:val="00082FF4"/>
    <w:rsid w:val="00086E1E"/>
    <w:rsid w:val="00090222"/>
    <w:rsid w:val="000908B4"/>
    <w:rsid w:val="00090A52"/>
    <w:rsid w:val="00092545"/>
    <w:rsid w:val="00097410"/>
    <w:rsid w:val="000A072B"/>
    <w:rsid w:val="000A1A3E"/>
    <w:rsid w:val="000A4DC1"/>
    <w:rsid w:val="000A72DD"/>
    <w:rsid w:val="000B3344"/>
    <w:rsid w:val="000B3B2E"/>
    <w:rsid w:val="000B7706"/>
    <w:rsid w:val="000D0593"/>
    <w:rsid w:val="000D2854"/>
    <w:rsid w:val="000F1291"/>
    <w:rsid w:val="001033C1"/>
    <w:rsid w:val="00107C38"/>
    <w:rsid w:val="001136A9"/>
    <w:rsid w:val="001175EF"/>
    <w:rsid w:val="001203FB"/>
    <w:rsid w:val="001221E8"/>
    <w:rsid w:val="00123915"/>
    <w:rsid w:val="00125065"/>
    <w:rsid w:val="0012591F"/>
    <w:rsid w:val="00125A43"/>
    <w:rsid w:val="00125F44"/>
    <w:rsid w:val="00132BFB"/>
    <w:rsid w:val="0013498A"/>
    <w:rsid w:val="0013610B"/>
    <w:rsid w:val="0014122C"/>
    <w:rsid w:val="0014537B"/>
    <w:rsid w:val="0014719F"/>
    <w:rsid w:val="0015021F"/>
    <w:rsid w:val="0015137A"/>
    <w:rsid w:val="00152DD5"/>
    <w:rsid w:val="00153312"/>
    <w:rsid w:val="00160D4C"/>
    <w:rsid w:val="0016396D"/>
    <w:rsid w:val="001721E3"/>
    <w:rsid w:val="00172604"/>
    <w:rsid w:val="00182A7C"/>
    <w:rsid w:val="00183021"/>
    <w:rsid w:val="00183D4D"/>
    <w:rsid w:val="0019276E"/>
    <w:rsid w:val="001950F1"/>
    <w:rsid w:val="00196625"/>
    <w:rsid w:val="001A0F7F"/>
    <w:rsid w:val="001A2332"/>
    <w:rsid w:val="001A62B8"/>
    <w:rsid w:val="001A752A"/>
    <w:rsid w:val="001B402C"/>
    <w:rsid w:val="001B5C33"/>
    <w:rsid w:val="001B626E"/>
    <w:rsid w:val="001B68FB"/>
    <w:rsid w:val="001C34CC"/>
    <w:rsid w:val="001C6D68"/>
    <w:rsid w:val="001C7305"/>
    <w:rsid w:val="001D13A4"/>
    <w:rsid w:val="001D1E74"/>
    <w:rsid w:val="001D5CE9"/>
    <w:rsid w:val="001D6A08"/>
    <w:rsid w:val="001E0E57"/>
    <w:rsid w:val="001E4455"/>
    <w:rsid w:val="001E516C"/>
    <w:rsid w:val="001E602A"/>
    <w:rsid w:val="001E6AF3"/>
    <w:rsid w:val="001F00EE"/>
    <w:rsid w:val="001F20DA"/>
    <w:rsid w:val="001F5B6D"/>
    <w:rsid w:val="0020026B"/>
    <w:rsid w:val="00210626"/>
    <w:rsid w:val="00213976"/>
    <w:rsid w:val="002218A1"/>
    <w:rsid w:val="0022774C"/>
    <w:rsid w:val="00231708"/>
    <w:rsid w:val="00235D6A"/>
    <w:rsid w:val="00236763"/>
    <w:rsid w:val="002367D2"/>
    <w:rsid w:val="0024137F"/>
    <w:rsid w:val="002413BD"/>
    <w:rsid w:val="00245AE7"/>
    <w:rsid w:val="0025369E"/>
    <w:rsid w:val="00256D09"/>
    <w:rsid w:val="00271225"/>
    <w:rsid w:val="00271D26"/>
    <w:rsid w:val="00271EE9"/>
    <w:rsid w:val="00276D32"/>
    <w:rsid w:val="002808A4"/>
    <w:rsid w:val="0028262C"/>
    <w:rsid w:val="00283906"/>
    <w:rsid w:val="00285F57"/>
    <w:rsid w:val="00287468"/>
    <w:rsid w:val="00293080"/>
    <w:rsid w:val="0029715B"/>
    <w:rsid w:val="002A3E03"/>
    <w:rsid w:val="002A5EC3"/>
    <w:rsid w:val="002A6672"/>
    <w:rsid w:val="002B0282"/>
    <w:rsid w:val="002B6A51"/>
    <w:rsid w:val="002B7C1D"/>
    <w:rsid w:val="002C51D2"/>
    <w:rsid w:val="002D161C"/>
    <w:rsid w:val="002D3E64"/>
    <w:rsid w:val="002D5370"/>
    <w:rsid w:val="002D675C"/>
    <w:rsid w:val="002E50A7"/>
    <w:rsid w:val="002E5773"/>
    <w:rsid w:val="002F308D"/>
    <w:rsid w:val="002F4BEF"/>
    <w:rsid w:val="002F527E"/>
    <w:rsid w:val="002F775A"/>
    <w:rsid w:val="002F7DCF"/>
    <w:rsid w:val="00301419"/>
    <w:rsid w:val="00301B66"/>
    <w:rsid w:val="0030290A"/>
    <w:rsid w:val="0030300E"/>
    <w:rsid w:val="00306742"/>
    <w:rsid w:val="00323814"/>
    <w:rsid w:val="00325E2B"/>
    <w:rsid w:val="00331E2F"/>
    <w:rsid w:val="003320CB"/>
    <w:rsid w:val="00336CC5"/>
    <w:rsid w:val="0033735B"/>
    <w:rsid w:val="00341074"/>
    <w:rsid w:val="003459BA"/>
    <w:rsid w:val="0034602A"/>
    <w:rsid w:val="003467D6"/>
    <w:rsid w:val="0034799A"/>
    <w:rsid w:val="00352B7A"/>
    <w:rsid w:val="00352E8C"/>
    <w:rsid w:val="00354827"/>
    <w:rsid w:val="003562B4"/>
    <w:rsid w:val="003655B3"/>
    <w:rsid w:val="00365654"/>
    <w:rsid w:val="0036668C"/>
    <w:rsid w:val="00367F31"/>
    <w:rsid w:val="003711B4"/>
    <w:rsid w:val="00371A2D"/>
    <w:rsid w:val="003726F6"/>
    <w:rsid w:val="0037699B"/>
    <w:rsid w:val="00380809"/>
    <w:rsid w:val="00382EEF"/>
    <w:rsid w:val="00385891"/>
    <w:rsid w:val="003927C9"/>
    <w:rsid w:val="00394CA0"/>
    <w:rsid w:val="00396458"/>
    <w:rsid w:val="003979C6"/>
    <w:rsid w:val="003A03BA"/>
    <w:rsid w:val="003A2883"/>
    <w:rsid w:val="003A4396"/>
    <w:rsid w:val="003B3413"/>
    <w:rsid w:val="003B4569"/>
    <w:rsid w:val="003B7C79"/>
    <w:rsid w:val="003D01D9"/>
    <w:rsid w:val="003D233F"/>
    <w:rsid w:val="003D26BB"/>
    <w:rsid w:val="003E44C7"/>
    <w:rsid w:val="003F120F"/>
    <w:rsid w:val="003F72C7"/>
    <w:rsid w:val="003F795F"/>
    <w:rsid w:val="00400F68"/>
    <w:rsid w:val="00411B76"/>
    <w:rsid w:val="00423E35"/>
    <w:rsid w:val="004249F0"/>
    <w:rsid w:val="00425542"/>
    <w:rsid w:val="00425943"/>
    <w:rsid w:val="004267D2"/>
    <w:rsid w:val="00430630"/>
    <w:rsid w:val="00432DAE"/>
    <w:rsid w:val="00434F85"/>
    <w:rsid w:val="00436560"/>
    <w:rsid w:val="004409E3"/>
    <w:rsid w:val="0044248F"/>
    <w:rsid w:val="004453A0"/>
    <w:rsid w:val="004516A7"/>
    <w:rsid w:val="0046528A"/>
    <w:rsid w:val="004652DB"/>
    <w:rsid w:val="004658B3"/>
    <w:rsid w:val="00472243"/>
    <w:rsid w:val="00473B38"/>
    <w:rsid w:val="00474C8C"/>
    <w:rsid w:val="004753BF"/>
    <w:rsid w:val="004828F5"/>
    <w:rsid w:val="00482DA2"/>
    <w:rsid w:val="00491563"/>
    <w:rsid w:val="0049523C"/>
    <w:rsid w:val="00496EB2"/>
    <w:rsid w:val="004A27AF"/>
    <w:rsid w:val="004A6E74"/>
    <w:rsid w:val="004B2020"/>
    <w:rsid w:val="004B6F24"/>
    <w:rsid w:val="004B70E6"/>
    <w:rsid w:val="004C1EF2"/>
    <w:rsid w:val="004C43AE"/>
    <w:rsid w:val="004C7CBA"/>
    <w:rsid w:val="004D2961"/>
    <w:rsid w:val="004D3134"/>
    <w:rsid w:val="004D329A"/>
    <w:rsid w:val="004D7521"/>
    <w:rsid w:val="004D767D"/>
    <w:rsid w:val="004E1D5D"/>
    <w:rsid w:val="004F27F8"/>
    <w:rsid w:val="004F5A76"/>
    <w:rsid w:val="00501957"/>
    <w:rsid w:val="005066A1"/>
    <w:rsid w:val="00514E99"/>
    <w:rsid w:val="0051625D"/>
    <w:rsid w:val="00516C8D"/>
    <w:rsid w:val="005234CC"/>
    <w:rsid w:val="00523778"/>
    <w:rsid w:val="00525A1A"/>
    <w:rsid w:val="00527CD7"/>
    <w:rsid w:val="00531209"/>
    <w:rsid w:val="005344EB"/>
    <w:rsid w:val="00540193"/>
    <w:rsid w:val="00542153"/>
    <w:rsid w:val="005518D4"/>
    <w:rsid w:val="00552542"/>
    <w:rsid w:val="00552CCF"/>
    <w:rsid w:val="00563ACF"/>
    <w:rsid w:val="005753B3"/>
    <w:rsid w:val="00576482"/>
    <w:rsid w:val="0057700E"/>
    <w:rsid w:val="00577898"/>
    <w:rsid w:val="005825D5"/>
    <w:rsid w:val="00585ABA"/>
    <w:rsid w:val="00586CDD"/>
    <w:rsid w:val="0059015B"/>
    <w:rsid w:val="00591642"/>
    <w:rsid w:val="00592580"/>
    <w:rsid w:val="005930DB"/>
    <w:rsid w:val="005946F2"/>
    <w:rsid w:val="00594DA3"/>
    <w:rsid w:val="00595450"/>
    <w:rsid w:val="00596A27"/>
    <w:rsid w:val="005A00BE"/>
    <w:rsid w:val="005A2388"/>
    <w:rsid w:val="005A30D5"/>
    <w:rsid w:val="005A5249"/>
    <w:rsid w:val="005A5C21"/>
    <w:rsid w:val="005B251E"/>
    <w:rsid w:val="005C1D57"/>
    <w:rsid w:val="005C238E"/>
    <w:rsid w:val="005C2B56"/>
    <w:rsid w:val="005C4BD0"/>
    <w:rsid w:val="005C5A93"/>
    <w:rsid w:val="005C74B7"/>
    <w:rsid w:val="005D12CA"/>
    <w:rsid w:val="005D178F"/>
    <w:rsid w:val="005D400B"/>
    <w:rsid w:val="005D7DD7"/>
    <w:rsid w:val="005F19B7"/>
    <w:rsid w:val="005F3820"/>
    <w:rsid w:val="005F45F9"/>
    <w:rsid w:val="005F51C0"/>
    <w:rsid w:val="00601B06"/>
    <w:rsid w:val="00606BF2"/>
    <w:rsid w:val="00606C1D"/>
    <w:rsid w:val="00610E3E"/>
    <w:rsid w:val="00611AD4"/>
    <w:rsid w:val="00613FCC"/>
    <w:rsid w:val="006140B8"/>
    <w:rsid w:val="006179A7"/>
    <w:rsid w:val="006255D1"/>
    <w:rsid w:val="00637D66"/>
    <w:rsid w:val="00641EAE"/>
    <w:rsid w:val="006425DA"/>
    <w:rsid w:val="00645E1A"/>
    <w:rsid w:val="00646E64"/>
    <w:rsid w:val="006631A2"/>
    <w:rsid w:val="00663E44"/>
    <w:rsid w:val="00665EBB"/>
    <w:rsid w:val="00671A7F"/>
    <w:rsid w:val="00672EF5"/>
    <w:rsid w:val="00675031"/>
    <w:rsid w:val="006826E5"/>
    <w:rsid w:val="00683160"/>
    <w:rsid w:val="00685150"/>
    <w:rsid w:val="006863E8"/>
    <w:rsid w:val="006920F2"/>
    <w:rsid w:val="00697E96"/>
    <w:rsid w:val="006A103C"/>
    <w:rsid w:val="006A7F2D"/>
    <w:rsid w:val="006B038D"/>
    <w:rsid w:val="006B2E49"/>
    <w:rsid w:val="006B749C"/>
    <w:rsid w:val="006C01B0"/>
    <w:rsid w:val="006C3401"/>
    <w:rsid w:val="006C353D"/>
    <w:rsid w:val="006C4DE1"/>
    <w:rsid w:val="006C786D"/>
    <w:rsid w:val="006D34B5"/>
    <w:rsid w:val="006D4193"/>
    <w:rsid w:val="006D5687"/>
    <w:rsid w:val="006D5F0A"/>
    <w:rsid w:val="00703E25"/>
    <w:rsid w:val="0071164C"/>
    <w:rsid w:val="00715FDA"/>
    <w:rsid w:val="00716873"/>
    <w:rsid w:val="00717949"/>
    <w:rsid w:val="00727636"/>
    <w:rsid w:val="00731575"/>
    <w:rsid w:val="00733676"/>
    <w:rsid w:val="00735CB8"/>
    <w:rsid w:val="007371D6"/>
    <w:rsid w:val="00746400"/>
    <w:rsid w:val="0075188C"/>
    <w:rsid w:val="00760A16"/>
    <w:rsid w:val="00761EB3"/>
    <w:rsid w:val="00766B2D"/>
    <w:rsid w:val="00767BD3"/>
    <w:rsid w:val="00770A85"/>
    <w:rsid w:val="0077523F"/>
    <w:rsid w:val="0078081C"/>
    <w:rsid w:val="00781F33"/>
    <w:rsid w:val="007838C2"/>
    <w:rsid w:val="00796A45"/>
    <w:rsid w:val="00797B61"/>
    <w:rsid w:val="007A13C7"/>
    <w:rsid w:val="007A1EA1"/>
    <w:rsid w:val="007A66B9"/>
    <w:rsid w:val="007A6DDC"/>
    <w:rsid w:val="007B35B4"/>
    <w:rsid w:val="007B3B46"/>
    <w:rsid w:val="007B66BE"/>
    <w:rsid w:val="007B6B76"/>
    <w:rsid w:val="007C15E4"/>
    <w:rsid w:val="007D7340"/>
    <w:rsid w:val="007E01FF"/>
    <w:rsid w:val="007E29DE"/>
    <w:rsid w:val="007F38BB"/>
    <w:rsid w:val="007F445D"/>
    <w:rsid w:val="007F60D4"/>
    <w:rsid w:val="0080693B"/>
    <w:rsid w:val="00806B55"/>
    <w:rsid w:val="00810058"/>
    <w:rsid w:val="00821D0B"/>
    <w:rsid w:val="00823A87"/>
    <w:rsid w:val="00823E07"/>
    <w:rsid w:val="00824694"/>
    <w:rsid w:val="00826F92"/>
    <w:rsid w:val="0083357D"/>
    <w:rsid w:val="00833E7F"/>
    <w:rsid w:val="00840148"/>
    <w:rsid w:val="008414EE"/>
    <w:rsid w:val="008443BF"/>
    <w:rsid w:val="008450A7"/>
    <w:rsid w:val="00845241"/>
    <w:rsid w:val="00852E7D"/>
    <w:rsid w:val="008542EF"/>
    <w:rsid w:val="00855235"/>
    <w:rsid w:val="00861C03"/>
    <w:rsid w:val="00865332"/>
    <w:rsid w:val="008708DA"/>
    <w:rsid w:val="008722D0"/>
    <w:rsid w:val="00872649"/>
    <w:rsid w:val="00872728"/>
    <w:rsid w:val="00873834"/>
    <w:rsid w:val="0087414A"/>
    <w:rsid w:val="00877CB2"/>
    <w:rsid w:val="00883C40"/>
    <w:rsid w:val="0088495A"/>
    <w:rsid w:val="00886B67"/>
    <w:rsid w:val="00886EE5"/>
    <w:rsid w:val="0089071B"/>
    <w:rsid w:val="00895150"/>
    <w:rsid w:val="008A4B6B"/>
    <w:rsid w:val="008A5D0F"/>
    <w:rsid w:val="008A5E8A"/>
    <w:rsid w:val="008A6685"/>
    <w:rsid w:val="008B6E19"/>
    <w:rsid w:val="008C3B49"/>
    <w:rsid w:val="008D1C17"/>
    <w:rsid w:val="008E02DF"/>
    <w:rsid w:val="008E142A"/>
    <w:rsid w:val="008E14D7"/>
    <w:rsid w:val="008E36E0"/>
    <w:rsid w:val="008E4C6F"/>
    <w:rsid w:val="008E5E1F"/>
    <w:rsid w:val="008F0461"/>
    <w:rsid w:val="008F09ED"/>
    <w:rsid w:val="008F240E"/>
    <w:rsid w:val="008F4190"/>
    <w:rsid w:val="008F4819"/>
    <w:rsid w:val="008F6DAC"/>
    <w:rsid w:val="00903C11"/>
    <w:rsid w:val="00912FCC"/>
    <w:rsid w:val="0091403E"/>
    <w:rsid w:val="009208B8"/>
    <w:rsid w:val="00926A29"/>
    <w:rsid w:val="0093437A"/>
    <w:rsid w:val="00935DF3"/>
    <w:rsid w:val="0094595E"/>
    <w:rsid w:val="009468A6"/>
    <w:rsid w:val="009532FE"/>
    <w:rsid w:val="00957C41"/>
    <w:rsid w:val="0096060B"/>
    <w:rsid w:val="0096460D"/>
    <w:rsid w:val="0097701E"/>
    <w:rsid w:val="00981623"/>
    <w:rsid w:val="009833BD"/>
    <w:rsid w:val="00985BE8"/>
    <w:rsid w:val="0098647A"/>
    <w:rsid w:val="009A1EFF"/>
    <w:rsid w:val="009A2AB8"/>
    <w:rsid w:val="009A3902"/>
    <w:rsid w:val="009B3B29"/>
    <w:rsid w:val="009B47C2"/>
    <w:rsid w:val="009B7E92"/>
    <w:rsid w:val="009C467D"/>
    <w:rsid w:val="009C6EE0"/>
    <w:rsid w:val="009C7872"/>
    <w:rsid w:val="009D1BAD"/>
    <w:rsid w:val="009D1E9C"/>
    <w:rsid w:val="009E2F44"/>
    <w:rsid w:val="009E495C"/>
    <w:rsid w:val="009F0D92"/>
    <w:rsid w:val="009F2F62"/>
    <w:rsid w:val="009F4456"/>
    <w:rsid w:val="00A00642"/>
    <w:rsid w:val="00A009B7"/>
    <w:rsid w:val="00A00E43"/>
    <w:rsid w:val="00A14D8B"/>
    <w:rsid w:val="00A20CEE"/>
    <w:rsid w:val="00A21DF5"/>
    <w:rsid w:val="00A223AD"/>
    <w:rsid w:val="00A33CCA"/>
    <w:rsid w:val="00A620A6"/>
    <w:rsid w:val="00A75B2B"/>
    <w:rsid w:val="00A83548"/>
    <w:rsid w:val="00A86072"/>
    <w:rsid w:val="00A86082"/>
    <w:rsid w:val="00A97D32"/>
    <w:rsid w:val="00A97D63"/>
    <w:rsid w:val="00AA4238"/>
    <w:rsid w:val="00AA4D66"/>
    <w:rsid w:val="00AB0DCD"/>
    <w:rsid w:val="00AB23EC"/>
    <w:rsid w:val="00AC264A"/>
    <w:rsid w:val="00AC3C76"/>
    <w:rsid w:val="00AC5F26"/>
    <w:rsid w:val="00AD1B47"/>
    <w:rsid w:val="00AD2BA8"/>
    <w:rsid w:val="00AD6AED"/>
    <w:rsid w:val="00AE4E1B"/>
    <w:rsid w:val="00AF026F"/>
    <w:rsid w:val="00AF2613"/>
    <w:rsid w:val="00AF4ACD"/>
    <w:rsid w:val="00AF4AF4"/>
    <w:rsid w:val="00AF7D79"/>
    <w:rsid w:val="00B00087"/>
    <w:rsid w:val="00B00A7B"/>
    <w:rsid w:val="00B0285A"/>
    <w:rsid w:val="00B04A15"/>
    <w:rsid w:val="00B11DB7"/>
    <w:rsid w:val="00B1410A"/>
    <w:rsid w:val="00B22BA7"/>
    <w:rsid w:val="00B26C6B"/>
    <w:rsid w:val="00B26DE8"/>
    <w:rsid w:val="00B303ED"/>
    <w:rsid w:val="00B3113D"/>
    <w:rsid w:val="00B31AE4"/>
    <w:rsid w:val="00B40384"/>
    <w:rsid w:val="00B41015"/>
    <w:rsid w:val="00B44F7C"/>
    <w:rsid w:val="00B47557"/>
    <w:rsid w:val="00B5312C"/>
    <w:rsid w:val="00B57693"/>
    <w:rsid w:val="00B659AC"/>
    <w:rsid w:val="00B74689"/>
    <w:rsid w:val="00B76837"/>
    <w:rsid w:val="00B77FD0"/>
    <w:rsid w:val="00B839C7"/>
    <w:rsid w:val="00B96338"/>
    <w:rsid w:val="00B97D1A"/>
    <w:rsid w:val="00BA1C86"/>
    <w:rsid w:val="00BA46C8"/>
    <w:rsid w:val="00BB272C"/>
    <w:rsid w:val="00BB7013"/>
    <w:rsid w:val="00BC135F"/>
    <w:rsid w:val="00BC4CFF"/>
    <w:rsid w:val="00BC5943"/>
    <w:rsid w:val="00BC7C0E"/>
    <w:rsid w:val="00BD0B89"/>
    <w:rsid w:val="00BD3739"/>
    <w:rsid w:val="00BD4058"/>
    <w:rsid w:val="00BD530B"/>
    <w:rsid w:val="00BD631E"/>
    <w:rsid w:val="00BE2D38"/>
    <w:rsid w:val="00BE33F7"/>
    <w:rsid w:val="00BF697F"/>
    <w:rsid w:val="00C00F1D"/>
    <w:rsid w:val="00C016B8"/>
    <w:rsid w:val="00C051FE"/>
    <w:rsid w:val="00C074C3"/>
    <w:rsid w:val="00C21954"/>
    <w:rsid w:val="00C21EF2"/>
    <w:rsid w:val="00C24214"/>
    <w:rsid w:val="00C26385"/>
    <w:rsid w:val="00C26EDF"/>
    <w:rsid w:val="00C30A24"/>
    <w:rsid w:val="00C37DEC"/>
    <w:rsid w:val="00C4434E"/>
    <w:rsid w:val="00C45C1B"/>
    <w:rsid w:val="00C51AC0"/>
    <w:rsid w:val="00C57396"/>
    <w:rsid w:val="00C61F04"/>
    <w:rsid w:val="00C63BB9"/>
    <w:rsid w:val="00C663B5"/>
    <w:rsid w:val="00C73C52"/>
    <w:rsid w:val="00C779C8"/>
    <w:rsid w:val="00C81E93"/>
    <w:rsid w:val="00C84B1F"/>
    <w:rsid w:val="00C870B7"/>
    <w:rsid w:val="00C8786A"/>
    <w:rsid w:val="00C90F2D"/>
    <w:rsid w:val="00C90FAC"/>
    <w:rsid w:val="00C91EDC"/>
    <w:rsid w:val="00CA25CA"/>
    <w:rsid w:val="00CA3CFC"/>
    <w:rsid w:val="00CB02E7"/>
    <w:rsid w:val="00CB39C2"/>
    <w:rsid w:val="00CB6E34"/>
    <w:rsid w:val="00CB72FD"/>
    <w:rsid w:val="00CB7F4E"/>
    <w:rsid w:val="00CC57CF"/>
    <w:rsid w:val="00CC7F71"/>
    <w:rsid w:val="00CD0F2E"/>
    <w:rsid w:val="00CD3DD7"/>
    <w:rsid w:val="00CD43FB"/>
    <w:rsid w:val="00CE197A"/>
    <w:rsid w:val="00CF3365"/>
    <w:rsid w:val="00CF669E"/>
    <w:rsid w:val="00D01D17"/>
    <w:rsid w:val="00D01E1F"/>
    <w:rsid w:val="00D02F1B"/>
    <w:rsid w:val="00D03067"/>
    <w:rsid w:val="00D0732C"/>
    <w:rsid w:val="00D13AC5"/>
    <w:rsid w:val="00D23ED5"/>
    <w:rsid w:val="00D2538D"/>
    <w:rsid w:val="00D257EE"/>
    <w:rsid w:val="00D302A5"/>
    <w:rsid w:val="00D309DC"/>
    <w:rsid w:val="00D36B5A"/>
    <w:rsid w:val="00D40108"/>
    <w:rsid w:val="00D407AC"/>
    <w:rsid w:val="00D40DCD"/>
    <w:rsid w:val="00D42935"/>
    <w:rsid w:val="00D4349B"/>
    <w:rsid w:val="00D45FDD"/>
    <w:rsid w:val="00D47B11"/>
    <w:rsid w:val="00D54BC8"/>
    <w:rsid w:val="00D55342"/>
    <w:rsid w:val="00D5550B"/>
    <w:rsid w:val="00D61667"/>
    <w:rsid w:val="00D6347C"/>
    <w:rsid w:val="00D65140"/>
    <w:rsid w:val="00D675E9"/>
    <w:rsid w:val="00D7081B"/>
    <w:rsid w:val="00D733C2"/>
    <w:rsid w:val="00D73775"/>
    <w:rsid w:val="00D75022"/>
    <w:rsid w:val="00D869EE"/>
    <w:rsid w:val="00D919A5"/>
    <w:rsid w:val="00D91D16"/>
    <w:rsid w:val="00D92B30"/>
    <w:rsid w:val="00DA093B"/>
    <w:rsid w:val="00DA55BA"/>
    <w:rsid w:val="00DA6CF5"/>
    <w:rsid w:val="00DB12AD"/>
    <w:rsid w:val="00DB3241"/>
    <w:rsid w:val="00DC0454"/>
    <w:rsid w:val="00DC50F0"/>
    <w:rsid w:val="00DD0BFD"/>
    <w:rsid w:val="00DD23B8"/>
    <w:rsid w:val="00DD6875"/>
    <w:rsid w:val="00DD75D5"/>
    <w:rsid w:val="00DE0388"/>
    <w:rsid w:val="00DE042C"/>
    <w:rsid w:val="00DE0DC4"/>
    <w:rsid w:val="00DE64EE"/>
    <w:rsid w:val="00DF05B8"/>
    <w:rsid w:val="00DF17C5"/>
    <w:rsid w:val="00DF5972"/>
    <w:rsid w:val="00DF651E"/>
    <w:rsid w:val="00DF67AB"/>
    <w:rsid w:val="00E00253"/>
    <w:rsid w:val="00E01DAF"/>
    <w:rsid w:val="00E02091"/>
    <w:rsid w:val="00E044B0"/>
    <w:rsid w:val="00E05E17"/>
    <w:rsid w:val="00E06CD4"/>
    <w:rsid w:val="00E15429"/>
    <w:rsid w:val="00E15996"/>
    <w:rsid w:val="00E26F2A"/>
    <w:rsid w:val="00E30F50"/>
    <w:rsid w:val="00E31CA0"/>
    <w:rsid w:val="00E338B0"/>
    <w:rsid w:val="00E46D62"/>
    <w:rsid w:val="00E526A4"/>
    <w:rsid w:val="00E546E0"/>
    <w:rsid w:val="00E60DB0"/>
    <w:rsid w:val="00E622EC"/>
    <w:rsid w:val="00E62A1C"/>
    <w:rsid w:val="00E62F42"/>
    <w:rsid w:val="00E63B57"/>
    <w:rsid w:val="00E6437E"/>
    <w:rsid w:val="00E70DDA"/>
    <w:rsid w:val="00E71741"/>
    <w:rsid w:val="00E75D9D"/>
    <w:rsid w:val="00E77D66"/>
    <w:rsid w:val="00E80B22"/>
    <w:rsid w:val="00E84334"/>
    <w:rsid w:val="00E91B6A"/>
    <w:rsid w:val="00E966E7"/>
    <w:rsid w:val="00EA1DF1"/>
    <w:rsid w:val="00EA2273"/>
    <w:rsid w:val="00EA32D0"/>
    <w:rsid w:val="00EA3D20"/>
    <w:rsid w:val="00EA45EF"/>
    <w:rsid w:val="00EA55BA"/>
    <w:rsid w:val="00EA5B54"/>
    <w:rsid w:val="00EB1167"/>
    <w:rsid w:val="00EB2182"/>
    <w:rsid w:val="00EB3065"/>
    <w:rsid w:val="00EB307B"/>
    <w:rsid w:val="00EC163D"/>
    <w:rsid w:val="00EC24F3"/>
    <w:rsid w:val="00EC4C7A"/>
    <w:rsid w:val="00EC60B7"/>
    <w:rsid w:val="00EC7176"/>
    <w:rsid w:val="00ED2DEF"/>
    <w:rsid w:val="00ED3903"/>
    <w:rsid w:val="00ED68A9"/>
    <w:rsid w:val="00EE0195"/>
    <w:rsid w:val="00EE2D09"/>
    <w:rsid w:val="00EE54AD"/>
    <w:rsid w:val="00EE5E24"/>
    <w:rsid w:val="00EF0382"/>
    <w:rsid w:val="00EF07C8"/>
    <w:rsid w:val="00EF1D4F"/>
    <w:rsid w:val="00EF39C0"/>
    <w:rsid w:val="00EF6097"/>
    <w:rsid w:val="00EF6D00"/>
    <w:rsid w:val="00F005BF"/>
    <w:rsid w:val="00F007A3"/>
    <w:rsid w:val="00F11D42"/>
    <w:rsid w:val="00F24BA9"/>
    <w:rsid w:val="00F347A3"/>
    <w:rsid w:val="00F42440"/>
    <w:rsid w:val="00F44538"/>
    <w:rsid w:val="00F4489D"/>
    <w:rsid w:val="00F52C7E"/>
    <w:rsid w:val="00F56962"/>
    <w:rsid w:val="00F575DA"/>
    <w:rsid w:val="00F57E45"/>
    <w:rsid w:val="00F600E3"/>
    <w:rsid w:val="00F619D1"/>
    <w:rsid w:val="00F62365"/>
    <w:rsid w:val="00F71B5F"/>
    <w:rsid w:val="00F71E22"/>
    <w:rsid w:val="00F837FB"/>
    <w:rsid w:val="00F838A2"/>
    <w:rsid w:val="00F83FB6"/>
    <w:rsid w:val="00F86115"/>
    <w:rsid w:val="00F90221"/>
    <w:rsid w:val="00F90EA0"/>
    <w:rsid w:val="00F91391"/>
    <w:rsid w:val="00F9325F"/>
    <w:rsid w:val="00F95FA6"/>
    <w:rsid w:val="00F966C6"/>
    <w:rsid w:val="00F977D8"/>
    <w:rsid w:val="00F97FEA"/>
    <w:rsid w:val="00FA3C50"/>
    <w:rsid w:val="00FA633D"/>
    <w:rsid w:val="00FA6EF3"/>
    <w:rsid w:val="00FB1BD8"/>
    <w:rsid w:val="00FC4380"/>
    <w:rsid w:val="00FC4500"/>
    <w:rsid w:val="00FD334A"/>
    <w:rsid w:val="00FF1D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4E2CC-8DC8-4D1B-A8AC-92C2D409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unhideWhenUsed/>
    <w:qFormat/>
    <w:rsid w:val="00C24214"/>
    <w:pPr>
      <w:spacing w:after="0" w:line="240" w:lineRule="auto"/>
      <w:jc w:val="center"/>
      <w:outlineLvl w:val="3"/>
    </w:pPr>
    <w:rPr>
      <w:rFonts w:ascii="Times New Roman" w:eastAsia="Times New Roman" w:hAnsi="Times New Roman" w:cs="Times New Roman"/>
      <w:bCs/>
      <w:iCs/>
      <w:sz w:val="18"/>
      <w:lang w:val="en-US" w:eastAsia="zh-CN"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4214"/>
    <w:rPr>
      <w:rFonts w:ascii="Times New Roman" w:eastAsia="Times New Roman" w:hAnsi="Times New Roman" w:cs="Times New Roman"/>
      <w:bCs/>
      <w:iCs/>
      <w:sz w:val="18"/>
      <w:lang w:val="en-US" w:eastAsia="zh-CN" w:bidi="en-US"/>
    </w:rPr>
  </w:style>
  <w:style w:type="paragraph" w:styleId="Caption">
    <w:name w:val="caption"/>
    <w:basedOn w:val="Normal"/>
    <w:next w:val="Normal"/>
    <w:uiPriority w:val="35"/>
    <w:qFormat/>
    <w:rsid w:val="00C24214"/>
    <w:pPr>
      <w:spacing w:after="0" w:line="360" w:lineRule="auto"/>
      <w:jc w:val="both"/>
    </w:pPr>
    <w:rPr>
      <w:rFonts w:ascii="Times New Roman" w:eastAsia="Times New Roman" w:hAnsi="Times New Roman" w:cs="Times New Roman"/>
      <w:bCs/>
      <w:szCs w:val="18"/>
      <w:lang w:val="en-US" w:eastAsia="zh-CN" w:bidi="en-US"/>
    </w:rPr>
  </w:style>
  <w:style w:type="paragraph" w:styleId="NoSpacing">
    <w:name w:val="No Spacing"/>
    <w:basedOn w:val="Normal"/>
    <w:link w:val="NoSpacingChar"/>
    <w:uiPriority w:val="1"/>
    <w:qFormat/>
    <w:rsid w:val="00C24214"/>
    <w:pPr>
      <w:spacing w:after="0" w:line="240" w:lineRule="auto"/>
      <w:jc w:val="both"/>
    </w:pPr>
    <w:rPr>
      <w:rFonts w:ascii="Times New Roman" w:eastAsia="Times New Roman" w:hAnsi="Times New Roman" w:cs="Times New Roman"/>
      <w:lang w:val="en-US" w:eastAsia="zh-CN" w:bidi="en-US"/>
    </w:rPr>
  </w:style>
  <w:style w:type="character" w:customStyle="1" w:styleId="NoSpacingChar">
    <w:name w:val="No Spacing Char"/>
    <w:basedOn w:val="DefaultParagraphFont"/>
    <w:link w:val="NoSpacing"/>
    <w:uiPriority w:val="1"/>
    <w:rsid w:val="00C24214"/>
    <w:rPr>
      <w:rFonts w:ascii="Times New Roman" w:eastAsia="Times New Roman" w:hAnsi="Times New Roman" w:cs="Times New Roman"/>
      <w:lang w:val="en-US" w:eastAsia="zh-CN" w:bidi="en-US"/>
    </w:rPr>
  </w:style>
  <w:style w:type="character" w:styleId="Hyperlink">
    <w:name w:val="Hyperlink"/>
    <w:basedOn w:val="DefaultParagraphFont"/>
    <w:uiPriority w:val="99"/>
    <w:rsid w:val="00C24214"/>
    <w:rPr>
      <w:color w:val="0000FF"/>
      <w:u w:val="single"/>
    </w:rPr>
  </w:style>
  <w:style w:type="paragraph" w:styleId="TableofFigures">
    <w:name w:val="table of figures"/>
    <w:basedOn w:val="Normal"/>
    <w:next w:val="Normal"/>
    <w:uiPriority w:val="99"/>
    <w:unhideWhenUsed/>
    <w:rsid w:val="00C24214"/>
    <w:pPr>
      <w:spacing w:after="0" w:line="360" w:lineRule="auto"/>
      <w:jc w:val="both"/>
    </w:pPr>
    <w:rPr>
      <w:rFonts w:ascii="Times New Roman" w:eastAsia="Times New Roman" w:hAnsi="Times New Roman" w:cs="Times New Roman"/>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Yamuna R</dc:creator>
  <cp:keywords/>
  <dc:description/>
  <cp:lastModifiedBy>Yamuna R</cp:lastModifiedBy>
  <cp:revision>1</cp:revision>
  <dcterms:created xsi:type="dcterms:W3CDTF">2025-11-15T11:18:00Z</dcterms:created>
  <dcterms:modified xsi:type="dcterms:W3CDTF">2025-11-15T11:19:00Z</dcterms:modified>
</cp:coreProperties>
</file>