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CA5" w:rsidRDefault="003564B8">
      <w:r>
        <w:t>Supplemental Materials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3775"/>
      </w:tblGrid>
      <w:tr w:rsidR="00A83CA5" w:rsidRPr="00A636F8" w:rsidTr="00961B72">
        <w:trPr>
          <w:cantSplit/>
          <w:tblHeader/>
        </w:trPr>
        <w:tc>
          <w:tcPr>
            <w:tcW w:w="935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A83CA5" w:rsidRPr="00A636F8" w:rsidRDefault="00A83CA5" w:rsidP="00961B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Supplemental Table </w:t>
            </w:r>
            <w:r w:rsidRPr="00A636F8">
              <w:rPr>
                <w:rFonts w:ascii="Times New Roman" w:hAnsi="Times New Roman" w:cs="Times New Roman"/>
                <w:b/>
              </w:rPr>
              <w:t>1</w:t>
            </w:r>
          </w:p>
          <w:p w:rsidR="00A83CA5" w:rsidRPr="00A636F8" w:rsidRDefault="00A83CA5" w:rsidP="00961B7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636F8">
              <w:rPr>
                <w:rFonts w:ascii="Times New Roman" w:hAnsi="Times New Roman" w:cs="Times New Roman"/>
              </w:rPr>
              <w:t>Measurements and Definitions</w:t>
            </w:r>
          </w:p>
        </w:tc>
      </w:tr>
      <w:tr w:rsidR="00A83CA5" w:rsidRPr="00A636F8" w:rsidTr="00961B72">
        <w:trPr>
          <w:cantSplit/>
          <w:tblHeader/>
        </w:trPr>
        <w:tc>
          <w:tcPr>
            <w:tcW w:w="2335" w:type="dxa"/>
            <w:tcBorders>
              <w:top w:val="single" w:sz="8" w:space="0" w:color="auto"/>
              <w:left w:val="nil"/>
              <w:bottom w:val="single" w:sz="4" w:space="0" w:color="auto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0" w:type="dxa"/>
            <w:tcBorders>
              <w:top w:val="single" w:sz="8" w:space="0" w:color="auto"/>
              <w:bottom w:val="single" w:sz="4" w:space="0" w:color="auto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  <w:b/>
              </w:rPr>
            </w:pPr>
            <w:r w:rsidRPr="00A636F8">
              <w:rPr>
                <w:rFonts w:ascii="Times New Roman" w:hAnsi="Times New Roman" w:cs="Times New Roman"/>
                <w:b/>
              </w:rPr>
              <w:t>Variable</w:t>
            </w:r>
          </w:p>
        </w:tc>
        <w:tc>
          <w:tcPr>
            <w:tcW w:w="3775" w:type="dxa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  <w:b/>
              </w:rPr>
            </w:pPr>
            <w:r w:rsidRPr="00A636F8">
              <w:rPr>
                <w:rFonts w:ascii="Times New Roman" w:hAnsi="Times New Roman" w:cs="Times New Roman"/>
                <w:b/>
              </w:rPr>
              <w:t>Definition</w:t>
            </w:r>
          </w:p>
        </w:tc>
      </w:tr>
      <w:tr w:rsidR="00A83CA5" w:rsidRPr="00A636F8" w:rsidTr="00961B72">
        <w:trPr>
          <w:cantSplit/>
          <w:trHeight w:val="629"/>
        </w:trPr>
        <w:tc>
          <w:tcPr>
            <w:tcW w:w="2335" w:type="dxa"/>
            <w:vMerge w:val="restart"/>
            <w:tcBorders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  <w:b/>
              </w:rPr>
            </w:pPr>
            <w:r w:rsidRPr="00A636F8">
              <w:rPr>
                <w:rFonts w:ascii="Times New Roman" w:hAnsi="Times New Roman" w:cs="Times New Roman"/>
                <w:b/>
              </w:rPr>
              <w:t>Population Characteristics</w:t>
            </w:r>
          </w:p>
        </w:tc>
        <w:tc>
          <w:tcPr>
            <w:tcW w:w="3240" w:type="dxa"/>
            <w:tcBorders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Total population</w:t>
            </w:r>
          </w:p>
        </w:tc>
        <w:tc>
          <w:tcPr>
            <w:tcW w:w="3775" w:type="dxa"/>
            <w:tcBorders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Count of total civilians residing in a specified region (i.e., state, county)</w:t>
            </w:r>
          </w:p>
        </w:tc>
      </w:tr>
      <w:tr w:rsidR="00A83CA5" w:rsidRPr="00A636F8" w:rsidTr="00961B72">
        <w:trPr>
          <w:cantSplit/>
          <w:trHeight w:val="620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% Population residing in rural area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Proportion of the total population in a specified region who reside in a rural area</w:t>
            </w:r>
          </w:p>
        </w:tc>
      </w:tr>
      <w:tr w:rsidR="00A83CA5" w:rsidRPr="00A636F8" w:rsidTr="00961B72">
        <w:trPr>
          <w:cantSplit/>
          <w:trHeight w:val="2420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Rurality Quartile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 xml:space="preserve">Quartile categories for percent of population residing in a rural area: </w:t>
            </w:r>
          </w:p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1=less than 25% of population reside in a rural area</w:t>
            </w:r>
          </w:p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2=25% – 50% of population reside in a rural area</w:t>
            </w:r>
          </w:p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3=50% - 75% of population reside in a rural area</w:t>
            </w:r>
          </w:p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4=more than 75% of population reside in a rural area</w:t>
            </w:r>
          </w:p>
        </w:tc>
      </w:tr>
      <w:tr w:rsidR="00A83CA5" w:rsidRPr="00A636F8" w:rsidTr="00961B72">
        <w:trPr>
          <w:cantSplit/>
          <w:trHeight w:val="890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% Income less than 200% Federal Poverty Line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Proportion of the total population in a specified region whose income is less than 200% the Federal Poverty Line (FPL)</w:t>
            </w:r>
          </w:p>
        </w:tc>
      </w:tr>
      <w:tr w:rsidR="00A83CA5" w:rsidRPr="00A636F8" w:rsidTr="00961B72">
        <w:trPr>
          <w:cantSplit/>
          <w:trHeight w:val="2690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Poverty Quartile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Quartile categories for the proportion of the population whose incomes in less than 200% FPL</w:t>
            </w:r>
          </w:p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1=less than 25% of population’s incomes is below 200% FPL</w:t>
            </w:r>
          </w:p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2=25% – 50% of population’s incomes is below 200% FPL</w:t>
            </w:r>
          </w:p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3=50% - 75% of population’s incomes is below 200% FPL</w:t>
            </w:r>
          </w:p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4=more than 75% of population’s incomes is below 200% FPL</w:t>
            </w:r>
          </w:p>
        </w:tc>
      </w:tr>
      <w:tr w:rsidR="00A83CA5" w:rsidRPr="00A636F8" w:rsidTr="00961B72">
        <w:trPr>
          <w:cantSplit/>
          <w:trHeight w:val="809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% Population age 65 or older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Proportion of the total population in a specified region who is aged 65 years or older</w:t>
            </w:r>
          </w:p>
        </w:tc>
      </w:tr>
      <w:tr w:rsidR="00A83CA5" w:rsidRPr="00A636F8" w:rsidTr="00961B72">
        <w:trPr>
          <w:cantSplit/>
          <w:trHeight w:val="791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% Population under 18 yrs. of age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 xml:space="preserve">Proportion of the total population in a specified region who is less than 18 years old.  </w:t>
            </w:r>
          </w:p>
        </w:tc>
      </w:tr>
      <w:tr w:rsidR="00A83CA5" w:rsidRPr="00A636F8" w:rsidTr="00961B72">
        <w:trPr>
          <w:cantSplit/>
          <w:trHeight w:val="530"/>
        </w:trPr>
        <w:tc>
          <w:tcPr>
            <w:tcW w:w="23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% Medicaid recipients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 xml:space="preserve">Proportion of the total population in a specified region who are Medicaid </w:t>
            </w:r>
          </w:p>
        </w:tc>
      </w:tr>
      <w:tr w:rsidR="00A83CA5" w:rsidRPr="00A636F8" w:rsidTr="00961B72">
        <w:trPr>
          <w:cantSplit/>
          <w:trHeight w:val="809"/>
        </w:trPr>
        <w:tc>
          <w:tcPr>
            <w:tcW w:w="2335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636F8">
              <w:rPr>
                <w:rFonts w:ascii="Times New Roman" w:hAnsi="Times New Roman" w:cs="Times New Roman"/>
                <w:b/>
              </w:rPr>
              <w:t>Public Health Measures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Alcohol Abuse</w:t>
            </w:r>
          </w:p>
        </w:tc>
        <w:tc>
          <w:tcPr>
            <w:tcW w:w="377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Rate measuring the number of the ED discharges associated with alcohol abuse per 10,000 ED visits</w:t>
            </w:r>
          </w:p>
        </w:tc>
      </w:tr>
      <w:tr w:rsidR="00A83CA5" w:rsidRPr="00A636F8" w:rsidTr="00961B72">
        <w:trPr>
          <w:cantSplit/>
          <w:trHeight w:val="791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Substance Abuse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Rate measuring the number of the ED discharges associated with substance abuse per 10,000 ED visits</w:t>
            </w:r>
          </w:p>
        </w:tc>
      </w:tr>
      <w:tr w:rsidR="00A83CA5" w:rsidRPr="00A636F8" w:rsidTr="00961B72">
        <w:trPr>
          <w:cantSplit/>
          <w:trHeight w:val="620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Suicide Incidence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Number of suicide deaths per 100,000 persons per year</w:t>
            </w:r>
          </w:p>
        </w:tc>
      </w:tr>
      <w:tr w:rsidR="00A83CA5" w:rsidRPr="00A636F8" w:rsidTr="00961B72">
        <w:trPr>
          <w:cantSplit/>
          <w:trHeight w:val="981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% Smoking in adults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Proportion of the adults who reported smoking every day or most days and has smoked at least 100 cigarettes in their lifetime</w:t>
            </w:r>
          </w:p>
        </w:tc>
      </w:tr>
      <w:tr w:rsidR="00A83CA5" w:rsidRPr="00A636F8" w:rsidTr="00961B72">
        <w:trPr>
          <w:cantSplit/>
          <w:trHeight w:val="539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% Hypertension in adults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Proportion of the population who reported having high blood pressure</w:t>
            </w:r>
          </w:p>
        </w:tc>
      </w:tr>
      <w:tr w:rsidR="00A83CA5" w:rsidRPr="00A636F8" w:rsidTr="00961B72">
        <w:trPr>
          <w:cantSplit/>
          <w:trHeight w:val="810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% Diabetes Mellitus in adults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Proportion of the adult population who report being diagnosed with diabetes mellitus</w:t>
            </w:r>
          </w:p>
        </w:tc>
      </w:tr>
      <w:tr w:rsidR="00A83CA5" w:rsidRPr="00A636F8" w:rsidTr="00961B72">
        <w:trPr>
          <w:cantSplit/>
          <w:trHeight w:val="530"/>
        </w:trPr>
        <w:tc>
          <w:tcPr>
            <w:tcW w:w="23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Infant Mortality Rate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 xml:space="preserve">Number of infant deaths (children less than 1 year old) per 1,000 live births.  </w:t>
            </w:r>
          </w:p>
        </w:tc>
      </w:tr>
      <w:tr w:rsidR="00A83CA5" w:rsidRPr="00A636F8" w:rsidTr="00961B72">
        <w:trPr>
          <w:cantSplit/>
          <w:trHeight w:val="593"/>
        </w:trPr>
        <w:tc>
          <w:tcPr>
            <w:tcW w:w="2335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  <w:b/>
              </w:rPr>
            </w:pPr>
            <w:r w:rsidRPr="00A636F8">
              <w:rPr>
                <w:rFonts w:ascii="Times New Roman" w:hAnsi="Times New Roman" w:cs="Times New Roman"/>
                <w:b/>
              </w:rPr>
              <w:t>Psychiatrist Workforce Characteristics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 xml:space="preserve">Total FTE </w:t>
            </w:r>
          </w:p>
        </w:tc>
        <w:tc>
          <w:tcPr>
            <w:tcW w:w="377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Sum of FTE for all psychiatrists actively practicing in a specified region</w:t>
            </w:r>
          </w:p>
        </w:tc>
      </w:tr>
      <w:tr w:rsidR="00A83CA5" w:rsidRPr="00A636F8" w:rsidTr="00961B72">
        <w:trPr>
          <w:cantSplit/>
          <w:trHeight w:val="1070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FTE per psychiatrist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 xml:space="preserve">Average FTE for a psychiatrist, calculated by dividing the total FTE by the total number of psychiatrists actively practicing in a specified region. </w:t>
            </w:r>
          </w:p>
        </w:tc>
      </w:tr>
      <w:tr w:rsidR="00A83CA5" w:rsidRPr="00A636F8" w:rsidTr="00961B72">
        <w:trPr>
          <w:cantSplit/>
          <w:trHeight w:val="800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Population per provider ratio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Total population in a specified region divided by the total FTE for all psychiatrists actively practicing in the same region</w:t>
            </w:r>
          </w:p>
        </w:tc>
      </w:tr>
      <w:tr w:rsidR="00A83CA5" w:rsidRPr="00A636F8" w:rsidTr="00961B72">
        <w:trPr>
          <w:cantSplit/>
          <w:trHeight w:val="620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% total psychiatry FTE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Proportion of total psychiatrists actively practicing in a specified region</w:t>
            </w:r>
          </w:p>
        </w:tc>
      </w:tr>
      <w:tr w:rsidR="00A83CA5" w:rsidRPr="00A636F8" w:rsidTr="00961B72">
        <w:trPr>
          <w:cantSplit/>
          <w:trHeight w:val="800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% of total geriatric psychiatry FTE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Proportion of psychiatrist with a specialty in geriatric psychiatrist actively practicing in a specified region</w:t>
            </w:r>
          </w:p>
        </w:tc>
      </w:tr>
      <w:tr w:rsidR="00A83CA5" w:rsidRPr="00A636F8" w:rsidTr="00961B72">
        <w:trPr>
          <w:cantSplit/>
          <w:trHeight w:val="800"/>
        </w:trPr>
        <w:tc>
          <w:tcPr>
            <w:tcW w:w="23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% of total child-adolescent psychiatry FTE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Proportion of psychiatrists with a specialty in child and adolescent psychiatry actively practicing in a specified region</w:t>
            </w:r>
          </w:p>
        </w:tc>
      </w:tr>
      <w:tr w:rsidR="00A83CA5" w:rsidRPr="00A636F8" w:rsidTr="00961B72">
        <w:trPr>
          <w:cantSplit/>
        </w:trPr>
        <w:tc>
          <w:tcPr>
            <w:tcW w:w="23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636F8">
              <w:rPr>
                <w:rFonts w:ascii="Times New Roman" w:eastAsia="Times New Roman" w:hAnsi="Times New Roman" w:cs="Times New Roman"/>
                <w:color w:val="000000"/>
              </w:rPr>
              <w:t>% of total addiction psychiatry FTE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83CA5" w:rsidRPr="00A636F8" w:rsidRDefault="00A83CA5" w:rsidP="00961B72">
            <w:pPr>
              <w:rPr>
                <w:rFonts w:ascii="Times New Roman" w:hAnsi="Times New Roman" w:cs="Times New Roman"/>
              </w:rPr>
            </w:pPr>
            <w:r w:rsidRPr="00A636F8">
              <w:rPr>
                <w:rFonts w:ascii="Times New Roman" w:hAnsi="Times New Roman" w:cs="Times New Roman"/>
              </w:rPr>
              <w:t>Proportion of psychiatrists with a specialty in addiction psychiatry actively practicing in a specified region</w:t>
            </w:r>
          </w:p>
        </w:tc>
      </w:tr>
    </w:tbl>
    <w:p w:rsidR="00A83CA5" w:rsidRDefault="00A83CA5">
      <w:r>
        <w:br w:type="page"/>
      </w:r>
    </w:p>
    <w:p w:rsidR="00DF2E95" w:rsidRDefault="00DF2E95"/>
    <w:tbl>
      <w:tblPr>
        <w:tblW w:w="9540" w:type="dxa"/>
        <w:tblLayout w:type="fixed"/>
        <w:tblLook w:val="04A0" w:firstRow="1" w:lastRow="0" w:firstColumn="1" w:lastColumn="0" w:noHBand="0" w:noVBand="1"/>
      </w:tblPr>
      <w:tblGrid>
        <w:gridCol w:w="2250"/>
        <w:gridCol w:w="1710"/>
        <w:gridCol w:w="1548"/>
        <w:gridCol w:w="1312"/>
        <w:gridCol w:w="1197"/>
        <w:gridCol w:w="1523"/>
      </w:tblGrid>
      <w:tr w:rsidR="00DF2E95" w:rsidRPr="00525E7D" w:rsidTr="009C6FC1">
        <w:trPr>
          <w:trHeight w:val="276"/>
        </w:trPr>
        <w:tc>
          <w:tcPr>
            <w:tcW w:w="954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hideMark/>
          </w:tcPr>
          <w:p w:rsidR="00DF2E95" w:rsidRPr="00525E7D" w:rsidRDefault="00A83CA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Supplemental Table 2</w:t>
            </w:r>
          </w:p>
        </w:tc>
      </w:tr>
      <w:tr w:rsidR="00DF2E95" w:rsidRPr="00525E7D" w:rsidTr="009C6FC1">
        <w:trPr>
          <w:trHeight w:val="288"/>
        </w:trPr>
        <w:tc>
          <w:tcPr>
            <w:tcW w:w="9540" w:type="dxa"/>
            <w:gridSpan w:val="6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Summary of Regional Psychiatrists Practice Setting: FTE (% Categorical FTE)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Rural Category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Statewide Sum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Office/Clinic - Private Practice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 xml:space="preserve">102.5 (47.2%) 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10.7 (43.0%)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3.2 (45.1%)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116.4 (46.2%)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Hospital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70.8 (32.6%)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7.6 (30.5%)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3 (42.3%)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 (34.5%)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82.4 (32.7%)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Other Specified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29.7 (13.7%)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4.1 (16.5%)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0.9 (12.7%)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34.7 (13.8%)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Unspecified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9.0 (4.1%)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2.5 (10.0%)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1.9 (65.5%)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13.4 (5.3%)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Medical School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5.3 (2.4%)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5.3 (2.1%)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Categorical Sum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217.3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24.9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7.1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2.9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252.2 (100%)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Non-Respondents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27.7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30.7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Total FTE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245.0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26.9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8.1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2.9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282.9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Poverty Quartile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Statewide Sum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Office/Clinic - Private Practice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24.6 (68.0%)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12.2 (40.0%)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27.3 (41.3%)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52.3 (43.8%)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116.4 (46.2%)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Hospital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5.0 (13.8%)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9.8 (32.1%)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27.8 (42.1%)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39.8 (33.3%)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82.4 (32.7%)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Other Specified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4.9 (13.5%)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7.6 (24.9%)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7.7 (11.6%)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14.5 (12.1%)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34.7 (13.8%)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Unspecified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1.7 (4.7%)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0.9 (3.0%)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3.3 (5.0%)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7.5 (6.3%)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13.4 (5.3%)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Medical School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5.3 (4.4%)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5.3 (2.1%)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Categorical Sum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36.2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30.5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66.1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119.4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252.2 (100%)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Non-Respondents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6.5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9.4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30.7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Total FTE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42.7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32.3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75.5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132.4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282.9</w:t>
            </w:r>
          </w:p>
        </w:tc>
      </w:tr>
      <w:tr w:rsidR="00DF2E95" w:rsidRPr="00525E7D" w:rsidTr="000E02AB">
        <w:trPr>
          <w:trHeight w:val="449"/>
        </w:trPr>
        <w:tc>
          <w:tcPr>
            <w:tcW w:w="954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5E7D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–</w:t>
            </w: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Office/Clinic - Private Practice: corresponding to survey selection Office/Clinic-(Solo practice, Partnershi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p, Single Specialty Group, and </w:t>
            </w: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Multiple Specialty Group)</w:t>
            </w:r>
          </w:p>
        </w:tc>
      </w:tr>
      <w:tr w:rsidR="00DF2E95" w:rsidRPr="00525E7D" w:rsidTr="000E02AB">
        <w:trPr>
          <w:trHeight w:val="240"/>
        </w:trPr>
        <w:tc>
          <w:tcPr>
            <w:tcW w:w="6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5E7D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–</w:t>
            </w: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Hospital: corresponding to survey selection Hosp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ital (Inpatient, Outpatient and   </w:t>
            </w: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Ambulatory Care Center)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F2E95" w:rsidRPr="00525E7D" w:rsidTr="000E02AB">
        <w:trPr>
          <w:trHeight w:val="477"/>
        </w:trPr>
        <w:tc>
          <w:tcPr>
            <w:tcW w:w="9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5E7D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–</w:t>
            </w: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Other Specified: corresponding to survey selection Federal Government Hospital, Federal/State/Community Health Center, Telemedicine, Nursing Home or Extended Care Facility, Home Health Setting,   Hospital-Emergency Department</w:t>
            </w:r>
          </w:p>
        </w:tc>
      </w:tr>
      <w:tr w:rsidR="00DF2E95" w:rsidRPr="00525E7D" w:rsidTr="000E02AB">
        <w:trPr>
          <w:trHeight w:val="240"/>
        </w:trPr>
        <w:tc>
          <w:tcPr>
            <w:tcW w:w="3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5E7D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–</w:t>
            </w: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Unspecified: practice setting not determined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F2E95" w:rsidRPr="00525E7D" w:rsidTr="000E02AB">
        <w:trPr>
          <w:trHeight w:val="240"/>
        </w:trPr>
        <w:tc>
          <w:tcPr>
            <w:tcW w:w="5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5E7D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–</w:t>
            </w: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Medical School: corresponding to survey selection Medical School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F2E95" w:rsidRPr="00525E7D" w:rsidTr="000E02AB">
        <w:trPr>
          <w:trHeight w:val="27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F2E95" w:rsidRPr="00525E7D" w:rsidRDefault="00DF2E95" w:rsidP="000E0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F2E95" w:rsidRPr="00525E7D" w:rsidRDefault="00DF2E95" w:rsidP="000E0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25E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DF2E95" w:rsidRDefault="00DF2E95">
      <w:r>
        <w:br w:type="page"/>
      </w:r>
    </w:p>
    <w:p w:rsidR="003564B8" w:rsidRDefault="003564B8"/>
    <w:p w:rsidR="00F82ECA" w:rsidRDefault="005848D0">
      <w:r>
        <w:rPr>
          <w:noProof/>
        </w:rPr>
        <w:drawing>
          <wp:inline distT="0" distB="0" distL="0" distR="0">
            <wp:extent cx="5943600" cy="76917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figure1_51817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E95" w:rsidRDefault="00DF2E95">
      <w:bookmarkStart w:id="0" w:name="_GoBack"/>
      <w:r>
        <w:rPr>
          <w:noProof/>
        </w:rPr>
        <w:lastRenderedPageBreak/>
        <w:drawing>
          <wp:inline distT="0" distB="0" distL="0" distR="0" wp14:anchorId="12A139FF">
            <wp:extent cx="5944235" cy="769366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7693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DF2E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4B8"/>
    <w:rsid w:val="003564B8"/>
    <w:rsid w:val="005848D0"/>
    <w:rsid w:val="00747464"/>
    <w:rsid w:val="008A590C"/>
    <w:rsid w:val="009C6FC1"/>
    <w:rsid w:val="00A83CA5"/>
    <w:rsid w:val="00DF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B02A41-59E4-416B-8E0E-F4D98C3B4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3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5080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Maxey, Hannah L</dc:creator>
  <cp:keywords/>
  <dc:description/>
  <cp:lastModifiedBy>Maxey, Hannah L</cp:lastModifiedBy>
  <cp:revision>5</cp:revision>
  <dcterms:created xsi:type="dcterms:W3CDTF">2017-06-01T18:38:00Z</dcterms:created>
  <dcterms:modified xsi:type="dcterms:W3CDTF">2017-09-08T16:11:00Z</dcterms:modified>
</cp:coreProperties>
</file>