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B8D" w:rsidRPr="008153F8" w:rsidRDefault="008153F8">
      <w:pPr>
        <w:spacing w:line="479" w:lineRule="auto"/>
        <w:jc w:val="center"/>
        <w:rPr>
          <w:rFonts w:ascii="Times New Roman" w:eastAsia="Times New Roman" w:hAnsi="Times New Roman" w:cs="Times New Roman"/>
          <w:b/>
          <w:bCs/>
          <w:sz w:val="24"/>
          <w:szCs w:val="24"/>
        </w:rPr>
      </w:pPr>
      <w:r w:rsidRPr="008153F8">
        <w:rPr>
          <w:rFonts w:ascii="Times New Roman" w:eastAsia="Times New Roman" w:hAnsi="Times New Roman" w:cs="Times New Roman"/>
          <w:b/>
          <w:bCs/>
          <w:sz w:val="24"/>
          <w:szCs w:val="24"/>
        </w:rPr>
        <w:t>Supplemental Materials</w:t>
      </w:r>
    </w:p>
    <w:p w:rsidR="00330B8D" w:rsidRPr="008153F8" w:rsidRDefault="008153F8">
      <w:pPr>
        <w:spacing w:line="479" w:lineRule="auto"/>
        <w:rPr>
          <w:rFonts w:ascii="Times New Roman" w:eastAsia="Times New Roman" w:hAnsi="Times New Roman" w:cs="Times New Roman"/>
          <w:b/>
          <w:bCs/>
          <w:sz w:val="24"/>
          <w:szCs w:val="24"/>
        </w:rPr>
      </w:pPr>
      <w:r w:rsidRPr="008153F8">
        <w:rPr>
          <w:rFonts w:ascii="Times New Roman" w:eastAsia="Times New Roman" w:hAnsi="Times New Roman" w:cs="Times New Roman"/>
          <w:b/>
          <w:bCs/>
          <w:sz w:val="24"/>
          <w:szCs w:val="24"/>
        </w:rPr>
        <w:t>Video Design of Math Lesson</w:t>
      </w:r>
    </w:p>
    <w:p w:rsidR="00330B8D" w:rsidRPr="008153F8" w:rsidRDefault="008153F8">
      <w:pPr>
        <w:spacing w:line="479" w:lineRule="auto"/>
        <w:rPr>
          <w:rFonts w:ascii="Times New Roman" w:eastAsia="Times New Roman" w:hAnsi="Times New Roman" w:cs="Times New Roman"/>
          <w:b/>
          <w:bCs/>
          <w:sz w:val="24"/>
          <w:szCs w:val="24"/>
        </w:rPr>
      </w:pPr>
      <w:r w:rsidRPr="008153F8">
        <w:rPr>
          <w:rFonts w:ascii="Times New Roman" w:eastAsia="Times New Roman" w:hAnsi="Times New Roman" w:cs="Times New Roman"/>
          <w:b/>
          <w:bCs/>
          <w:sz w:val="24"/>
          <w:szCs w:val="24"/>
        </w:rPr>
        <w:t>Figure 2.</w:t>
      </w:r>
    </w:p>
    <w:p w:rsidR="00330B8D" w:rsidRPr="008153F8" w:rsidRDefault="008153F8">
      <w:pPr>
        <w:spacing w:line="479" w:lineRule="auto"/>
        <w:rPr>
          <w:rFonts w:ascii="Times New Roman" w:eastAsia="Times New Roman" w:hAnsi="Times New Roman" w:cs="Times New Roman"/>
          <w:b/>
          <w:bCs/>
          <w:sz w:val="24"/>
          <w:szCs w:val="24"/>
        </w:rPr>
      </w:pPr>
      <w:r w:rsidRPr="008153F8">
        <w:rPr>
          <w:rFonts w:ascii="Times New Roman" w:eastAsia="Times New Roman" w:hAnsi="Times New Roman" w:cs="Times New Roman"/>
          <w:b/>
          <w:bCs/>
          <w:noProof/>
          <w:sz w:val="24"/>
          <w:szCs w:val="24"/>
          <w:lang w:val="en-IN"/>
        </w:rPr>
        <w:drawing>
          <wp:inline distT="114300" distB="114300" distL="114300" distR="114300">
            <wp:extent cx="5943600" cy="42926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943600" cy="4292600"/>
                    </a:xfrm>
                    <a:prstGeom prst="rect">
                      <a:avLst/>
                    </a:prstGeom>
                    <a:ln/>
                  </pic:spPr>
                </pic:pic>
              </a:graphicData>
            </a:graphic>
          </wp:inline>
        </w:drawing>
      </w:r>
      <w:bookmarkStart w:id="0" w:name="_GoBack"/>
      <w:bookmarkEnd w:id="0"/>
    </w:p>
    <w:p w:rsidR="00330B8D" w:rsidRPr="008153F8" w:rsidRDefault="008153F8">
      <w:pPr>
        <w:spacing w:line="479" w:lineRule="auto"/>
        <w:ind w:firstLine="720"/>
        <w:rPr>
          <w:rFonts w:ascii="Times New Roman" w:eastAsia="Times New Roman" w:hAnsi="Times New Roman" w:cs="Times New Roman"/>
          <w:sz w:val="24"/>
          <w:szCs w:val="24"/>
        </w:rPr>
      </w:pPr>
      <w:r w:rsidRPr="008153F8">
        <w:rPr>
          <w:rFonts w:ascii="Times New Roman" w:eastAsia="Times New Roman" w:hAnsi="Times New Roman" w:cs="Times New Roman"/>
          <w:sz w:val="24"/>
          <w:szCs w:val="24"/>
        </w:rPr>
        <w:t>This figure illustrates the integrated media design and technology setup utilized for this study. To ensure comprehensive data collection, three professional-grade cameras (Cam 1, Cam 2, and Cam 3) are strategically positioned along the classroom's outer p</w:t>
      </w:r>
      <w:r w:rsidRPr="008153F8">
        <w:rPr>
          <w:rFonts w:ascii="Times New Roman" w:eastAsia="Times New Roman" w:hAnsi="Times New Roman" w:cs="Times New Roman"/>
          <w:sz w:val="24"/>
          <w:szCs w:val="24"/>
        </w:rPr>
        <w:t>erimeter. The unlabeled camera at the top left is capturing behind-the-scenes footage. Each camera is paired with a 360° microphone to provide synchronized, high-fidelity spatial audio alongside the video capture. At the front of the room, a document camer</w:t>
      </w:r>
      <w:r w:rsidRPr="008153F8">
        <w:rPr>
          <w:rFonts w:ascii="Times New Roman" w:eastAsia="Times New Roman" w:hAnsi="Times New Roman" w:cs="Times New Roman"/>
          <w:sz w:val="24"/>
          <w:szCs w:val="24"/>
        </w:rPr>
        <w:t xml:space="preserve">a is situated adjacent to the instructional board to facilitate real-time modeling; this device feeds directly to a large TV screen, enabling students to view teacher annotations and demonstrations clearly. This spatial arrangement is designed to maximize </w:t>
      </w:r>
      <w:r w:rsidRPr="008153F8">
        <w:rPr>
          <w:rFonts w:ascii="Times New Roman" w:eastAsia="Times New Roman" w:hAnsi="Times New Roman" w:cs="Times New Roman"/>
          <w:sz w:val="24"/>
          <w:szCs w:val="24"/>
        </w:rPr>
        <w:t xml:space="preserve">the visibility of teacher-student interactions within the central learning area while maintaining a non-intrusive footprint for the recording hardware. To view the media design in action, click on this </w:t>
      </w:r>
      <w:hyperlink r:id="rId5">
        <w:r w:rsidRPr="008153F8">
          <w:rPr>
            <w:rFonts w:ascii="Times New Roman" w:eastAsia="Times New Roman" w:hAnsi="Times New Roman" w:cs="Times New Roman"/>
            <w:sz w:val="24"/>
            <w:szCs w:val="24"/>
            <w:u w:val="single"/>
          </w:rPr>
          <w:t>video</w:t>
        </w:r>
      </w:hyperlink>
      <w:r w:rsidRPr="008153F8">
        <w:rPr>
          <w:rFonts w:ascii="Times New Roman" w:eastAsia="Times New Roman" w:hAnsi="Times New Roman" w:cs="Times New Roman"/>
          <w:sz w:val="24"/>
          <w:szCs w:val="24"/>
        </w:rPr>
        <w:t xml:space="preserve"> </w:t>
      </w:r>
      <w:r w:rsidRPr="008153F8">
        <w:rPr>
          <w:rFonts w:ascii="Times New Roman" w:eastAsia="Times New Roman" w:hAnsi="Times New Roman" w:cs="Times New Roman"/>
          <w:sz w:val="24"/>
          <w:szCs w:val="24"/>
        </w:rPr>
        <w:t>(</w:t>
      </w:r>
      <w:hyperlink r:id="rId6">
        <w:r w:rsidRPr="008153F8">
          <w:rPr>
            <w:rFonts w:ascii="Times New Roman" w:eastAsia="Times New Roman" w:hAnsi="Times New Roman" w:cs="Times New Roman"/>
            <w:sz w:val="24"/>
            <w:szCs w:val="24"/>
            <w:u w:val="single"/>
          </w:rPr>
          <w:t>https://youtu.be/3Y3iJjQbjqk</w:t>
        </w:r>
      </w:hyperlink>
      <w:r w:rsidRPr="008153F8">
        <w:rPr>
          <w:rFonts w:ascii="Times New Roman" w:eastAsia="Times New Roman" w:hAnsi="Times New Roman" w:cs="Times New Roman"/>
          <w:sz w:val="24"/>
          <w:szCs w:val="24"/>
        </w:rPr>
        <w:t>), which shows the behind-the-scenes recording process (Supp. Materials Video).</w:t>
      </w:r>
    </w:p>
    <w:p w:rsidR="00330B8D" w:rsidRPr="008153F8" w:rsidRDefault="008153F8">
      <w:pPr>
        <w:spacing w:line="479" w:lineRule="auto"/>
        <w:rPr>
          <w:rFonts w:ascii="Times New Roman" w:eastAsia="Times New Roman" w:hAnsi="Times New Roman" w:cs="Times New Roman"/>
          <w:b/>
          <w:bCs/>
          <w:sz w:val="24"/>
          <w:szCs w:val="24"/>
        </w:rPr>
      </w:pPr>
      <w:r w:rsidRPr="008153F8">
        <w:rPr>
          <w:rFonts w:ascii="Times New Roman" w:eastAsia="Times New Roman" w:hAnsi="Times New Roman" w:cs="Times New Roman"/>
          <w:b/>
          <w:bCs/>
          <w:sz w:val="24"/>
          <w:szCs w:val="24"/>
        </w:rPr>
        <w:t>Content Design of the Math Lesson</w:t>
      </w:r>
    </w:p>
    <w:p w:rsidR="00330B8D" w:rsidRPr="008153F8" w:rsidRDefault="008153F8">
      <w:pPr>
        <w:spacing w:line="479" w:lineRule="auto"/>
        <w:rPr>
          <w:rFonts w:ascii="Times New Roman" w:eastAsia="Times New Roman" w:hAnsi="Times New Roman" w:cs="Times New Roman"/>
          <w:b/>
          <w:bCs/>
          <w:i/>
          <w:iCs/>
          <w:sz w:val="24"/>
          <w:szCs w:val="24"/>
        </w:rPr>
      </w:pPr>
      <w:r w:rsidRPr="008153F8">
        <w:rPr>
          <w:rFonts w:ascii="Times New Roman" w:eastAsia="Times New Roman" w:hAnsi="Times New Roman" w:cs="Times New Roman"/>
          <w:b/>
          <w:bCs/>
          <w:i/>
          <w:iCs/>
          <w:sz w:val="24"/>
          <w:szCs w:val="24"/>
        </w:rPr>
        <w:t>Equivalent Fraction Section</w:t>
      </w:r>
    </w:p>
    <w:p w:rsidR="00330B8D" w:rsidRPr="008153F8" w:rsidRDefault="008153F8">
      <w:pPr>
        <w:spacing w:line="479" w:lineRule="auto"/>
        <w:ind w:firstLine="720"/>
        <w:rPr>
          <w:rFonts w:ascii="Times New Roman" w:eastAsia="Times New Roman" w:hAnsi="Times New Roman" w:cs="Times New Roman"/>
          <w:sz w:val="24"/>
          <w:szCs w:val="24"/>
        </w:rPr>
      </w:pPr>
      <w:r w:rsidRPr="008153F8">
        <w:rPr>
          <w:rFonts w:ascii="Times New Roman" w:eastAsia="Times New Roman" w:hAnsi="Times New Roman" w:cs="Times New Roman"/>
          <w:sz w:val="24"/>
          <w:szCs w:val="24"/>
        </w:rPr>
        <w:t>In the virtual classroom, after prese</w:t>
      </w:r>
      <w:r w:rsidRPr="008153F8">
        <w:rPr>
          <w:rFonts w:ascii="Times New Roman" w:eastAsia="Times New Roman" w:hAnsi="Times New Roman" w:cs="Times New Roman"/>
          <w:sz w:val="24"/>
          <w:szCs w:val="24"/>
        </w:rPr>
        <w:t xml:space="preserve">nting the pretest problem, the teacher walked around the room and chose a student who used a target strategy – first the equivalent fraction strategy and asked the student to come to the board to describe the solution strategy to the class. Following, the </w:t>
      </w:r>
      <w:r w:rsidRPr="008153F8">
        <w:rPr>
          <w:rFonts w:ascii="Times New Roman" w:eastAsia="Times New Roman" w:hAnsi="Times New Roman" w:cs="Times New Roman"/>
          <w:sz w:val="24"/>
          <w:szCs w:val="24"/>
        </w:rPr>
        <w:t xml:space="preserve">teacher then led a discussion on the procedures and higher-level conceptual overview of the equivalent fraction strategy. </w:t>
      </w:r>
    </w:p>
    <w:p w:rsidR="00330B8D" w:rsidRPr="008153F8" w:rsidRDefault="008153F8">
      <w:pPr>
        <w:spacing w:line="479" w:lineRule="auto"/>
        <w:ind w:firstLine="720"/>
        <w:rPr>
          <w:rFonts w:ascii="Times New Roman" w:eastAsia="Times New Roman" w:hAnsi="Times New Roman" w:cs="Times New Roman"/>
          <w:sz w:val="24"/>
          <w:szCs w:val="24"/>
        </w:rPr>
      </w:pPr>
      <w:r w:rsidRPr="008153F8">
        <w:rPr>
          <w:rFonts w:ascii="Times New Roman" w:eastAsia="Times New Roman" w:hAnsi="Times New Roman" w:cs="Times New Roman"/>
          <w:sz w:val="24"/>
          <w:szCs w:val="24"/>
        </w:rPr>
        <w:t xml:space="preserve">Students also compared two-word problems within each strategy to consolidate learning. Next, the teacher posed the juice problem: “Maria is making a fruit juice. To make a small pitcher of juice, the recipe calls for 3 apples and 7 oranges. Maria wants to </w:t>
      </w:r>
      <w:r w:rsidRPr="008153F8">
        <w:rPr>
          <w:rFonts w:ascii="Times New Roman" w:eastAsia="Times New Roman" w:hAnsi="Times New Roman" w:cs="Times New Roman"/>
          <w:sz w:val="24"/>
          <w:szCs w:val="24"/>
        </w:rPr>
        <w:t>make a big pitcher of juice, so she uses 16 apples. How many oranges will Maria need in order to make a big pitcher of juice?” Students were to solve the juice problem using the equivalent fraction strategy they just learned. After they solved the problem,</w:t>
      </w:r>
      <w:r w:rsidRPr="008153F8">
        <w:rPr>
          <w:rFonts w:ascii="Times New Roman" w:eastAsia="Times New Roman" w:hAnsi="Times New Roman" w:cs="Times New Roman"/>
          <w:sz w:val="24"/>
          <w:szCs w:val="24"/>
        </w:rPr>
        <w:t xml:space="preserve"> the teacher explained how to solve the problem using the equivalent fraction strategy. Word problems were displayed simultaneously so that features of the strategies could be spatially aligned and easily compared (Richland et al., 2007). Following this, s</w:t>
      </w:r>
      <w:r w:rsidRPr="008153F8">
        <w:rPr>
          <w:rFonts w:ascii="Times New Roman" w:eastAsia="Times New Roman" w:hAnsi="Times New Roman" w:cs="Times New Roman"/>
          <w:sz w:val="24"/>
          <w:szCs w:val="24"/>
        </w:rPr>
        <w:t xml:space="preserve">tudents were asked questions regarding the two problems. Finally, the teachers compared the cake and juice problem using the equivalent fraction strategy. </w:t>
      </w:r>
    </w:p>
    <w:p w:rsidR="00330B8D" w:rsidRPr="008153F8" w:rsidRDefault="008153F8">
      <w:pPr>
        <w:spacing w:line="479" w:lineRule="auto"/>
        <w:ind w:firstLine="720"/>
        <w:rPr>
          <w:rFonts w:ascii="Times New Roman" w:eastAsia="Times New Roman" w:hAnsi="Times New Roman" w:cs="Times New Roman"/>
          <w:sz w:val="24"/>
          <w:szCs w:val="24"/>
        </w:rPr>
      </w:pPr>
      <w:r w:rsidRPr="008153F8">
        <w:rPr>
          <w:rFonts w:ascii="Times New Roman" w:eastAsia="Times New Roman" w:hAnsi="Times New Roman" w:cs="Times New Roman"/>
          <w:sz w:val="24"/>
          <w:szCs w:val="24"/>
        </w:rPr>
        <w:t xml:space="preserve">Here was the first instance of the experimental manipulation: in the relation-focused intervention, </w:t>
      </w:r>
      <w:r w:rsidRPr="008153F8">
        <w:rPr>
          <w:rFonts w:ascii="Times New Roman" w:eastAsia="Times New Roman" w:hAnsi="Times New Roman" w:cs="Times New Roman"/>
          <w:sz w:val="24"/>
          <w:szCs w:val="24"/>
        </w:rPr>
        <w:t>the teacher made explicit instruction to compare features of the two problems when using the equivalent fraction strategy. Students in the relation-focused intervention were also prompted with questions eliciting relational thinking. Students in the tradit</w:t>
      </w:r>
      <w:r w:rsidRPr="008153F8">
        <w:rPr>
          <w:rFonts w:ascii="Times New Roman" w:eastAsia="Times New Roman" w:hAnsi="Times New Roman" w:cs="Times New Roman"/>
          <w:sz w:val="24"/>
          <w:szCs w:val="24"/>
        </w:rPr>
        <w:t xml:space="preserve">ional intervention received procedural comparison from the teacher and procedural type questions. </w:t>
      </w:r>
    </w:p>
    <w:p w:rsidR="00330B8D" w:rsidRPr="008153F8" w:rsidRDefault="008153F8">
      <w:pPr>
        <w:spacing w:line="479" w:lineRule="auto"/>
        <w:rPr>
          <w:rFonts w:ascii="Times New Roman" w:eastAsia="Times New Roman" w:hAnsi="Times New Roman" w:cs="Times New Roman"/>
          <w:b/>
          <w:bCs/>
          <w:i/>
          <w:iCs/>
          <w:sz w:val="24"/>
          <w:szCs w:val="24"/>
        </w:rPr>
      </w:pPr>
      <w:r w:rsidRPr="008153F8">
        <w:rPr>
          <w:rFonts w:ascii="Times New Roman" w:eastAsia="Times New Roman" w:hAnsi="Times New Roman" w:cs="Times New Roman"/>
          <w:b/>
          <w:bCs/>
          <w:i/>
          <w:iCs/>
          <w:sz w:val="24"/>
          <w:szCs w:val="24"/>
        </w:rPr>
        <w:t>Unit Ratio Section</w:t>
      </w:r>
    </w:p>
    <w:p w:rsidR="00330B8D" w:rsidRPr="008153F8" w:rsidRDefault="008153F8">
      <w:pPr>
        <w:spacing w:line="479" w:lineRule="auto"/>
        <w:ind w:firstLine="720"/>
        <w:rPr>
          <w:rFonts w:ascii="Times New Roman" w:eastAsia="Times New Roman" w:hAnsi="Times New Roman" w:cs="Times New Roman"/>
          <w:sz w:val="24"/>
          <w:szCs w:val="24"/>
        </w:rPr>
      </w:pPr>
      <w:r w:rsidRPr="008153F8">
        <w:rPr>
          <w:rFonts w:ascii="Times New Roman" w:eastAsia="Times New Roman" w:hAnsi="Times New Roman" w:cs="Times New Roman"/>
          <w:sz w:val="24"/>
          <w:szCs w:val="24"/>
        </w:rPr>
        <w:t xml:space="preserve">To support structure mapping, the teacher introduced and compared two solution strategies to a single proportional reasoning word problem </w:t>
      </w:r>
      <w:r w:rsidRPr="008153F8">
        <w:rPr>
          <w:rFonts w:ascii="Times New Roman" w:eastAsia="Times New Roman" w:hAnsi="Times New Roman" w:cs="Times New Roman"/>
          <w:sz w:val="24"/>
          <w:szCs w:val="24"/>
        </w:rPr>
        <w:t xml:space="preserve">(e.g., Carpenter et al., 1999). The same procedures were employed, but now students were using the unit ratio to solve the same problems. </w:t>
      </w:r>
      <w:r w:rsidRPr="008153F8">
        <w:rPr>
          <w:rFonts w:ascii="Times New Roman" w:eastAsia="Times New Roman" w:hAnsi="Times New Roman" w:cs="Times New Roman"/>
          <w:sz w:val="24"/>
          <w:szCs w:val="24"/>
        </w:rPr>
        <w:t>So, the teacher brought a second student up to the board to describe the procedures of a second target strategy, the u</w:t>
      </w:r>
      <w:r w:rsidRPr="008153F8">
        <w:rPr>
          <w:rFonts w:ascii="Times New Roman" w:eastAsia="Times New Roman" w:hAnsi="Times New Roman" w:cs="Times New Roman"/>
          <w:sz w:val="24"/>
          <w:szCs w:val="24"/>
        </w:rPr>
        <w:t>nit-ratio strategy. Following, the teacher then led a discussion about the procedures and a higher-level conceptual overview of the unit-ratio strategy. Students then completed the new problem a second time, now using the unit-ratio strategy. Again, the st</w:t>
      </w:r>
      <w:r w:rsidRPr="008153F8">
        <w:rPr>
          <w:rFonts w:ascii="Times New Roman" w:eastAsia="Times New Roman" w:hAnsi="Times New Roman" w:cs="Times New Roman"/>
          <w:sz w:val="24"/>
          <w:szCs w:val="24"/>
        </w:rPr>
        <w:t xml:space="preserve">udents in the </w:t>
      </w:r>
      <w:r w:rsidRPr="008153F8">
        <w:rPr>
          <w:rFonts w:ascii="Times New Roman" w:eastAsia="Times New Roman" w:hAnsi="Times New Roman" w:cs="Times New Roman"/>
          <w:sz w:val="24"/>
          <w:szCs w:val="24"/>
        </w:rPr>
        <w:t>relation-focused intervention</w:t>
      </w:r>
      <w:r w:rsidRPr="008153F8">
        <w:rPr>
          <w:rFonts w:ascii="Times New Roman" w:eastAsia="Times New Roman" w:hAnsi="Times New Roman" w:cs="Times New Roman"/>
          <w:sz w:val="24"/>
          <w:szCs w:val="24"/>
        </w:rPr>
        <w:t xml:space="preserve"> received teacher instruction that supported relational thinking and questions to solve that elicited generating comparison, inference, abstraction and hierarchy. </w:t>
      </w:r>
    </w:p>
    <w:p w:rsidR="00330B8D" w:rsidRPr="008153F8" w:rsidRDefault="008153F8">
      <w:pPr>
        <w:spacing w:line="479" w:lineRule="auto"/>
        <w:rPr>
          <w:rFonts w:ascii="Times New Roman" w:eastAsia="Times New Roman" w:hAnsi="Times New Roman" w:cs="Times New Roman"/>
          <w:b/>
          <w:bCs/>
          <w:i/>
          <w:iCs/>
          <w:sz w:val="24"/>
          <w:szCs w:val="24"/>
        </w:rPr>
      </w:pPr>
      <w:r w:rsidRPr="008153F8">
        <w:rPr>
          <w:rFonts w:ascii="Times New Roman" w:eastAsia="Times New Roman" w:hAnsi="Times New Roman" w:cs="Times New Roman"/>
          <w:b/>
          <w:bCs/>
          <w:i/>
          <w:iCs/>
          <w:sz w:val="24"/>
          <w:szCs w:val="24"/>
        </w:rPr>
        <w:t>Comparison Section</w:t>
      </w:r>
    </w:p>
    <w:p w:rsidR="00330B8D" w:rsidRPr="008153F8" w:rsidRDefault="008153F8">
      <w:pPr>
        <w:spacing w:line="479" w:lineRule="auto"/>
        <w:ind w:firstLine="720"/>
        <w:rPr>
          <w:rFonts w:ascii="Times New Roman" w:eastAsia="Times New Roman" w:hAnsi="Times New Roman" w:cs="Times New Roman"/>
          <w:sz w:val="24"/>
          <w:szCs w:val="24"/>
        </w:rPr>
      </w:pPr>
      <w:r w:rsidRPr="008153F8">
        <w:rPr>
          <w:rFonts w:ascii="Times New Roman" w:eastAsia="Times New Roman" w:hAnsi="Times New Roman" w:cs="Times New Roman"/>
          <w:sz w:val="24"/>
          <w:szCs w:val="24"/>
        </w:rPr>
        <w:t>The lesson concluded by the te</w:t>
      </w:r>
      <w:r w:rsidRPr="008153F8">
        <w:rPr>
          <w:rFonts w:ascii="Times New Roman" w:eastAsia="Times New Roman" w:hAnsi="Times New Roman" w:cs="Times New Roman"/>
          <w:sz w:val="24"/>
          <w:szCs w:val="24"/>
        </w:rPr>
        <w:t xml:space="preserve">acher providing a conceptual overview of the two strategies (equivalent fraction and unit ratio strategies) and two problem types (cake and juice problems). The main learning objective of the lesson was </w:t>
      </w:r>
      <w:r w:rsidRPr="008153F8">
        <w:rPr>
          <w:rFonts w:ascii="Times New Roman" w:eastAsia="Times New Roman" w:hAnsi="Times New Roman" w:cs="Times New Roman"/>
          <w:sz w:val="24"/>
          <w:szCs w:val="24"/>
        </w:rPr>
        <w:t xml:space="preserve">to show students that both strategies can be used to </w:t>
      </w:r>
      <w:r w:rsidRPr="008153F8">
        <w:rPr>
          <w:rFonts w:ascii="Times New Roman" w:eastAsia="Times New Roman" w:hAnsi="Times New Roman" w:cs="Times New Roman"/>
          <w:sz w:val="24"/>
          <w:szCs w:val="24"/>
        </w:rPr>
        <w:t>solve any proportional reasoning problem, but that specific strategies are more efficient for specific problems based on the problem’s numerical features. Therefore, the teacher highlights that the efficiency of each strategy is determined by the numerical</w:t>
      </w:r>
      <w:r w:rsidRPr="008153F8">
        <w:rPr>
          <w:rFonts w:ascii="Times New Roman" w:eastAsia="Times New Roman" w:hAnsi="Times New Roman" w:cs="Times New Roman"/>
          <w:sz w:val="24"/>
          <w:szCs w:val="24"/>
        </w:rPr>
        <w:t xml:space="preserve"> properties of the word problem. Again, the virtual lesson varied for those in the relation-focused intervention where students received more verbal instruction comparing the higher order conceptual features of the solution strategies. </w:t>
      </w:r>
    </w:p>
    <w:p w:rsidR="00330B8D" w:rsidRPr="008153F8" w:rsidRDefault="008153F8">
      <w:pPr>
        <w:spacing w:line="479" w:lineRule="auto"/>
        <w:ind w:firstLine="720"/>
        <w:rPr>
          <w:rFonts w:ascii="Times New Roman" w:eastAsia="Times New Roman" w:hAnsi="Times New Roman" w:cs="Times New Roman"/>
          <w:sz w:val="24"/>
          <w:szCs w:val="24"/>
        </w:rPr>
      </w:pPr>
      <w:r w:rsidRPr="008153F8">
        <w:rPr>
          <w:rFonts w:ascii="Times New Roman" w:eastAsia="Times New Roman" w:hAnsi="Times New Roman" w:cs="Times New Roman"/>
          <w:sz w:val="24"/>
          <w:szCs w:val="24"/>
        </w:rPr>
        <w:t>To complete the les</w:t>
      </w:r>
      <w:r w:rsidRPr="008153F8">
        <w:rPr>
          <w:rFonts w:ascii="Times New Roman" w:eastAsia="Times New Roman" w:hAnsi="Times New Roman" w:cs="Times New Roman"/>
          <w:sz w:val="24"/>
          <w:szCs w:val="24"/>
        </w:rPr>
        <w:t>son, students solved four new word problems: two near transfer word problems in which they were to use the equivalent fraction strategy and then the same problems in which they were to use the unit ratio strategy.</w:t>
      </w:r>
      <w:r w:rsidRPr="008153F8">
        <w:rPr>
          <w:rFonts w:ascii="Times New Roman" w:eastAsia="Times New Roman" w:hAnsi="Times New Roman" w:cs="Times New Roman"/>
          <w:b/>
          <w:bCs/>
          <w:sz w:val="24"/>
          <w:szCs w:val="24"/>
        </w:rPr>
        <w:t xml:space="preserve"> </w:t>
      </w:r>
      <w:r w:rsidRPr="008153F8">
        <w:rPr>
          <w:rFonts w:ascii="Times New Roman" w:eastAsia="Times New Roman" w:hAnsi="Times New Roman" w:cs="Times New Roman"/>
          <w:sz w:val="24"/>
          <w:szCs w:val="24"/>
        </w:rPr>
        <w:t>Those assigned to the relation-focused int</w:t>
      </w:r>
      <w:r w:rsidRPr="008153F8">
        <w:rPr>
          <w:rFonts w:ascii="Times New Roman" w:eastAsia="Times New Roman" w:hAnsi="Times New Roman" w:cs="Times New Roman"/>
          <w:sz w:val="24"/>
          <w:szCs w:val="24"/>
        </w:rPr>
        <w:t xml:space="preserve">ervention again received questions that elicited comparison, abstraction, hierarchy and inference. </w:t>
      </w:r>
    </w:p>
    <w:p w:rsidR="00330B8D" w:rsidRPr="008153F8" w:rsidRDefault="008153F8">
      <w:pPr>
        <w:spacing w:line="479" w:lineRule="auto"/>
        <w:rPr>
          <w:rFonts w:ascii="Times New Roman" w:eastAsia="Times New Roman" w:hAnsi="Times New Roman" w:cs="Times New Roman"/>
          <w:sz w:val="24"/>
          <w:szCs w:val="24"/>
        </w:rPr>
      </w:pPr>
      <w:r w:rsidRPr="008153F8">
        <w:rPr>
          <w:rFonts w:ascii="Times New Roman" w:eastAsia="Times New Roman" w:hAnsi="Times New Roman" w:cs="Times New Roman"/>
          <w:b/>
          <w:bCs/>
          <w:sz w:val="24"/>
          <w:szCs w:val="24"/>
        </w:rPr>
        <w:t>Analysis of Math Assessment</w:t>
      </w:r>
    </w:p>
    <w:p w:rsidR="00330B8D" w:rsidRPr="008153F8" w:rsidRDefault="008153F8">
      <w:pPr>
        <w:spacing w:line="480" w:lineRule="auto"/>
        <w:ind w:firstLine="720"/>
        <w:rPr>
          <w:rFonts w:ascii="Times New Roman" w:eastAsia="Times New Roman" w:hAnsi="Times New Roman" w:cs="Times New Roman"/>
          <w:sz w:val="24"/>
          <w:szCs w:val="24"/>
        </w:rPr>
      </w:pPr>
      <w:r w:rsidRPr="008153F8">
        <w:rPr>
          <w:rFonts w:ascii="Times New Roman" w:eastAsia="Times New Roman" w:hAnsi="Times New Roman" w:cs="Times New Roman"/>
          <w:sz w:val="24"/>
          <w:szCs w:val="24"/>
        </w:rPr>
        <w:t>The math pretest was administered prior to watching the video lesson on Day 1. Students solved an open-ended proportional reason</w:t>
      </w:r>
      <w:r w:rsidRPr="008153F8">
        <w:rPr>
          <w:rFonts w:ascii="Times New Roman" w:eastAsia="Times New Roman" w:hAnsi="Times New Roman" w:cs="Times New Roman"/>
          <w:sz w:val="24"/>
          <w:szCs w:val="24"/>
        </w:rPr>
        <w:t>ing problem on their own using any strategy they knew. The problem was as follows: “Alex is making a strawberry cake. To make a small cake, the recipe calls for 2 eggs and 6 strawberries. Alex wants to make a big cake, so he uses 8 eggs. How many strawberr</w:t>
      </w:r>
      <w:r w:rsidRPr="008153F8">
        <w:rPr>
          <w:rFonts w:ascii="Times New Roman" w:eastAsia="Times New Roman" w:hAnsi="Times New Roman" w:cs="Times New Roman"/>
          <w:sz w:val="24"/>
          <w:szCs w:val="24"/>
        </w:rPr>
        <w:t>ies will Alex need in order to make a big cake?” No feedback was provided after participants completed the item. Participants’ responses were coded as “1” for correct and “0” for incorrect.</w:t>
      </w:r>
    </w:p>
    <w:p w:rsidR="00330B8D" w:rsidRPr="008153F8" w:rsidRDefault="008153F8">
      <w:pPr>
        <w:spacing w:line="480" w:lineRule="auto"/>
        <w:ind w:firstLine="720"/>
        <w:rPr>
          <w:rFonts w:ascii="Times New Roman" w:eastAsia="Times New Roman" w:hAnsi="Times New Roman" w:cs="Times New Roman"/>
          <w:sz w:val="24"/>
          <w:szCs w:val="24"/>
        </w:rPr>
      </w:pPr>
      <w:r w:rsidRPr="008153F8">
        <w:rPr>
          <w:rFonts w:ascii="Times New Roman" w:eastAsia="Times New Roman" w:hAnsi="Times New Roman" w:cs="Times New Roman"/>
          <w:sz w:val="24"/>
          <w:szCs w:val="24"/>
        </w:rPr>
        <w:t>Learning gains were assessed at two time points: on an immediate p</w:t>
      </w:r>
      <w:r w:rsidRPr="008153F8">
        <w:rPr>
          <w:rFonts w:ascii="Times New Roman" w:eastAsia="Times New Roman" w:hAnsi="Times New Roman" w:cs="Times New Roman"/>
          <w:sz w:val="24"/>
          <w:szCs w:val="24"/>
        </w:rPr>
        <w:t>osttest after receiving the math lesson on Day 1 and on a delayed posttest on Day 2. The immediate posttest included two open-ended proportional reasoning items similar to the pretest item and the problems covered in the math lesson, which asked participan</w:t>
      </w:r>
      <w:r w:rsidRPr="008153F8">
        <w:rPr>
          <w:rFonts w:ascii="Times New Roman" w:eastAsia="Times New Roman" w:hAnsi="Times New Roman" w:cs="Times New Roman"/>
          <w:sz w:val="24"/>
          <w:szCs w:val="24"/>
        </w:rPr>
        <w:t>ts to reason through the proportional relations with calculations of up to two-digit numbers, but with different cover stories and numbers, for example, “An electric bike can go 5 miles in 7 minutes. How many minutes will it take for this bike to go 10 mil</w:t>
      </w:r>
      <w:r w:rsidRPr="008153F8">
        <w:rPr>
          <w:rFonts w:ascii="Times New Roman" w:eastAsia="Times New Roman" w:hAnsi="Times New Roman" w:cs="Times New Roman"/>
          <w:sz w:val="24"/>
          <w:szCs w:val="24"/>
        </w:rPr>
        <w:t>es?” In addition, participants were instructed to solve each problem using a specific strategy (i.e., equivalent fraction or unit ratio). The delayed posttest included six additional similar proportional items with different cover stories and numbers (i.e.</w:t>
      </w:r>
      <w:r w:rsidRPr="008153F8">
        <w:rPr>
          <w:rFonts w:ascii="Times New Roman" w:eastAsia="Times New Roman" w:hAnsi="Times New Roman" w:cs="Times New Roman"/>
          <w:sz w:val="24"/>
          <w:szCs w:val="24"/>
        </w:rPr>
        <w:t>, Biking, Reading, Toy Car, Smoothie, Train, Truck problems). We made sure that the topics of the cover stories are familiar to children of our age group. Participants were instructed to answer the first two items with the equivalent fraction strategy, the</w:t>
      </w:r>
      <w:r w:rsidRPr="008153F8">
        <w:rPr>
          <w:rFonts w:ascii="Times New Roman" w:eastAsia="Times New Roman" w:hAnsi="Times New Roman" w:cs="Times New Roman"/>
          <w:sz w:val="24"/>
          <w:szCs w:val="24"/>
        </w:rPr>
        <w:t xml:space="preserve"> following two with the unit ratio strategy, and the last two with the better strategy between the two. No feedback was provided for any of the problems. Participants’ responses were coded as “1” and “0” for accuracy only, regardless of strategy use. Two s</w:t>
      </w:r>
      <w:r w:rsidRPr="008153F8">
        <w:rPr>
          <w:rFonts w:ascii="Times New Roman" w:eastAsia="Times New Roman" w:hAnsi="Times New Roman" w:cs="Times New Roman"/>
          <w:sz w:val="24"/>
          <w:szCs w:val="24"/>
        </w:rPr>
        <w:t>ummary scores of accuracies were calculated for the immediate and delayed posttests, respectively. The internal consistency reliability of the overall accuracy across these two assessment time points was acceptable (Cronbach’s α = 0.77).</w:t>
      </w:r>
    </w:p>
    <w:sectPr w:rsidR="00330B8D" w:rsidRPr="008153F8" w:rsidSect="008153F8">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D509FB5-13E2-4847-9C3A-CABEBB20F097}"/>
  </w:font>
  <w:font w:name="Cambria">
    <w:panose1 w:val="02040503050406030204"/>
    <w:charset w:val="00"/>
    <w:family w:val="roman"/>
    <w:pitch w:val="variable"/>
    <w:sig w:usb0="E00006FF" w:usb1="420024FF" w:usb2="02000000" w:usb3="00000000" w:csb0="0000019F" w:csb1="00000000"/>
    <w:embedRegular r:id="rId2" w:fontKey="{462B2C50-DDB5-43DE-9CF2-D4F830D641F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B8D"/>
    <w:rsid w:val="00330B8D"/>
    <w:rsid w:val="008153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B0377B-9D9A-4B0A-9FC5-5995E8DE8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3Y3iJjQbjqk" TargetMode="External"/><Relationship Id="rId5" Type="http://schemas.openxmlformats.org/officeDocument/2006/relationships/hyperlink" Target="https://youtu.be/3Y3iJjQbjqk"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1094</Words>
  <Characters>6242</Characters>
  <Application>Microsoft Office Word</Application>
  <DocSecurity>0</DocSecurity>
  <Lines>52</Lines>
  <Paragraphs>14</Paragraphs>
  <ScaleCrop>false</ScaleCrop>
  <Company>HP Inc.</Company>
  <LinksUpToDate>false</LinksUpToDate>
  <CharactersWithSpaces>7322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Vijaychowdary Uppalapati</cp:lastModifiedBy>
  <cp:revision>2</cp:revision>
  <dcterms:created xsi:type="dcterms:W3CDTF">2026-05-21T02:49:00Z</dcterms:created>
  <dcterms:modified xsi:type="dcterms:W3CDTF">2026-05-21T02:49:00Z</dcterms:modified>
</cp:coreProperties>
</file>