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5D6" w:rsidRPr="000108BB" w:rsidRDefault="009765D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bCs/>
          <w:kern w:val="0"/>
          <w:sz w:val="21"/>
          <w:szCs w:val="21"/>
        </w:rPr>
      </w:pPr>
      <w:r w:rsidRPr="000108BB">
        <w:rPr>
          <w:rFonts w:ascii="Times New Roman" w:hAnsi="Times New Roman"/>
          <w:sz w:val="21"/>
          <w:szCs w:val="21"/>
        </w:rPr>
        <w:t>Supporting Information</w:t>
      </w:r>
      <w:r w:rsidRPr="000108BB" w:rsidDel="009B480C">
        <w:rPr>
          <w:rFonts w:ascii="Times New Roman" w:hAnsi="Times New Roman"/>
          <w:sz w:val="21"/>
          <w:szCs w:val="21"/>
        </w:rPr>
        <w:t xml:space="preserve"> </w:t>
      </w:r>
    </w:p>
    <w:p w:rsidR="009765D6" w:rsidRDefault="009765D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</w:p>
    <w:p w:rsidR="00C13676" w:rsidRDefault="00C1367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</w:p>
    <w:p w:rsidR="00C13676" w:rsidRPr="000108BB" w:rsidRDefault="00C1367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bCs/>
          <w:kern w:val="0"/>
          <w:sz w:val="21"/>
          <w:szCs w:val="21"/>
        </w:rPr>
      </w:pPr>
      <w:r>
        <w:rPr>
          <w:rFonts w:ascii="Times New Roman" w:hAnsi="Times New Roman"/>
          <w:b/>
          <w:bCs/>
          <w:noProof/>
          <w:kern w:val="0"/>
          <w:sz w:val="21"/>
          <w:szCs w:val="21"/>
        </w:rPr>
        <w:drawing>
          <wp:inline distT="0" distB="0" distL="0" distR="0">
            <wp:extent cx="5274310" cy="1821815"/>
            <wp:effectExtent l="0" t="0" r="254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bCs/>
          <w:kern w:val="0"/>
          <w:sz w:val="21"/>
          <w:szCs w:val="21"/>
        </w:rPr>
      </w:pPr>
      <w:proofErr w:type="gramStart"/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>Figure S1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17-mer frequency distribution of reads data.</w:t>
      </w:r>
      <w:proofErr w:type="gram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A minor peak is at about half the depth of the main peak, indicating the 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heterozygosity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of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M.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.</w:t>
      </w: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 xml:space="preserve"> </w:t>
      </w:r>
    </w:p>
    <w:p w:rsidR="009765D6" w:rsidRDefault="009765D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</w:p>
    <w:p w:rsidR="00C13676" w:rsidRPr="000108BB" w:rsidRDefault="00C1367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bCs/>
          <w:kern w:val="0"/>
          <w:sz w:val="21"/>
          <w:szCs w:val="21"/>
        </w:rPr>
      </w:pPr>
      <w:r>
        <w:rPr>
          <w:rFonts w:ascii="Times New Roman" w:hAnsi="Times New Roman"/>
          <w:b/>
          <w:bCs/>
          <w:noProof/>
          <w:kern w:val="0"/>
          <w:sz w:val="21"/>
          <w:szCs w:val="21"/>
        </w:rPr>
        <w:drawing>
          <wp:inline distT="0" distB="0" distL="0" distR="0">
            <wp:extent cx="4114800" cy="3085854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0056" cy="308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sz w:val="21"/>
          <w:szCs w:val="21"/>
        </w:rPr>
      </w:pP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>Figure S</w:t>
      </w:r>
      <w:r w:rsidRPr="000108BB">
        <w:rPr>
          <w:rFonts w:ascii="Times New Roman" w:hAnsi="Times New Roman"/>
          <w:b/>
          <w:sz w:val="21"/>
          <w:szCs w:val="21"/>
        </w:rPr>
        <w:t>2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Distribution of exon numbers in annotated mRNA sequences. Annotation data of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Vitis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vinifera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,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Populus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trichocarpa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,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proofErr w:type="gram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Selaginella</w:t>
      </w:r>
      <w:proofErr w:type="spellEnd"/>
      <w:proofErr w:type="gram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moellendorffii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were used in parallel with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Moringa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oleifera’s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annotation data.</w:t>
      </w:r>
    </w:p>
    <w:p w:rsidR="009765D6" w:rsidRPr="000108BB" w:rsidRDefault="00C1367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bCs/>
          <w:kern w:val="0"/>
          <w:sz w:val="21"/>
          <w:szCs w:val="21"/>
        </w:rPr>
      </w:pPr>
      <w:r>
        <w:rPr>
          <w:rFonts w:ascii="Times New Roman" w:hAnsi="Times New Roman"/>
          <w:b/>
          <w:bCs/>
          <w:noProof/>
          <w:kern w:val="0"/>
          <w:sz w:val="21"/>
          <w:szCs w:val="21"/>
        </w:rPr>
        <w:lastRenderedPageBreak/>
        <w:drawing>
          <wp:inline distT="0" distB="0" distL="0" distR="0">
            <wp:extent cx="5274310" cy="3955415"/>
            <wp:effectExtent l="0" t="0" r="2540" b="698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sz w:val="21"/>
          <w:szCs w:val="21"/>
        </w:rPr>
      </w:pP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>Figure S3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Distribution of mRNA length, CDS length, exon length and intron length. Alongside the genome annotation of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Moringa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, we used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Vitis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vinifera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,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Populus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trichocarpa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,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Selaginella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moellendorffii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genome annotation as references.</w:t>
      </w:r>
    </w:p>
    <w:p w:rsidR="00C13676" w:rsidRDefault="00C1367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</w:p>
    <w:p w:rsidR="00C13676" w:rsidRDefault="00C13676" w:rsidP="00C13676">
      <w:pPr>
        <w:widowControl/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hint="eastAsia"/>
          <w:b/>
          <w:bCs/>
          <w:kern w:val="0"/>
          <w:sz w:val="21"/>
          <w:szCs w:val="21"/>
        </w:rPr>
      </w:pPr>
      <w:r>
        <w:rPr>
          <w:rFonts w:ascii="Times New Roman" w:hAnsi="Times New Roman" w:hint="eastAsia"/>
          <w:b/>
          <w:bCs/>
          <w:noProof/>
          <w:kern w:val="0"/>
          <w:sz w:val="21"/>
          <w:szCs w:val="21"/>
        </w:rPr>
        <w:drawing>
          <wp:inline distT="0" distB="0" distL="0" distR="0">
            <wp:extent cx="3409950" cy="28575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4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59" b="16898"/>
                    <a:stretch/>
                  </pic:blipFill>
                  <pic:spPr bwMode="auto">
                    <a:xfrm>
                      <a:off x="0" y="0"/>
                      <a:ext cx="3409524" cy="2857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sz w:val="21"/>
          <w:szCs w:val="21"/>
        </w:rPr>
      </w:pP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lastRenderedPageBreak/>
        <w:t>Figure S4</w:t>
      </w:r>
      <w:r w:rsidRPr="000108BB">
        <w:rPr>
          <w:rFonts w:ascii="Times New Roman" w:hAnsi="Times New Roman"/>
          <w:sz w:val="21"/>
          <w:szCs w:val="21"/>
        </w:rPr>
        <w:t xml:space="preserve"> Distribution of Divergence Rate of each Type of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Moringa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r w:rsidRPr="000108BB">
        <w:rPr>
          <w:rFonts w:ascii="Times New Roman" w:hAnsi="Times New Roman"/>
          <w:sz w:val="21"/>
          <w:szCs w:val="21"/>
        </w:rPr>
        <w:t>’s</w:t>
      </w:r>
      <w:proofErr w:type="spellEnd"/>
      <w:r w:rsidRPr="000108BB">
        <w:rPr>
          <w:rFonts w:ascii="Times New Roman" w:hAnsi="Times New Roman"/>
          <w:sz w:val="21"/>
          <w:szCs w:val="21"/>
        </w:rPr>
        <w:t xml:space="preserve"> TE. Divergence rate was calculated between the identified TE elements in the genome by homology-based method and the consensus sequence in the </w:t>
      </w:r>
      <w:proofErr w:type="spellStart"/>
      <w:r w:rsidRPr="000108BB">
        <w:rPr>
          <w:rFonts w:ascii="Times New Roman" w:hAnsi="Times New Roman"/>
          <w:sz w:val="21"/>
          <w:szCs w:val="21"/>
        </w:rPr>
        <w:t>Repbase</w:t>
      </w:r>
      <w:proofErr w:type="spellEnd"/>
      <w:r w:rsidRPr="000108BB">
        <w:rPr>
          <w:rFonts w:ascii="Times New Roman" w:hAnsi="Times New Roman"/>
          <w:sz w:val="21"/>
          <w:szCs w:val="21"/>
        </w:rPr>
        <w:t>.</w:t>
      </w:r>
    </w:p>
    <w:p w:rsidR="009765D6" w:rsidRDefault="009765D6" w:rsidP="009765D6">
      <w:pPr>
        <w:pStyle w:val="Default"/>
        <w:spacing w:line="480" w:lineRule="auto"/>
        <w:rPr>
          <w:rFonts w:hint="eastAsia"/>
          <w:b/>
          <w:bCs/>
          <w:sz w:val="21"/>
          <w:szCs w:val="21"/>
        </w:rPr>
      </w:pPr>
    </w:p>
    <w:p w:rsidR="004F726C" w:rsidRPr="000108BB" w:rsidRDefault="004F726C" w:rsidP="004F726C">
      <w:pPr>
        <w:pStyle w:val="Default"/>
        <w:spacing w:line="480" w:lineRule="auto"/>
        <w:jc w:val="center"/>
        <w:rPr>
          <w:rFonts w:hint="eastAsia"/>
          <w:b/>
          <w:bCs/>
          <w:sz w:val="21"/>
          <w:szCs w:val="21"/>
        </w:rPr>
      </w:pPr>
      <w:r>
        <w:rPr>
          <w:rFonts w:hint="eastAsia"/>
          <w:b/>
          <w:bCs/>
          <w:noProof/>
          <w:sz w:val="21"/>
          <w:szCs w:val="21"/>
        </w:rPr>
        <w:drawing>
          <wp:inline distT="0" distB="0" distL="0" distR="0">
            <wp:extent cx="3324225" cy="2639849"/>
            <wp:effectExtent l="0" t="0" r="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2625" cy="263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pStyle w:val="Default"/>
        <w:spacing w:line="480" w:lineRule="auto"/>
        <w:rPr>
          <w:sz w:val="21"/>
          <w:szCs w:val="21"/>
        </w:rPr>
      </w:pPr>
      <w:r w:rsidRPr="000108BB">
        <w:rPr>
          <w:b/>
          <w:bCs/>
          <w:sz w:val="21"/>
          <w:szCs w:val="21"/>
        </w:rPr>
        <w:t>Figure S5</w:t>
      </w:r>
      <w:r w:rsidRPr="000108BB">
        <w:rPr>
          <w:b/>
          <w:bCs/>
          <w:color w:val="auto"/>
          <w:sz w:val="21"/>
          <w:szCs w:val="21"/>
        </w:rPr>
        <w:t xml:space="preserve"> </w:t>
      </w:r>
      <w:r w:rsidRPr="000108BB">
        <w:rPr>
          <w:color w:val="auto"/>
          <w:sz w:val="21"/>
          <w:szCs w:val="21"/>
        </w:rPr>
        <w:t xml:space="preserve">Distribution of Divergence Rate of each Type of </w:t>
      </w:r>
      <w:proofErr w:type="spellStart"/>
      <w:r w:rsidRPr="000108BB">
        <w:rPr>
          <w:bCs/>
          <w:i/>
          <w:sz w:val="21"/>
          <w:szCs w:val="21"/>
        </w:rPr>
        <w:t>Moringa</w:t>
      </w:r>
      <w:proofErr w:type="spellEnd"/>
      <w:r w:rsidRPr="000108BB">
        <w:rPr>
          <w:bCs/>
          <w:i/>
          <w:sz w:val="21"/>
          <w:szCs w:val="21"/>
        </w:rPr>
        <w:t xml:space="preserve"> </w:t>
      </w:r>
      <w:proofErr w:type="spellStart"/>
      <w:r w:rsidRPr="000108BB">
        <w:rPr>
          <w:bCs/>
          <w:i/>
          <w:sz w:val="21"/>
          <w:szCs w:val="21"/>
        </w:rPr>
        <w:t>oleifera</w:t>
      </w:r>
      <w:r w:rsidRPr="000108BB">
        <w:rPr>
          <w:sz w:val="21"/>
          <w:szCs w:val="21"/>
        </w:rPr>
        <w:t>’s</w:t>
      </w:r>
      <w:proofErr w:type="spellEnd"/>
      <w:r w:rsidRPr="000108BB">
        <w:rPr>
          <w:sz w:val="21"/>
          <w:szCs w:val="21"/>
        </w:rPr>
        <w:t xml:space="preserve"> </w:t>
      </w:r>
      <w:r w:rsidRPr="000108BB">
        <w:rPr>
          <w:color w:val="auto"/>
          <w:sz w:val="21"/>
          <w:szCs w:val="21"/>
        </w:rPr>
        <w:t>TE. Divergence rate was calculated between the identified TE elements in the genome by de novo method and the consensus sequence in the predicted TE library.</w:t>
      </w:r>
    </w:p>
    <w:p w:rsidR="009765D6" w:rsidRDefault="009765D6" w:rsidP="009765D6">
      <w:pPr>
        <w:spacing w:line="480" w:lineRule="auto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</w:p>
    <w:p w:rsidR="00B8484B" w:rsidRPr="000108BB" w:rsidRDefault="00B8484B" w:rsidP="009765D6">
      <w:pPr>
        <w:spacing w:line="480" w:lineRule="auto"/>
        <w:jc w:val="left"/>
        <w:rPr>
          <w:rFonts w:ascii="Times New Roman" w:hAnsi="Times New Roman"/>
          <w:b/>
          <w:bCs/>
          <w:kern w:val="0"/>
          <w:sz w:val="21"/>
          <w:szCs w:val="21"/>
        </w:rPr>
      </w:pPr>
      <w:r>
        <w:rPr>
          <w:rFonts w:ascii="Times New Roman" w:hAnsi="Times New Roman"/>
          <w:b/>
          <w:bCs/>
          <w:noProof/>
          <w:kern w:val="0"/>
          <w:sz w:val="21"/>
          <w:szCs w:val="21"/>
        </w:rPr>
        <w:drawing>
          <wp:inline distT="0" distB="0" distL="0" distR="0">
            <wp:extent cx="5274310" cy="252793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6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spacing w:line="480" w:lineRule="auto"/>
        <w:jc w:val="left"/>
        <w:rPr>
          <w:rFonts w:ascii="Times New Roman" w:hAnsi="Times New Roman"/>
          <w:bCs/>
          <w:kern w:val="0"/>
          <w:sz w:val="21"/>
          <w:szCs w:val="21"/>
        </w:rPr>
      </w:pP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>Figure S6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GO analysis of the 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miRNA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targeted gene. Note: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P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-value cutoff was set at 0.0005 to 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lastRenderedPageBreak/>
        <w:t>optimize the image.</w:t>
      </w:r>
    </w:p>
    <w:p w:rsidR="009765D6" w:rsidRDefault="009765D6" w:rsidP="009765D6">
      <w:pPr>
        <w:spacing w:line="480" w:lineRule="auto"/>
        <w:jc w:val="left"/>
        <w:rPr>
          <w:rFonts w:ascii="Times New Roman" w:hAnsi="Times New Roman" w:hint="eastAsia"/>
          <w:bCs/>
          <w:kern w:val="0"/>
          <w:sz w:val="21"/>
          <w:szCs w:val="21"/>
        </w:rPr>
      </w:pPr>
    </w:p>
    <w:p w:rsidR="00B8484B" w:rsidRPr="000108BB" w:rsidRDefault="00B8484B" w:rsidP="009765D6">
      <w:pPr>
        <w:spacing w:line="480" w:lineRule="auto"/>
        <w:jc w:val="left"/>
        <w:rPr>
          <w:rFonts w:ascii="Times New Roman" w:hAnsi="Times New Roman"/>
          <w:bCs/>
          <w:kern w:val="0"/>
          <w:sz w:val="21"/>
          <w:szCs w:val="21"/>
        </w:rPr>
      </w:pPr>
      <w:r>
        <w:rPr>
          <w:rFonts w:ascii="Times New Roman" w:hAnsi="Times New Roman"/>
          <w:bCs/>
          <w:noProof/>
          <w:kern w:val="0"/>
          <w:sz w:val="21"/>
          <w:szCs w:val="21"/>
        </w:rPr>
        <w:drawing>
          <wp:inline distT="0" distB="0" distL="0" distR="0">
            <wp:extent cx="5274310" cy="197739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spacing w:line="480" w:lineRule="auto"/>
        <w:jc w:val="left"/>
        <w:rPr>
          <w:rFonts w:ascii="Times New Roman" w:hAnsi="Times New Roman"/>
          <w:bCs/>
          <w:kern w:val="0"/>
          <w:sz w:val="21"/>
          <w:szCs w:val="21"/>
        </w:rPr>
      </w:pP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Figure S7 Phylogenetic tree of four 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Brassicales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(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Arabidopsis thaliana, Brassica </w:t>
      </w:r>
      <w:proofErr w:type="spellStart"/>
      <w:proofErr w:type="gram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rapa</w:t>
      </w:r>
      <w:proofErr w:type="spellEnd"/>
      <w:proofErr w:type="gram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,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Carica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papaya, 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and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Moringa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).</w:t>
      </w:r>
    </w:p>
    <w:p w:rsidR="009765D6" w:rsidRDefault="009765D6" w:rsidP="009765D6">
      <w:pPr>
        <w:spacing w:line="480" w:lineRule="auto"/>
        <w:jc w:val="left"/>
        <w:rPr>
          <w:rFonts w:ascii="Times New Roman" w:hAnsi="Times New Roman" w:hint="eastAsia"/>
          <w:bCs/>
          <w:kern w:val="0"/>
          <w:sz w:val="21"/>
          <w:szCs w:val="21"/>
        </w:rPr>
      </w:pPr>
    </w:p>
    <w:p w:rsidR="00B8484B" w:rsidRPr="000108BB" w:rsidRDefault="00B8484B" w:rsidP="00B8484B">
      <w:pPr>
        <w:spacing w:line="480" w:lineRule="auto"/>
        <w:jc w:val="center"/>
        <w:rPr>
          <w:rFonts w:ascii="Times New Roman" w:hAnsi="Times New Roman"/>
          <w:bCs/>
          <w:kern w:val="0"/>
          <w:sz w:val="21"/>
          <w:szCs w:val="21"/>
        </w:rPr>
      </w:pPr>
      <w:r>
        <w:rPr>
          <w:rFonts w:ascii="Times New Roman" w:hAnsi="Times New Roman"/>
          <w:bCs/>
          <w:noProof/>
          <w:kern w:val="0"/>
          <w:sz w:val="21"/>
          <w:szCs w:val="21"/>
        </w:rPr>
        <w:drawing>
          <wp:inline distT="0" distB="0" distL="0" distR="0">
            <wp:extent cx="4680754" cy="3600450"/>
            <wp:effectExtent l="0" t="0" r="571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21" cy="359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spacing w:line="480" w:lineRule="auto"/>
        <w:jc w:val="left"/>
        <w:rPr>
          <w:rFonts w:ascii="Times New Roman" w:hAnsi="Times New Roman"/>
          <w:sz w:val="21"/>
          <w:szCs w:val="21"/>
        </w:rPr>
      </w:pP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>Figure S8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Orthologous gene distribution among five woody plants.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Vitis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vinifera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,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Cajanus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proofErr w:type="gram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cajan</w:t>
      </w:r>
      <w:proofErr w:type="spellEnd"/>
      <w:proofErr w:type="gram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,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Carica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papaya,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Malus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pumila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serve as the out group species to search the orthologous 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lastRenderedPageBreak/>
        <w:t>genes.</w:t>
      </w:r>
    </w:p>
    <w:p w:rsidR="009765D6" w:rsidRDefault="009765D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</w:p>
    <w:p w:rsidR="00B8484B" w:rsidRPr="000108BB" w:rsidRDefault="00B8484B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bCs/>
          <w:kern w:val="0"/>
          <w:sz w:val="21"/>
          <w:szCs w:val="21"/>
        </w:rPr>
      </w:pPr>
      <w:r>
        <w:rPr>
          <w:rFonts w:ascii="Times New Roman" w:hAnsi="Times New Roman"/>
          <w:b/>
          <w:bCs/>
          <w:noProof/>
          <w:kern w:val="0"/>
          <w:sz w:val="21"/>
          <w:szCs w:val="21"/>
        </w:rPr>
        <w:drawing>
          <wp:inline distT="0" distB="0" distL="0" distR="0">
            <wp:extent cx="5274310" cy="2527935"/>
            <wp:effectExtent l="0" t="0" r="2540" b="571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9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widowControl/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kern w:val="0"/>
          <w:sz w:val="21"/>
          <w:szCs w:val="21"/>
        </w:rPr>
      </w:pP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>Figure S9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GO enrichment analysis of the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M.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specific gene family. These genes belong to the family that only exists in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M.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>but not in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Vitis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vinifera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,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Cajanus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proofErr w:type="gram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cajan</w:t>
      </w:r>
      <w:proofErr w:type="spellEnd"/>
      <w:proofErr w:type="gram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,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Carica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papaya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>,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Malus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pumila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.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P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-value cutoff is set 0.01. </w:t>
      </w:r>
    </w:p>
    <w:p w:rsidR="009765D6" w:rsidRDefault="009765D6" w:rsidP="009765D6">
      <w:pPr>
        <w:widowControl/>
        <w:spacing w:line="480" w:lineRule="auto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</w:p>
    <w:p w:rsidR="00B8484B" w:rsidRPr="000108BB" w:rsidRDefault="00B8484B" w:rsidP="009765D6">
      <w:pPr>
        <w:widowControl/>
        <w:spacing w:line="480" w:lineRule="auto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  <w:r>
        <w:rPr>
          <w:rFonts w:ascii="Times New Roman" w:hAnsi="Times New Roman" w:hint="eastAsia"/>
          <w:b/>
          <w:bCs/>
          <w:noProof/>
          <w:kern w:val="0"/>
          <w:sz w:val="21"/>
          <w:szCs w:val="21"/>
        </w:rPr>
        <w:drawing>
          <wp:inline distT="0" distB="0" distL="0" distR="0">
            <wp:extent cx="5274310" cy="2527935"/>
            <wp:effectExtent l="0" t="0" r="254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widowControl/>
        <w:spacing w:line="480" w:lineRule="auto"/>
        <w:jc w:val="left"/>
        <w:rPr>
          <w:rFonts w:ascii="Times New Roman" w:hAnsi="Times New Roman"/>
          <w:bCs/>
          <w:kern w:val="0"/>
          <w:sz w:val="21"/>
          <w:szCs w:val="21"/>
        </w:rPr>
      </w:pP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>Figure S10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Alignment of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M.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gene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lamu_GLEAN_10011614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and its orthologous in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Vitis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vinifera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,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Cajanus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proofErr w:type="gram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cajan</w:t>
      </w:r>
      <w:proofErr w:type="spellEnd"/>
      <w:proofErr w:type="gram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,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Carica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papaya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,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Malus</w:t>
      </w:r>
      <w:proofErr w:type="spellEnd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domestica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. The central region has more variations and N terminal is highly conserved. </w:t>
      </w:r>
    </w:p>
    <w:p w:rsidR="009765D6" w:rsidRPr="000108BB" w:rsidRDefault="00B8484B" w:rsidP="009765D6">
      <w:pPr>
        <w:pStyle w:val="a3"/>
        <w:widowControl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  <w:r>
        <w:rPr>
          <w:rFonts w:ascii="Times New Roman" w:hAnsi="Times New Roman" w:hint="eastAsia"/>
          <w:b/>
          <w:bCs/>
          <w:noProof/>
          <w:kern w:val="0"/>
          <w:sz w:val="21"/>
          <w:szCs w:val="21"/>
        </w:rPr>
        <w:lastRenderedPageBreak/>
        <w:drawing>
          <wp:inline distT="0" distB="0" distL="0" distR="0">
            <wp:extent cx="5274310" cy="745934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pStyle w:val="a3"/>
        <w:widowControl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Times New Roman" w:hAnsi="Times New Roman"/>
          <w:bCs/>
          <w:kern w:val="0"/>
          <w:sz w:val="21"/>
          <w:szCs w:val="21"/>
        </w:rPr>
      </w:pP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>Figure S11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Brassinosteroid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signal transduction pathway in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M.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and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Arabidopsis thaliana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. The number near the left square brackets indicates the copies of this gene in the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lastRenderedPageBreak/>
        <w:t>Arabidopsis thaliana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genome, while the other indicates the copy number in the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M.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genome.</w:t>
      </w:r>
    </w:p>
    <w:p w:rsidR="009765D6" w:rsidRDefault="009765D6" w:rsidP="009765D6">
      <w:pPr>
        <w:pStyle w:val="a3"/>
        <w:widowControl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</w:p>
    <w:p w:rsidR="00B8484B" w:rsidRPr="000108BB" w:rsidRDefault="00B8484B" w:rsidP="009765D6">
      <w:pPr>
        <w:pStyle w:val="a3"/>
        <w:widowControl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  <w:r>
        <w:rPr>
          <w:rFonts w:ascii="Times New Roman" w:hAnsi="Times New Roman" w:hint="eastAsia"/>
          <w:b/>
          <w:bCs/>
          <w:noProof/>
          <w:kern w:val="0"/>
          <w:sz w:val="21"/>
          <w:szCs w:val="21"/>
        </w:rPr>
        <w:drawing>
          <wp:inline distT="0" distB="0" distL="0" distR="0">
            <wp:extent cx="5274310" cy="409702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97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D6" w:rsidRPr="000108BB" w:rsidRDefault="009765D6" w:rsidP="009765D6">
      <w:pPr>
        <w:pStyle w:val="a3"/>
        <w:widowControl/>
        <w:autoSpaceDE w:val="0"/>
        <w:autoSpaceDN w:val="0"/>
        <w:adjustRightInd w:val="0"/>
        <w:spacing w:line="480" w:lineRule="auto"/>
        <w:ind w:firstLineChars="0" w:firstLine="0"/>
        <w:jc w:val="left"/>
        <w:rPr>
          <w:rFonts w:ascii="Times New Roman" w:hAnsi="Times New Roman"/>
          <w:bCs/>
          <w:kern w:val="0"/>
          <w:sz w:val="21"/>
          <w:szCs w:val="21"/>
        </w:rPr>
      </w:pPr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>Figure S12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Simplified metabolic diagram the GABA shunt in relation to the Krebs cycle. GAD, glutamate decarboxylase; GABA-T, GABA transaminase; GDH, glutamate dehydrogenase; SSADH, succinic 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semialdehyde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dehydrogenase.</w:t>
      </w:r>
    </w:p>
    <w:p w:rsidR="009765D6" w:rsidRDefault="009765D6" w:rsidP="009765D6">
      <w:pPr>
        <w:widowControl/>
        <w:spacing w:line="480" w:lineRule="auto"/>
        <w:jc w:val="left"/>
        <w:rPr>
          <w:rFonts w:ascii="Times New Roman" w:hAnsi="Times New Roman" w:hint="eastAsia"/>
          <w:b/>
          <w:bCs/>
          <w:kern w:val="0"/>
          <w:sz w:val="21"/>
          <w:szCs w:val="21"/>
        </w:rPr>
      </w:pPr>
    </w:p>
    <w:p w:rsidR="00B8484B" w:rsidRPr="000108BB" w:rsidRDefault="00B8484B" w:rsidP="009765D6">
      <w:pPr>
        <w:widowControl/>
        <w:spacing w:line="480" w:lineRule="auto"/>
        <w:jc w:val="left"/>
        <w:rPr>
          <w:rFonts w:ascii="Times New Roman" w:hAnsi="Times New Roman"/>
          <w:b/>
          <w:bCs/>
          <w:kern w:val="0"/>
          <w:sz w:val="21"/>
          <w:szCs w:val="21"/>
        </w:rPr>
      </w:pPr>
      <w:bookmarkStart w:id="0" w:name="_GoBack"/>
      <w:r>
        <w:rPr>
          <w:rFonts w:ascii="Times New Roman" w:hAnsi="Times New Roman"/>
          <w:b/>
          <w:bCs/>
          <w:noProof/>
          <w:kern w:val="0"/>
          <w:sz w:val="21"/>
          <w:szCs w:val="21"/>
        </w:rPr>
        <w:lastRenderedPageBreak/>
        <w:drawing>
          <wp:inline distT="0" distB="0" distL="0" distR="0">
            <wp:extent cx="5274310" cy="672655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S13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2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E064E" w:rsidRDefault="009765D6" w:rsidP="009765D6">
      <w:proofErr w:type="gramStart"/>
      <w:r w:rsidRPr="000108BB">
        <w:rPr>
          <w:rFonts w:ascii="Times New Roman" w:hAnsi="Times New Roman"/>
          <w:b/>
          <w:bCs/>
          <w:kern w:val="0"/>
          <w:sz w:val="21"/>
          <w:szCs w:val="21"/>
        </w:rPr>
        <w:t xml:space="preserve">Figure S13 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>Biosynthesis of (24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ξ</w:t>
      </w:r>
      <w:r w:rsidRPr="000108BB">
        <w:rPr>
          <w:rFonts w:ascii="Times New Roman" w:hAnsi="Times New Roman"/>
          <w:bCs/>
          <w:kern w:val="0"/>
          <w:sz w:val="21"/>
          <w:szCs w:val="21"/>
        </w:rPr>
        <w:t>)-24-methyl cholesterol (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campesterol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) and (24R)-24-ethyl cholesterol (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sitosterol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) in Arabidopsis thaliana and </w:t>
      </w:r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 xml:space="preserve">M. </w:t>
      </w:r>
      <w:proofErr w:type="spellStart"/>
      <w:r w:rsidRPr="000108BB">
        <w:rPr>
          <w:rFonts w:ascii="Times New Roman" w:hAnsi="Times New Roman"/>
          <w:bCs/>
          <w:i/>
          <w:kern w:val="0"/>
          <w:sz w:val="21"/>
          <w:szCs w:val="21"/>
        </w:rPr>
        <w:t>oleifera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genome.</w:t>
      </w:r>
      <w:proofErr w:type="gram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</w:t>
      </w:r>
      <w:proofErr w:type="gramStart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CPI, 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cyclopropyl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sterol 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isomerase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; SMT, sterol 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methyltransferase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; OBT14DM, obtusifoliol-14-demethylase; SMO, sterol 4-methyl oxidase; DWF1, gene encoding the ∆5-sterol-∆24-reductase.</w:t>
      </w:r>
      <w:proofErr w:type="gram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 (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isomerase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 xml:space="preserve">); FACKEL, gene encoding the ∆8,14-sterol-∆14-reductase; HYDRA1, gene encoding the ∆8-∆7-sterol 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isomerase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; DWF5, gene encoding the ∆5,7-sterol-∆7-reductase; DWF7, ∆7-sterol-C5(6)-</w:t>
      </w:r>
      <w:proofErr w:type="spellStart"/>
      <w:r w:rsidRPr="000108BB">
        <w:rPr>
          <w:rFonts w:ascii="Times New Roman" w:hAnsi="Times New Roman"/>
          <w:bCs/>
          <w:kern w:val="0"/>
          <w:sz w:val="21"/>
          <w:szCs w:val="21"/>
        </w:rPr>
        <w:t>desaturase</w:t>
      </w:r>
      <w:proofErr w:type="spellEnd"/>
      <w:r w:rsidRPr="000108BB">
        <w:rPr>
          <w:rFonts w:ascii="Times New Roman" w:hAnsi="Times New Roman"/>
          <w:bCs/>
          <w:kern w:val="0"/>
          <w:sz w:val="21"/>
          <w:szCs w:val="21"/>
        </w:rPr>
        <w:t>.</w:t>
      </w:r>
    </w:p>
    <w:sectPr w:rsidR="005E06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5D6"/>
    <w:rsid w:val="00181E6D"/>
    <w:rsid w:val="001F4ED2"/>
    <w:rsid w:val="004F726C"/>
    <w:rsid w:val="005E064E"/>
    <w:rsid w:val="009765D6"/>
    <w:rsid w:val="00B8484B"/>
    <w:rsid w:val="00C1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5D6"/>
    <w:pPr>
      <w:widowControl w:val="0"/>
      <w:jc w:val="both"/>
    </w:pPr>
    <w:rPr>
      <w:rFonts w:ascii="Calibri" w:hAnsi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5D6"/>
    <w:pPr>
      <w:ind w:firstLineChars="200" w:firstLine="420"/>
    </w:pPr>
  </w:style>
  <w:style w:type="paragraph" w:customStyle="1" w:styleId="Default">
    <w:name w:val="Default"/>
    <w:rsid w:val="009765D6"/>
    <w:pPr>
      <w:widowControl w:val="0"/>
      <w:autoSpaceDE w:val="0"/>
      <w:autoSpaceDN w:val="0"/>
      <w:adjustRightInd w:val="0"/>
    </w:pPr>
    <w:rPr>
      <w:color w:val="000000"/>
    </w:rPr>
  </w:style>
  <w:style w:type="paragraph" w:styleId="a4">
    <w:name w:val="Balloon Text"/>
    <w:basedOn w:val="a"/>
    <w:link w:val="Char"/>
    <w:rsid w:val="00C13676"/>
    <w:rPr>
      <w:sz w:val="18"/>
      <w:szCs w:val="18"/>
    </w:rPr>
  </w:style>
  <w:style w:type="character" w:customStyle="1" w:styleId="Char">
    <w:name w:val="批注框文本 Char"/>
    <w:basedOn w:val="a0"/>
    <w:link w:val="a4"/>
    <w:rsid w:val="00C13676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65D6"/>
    <w:pPr>
      <w:widowControl w:val="0"/>
      <w:jc w:val="both"/>
    </w:pPr>
    <w:rPr>
      <w:rFonts w:ascii="Calibri" w:hAnsi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5D6"/>
    <w:pPr>
      <w:ind w:firstLineChars="200" w:firstLine="420"/>
    </w:pPr>
  </w:style>
  <w:style w:type="paragraph" w:customStyle="1" w:styleId="Default">
    <w:name w:val="Default"/>
    <w:rsid w:val="009765D6"/>
    <w:pPr>
      <w:widowControl w:val="0"/>
      <w:autoSpaceDE w:val="0"/>
      <w:autoSpaceDN w:val="0"/>
      <w:adjustRightInd w:val="0"/>
    </w:pPr>
    <w:rPr>
      <w:color w:val="000000"/>
    </w:rPr>
  </w:style>
  <w:style w:type="paragraph" w:styleId="a4">
    <w:name w:val="Balloon Text"/>
    <w:basedOn w:val="a"/>
    <w:link w:val="Char"/>
    <w:rsid w:val="00C13676"/>
    <w:rPr>
      <w:sz w:val="18"/>
      <w:szCs w:val="18"/>
    </w:rPr>
  </w:style>
  <w:style w:type="character" w:customStyle="1" w:styleId="Char">
    <w:name w:val="批注框文本 Char"/>
    <w:basedOn w:val="a0"/>
    <w:link w:val="a4"/>
    <w:rsid w:val="00C1367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" Type="http://schemas.microsoft.com/office/2007/relationships/stylesWithEffects" Target="stylesWithEffects.xml"/><Relationship Id="rId16" Type="http://schemas.openxmlformats.org/officeDocument/2006/relationships/image" Target="media/image12.jp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457</Words>
  <Characters>2608</Characters>
  <Application>Microsoft Office Word</Application>
  <DocSecurity>0</DocSecurity>
  <Lines>21</Lines>
  <Paragraphs>6</Paragraphs>
  <ScaleCrop>false</ScaleCrop>
  <Company>WwW.YlmF.CoM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LX</dc:creator>
  <cp:keywords/>
  <dc:description/>
  <cp:lastModifiedBy>LX</cp:lastModifiedBy>
  <cp:revision>5</cp:revision>
  <dcterms:created xsi:type="dcterms:W3CDTF">2015-05-21T07:36:00Z</dcterms:created>
  <dcterms:modified xsi:type="dcterms:W3CDTF">2015-05-21T07:41:00Z</dcterms:modified>
</cp:coreProperties>
</file>