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5A17" w14:textId="3BF21E5B" w:rsidR="00C852FF" w:rsidRDefault="00000000">
      <w:pPr>
        <w:jc w:val="center"/>
      </w:pPr>
      <w:r>
        <w:rPr>
          <w:b/>
          <w:color w:val="1F4E79"/>
          <w:sz w:val="32"/>
        </w:rPr>
        <w:t>Supplementary Text – Key Concepts</w:t>
      </w:r>
    </w:p>
    <w:p w14:paraId="1C5244EA" w14:textId="77777777" w:rsidR="00C852FF" w:rsidRPr="00DA5D03" w:rsidRDefault="00000000">
      <w:pPr>
        <w:pStyle w:val="SectionHeadingBlue"/>
        <w:rPr>
          <w:szCs w:val="24"/>
        </w:rPr>
      </w:pPr>
      <w:r w:rsidRPr="00DA5D03">
        <w:rPr>
          <w:szCs w:val="24"/>
        </w:rPr>
        <w:t>Core symbiosis concepts</w:t>
      </w:r>
    </w:p>
    <w:p w14:paraId="1B2A7BEF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Symbiosis (Symbiont): </w:t>
      </w:r>
      <w:r w:rsidRPr="00DA5D03">
        <w:rPr>
          <w:sz w:val="24"/>
          <w:szCs w:val="24"/>
        </w:rPr>
        <w:t xml:space="preserve">A close, often long-term association between different species in which at least one partner benefits; a symbiont is an organism participating in that association. </w:t>
      </w:r>
      <w:r w:rsidRPr="00DA5D03">
        <w:rPr>
          <w:i/>
          <w:sz w:val="24"/>
          <w:szCs w:val="24"/>
        </w:rPr>
        <w:t>(Moran 2006)</w:t>
      </w:r>
    </w:p>
    <w:p w14:paraId="47E138C5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Endosymbiosis (Endosymbionts): </w:t>
      </w:r>
      <w:r w:rsidRPr="00DA5D03">
        <w:rPr>
          <w:sz w:val="24"/>
          <w:szCs w:val="24"/>
        </w:rPr>
        <w:t xml:space="preserve">A symbiosis in which the symbiont lives within host tissues, either intracellularly or extracellularly; transmission may be vertical or horizontal, and dependence may be obligate or facultative. </w:t>
      </w:r>
      <w:r w:rsidRPr="00DA5D03">
        <w:rPr>
          <w:i/>
          <w:sz w:val="24"/>
          <w:szCs w:val="24"/>
        </w:rPr>
        <w:t>(Keeling and McCutcheon 2017)</w:t>
      </w:r>
    </w:p>
    <w:p w14:paraId="264BB935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Ectosymbiosis (Ectosymbionts): </w:t>
      </w:r>
      <w:r w:rsidRPr="00DA5D03">
        <w:rPr>
          <w:sz w:val="24"/>
          <w:szCs w:val="24"/>
        </w:rPr>
        <w:t xml:space="preserve">A symbiosis in which the symbiont lives on the host surface, including luminal surfaces such as the digestive tract and exocrine ducts. </w:t>
      </w:r>
      <w:r w:rsidRPr="00DA5D03">
        <w:rPr>
          <w:i/>
          <w:sz w:val="24"/>
          <w:szCs w:val="24"/>
        </w:rPr>
        <w:t>(Bright and Bulgheresi 2010)</w:t>
      </w:r>
    </w:p>
    <w:p w14:paraId="420CDF59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ED07EA">
        <w:rPr>
          <w:b/>
          <w:sz w:val="24"/>
          <w:szCs w:val="24"/>
        </w:rPr>
        <w:t>Commensalism:</w:t>
      </w:r>
      <w:r w:rsidRPr="00DA5D03">
        <w:rPr>
          <w:sz w:val="24"/>
          <w:szCs w:val="24"/>
        </w:rPr>
        <w:t xml:space="preserve"> A symbiosis in which one partner benefits and the other is unaffected. (Leung and Poulin 2008)</w:t>
      </w:r>
    </w:p>
    <w:p w14:paraId="02E142E9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Mutualistic interaction: </w:t>
      </w:r>
      <w:r w:rsidRPr="00DA5D03">
        <w:rPr>
          <w:sz w:val="24"/>
          <w:szCs w:val="24"/>
        </w:rPr>
        <w:t xml:space="preserve">An ecological interaction in which both partners benefit. </w:t>
      </w:r>
      <w:r w:rsidRPr="00DA5D03">
        <w:rPr>
          <w:i/>
          <w:sz w:val="24"/>
          <w:szCs w:val="24"/>
        </w:rPr>
        <w:t>(Bronstein 1994)</w:t>
      </w:r>
    </w:p>
    <w:p w14:paraId="16D09580" w14:textId="77777777" w:rsidR="00C852FF" w:rsidRPr="00DA5D03" w:rsidRDefault="00000000">
      <w:pPr>
        <w:pStyle w:val="SectionHeadingBlue"/>
        <w:rPr>
          <w:szCs w:val="24"/>
        </w:rPr>
      </w:pPr>
      <w:r w:rsidRPr="00DA5D03">
        <w:rPr>
          <w:szCs w:val="24"/>
        </w:rPr>
        <w:t>Holobiont and hologenome framework</w:t>
      </w:r>
    </w:p>
    <w:p w14:paraId="5B041376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Holobiont: </w:t>
      </w:r>
      <w:r w:rsidRPr="00DA5D03">
        <w:rPr>
          <w:sz w:val="24"/>
          <w:szCs w:val="24"/>
        </w:rPr>
        <w:t xml:space="preserve">The host plus its associated microorganisms, treated as an ecological and potentially evolutionary unit. </w:t>
      </w:r>
      <w:r w:rsidRPr="00DA5D03">
        <w:rPr>
          <w:i/>
          <w:sz w:val="24"/>
          <w:szCs w:val="24"/>
        </w:rPr>
        <w:t>(Theis et al. 2016)</w:t>
      </w:r>
    </w:p>
    <w:p w14:paraId="466B7D0B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Hologenome: </w:t>
      </w:r>
      <w:r w:rsidRPr="00DA5D03">
        <w:rPr>
          <w:sz w:val="24"/>
          <w:szCs w:val="24"/>
        </w:rPr>
        <w:t xml:space="preserve">The total genetic repertoire of a holobiont, including host, organellar, and microbiome genomes. </w:t>
      </w:r>
      <w:r w:rsidRPr="00DA5D03">
        <w:rPr>
          <w:i/>
          <w:sz w:val="24"/>
          <w:szCs w:val="24"/>
        </w:rPr>
        <w:t>(Zilber-Rosenberg and Rosenberg 2008)</w:t>
      </w:r>
    </w:p>
    <w:p w14:paraId="24A8ED68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Hologenomics: </w:t>
      </w:r>
      <w:r w:rsidRPr="00DA5D03">
        <w:rPr>
          <w:sz w:val="24"/>
          <w:szCs w:val="24"/>
        </w:rPr>
        <w:t xml:space="preserve">An integrative omics framework that jointly analyzes host and associated-community genomes to study host–microbe interactions, regardless of whether selection acts at the holobiont level. </w:t>
      </w:r>
      <w:r w:rsidRPr="00DA5D03">
        <w:rPr>
          <w:i/>
          <w:sz w:val="24"/>
          <w:szCs w:val="24"/>
        </w:rPr>
        <w:t>(Alberdi et al. 2022)</w:t>
      </w:r>
    </w:p>
    <w:p w14:paraId="7FA88386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Metagenotype: </w:t>
      </w:r>
      <w:r w:rsidRPr="00DA5D03">
        <w:rPr>
          <w:sz w:val="24"/>
          <w:szCs w:val="24"/>
        </w:rPr>
        <w:t xml:space="preserve">The state of a microbial metagenome at a defined time point and analytical resolution. </w:t>
      </w:r>
      <w:r w:rsidRPr="00DA5D03">
        <w:rPr>
          <w:i/>
          <w:sz w:val="24"/>
          <w:szCs w:val="24"/>
        </w:rPr>
        <w:t>(Alberdi et al. 2022)</w:t>
      </w:r>
    </w:p>
    <w:p w14:paraId="7ECA9639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Hologenotype: </w:t>
      </w:r>
      <w:r w:rsidRPr="00DA5D03">
        <w:rPr>
          <w:sz w:val="24"/>
          <w:szCs w:val="24"/>
        </w:rPr>
        <w:t xml:space="preserve">The combined genetic constitution of a host and its associated microorganisms at a defined time point and analytical resolution. </w:t>
      </w:r>
      <w:r w:rsidRPr="00DA5D03">
        <w:rPr>
          <w:i/>
          <w:sz w:val="24"/>
          <w:szCs w:val="24"/>
        </w:rPr>
        <w:t>(Alberdi et al. 2022)</w:t>
      </w:r>
    </w:p>
    <w:p w14:paraId="3CF2144D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Super-organism: </w:t>
      </w:r>
      <w:r w:rsidRPr="00DA5D03">
        <w:rPr>
          <w:sz w:val="24"/>
          <w:szCs w:val="24"/>
        </w:rPr>
        <w:t xml:space="preserve">A synergistic group of organisms of the same species; unlike a holobiont, it does not refer to a multispecies host–microbe assemblage. </w:t>
      </w:r>
      <w:r w:rsidRPr="00DA5D03">
        <w:rPr>
          <w:i/>
          <w:sz w:val="24"/>
          <w:szCs w:val="24"/>
        </w:rPr>
        <w:t>(Wilson and Sober 1989)</w:t>
      </w:r>
    </w:p>
    <w:p w14:paraId="2E0190BC" w14:textId="77777777" w:rsidR="00C852FF" w:rsidRPr="00DA5D03" w:rsidRDefault="00000000">
      <w:pPr>
        <w:pStyle w:val="SectionHeadingBlue"/>
        <w:rPr>
          <w:szCs w:val="24"/>
        </w:rPr>
      </w:pPr>
      <w:r w:rsidRPr="00DA5D03">
        <w:rPr>
          <w:szCs w:val="24"/>
        </w:rPr>
        <w:t>Eco-evolutionary patterns</w:t>
      </w:r>
    </w:p>
    <w:p w14:paraId="0D1A5012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Phylosymbiosis: </w:t>
      </w:r>
      <w:r w:rsidRPr="00DA5D03">
        <w:rPr>
          <w:sz w:val="24"/>
          <w:szCs w:val="24"/>
        </w:rPr>
        <w:t xml:space="preserve">A pattern in which differences among host-associated microbial communities parallel host phylogeny. </w:t>
      </w:r>
      <w:r w:rsidRPr="00DA5D03">
        <w:rPr>
          <w:i/>
          <w:sz w:val="24"/>
          <w:szCs w:val="24"/>
        </w:rPr>
        <w:t>(Brooks et al. 2016)</w:t>
      </w:r>
    </w:p>
    <w:p w14:paraId="457E78DD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Co-evolution: </w:t>
      </w:r>
      <w:r w:rsidRPr="00DA5D03">
        <w:rPr>
          <w:sz w:val="24"/>
          <w:szCs w:val="24"/>
        </w:rPr>
        <w:t xml:space="preserve">Reciprocal evolutionary change caused by selection imposed by interacting species on one another. </w:t>
      </w:r>
      <w:r w:rsidRPr="00DA5D03">
        <w:rPr>
          <w:i/>
          <w:sz w:val="24"/>
          <w:szCs w:val="24"/>
        </w:rPr>
        <w:t>(Janzen 1980)</w:t>
      </w:r>
    </w:p>
    <w:p w14:paraId="1FEF8436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Co-adaptation: </w:t>
      </w:r>
      <w:r w:rsidRPr="00DA5D03">
        <w:rPr>
          <w:sz w:val="24"/>
          <w:szCs w:val="24"/>
        </w:rPr>
        <w:t xml:space="preserve">Reciprocal adjustment of traits among interacting partners; often a component or outcome of coevolution. </w:t>
      </w:r>
      <w:r w:rsidRPr="00DA5D03">
        <w:rPr>
          <w:i/>
          <w:sz w:val="24"/>
          <w:szCs w:val="24"/>
        </w:rPr>
        <w:t>(Wade 2007)</w:t>
      </w:r>
    </w:p>
    <w:p w14:paraId="42AFE1DC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Co-diversification: </w:t>
      </w:r>
      <w:r w:rsidRPr="00DA5D03">
        <w:rPr>
          <w:sz w:val="24"/>
          <w:szCs w:val="24"/>
        </w:rPr>
        <w:t xml:space="preserve">Parallel diversification of associated lineages driven by shared history, environment, or interaction; it may include cospeciation and host-shift-related patterns. </w:t>
      </w:r>
      <w:r w:rsidRPr="00DA5D03">
        <w:rPr>
          <w:i/>
          <w:sz w:val="24"/>
          <w:szCs w:val="24"/>
        </w:rPr>
        <w:t>(de Vienne et al. 2013)</w:t>
      </w:r>
    </w:p>
    <w:p w14:paraId="70789161" w14:textId="77777777" w:rsidR="00C852FF" w:rsidRPr="00DA5D03" w:rsidRDefault="00000000">
      <w:pPr>
        <w:pStyle w:val="SectionHeadingBlue"/>
        <w:rPr>
          <w:szCs w:val="24"/>
        </w:rPr>
      </w:pPr>
      <w:r w:rsidRPr="00DA5D03">
        <w:rPr>
          <w:szCs w:val="24"/>
        </w:rPr>
        <w:t>Transmission, filtering, and community assembly</w:t>
      </w:r>
    </w:p>
    <w:p w14:paraId="5C6E3BFC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Vertical transmission: </w:t>
      </w:r>
      <w:r w:rsidRPr="00DA5D03">
        <w:rPr>
          <w:sz w:val="24"/>
          <w:szCs w:val="24"/>
        </w:rPr>
        <w:t xml:space="preserve">Transfer of a symbiont from parent to offspring. </w:t>
      </w:r>
      <w:r w:rsidRPr="00DA5D03">
        <w:rPr>
          <w:i/>
          <w:sz w:val="24"/>
          <w:szCs w:val="24"/>
        </w:rPr>
        <w:t>(Ebert 2013)</w:t>
      </w:r>
    </w:p>
    <w:p w14:paraId="0C00153B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lastRenderedPageBreak/>
        <w:t xml:space="preserve">Horizontal transmission: </w:t>
      </w:r>
      <w:r w:rsidRPr="00DA5D03">
        <w:rPr>
          <w:sz w:val="24"/>
          <w:szCs w:val="24"/>
        </w:rPr>
        <w:t xml:space="preserve">Transfer of a symbiont between individuals through social or environmental routes rather than parent–offspring inheritance. </w:t>
      </w:r>
      <w:r w:rsidRPr="00DA5D03">
        <w:rPr>
          <w:i/>
          <w:sz w:val="24"/>
          <w:szCs w:val="24"/>
        </w:rPr>
        <w:t>(Ebert 2013)</w:t>
      </w:r>
    </w:p>
    <w:p w14:paraId="7A3B345F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Host specificity: </w:t>
      </w:r>
      <w:r w:rsidRPr="00DA5D03">
        <w:rPr>
          <w:sz w:val="24"/>
          <w:szCs w:val="24"/>
        </w:rPr>
        <w:t xml:space="preserve">The degree to which a microbe can colonize particular hosts, determined by host physiology and environmental compatibility. </w:t>
      </w:r>
      <w:r w:rsidRPr="00DA5D03">
        <w:rPr>
          <w:i/>
          <w:sz w:val="24"/>
          <w:szCs w:val="24"/>
        </w:rPr>
        <w:t>(Poulin and Keeney 2008)</w:t>
      </w:r>
    </w:p>
    <w:p w14:paraId="4C552CB4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Host selectivity: </w:t>
      </w:r>
      <w:r w:rsidRPr="00DA5D03">
        <w:rPr>
          <w:sz w:val="24"/>
          <w:szCs w:val="24"/>
        </w:rPr>
        <w:t xml:space="preserve">The host’s capacity to filter associated microbes through physiological factors such as immunity, gut anatomy, and nutrient environment. </w:t>
      </w:r>
      <w:r w:rsidRPr="00DA5D03">
        <w:rPr>
          <w:i/>
          <w:sz w:val="24"/>
          <w:szCs w:val="24"/>
        </w:rPr>
        <w:t>(Foster et al. 2017)</w:t>
      </w:r>
    </w:p>
    <w:p w14:paraId="7AA0C988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Niche construction: </w:t>
      </w:r>
      <w:r w:rsidRPr="00DA5D03">
        <w:rPr>
          <w:sz w:val="24"/>
          <w:szCs w:val="24"/>
        </w:rPr>
        <w:t xml:space="preserve">Modification of the local environment by an organism, thereby altering selection on itself and other organisms. </w:t>
      </w:r>
      <w:r w:rsidRPr="00DA5D03">
        <w:rPr>
          <w:i/>
          <w:sz w:val="24"/>
          <w:szCs w:val="24"/>
        </w:rPr>
        <w:t>(Odling-Smee et al. 1996)</w:t>
      </w:r>
    </w:p>
    <w:p w14:paraId="056065F0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Succession: </w:t>
      </w:r>
      <w:r w:rsidRPr="00DA5D03">
        <w:rPr>
          <w:sz w:val="24"/>
          <w:szCs w:val="24"/>
        </w:rPr>
        <w:t xml:space="preserve">Directional change in community composition through time. </w:t>
      </w:r>
      <w:r w:rsidRPr="00DA5D03">
        <w:rPr>
          <w:i/>
          <w:sz w:val="24"/>
          <w:szCs w:val="24"/>
        </w:rPr>
        <w:t>(Connell and Slatyer 1977)</w:t>
      </w:r>
    </w:p>
    <w:p w14:paraId="5E3361A8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Priority effects: </w:t>
      </w:r>
      <w:r w:rsidRPr="00DA5D03">
        <w:rPr>
          <w:sz w:val="24"/>
          <w:szCs w:val="24"/>
        </w:rPr>
        <w:t xml:space="preserve">Effects of arrival order whereby early colonizers alter the success of later-arriving species. </w:t>
      </w:r>
      <w:r w:rsidRPr="00DA5D03">
        <w:rPr>
          <w:i/>
          <w:sz w:val="24"/>
          <w:szCs w:val="24"/>
        </w:rPr>
        <w:t>(Fukami 2015)</w:t>
      </w:r>
    </w:p>
    <w:p w14:paraId="74365015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Ecological drift: </w:t>
      </w:r>
      <w:r w:rsidRPr="00DA5D03">
        <w:rPr>
          <w:sz w:val="24"/>
          <w:szCs w:val="24"/>
        </w:rPr>
        <w:t xml:space="preserve">Random changes in species abundances within communities. </w:t>
      </w:r>
      <w:r w:rsidRPr="00DA5D03">
        <w:rPr>
          <w:i/>
          <w:sz w:val="24"/>
          <w:szCs w:val="24"/>
        </w:rPr>
        <w:t>(Vellend 2010)</w:t>
      </w:r>
    </w:p>
    <w:p w14:paraId="62AB1E9A" w14:textId="77777777" w:rsidR="00C852FF" w:rsidRPr="00DA5D03" w:rsidRDefault="00000000">
      <w:pPr>
        <w:pStyle w:val="SectionHeadingBlue"/>
        <w:rPr>
          <w:szCs w:val="24"/>
        </w:rPr>
      </w:pPr>
      <w:r w:rsidRPr="00DA5D03">
        <w:rPr>
          <w:szCs w:val="24"/>
        </w:rPr>
        <w:t>Host traits and ecological context</w:t>
      </w:r>
    </w:p>
    <w:p w14:paraId="59C1E637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Oviparous animals: </w:t>
      </w:r>
      <w:r w:rsidRPr="00DA5D03">
        <w:rPr>
          <w:sz w:val="24"/>
          <w:szCs w:val="24"/>
        </w:rPr>
        <w:t xml:space="preserve">Egg-laying animals whose embryos develop outside the mother. </w:t>
      </w:r>
      <w:r w:rsidRPr="00DA5D03">
        <w:rPr>
          <w:i/>
          <w:sz w:val="24"/>
          <w:szCs w:val="24"/>
        </w:rPr>
        <w:t>(Reynolds et al. 2002)</w:t>
      </w:r>
    </w:p>
    <w:p w14:paraId="7EA9B7E0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Ovipositors: </w:t>
      </w:r>
      <w:r w:rsidRPr="00DA5D03">
        <w:rPr>
          <w:sz w:val="24"/>
          <w:szCs w:val="24"/>
        </w:rPr>
        <w:t xml:space="preserve">Egg-laying structures, especially in female insects. </w:t>
      </w:r>
      <w:r w:rsidRPr="00DA5D03">
        <w:rPr>
          <w:i/>
          <w:sz w:val="24"/>
          <w:szCs w:val="24"/>
        </w:rPr>
        <w:t>(Snodgrass 1935)</w:t>
      </w:r>
    </w:p>
    <w:p w14:paraId="4FFFFBCB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Viviparous animals: </w:t>
      </w:r>
      <w:r w:rsidRPr="00DA5D03">
        <w:rPr>
          <w:sz w:val="24"/>
          <w:szCs w:val="24"/>
        </w:rPr>
        <w:t xml:space="preserve">Animals that give live birth, with embryonic development occurring within the mother. </w:t>
      </w:r>
      <w:r w:rsidRPr="00DA5D03">
        <w:rPr>
          <w:i/>
          <w:sz w:val="24"/>
          <w:szCs w:val="24"/>
        </w:rPr>
        <w:t>(Reynolds et al. 2002)</w:t>
      </w:r>
    </w:p>
    <w:p w14:paraId="2A6B787C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Innate immune system: </w:t>
      </w:r>
      <w:r w:rsidRPr="00DA5D03">
        <w:rPr>
          <w:sz w:val="24"/>
          <w:szCs w:val="24"/>
        </w:rPr>
        <w:t xml:space="preserve">A rapid, non-specific defense system present in both invertebrates and vertebrates; in vertebrates it also helps initiate adaptive immunity. </w:t>
      </w:r>
      <w:r w:rsidRPr="00DA5D03">
        <w:rPr>
          <w:i/>
          <w:sz w:val="24"/>
          <w:szCs w:val="24"/>
        </w:rPr>
        <w:t>(Janeway and Medzhitov 2002)</w:t>
      </w:r>
    </w:p>
    <w:p w14:paraId="77F9E970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Adaptive immune system: </w:t>
      </w:r>
      <w:r w:rsidRPr="00DA5D03">
        <w:rPr>
          <w:sz w:val="24"/>
          <w:szCs w:val="24"/>
        </w:rPr>
        <w:t xml:space="preserve">The antigen-specific immune system of vertebrates that learns, remembers, and responds to particular pathogens. </w:t>
      </w:r>
      <w:r w:rsidRPr="00DA5D03">
        <w:rPr>
          <w:i/>
          <w:sz w:val="24"/>
          <w:szCs w:val="24"/>
        </w:rPr>
        <w:t>(Bonilla and Oettgen 2010)</w:t>
      </w:r>
    </w:p>
    <w:p w14:paraId="497D56F6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Sacculated foregut: </w:t>
      </w:r>
      <w:r w:rsidRPr="00DA5D03">
        <w:rPr>
          <w:sz w:val="24"/>
          <w:szCs w:val="24"/>
        </w:rPr>
        <w:t xml:space="preserve">A compartmentalized foregut or stomach that enables microbial fermentation before downstream digestion. </w:t>
      </w:r>
      <w:r w:rsidRPr="00DA5D03">
        <w:rPr>
          <w:i/>
          <w:sz w:val="24"/>
          <w:szCs w:val="24"/>
        </w:rPr>
        <w:t>(Chivers and Hladik 1980)</w:t>
      </w:r>
    </w:p>
    <w:p w14:paraId="687DFD25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Matrilineal species: </w:t>
      </w:r>
      <w:r w:rsidRPr="00DA5D03">
        <w:rPr>
          <w:sz w:val="24"/>
          <w:szCs w:val="24"/>
        </w:rPr>
        <w:t xml:space="preserve">Species in which females remain in natal groups, males disperse, and female kinship structures rank and social bonds. </w:t>
      </w:r>
      <w:r w:rsidRPr="00DA5D03">
        <w:rPr>
          <w:i/>
          <w:sz w:val="24"/>
          <w:szCs w:val="24"/>
        </w:rPr>
        <w:t>(Silk 2007)</w:t>
      </w:r>
    </w:p>
    <w:p w14:paraId="44657638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Prebiotics: </w:t>
      </w:r>
      <w:r w:rsidRPr="00DA5D03">
        <w:rPr>
          <w:sz w:val="24"/>
          <w:szCs w:val="24"/>
        </w:rPr>
        <w:t xml:space="preserve">Dietary substrates that support bacterial growth in the digestive tract. </w:t>
      </w:r>
      <w:r w:rsidRPr="00DA5D03">
        <w:rPr>
          <w:i/>
          <w:sz w:val="24"/>
          <w:szCs w:val="24"/>
        </w:rPr>
        <w:t>(Gibson and Roberfroid 1995)</w:t>
      </w:r>
    </w:p>
    <w:p w14:paraId="03750CE7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Sympatric terrestrial species: </w:t>
      </w:r>
      <w:r w:rsidRPr="00DA5D03">
        <w:rPr>
          <w:sz w:val="24"/>
          <w:szCs w:val="24"/>
        </w:rPr>
        <w:t xml:space="preserve">Different species co-occurring in the same terrestrial habitat. </w:t>
      </w:r>
      <w:r w:rsidRPr="00DA5D03">
        <w:rPr>
          <w:i/>
          <w:sz w:val="24"/>
          <w:szCs w:val="24"/>
        </w:rPr>
        <w:t>(Brown and Wilson 1956)</w:t>
      </w:r>
    </w:p>
    <w:p w14:paraId="3C7CA321" w14:textId="77777777" w:rsidR="00C852FF" w:rsidRPr="00DA5D03" w:rsidRDefault="00000000">
      <w:pPr>
        <w:spacing w:after="60" w:line="269" w:lineRule="auto"/>
        <w:ind w:left="198" w:hanging="198"/>
        <w:rPr>
          <w:sz w:val="24"/>
          <w:szCs w:val="24"/>
        </w:rPr>
      </w:pPr>
      <w:r w:rsidRPr="00DA5D03">
        <w:rPr>
          <w:b/>
          <w:sz w:val="24"/>
          <w:szCs w:val="24"/>
        </w:rPr>
        <w:t xml:space="preserve">Sympatric arboreal species: </w:t>
      </w:r>
      <w:r w:rsidRPr="00DA5D03">
        <w:rPr>
          <w:sz w:val="24"/>
          <w:szCs w:val="24"/>
        </w:rPr>
        <w:t xml:space="preserve">Different species co-occurring in the same arboreal habitat. </w:t>
      </w:r>
      <w:r w:rsidRPr="00DA5D03">
        <w:rPr>
          <w:i/>
          <w:sz w:val="24"/>
          <w:szCs w:val="24"/>
        </w:rPr>
        <w:t>(Brown and Wilson 1956)</w:t>
      </w:r>
    </w:p>
    <w:p w14:paraId="148AFF15" w14:textId="77777777" w:rsidR="00C852FF" w:rsidRDefault="00000000">
      <w:r>
        <w:br w:type="page"/>
      </w:r>
    </w:p>
    <w:p w14:paraId="33689728" w14:textId="77777777" w:rsidR="00C852FF" w:rsidRDefault="00000000">
      <w:pPr>
        <w:pStyle w:val="SectionHeadingBlue"/>
      </w:pPr>
      <w:r>
        <w:t>References</w:t>
      </w:r>
    </w:p>
    <w:p w14:paraId="4E7B9ACB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Alberdi A, Aizpurua O, Bohmann K, et al. 2022. Toward a new era of host–microbiome research: a guide to the application of the hologenomic framework. Nat Rev Genet 23: 479–495.</w:t>
      </w:r>
    </w:p>
    <w:p w14:paraId="76EE3F99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Bonilla FA, Oettgen HC. 2010. Adaptive immunity. J Allergy Clin Immunol 125: S33–S40.</w:t>
      </w:r>
    </w:p>
    <w:p w14:paraId="2D0AD954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Bright M, Bulgheresi S. 2010. A complex journey: transmission of microbial symbionts. Nat Rev Microbiol 8: 218–230.</w:t>
      </w:r>
    </w:p>
    <w:p w14:paraId="14403207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Bronstein JL. 1994. Our current understanding of mutualism. Q Rev Biol 69: 31–51.</w:t>
      </w:r>
    </w:p>
    <w:p w14:paraId="7DCBE718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Brooks AW, Kohl KD, Brucker RM, van Opstal EJ, Bordenstein SR. 2016. Phylosymbiosis: relationships and functional effects of microbial communities across host evolutionary history. PLoS Biol 14: e2000225.</w:t>
      </w:r>
    </w:p>
    <w:p w14:paraId="126D7889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Brown WL Jr, Wilson EO. 1956. Character displacement. Syst Zool 5: 49–64.</w:t>
      </w:r>
    </w:p>
    <w:p w14:paraId="0CB5DA24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Chivers DJ, Hladik CM. 1980. Morphology of the gastrointestinal tract in primates: comparisons with other mammals in relation to diet. J Morphol 166: 337–386.</w:t>
      </w:r>
    </w:p>
    <w:p w14:paraId="377E5DA9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Connell JH, Slatyer RO. 1977. Mechanisms of succession in natural communities and their role in community stability and organization. Am Nat 111: 1119–1144.</w:t>
      </w:r>
    </w:p>
    <w:p w14:paraId="05DBFA49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de Vienne DM, Refrégier G, López-Villavicencio M, Tellier A, Hood ME, Giraud T. 2013. Cospeciation vs host-shift speciation: methods for testing, evidence from natural associations and relation to coevolution. New Phytol 198: 347–385.</w:t>
      </w:r>
    </w:p>
    <w:p w14:paraId="631D667C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Ebert D. 2013. The epidemiology and evolution of symbionts with mixed-mode transmission. Annu Rev Ecol Evol Syst 44: 623–643.</w:t>
      </w:r>
    </w:p>
    <w:p w14:paraId="79F18413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Foster KR, Schluter J, Coyte KZ, Rakoff-Nahoum S. 2017. The evolution of the host microbiome as an ecosystem on a leash. Nature 548: 43–51.</w:t>
      </w:r>
    </w:p>
    <w:p w14:paraId="4164D5B9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Fukami T. 2015. Historical contingency in community assembly: integrating niches, species pools, and priority effects. Annu Rev Ecol Evol Syst 46: 1–23.</w:t>
      </w:r>
    </w:p>
    <w:p w14:paraId="5467E7C2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Gibson GR, Roberfroid MB. 1995. Dietary modulation of the human colonic microbiota: introducing the concept of prebiotics. J Nutr 125: 1401–1412.</w:t>
      </w:r>
    </w:p>
    <w:p w14:paraId="3132D73E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Janeway CA Jr, Medzhitov R. 2002. Innate immune recognition. Annu Rev Immunol 20: 197–216.</w:t>
      </w:r>
    </w:p>
    <w:p w14:paraId="0678303B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Janzen DH. 1980. When is it coevolution? Evolution 34: 611–612.</w:t>
      </w:r>
    </w:p>
    <w:p w14:paraId="4BDEFE95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Keeling PJ, McCutcheon JP. 2017. Endosymbiosis: the feeling is not mutual. J Theor Biol 434: 75–79.</w:t>
      </w:r>
    </w:p>
    <w:p w14:paraId="44D967FB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Leung TLF, Poulin R. 2008. Parasitism, commensalism, and mutualism: exploring the many shades of symbioses. Vie Milieu 58: 107–115.</w:t>
      </w:r>
    </w:p>
    <w:p w14:paraId="6376D775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Moran NA. 2006. Symbiosis as an adaptive process and source of phenotypic complexity. Proc Natl Acad Sci 103: 8627–8633.</w:t>
      </w:r>
    </w:p>
    <w:p w14:paraId="61348416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Odling-Smee FJ, Laland KN, Feldman MW. 1996. Niche construction. Am Nat 147: 641–648.</w:t>
      </w:r>
    </w:p>
    <w:p w14:paraId="36BC1F01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Poulin R, Keeney DB. 2008. Host specificity under molecular and experimental scrutiny. Trends Parasitol 24: 24–28.</w:t>
      </w:r>
    </w:p>
    <w:p w14:paraId="69FE2920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Reynolds JD, Goodwin NB, Freckleton RP. 2002. Evolutionary transitions in parental care and live bearing in vertebrates. Philos Trans R Soc Lond B Biol Sci 357: 269–281.</w:t>
      </w:r>
    </w:p>
    <w:p w14:paraId="567CA091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Silk JB. 2007. The adaptive value of sociality in mammalian groups. Philos Trans R Soc Lond B Biol Sci 362: 539–559.</w:t>
      </w:r>
    </w:p>
    <w:p w14:paraId="0628C2C1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Snodgrass RE. 1935. Principles of insect morphology. McGraw-Hill, New York.</w:t>
      </w:r>
    </w:p>
    <w:p w14:paraId="64C4250D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Theis KR, Dheilly NM, Klassen JL, et al. 2016. Getting the hologenome concept right: an eco-evolutionary framework for hosts and their microbiomes. mSystems 1: e00028-16.</w:t>
      </w:r>
    </w:p>
    <w:p w14:paraId="53CE53BD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Vellend M. 2010. Conceptual synthesis in community ecology. Q Rev Biol 85: 183–206.</w:t>
      </w:r>
    </w:p>
    <w:p w14:paraId="2D6F68B5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Wade MJ. 2007. The co-evolutionary genetics of ecological communities. Nat Rev Genet 8: 185–195.</w:t>
      </w:r>
    </w:p>
    <w:p w14:paraId="2610A293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Wilson DS, Sober E. 1989. Reviving the superorganism. J Theor Biol 136: 337–356.</w:t>
      </w:r>
    </w:p>
    <w:p w14:paraId="6739AB6E" w14:textId="77777777" w:rsidR="00C852FF" w:rsidRPr="00E574C0" w:rsidRDefault="00000000" w:rsidP="00E574C0">
      <w:pPr>
        <w:pStyle w:val="RefSmall"/>
        <w:spacing w:after="0" w:line="400" w:lineRule="exact"/>
        <w:ind w:left="284" w:hanging="284"/>
        <w:rPr>
          <w:sz w:val="24"/>
          <w:szCs w:val="24"/>
        </w:rPr>
      </w:pPr>
      <w:r w:rsidRPr="00E574C0">
        <w:rPr>
          <w:sz w:val="24"/>
          <w:szCs w:val="24"/>
        </w:rPr>
        <w:t>Zilber-Rosenberg I, Rosenberg E. 2008. Role of microorganisms in the evolution of animals and plants: the hologenome theory of evolution. FEMS Microbiol Rev 32: 723–735.</w:t>
      </w:r>
    </w:p>
    <w:sectPr w:rsidR="00C852FF" w:rsidRPr="00E574C0" w:rsidSect="00034616">
      <w:pgSz w:w="11906" w:h="16838"/>
      <w:pgMar w:top="1020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272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670856">
    <w:abstractNumId w:val="8"/>
  </w:num>
  <w:num w:numId="2" w16cid:durableId="1888566630">
    <w:abstractNumId w:val="6"/>
  </w:num>
  <w:num w:numId="3" w16cid:durableId="604464064">
    <w:abstractNumId w:val="5"/>
  </w:num>
  <w:num w:numId="4" w16cid:durableId="1915042272">
    <w:abstractNumId w:val="4"/>
  </w:num>
  <w:num w:numId="5" w16cid:durableId="825904556">
    <w:abstractNumId w:val="7"/>
  </w:num>
  <w:num w:numId="6" w16cid:durableId="21365468">
    <w:abstractNumId w:val="3"/>
  </w:num>
  <w:num w:numId="7" w16cid:durableId="1477186607">
    <w:abstractNumId w:val="2"/>
  </w:num>
  <w:num w:numId="8" w16cid:durableId="1689218250">
    <w:abstractNumId w:val="1"/>
  </w:num>
  <w:num w:numId="9" w16cid:durableId="112376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B77"/>
    <w:rsid w:val="00034616"/>
    <w:rsid w:val="0006063C"/>
    <w:rsid w:val="0015074B"/>
    <w:rsid w:val="002829B1"/>
    <w:rsid w:val="0029639D"/>
    <w:rsid w:val="00326F90"/>
    <w:rsid w:val="003D1861"/>
    <w:rsid w:val="004935A2"/>
    <w:rsid w:val="00714271"/>
    <w:rsid w:val="007C1985"/>
    <w:rsid w:val="00AA1D8D"/>
    <w:rsid w:val="00B47730"/>
    <w:rsid w:val="00BF7232"/>
    <w:rsid w:val="00C852FF"/>
    <w:rsid w:val="00CB0664"/>
    <w:rsid w:val="00D01274"/>
    <w:rsid w:val="00DA5D03"/>
    <w:rsid w:val="00DD5061"/>
    <w:rsid w:val="00E574C0"/>
    <w:rsid w:val="00ED07EA"/>
    <w:rsid w:val="00EF2D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893038"/>
  <w14:defaultImageDpi w14:val="300"/>
  <w15:docId w15:val="{06BCA8BD-9EF6-43DE-BF7A-822F26EC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/>
    </w:pPr>
    <w:rPr>
      <w:rFonts w:ascii="Times New Roman" w:eastAsia="Times New Roman" w:hAnsi="Times New Roman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HeadingBlue">
    <w:name w:val="Section Heading Blue"/>
    <w:basedOn w:val="21"/>
    <w:pPr>
      <w:spacing w:after="80"/>
    </w:pPr>
    <w:rPr>
      <w:rFonts w:ascii="Times New Roman" w:eastAsia="Times New Roman" w:hAnsi="Times New Roman"/>
      <w:color w:val="1F4E79"/>
      <w:sz w:val="24"/>
    </w:rPr>
  </w:style>
  <w:style w:type="paragraph" w:customStyle="1" w:styleId="RefSmall">
    <w:name w:val="Ref Small"/>
    <w:basedOn w:val="a1"/>
    <w:pPr>
      <w:spacing w:after="40" w:line="252" w:lineRule="auto"/>
      <w:ind w:left="283" w:hanging="283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1224</Words>
  <Characters>7334</Characters>
  <Application>Microsoft Office Word</Application>
  <DocSecurity>0</DocSecurity>
  <Lines>124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志刚 张</cp:lastModifiedBy>
  <cp:revision>2</cp:revision>
  <dcterms:created xsi:type="dcterms:W3CDTF">2026-03-18T11:06:00Z</dcterms:created>
  <dcterms:modified xsi:type="dcterms:W3CDTF">2026-03-18T11:06:00Z</dcterms:modified>
  <cp:category/>
</cp:coreProperties>
</file>