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91DE2" w14:textId="77777777" w:rsidR="00B03716" w:rsidRDefault="00000000" w:rsidP="00313E5C">
      <w:pPr>
        <w:pStyle w:val="Heading1"/>
        <w:jc w:val="left"/>
      </w:pPr>
      <w:r>
        <w:t>Technical Annexes</w:t>
      </w:r>
    </w:p>
    <w:p w14:paraId="1EEC1CD4" w14:textId="3C41BD24" w:rsidR="00B03716" w:rsidRDefault="00313E5C">
      <w:r>
        <w:t>Belonging to: Seafaring in the Shadows: Maritime Traditions of Chalcolithic Cyprus</w:t>
      </w:r>
    </w:p>
    <w:p w14:paraId="38B3F91F" w14:textId="666343F5" w:rsidR="00313E5C" w:rsidRDefault="00313E5C">
      <w:r>
        <w:t>Victor Klinkenberg</w:t>
      </w:r>
    </w:p>
    <w:p w14:paraId="4243DD9C" w14:textId="26D28152" w:rsidR="00313E5C" w:rsidRDefault="00313E5C">
      <w:r>
        <w:t xml:space="preserve">Miltiadis </w:t>
      </w:r>
      <w:proofErr w:type="spellStart"/>
      <w:r>
        <w:t>Polidorou</w:t>
      </w:r>
      <w:proofErr w:type="spellEnd"/>
    </w:p>
    <w:p w14:paraId="631AAD8E" w14:textId="77777777" w:rsidR="00B03716" w:rsidRDefault="00B03716"/>
    <w:p w14:paraId="118117CD" w14:textId="77777777" w:rsidR="00B03716" w:rsidRDefault="00000000" w:rsidP="00653FBA">
      <w:pPr>
        <w:pStyle w:val="Heading2"/>
      </w:pPr>
      <w:r>
        <w:t>Annex 1: Detailed Methodology for Land Route Energy Calculations</w:t>
      </w:r>
    </w:p>
    <w:p w14:paraId="2120CA99" w14:textId="3FF4338A" w:rsidR="00B03716" w:rsidRDefault="00000000">
      <w:r>
        <w:t xml:space="preserve">For land routes, energy requirements for hiking while carrying a load have been extensively researched in the framework of military and athlete performance (e.g., Vine et al. 2022; O'Neill et al. 2023). The most common formula used for these purposes is the Pandolf formula for hiking with load (Pandolf et al. 1977). The creation of this formula was based on observations of military personnel walking across various terrain types while carrying a backpack, and is an expression of body weight, load carried, speed of walking, terrain type and slope gradient. The Pandolf equation has been used in LCP analysis by creating a cost raster based on the formula and constant values for speed, weight and load (e.g., Marble and Machovina 1997; Van Leusen 2002; Field et al. 2019). The Pandolf equation has been shown to underestimate energy requirement compared to real world examples and poorly to represent downhill walking energy requirements (Weyand et al. </w:t>
      </w:r>
      <w:r w:rsidR="0047640E">
        <w:t>2021</w:t>
      </w:r>
      <w:r>
        <w:t>; Bach et al. 2017; Drain et al. 2017; Looney et al. 2018; 2019). Since its publication, many adaptations to the formula have been suggested (e.g., Santee et al. 2001; 2003; Looney et al. 2018; 2019). A consistent result of field validation of the predictability of these formulae is that they should be 'used with caution' (Vine et al. 202</w:t>
      </w:r>
      <w:r w:rsidR="00922EA4">
        <w:t>2</w:t>
      </w:r>
      <w:r>
        <w:t xml:space="preserve">: 1302). A more recently published equation for energy requirement for hiking with load from the US army software Load Carriage Decision Aid (LCDA), specifically for heavy military backpacking is offered by Looney et al. (2021). The equation </w:t>
      </w:r>
      <w:r>
        <w:lastRenderedPageBreak/>
        <w:t>expresses the metabolic rate of backpacking as product of base metabolic rate, walking speed and backpack weight, and has been validated through extensive field observations. The formula reads:</w:t>
      </w:r>
    </w:p>
    <w:p w14:paraId="02091738" w14:textId="77777777" w:rsidR="00B03716" w:rsidRDefault="00000000">
      <w:r>
        <w:t>Ṁ (W·kg⁻¹) = Ṁᵣₑₛₜ + [0.19 + η(1.78S^0.58 + 0.27S⁴) + Ṁ_Grade] × (1 + 1.96LBp^1.36)</w:t>
      </w:r>
    </w:p>
    <w:p w14:paraId="31CC6555" w14:textId="77777777" w:rsidR="00B03716" w:rsidRDefault="00000000">
      <w:r>
        <w:t>Where: Ṁ (W·kg⁻¹) = Metabolic rate in watts per kilogram of body weight, Ṁᵣₑₛₜ = Resting metabolic rate (W·kg⁻¹), η = terrain coefficient, S = speed travelled (m/s), LBp = Backpack mass / Body mass (decimal), and M_Grade = the grade component:</w:t>
      </w:r>
    </w:p>
    <w:p w14:paraId="09584B3F" w14:textId="77777777" w:rsidR="00B03716" w:rsidRDefault="00000000">
      <w:r>
        <w:t>Ṁ_Grade = 34 × S × G × (1 - 1.05^(1 - 1.1×(100G + 32)))</w:t>
      </w:r>
    </w:p>
    <w:p w14:paraId="1B4B6071" w14:textId="77777777" w:rsidR="00B03716" w:rsidRDefault="00000000">
      <w:r>
        <w:t>Where: S = speed travelled (m/s), and G = Grade (decimal: rise/run, can be positive or negative).</w:t>
      </w:r>
    </w:p>
    <w:p w14:paraId="35BF9D80" w14:textId="77777777" w:rsidR="00B03716" w:rsidRDefault="00000000">
      <w:r>
        <w:t>In GIS software, one could possibly use this equation to calculate a cost surface – a raster dataset that expresses the energy required to cross each cell. This would have the benefit of directly representing the energy required to traverse the landscape. As the LCDA equation is highly dependent on the slope gradient (walking uphill versus downhill) this procedure requires the production of a highly complex cost raster with differential values for each cell, for all directions of movement, a so-called anisotropic raster (where costs vary depending on the direction of travel). Creating these in ArcGIS pro software requires intense coding and is prone to mistakes that can be difficult to identify.</w:t>
      </w:r>
    </w:p>
    <w:p w14:paraId="130A1829" w14:textId="77777777" w:rsidR="00B03716" w:rsidRDefault="00000000">
      <w:r>
        <w:t xml:space="preserve">Crucially, although energy requirements are obviously dependent on both load carried and slope gradient, the optimal route and speed are not affected by load, with an optimal speed of 1.06 m s⁻¹ for all combinations of load and gradient (Bastien et al. 2005). This finding justifies a two-step approach: first: identifying the optimal route without considering load, and then, second: calculating energy requirements for different loads along that route. Therefore, hiking routes through the landscape can initially be reconstructed using conventional tools without taking the load carried into consideration. The cost raster used in this case is isotropic (having equal cost </w:t>
      </w:r>
      <w:r>
        <w:lastRenderedPageBreak/>
        <w:t>values independent of direction of movement). Applying extra costs for movement uphill, however, is conducted within the Distance Accumulation tool in ArcGIS pro.</w:t>
      </w:r>
    </w:p>
    <w:p w14:paraId="054D9C83" w14:textId="77777777" w:rsidR="00B03716" w:rsidRDefault="00000000">
      <w:r>
        <w:t>For our route estimations we calculated the routes using Tobler's hiking function in the distance accumulation tool in Arcgis pro (Tobler 1993). We used the optimal path as line tool to reconstruct the most efficient route through the landscape between the two sites of interest. In a second step the energetic requirements of these routes were calculated using the LCDA equation. To conduct this, we split the LCP line at all the vertices and calculated the length and rise for each segment. We then applied the LCDA equation on these segments using 1.3 for speed, 1.2 for terrain coefficient, and 1.2 for Ṁᵣₑₛₜ. The calculation was applied four times with different load factors: 0, 0.1, 0.2, and 0.3 LBp.</w:t>
      </w:r>
    </w:p>
    <w:p w14:paraId="0D7A093C" w14:textId="77777777" w:rsidR="00B03716" w:rsidRDefault="00000000">
      <w:r>
        <w:t>To convert the metabolic rate (W·kg⁻¹) to total energy expenditure in kilojoules, we multiplied the metabolic rate by body weight (assumed to be 65 kg for an average adult) and the time required to traverse each segment (calculated as distance/speed). The resulting values were then divided by 1000 to convert from joules to kilojoules. The energy values for all segments were then summed to yield the cumulative energy requirements (in kJ) for carrying a load weighing 0, 10, 20 and 30% of body mass along the reconstructed hiking route. This approach provides a direct measure of the total energy cost that can be compared easily with the energy requirements for sea routes.</w:t>
      </w:r>
    </w:p>
    <w:p w14:paraId="1DC10CC1" w14:textId="77777777" w:rsidR="00B03716" w:rsidRDefault="00000000">
      <w:r>
        <w:t>This two-tiered procedure of first reconstructing routes and then calculating energy requirements has the benefit of being based on established methods for least cost path reconstruction and is therefore easy to replicate. All calculations were conducted using ArcGIS Modelbuilder, which further ensures repeatability.</w:t>
      </w:r>
    </w:p>
    <w:p w14:paraId="1213064F" w14:textId="77777777" w:rsidR="00B03716" w:rsidRDefault="00000000">
      <w:r>
        <w:br w:type="page"/>
      </w:r>
    </w:p>
    <w:p w14:paraId="7EE5AF08" w14:textId="77777777" w:rsidR="00B03716" w:rsidRDefault="00000000" w:rsidP="00653FBA">
      <w:pPr>
        <w:pStyle w:val="Heading2"/>
      </w:pPr>
      <w:r>
        <w:lastRenderedPageBreak/>
        <w:t>Annex 2: Detailed Methodology for Maritime Route Energy Calculations</w:t>
      </w:r>
    </w:p>
    <w:p w14:paraId="4E2FEA8B" w14:textId="6C4E96B5" w:rsidR="00B03716" w:rsidRDefault="00000000" w:rsidP="00653FBA">
      <w:r>
        <w:t>Calculating the energy requirements to travel between settlements using sea routes depends firstly on stable factors such as the vessel type, load carried and the locations of possible landing spots along the coast</w:t>
      </w:r>
      <w:r w:rsidR="00DD3C47">
        <w:t xml:space="preserve"> (</w:t>
      </w:r>
      <w:r w:rsidR="00DD3C47" w:rsidRPr="00BF65FC">
        <w:t xml:space="preserve">Gustas and </w:t>
      </w:r>
      <w:proofErr w:type="spellStart"/>
      <w:r w:rsidR="00DD3C47" w:rsidRPr="00BF65FC">
        <w:t>Supernant</w:t>
      </w:r>
      <w:proofErr w:type="spellEnd"/>
      <w:r w:rsidR="00DD3C47" w:rsidRPr="00BF65FC">
        <w:t xml:space="preserve"> 2017; 2019; Peterson 2022</w:t>
      </w:r>
      <w:r w:rsidR="00E97CF5">
        <w:t>; Slayton et al. 2025</w:t>
      </w:r>
      <w:r w:rsidR="00DD3C47">
        <w:t>)</w:t>
      </w:r>
      <w:r>
        <w:t>. For the vessel type and possible load carried, we rely on experimental work as described below. For possible landing spots, it was necessary to assess the paleo-coastline and the most suitable beaches. Together, these factors offer the basic geographic context for route calculation. Even so, the changeable conditions at sea (currents, wave height and wind) are less straightforward to model in GIS but have a significant effect, especially on speed of sea travel (Tichý 2025). As speed is the most reported factor influenced by environmental factors, this is calculated with GIS analysis, assuming an unchanging energy input and route for all conditions. Subsequently, this is used to calculate the total energy requirement for the maritime route, for easy comparability with the land-based routes.</w:t>
      </w:r>
    </w:p>
    <w:p w14:paraId="1F45C3BE" w14:textId="77777777" w:rsidR="00B03716" w:rsidRDefault="00000000" w:rsidP="00653FBA">
      <w:pPr>
        <w:pStyle w:val="Heading3"/>
      </w:pPr>
      <w:r>
        <w:t>Vessel Types</w:t>
      </w:r>
    </w:p>
    <w:p w14:paraId="5273236B" w14:textId="77777777" w:rsidR="00B03716" w:rsidRDefault="00000000" w:rsidP="00653FBA">
      <w:r>
        <w:t xml:space="preserve">As Cyprus has never been connected to the mainland via a land bridge, seafaring was necessary to reach the island (Held 1993, 102). The transport of large numbers of weaned livestock as well as wild game to Cyprus from the mainland during the Aceramic Neolithic (as well as to a smaller degree in the Epipalaeolithic), suggests that sizable boats were (continuously) in use in these early periods (Vigne et al. 2014). Vigne et al even suggest that these vessels might have used sails to propel them from the mainland to the island within 10 hours (Vigne et al. 2014, 171), although there is no other indication of such an early use of the sail (Wedde 2000; Knapp 2020, 421). For most of the subsequent Chalcolithic period, the evidence for contact with the lands surrounding Cyprus is limited to the selective appropriation of Anatolian artefacts, as well as a few small, imported metal and faience objects (Düring 2025). Although the actual extent that these </w:t>
      </w:r>
      <w:r>
        <w:lastRenderedPageBreak/>
        <w:t>communities practiced seafaring is unknown, it was likely not conducted often and would have been modest in scope.</w:t>
      </w:r>
    </w:p>
    <w:p w14:paraId="2622A015" w14:textId="77777777" w:rsidR="00B03716" w:rsidRDefault="00000000" w:rsidP="00653FBA">
      <w:r>
        <w:t>The types of vessels used by Chalcolithic communities are unknown. There are three main modes of propulsion in seacrafts: paddling, rowing and sailing (Tartaron 2013, 51; Wachsmann 1998, 247–54). While sailing offers energy-efficient propulsion without the need for many sailors, it is obviously highly dependent on local weather conditions which can rapidly change through time as well as along the travel path. The earliest certain depiction of a sailing vessel appears on an Egyptian jar dated to 3500-3100 BCE (Tartaron 2013, 52). Such depictions become more frequent in the later stages of the Bronze Age, probably in relation to increased international trade during this period (Broodbank 2010; 2013, 290; Knapp 2018: 23; Wedde 2000). While sailing increases the (energetic) efficiency of sea travel significantly, it is generally assumed that habitual sailing did not occur until the mid-third millennium BCE, and that, until the mid-second millennium BCE, sailing rigs were composed of square double-boomed sails which do not allow for upwind sailing (Whitewright 2018; Marcus 2002, 404).  These rigs had the further complication that they were only useful in case of offshore wind to be able to leave the shore and to not be pushed dangerously close to the shore during sailing.</w:t>
      </w:r>
    </w:p>
    <w:p w14:paraId="196401CD" w14:textId="77777777" w:rsidR="00B03716" w:rsidRDefault="00000000" w:rsidP="00653FBA">
      <w:r>
        <w:t xml:space="preserve">For the transport of livestock and other bulk to Cyprus during the Neolithic, Vigne et al. propose a catamaran-style vessel made of dug-out canoes with sailing potential (Vigne et al 2014, Fig .4; see also Knapp 2020, Fig.3). An ethnographic example of such a vessel is described as being able to transport very bulky cargo, provided good weather while being ‘slow and cumbersome’ (Drucker 1951, 88 in Ames 2002, 29). It should be considered that sailing capability was likely unknown or of limited efficiency before the mid-fourth millennium BCE (Broodbank 2013, 290-1; Tartaron 2013, 52). Considering that longboats or ‘great canoes’ were easy to manoeuvre, and, following our ethnographic examples, provided the necessary capacity, speed and capacity for such trips, we may also envisage these vessels to have been used in the earlier crossings to Cyprus. Similarly, for </w:t>
      </w:r>
      <w:r>
        <w:lastRenderedPageBreak/>
        <w:t>shorter trips along the Cypriot coast, a reconstruction with the use of a sail should probably be taken with caution.</w:t>
      </w:r>
    </w:p>
    <w:p w14:paraId="2CA5C37B" w14:textId="76029449" w:rsidR="00B03716" w:rsidRDefault="00000000" w:rsidP="00653FBA">
      <w:r>
        <w:t xml:space="preserve">Based on petroglyphs and a few boat models from archaeological contexts around the Aegean, </w:t>
      </w:r>
      <w:proofErr w:type="spellStart"/>
      <w:r>
        <w:t>T</w:t>
      </w:r>
      <w:r w:rsidR="0047640E">
        <w:t>z</w:t>
      </w:r>
      <w:r>
        <w:t>ovaras</w:t>
      </w:r>
      <w:proofErr w:type="spellEnd"/>
      <w:r>
        <w:t xml:space="preserve"> et al. (2023) attempted to ‘reverse </w:t>
      </w:r>
      <w:proofErr w:type="gramStart"/>
      <w:r>
        <w:t>engineer’ the</w:t>
      </w:r>
      <w:proofErr w:type="gramEnd"/>
      <w:r>
        <w:t xml:space="preserve"> design of Neolithic seaworthy boats. Based on typological study of the archaeological representations, they present two major hull–shape groups: rounded and angled designs (</w:t>
      </w:r>
      <w:proofErr w:type="spellStart"/>
      <w:r>
        <w:t>T</w:t>
      </w:r>
      <w:r w:rsidR="0047640E">
        <w:t>z</w:t>
      </w:r>
      <w:r>
        <w:t>ovaras</w:t>
      </w:r>
      <w:proofErr w:type="spellEnd"/>
      <w:r>
        <w:t xml:space="preserve"> et al. 2023, 175). They further suggest that efficiently shaped boats used by Neolithic and Early Bronze Age travellers around the Aegean were plank-built and measured 10- 15 meters in length and 2 meters in width, which would comfortably accommodate a single line of rowers (</w:t>
      </w:r>
      <w:proofErr w:type="spellStart"/>
      <w:r>
        <w:t>T</w:t>
      </w:r>
      <w:r w:rsidR="0047640E">
        <w:t>z</w:t>
      </w:r>
      <w:r>
        <w:t>ovaras</w:t>
      </w:r>
      <w:proofErr w:type="spellEnd"/>
      <w:r>
        <w:t xml:space="preserve"> et al. 2023, 178).</w:t>
      </w:r>
    </w:p>
    <w:p w14:paraId="6E490D63" w14:textId="446F0A74" w:rsidR="00B03716" w:rsidRDefault="00000000" w:rsidP="00653FBA">
      <w:r>
        <w:t>Prehistoric examples of sea-worthy vessels are not common. The best-known example comes from a set of five well-preserved Neolithic canoes from the lacustrine site of La Marmotta, Italy. Of these, the largest vessel, La Marmotta I, measured 10 meters in length and one meter wide (</w:t>
      </w:r>
      <w:proofErr w:type="spellStart"/>
      <w:r>
        <w:t>Fugazzola</w:t>
      </w:r>
      <w:proofErr w:type="spellEnd"/>
      <w:r>
        <w:t xml:space="preserve"> and Mineo 1995). Although it was found in a lacustrine environment, its construction with a pronounced wave breaking bow was considered typical for a sea-worthy vessel (Tichý 2025). Among the wooden artefacts discovered in conjunction with the boats were long, leaf shaped paddles which are suitable for deep water paddling (Fermé et al. 2023; Tichý 2025, 4).</w:t>
      </w:r>
    </w:p>
    <w:p w14:paraId="039388A7" w14:textId="77777777" w:rsidR="00B03716" w:rsidRDefault="00000000" w:rsidP="00653FBA">
      <w:r>
        <w:t xml:space="preserve">La Marmotta I was used as the basis to produce replica vessels for the ‘Monoxylon Expeditions’, a series of scientific experimental sea voyages organized by Radomír Tichý in the Aegean (Tichý 2019; 2025; also see https://www.monoxylon.cz/). During the latest seafaring experiment (in 2023, Monoxylon IV), the vessel closely resembled the La Marmotta I, and detailed records were kept of the wind and wave conditions, as well as the time and effort required to cross specific distances. The vessel measured an impressive 11.5 meters in length, a length that apparently helped considerably in navigating through wavy waters compared to earlier experiments with smaller vessels (Tichý 2025). Propulsion was generated by a paddling crew of 20, using paddle </w:t>
      </w:r>
      <w:r>
        <w:lastRenderedPageBreak/>
        <w:t>reconstructions from La Marmotta (Tichý 2025). As an excursion from the otherwise true to original reconstruction, a mast with a foldable square sail was introduced to the ship but was used only in favourable winds.</w:t>
      </w:r>
    </w:p>
    <w:p w14:paraId="4DEE218B" w14:textId="77777777" w:rsidR="00B03716" w:rsidRDefault="00000000" w:rsidP="00653FBA">
      <w:r>
        <w:t>These experimental seafaring results show that under normal conditions, the vessel could reach a speed of 5.5 km/h, while in ideal conditions the use of the sail in conjunction with paddling yielded a speed up to 7 km/h. For long trips, the vessel crew paddled on rotation, with 14 active paddlers and 6 on break. This means that if only the active crew was present, the vessel could carry up to 420 kilos of additional materials while maintaining the same speed and energy input (Tichý 2025). This translates into around 30 kilos per person, considerably more than what a single person could carry.</w:t>
      </w:r>
    </w:p>
    <w:p w14:paraId="4389B826" w14:textId="77777777" w:rsidR="00B03716" w:rsidRDefault="00000000" w:rsidP="00653FBA">
      <w:r>
        <w:t>In terms of range, speed and capacity, paddle canoes can reach impressive figures. Following ethnographic accounts, Shearn notes that large canoes used by the Carib people could reach 45 km in a day and 650-975 km over multiple days (Shearn 2020, 13). Another account of a trip with four passengers of 90 miles was reported to take 23 hours in favourable winds, and 33 hours in the opposite direction, averaging 6.5 and 4.4 km/h respectively (Ames 2002, 30). Similar values up to 10 km/h for long distance travel have been recorded for dug-out canoes, as well as birchbark and hide-covered boats (Rowley-Conwy and Piper 2016, 10, Table 1).</w:t>
      </w:r>
    </w:p>
    <w:p w14:paraId="156A5DCD" w14:textId="77777777" w:rsidR="00B03716" w:rsidRDefault="00000000" w:rsidP="00653FBA">
      <w:r>
        <w:t xml:space="preserve">Equally impressive numbers have been recorded for the carrying capacity of canoes, especially the so-called ‘great canoes’ of the northwestern American coast which could measure up 25 meters in length, with a common length of 12 meters and width of 2 meters (Durham 1960 in Ames 2002, 27). These massive vessels were observed to accommodate 20 to 30 people, and to have a loading capacity of 4 to 6 tons (Ames 2002, 29). Similar observations were made in the Caribbean during the first contact between Europeans and the local populations, with Columbus and contemporaries noting canoes carrying over 70 people with impressive speeds (Slayton 2018: 42-8). These data </w:t>
      </w:r>
      <w:r>
        <w:lastRenderedPageBreak/>
        <w:t>cannot be verified in detail but indicate that the potential capacity and efficiency of these types of vessels should not be underestimated.</w:t>
      </w:r>
    </w:p>
    <w:p w14:paraId="2C9D4CB4" w14:textId="71E08FE4" w:rsidR="00B03716" w:rsidRDefault="00000000" w:rsidP="00653FBA">
      <w:r>
        <w:t xml:space="preserve">In sum, for our Chalcolithic context, the most likely mode of seaborne travel was in canoes, built from hollowed-out trees, planks, or hide, and likely without sail. Following the La Marmotta example and petroglyphic evidence, we might propose a boat size of at least 10 meters in length and 2 meters in width. A baseline speed of 5.5 km/h can be deemed reasonable under good conditions with a cargo of 30 kg per person apart from crew provisions. This baseline speed likely was not often exceeded, as the energetic cost of locomotion in boats is highly depended on the speed, rather than load or physiological characteristics of the individual (Zamparo et al. 1999, 546-7). Naturally, the speed is also influenced by wind, waves and currents. Landing spots for such vessels were sandy beaches with a gradual inclination, which are found currently at the mouths of rivers and streams. The routes should therefore be calculated from such potential landing spots, what </w:t>
      </w:r>
      <w:proofErr w:type="spellStart"/>
      <w:r>
        <w:t>Leidwanger</w:t>
      </w:r>
      <w:proofErr w:type="spellEnd"/>
      <w:r>
        <w:t xml:space="preserve"> (2013</w:t>
      </w:r>
      <w:r w:rsidR="00A07FDE">
        <w:t>a</w:t>
      </w:r>
      <w:r>
        <w:t>) terms ‘opportunistic ports’, along the coastline during the Chalcolithic period.</w:t>
      </w:r>
    </w:p>
    <w:p w14:paraId="299456F4" w14:textId="77777777" w:rsidR="00B03716" w:rsidRDefault="00000000" w:rsidP="00653FBA">
      <w:pPr>
        <w:pStyle w:val="Heading3"/>
      </w:pPr>
      <w:r>
        <w:t>Coast and Landscape Reconstruction</w:t>
      </w:r>
    </w:p>
    <w:p w14:paraId="3AD8A602" w14:textId="77777777" w:rsidR="00B03716" w:rsidRDefault="00000000" w:rsidP="00653FBA">
      <w:r>
        <w:t>Currently, it is not well-known where the ancient coastline of the period was located, and which landing spots for boats might have been available, especially along the generally rocky coast along the Akamas Peninsula. Also unknown is in how far the use of sea routes would have reduced the amount of energy required for transport. These data are essential to establish the nature and relative importance of seafaring.</w:t>
      </w:r>
    </w:p>
    <w:p w14:paraId="24656CA0" w14:textId="0BA235C8" w:rsidR="00B03716" w:rsidRDefault="00000000" w:rsidP="00653FBA">
      <w:r>
        <w:t>Following sea level curves calculated for southern Cyprus (</w:t>
      </w:r>
      <w:proofErr w:type="spellStart"/>
      <w:r w:rsidR="004E617C">
        <w:t>Polidorou</w:t>
      </w:r>
      <w:proofErr w:type="spellEnd"/>
      <w:r w:rsidR="004E617C">
        <w:t xml:space="preserve"> </w:t>
      </w:r>
      <w:r w:rsidR="004E617C">
        <w:t xml:space="preserve">and </w:t>
      </w:r>
      <w:proofErr w:type="spellStart"/>
      <w:r w:rsidR="004E617C">
        <w:t>Evelpidou</w:t>
      </w:r>
      <w:proofErr w:type="spellEnd"/>
      <w:r w:rsidR="004E617C">
        <w:t xml:space="preserve"> 2021; </w:t>
      </w:r>
      <w:proofErr w:type="spellStart"/>
      <w:r>
        <w:t>Polidorou</w:t>
      </w:r>
      <w:proofErr w:type="spellEnd"/>
      <w:r>
        <w:t xml:space="preserve"> et al. 2025), the Chalcolithic coastline (c. 3000 BCE) was determined to lie approximately 3 metres below current sea level. Unlike the drastic changes from the Neolithic to modern day, the Chalcolithic coastline therefore was all that different from today’s. Using publicly </w:t>
      </w:r>
      <w:r>
        <w:lastRenderedPageBreak/>
        <w:t>available bathymetry data for the Paphos area (Land and Survey Department of the Republic of Cyprus), the -3m contour line was adopted as the palaeocoastline. Subsequently, bathymetric data between the -3m contour and the modern coastline were integrated with terrestrial elevation data to create a new digital elevation model (DEM) for the research area. By adding 3 metres to all DEM values, the reconstructed coastline was converted to a new zero datum, preventing potential issues in GIS modelling that could arise from negative values.</w:t>
      </w:r>
    </w:p>
    <w:p w14:paraId="6204FE0E" w14:textId="77777777" w:rsidR="00B03716" w:rsidRDefault="00000000" w:rsidP="00653FBA">
      <w:r>
        <w:t>The reconstructed coastline lies between 10 and 200 metres seaward of the modern coastline but generally follows the same morphology (Gomez and Pease 1992). As the bathymetric data included modern features such as breakwaters and harbour constructions, the reconstructed coastline occasionally follows these anthropogenic features. However, in no instance where modern features appeared to influence the coastline reconstruction did the coastline deviate significantly from its expected trajectory compared to adjacent areas.</w:t>
      </w:r>
    </w:p>
    <w:p w14:paraId="7493474F" w14:textId="77777777" w:rsidR="00B03716" w:rsidRDefault="00000000" w:rsidP="00653FBA">
      <w:pPr>
        <w:pStyle w:val="Heading3"/>
      </w:pPr>
      <w:r>
        <w:t>Landing Spots</w:t>
      </w:r>
    </w:p>
    <w:p w14:paraId="512394F0" w14:textId="77777777" w:rsidR="00B03716" w:rsidRDefault="00000000" w:rsidP="00653FBA">
      <w:r>
        <w:t>To determine potential landing spots for prehistoric vessels, it has been suggested to use coastal areas with an average slope gradient of maximum 2% as potential beach sites (Gustas and Supernant 2019: 45). We applied this method to a zone of 10 meters around the reconstructed coastline, using the bathymetric data as input to calculate the slope. Whilst the method successfully identifies extensive beaches such as those in Chrysochous Bay, it proves less effective at detecting smaller beaches within bays along the Akamas Peninsula. These smaller beaches typically form from fluvial sediments deposited in sheltered bays, overlying bedrock or consolidated marine sediments. If such sedimentary features existed during the Chalcolithic period, they will likely no longer be preserved in the seabed, leading to misleading beach-slope calculations. The method also indicated potential landing spots in areas with exposed bedrock with a low slope – but without the presence of substantial rivers that could offer sediments which would form the necessary beach.</w:t>
      </w:r>
    </w:p>
    <w:p w14:paraId="5D15A31D" w14:textId="77777777" w:rsidR="00B03716" w:rsidRDefault="00000000" w:rsidP="00653FBA">
      <w:r>
        <w:lastRenderedPageBreak/>
        <w:t>The misinterpretation of beach locations was evident due to the striking similarity between the modern and reconstructed coastline morphology. Considering that these coastal zones and river terraces have been elevated above active flood zones, they underwent limited rates of erosion and have remained fairly stable in the last millennia (Çiner et al. 2015; McClain et al. 2020; Hubert-Ferrari et al. 2021). Consequently, it is likely that the ancient bays would have been fed by river systems in a fashion similar to that of today. We therefore opted for another approach that relies on the presence of modern beaches. To identify these smaller probable landing spots, we examined modern sandy beaches through satellite imagery and marked corresponding stretches along the reconstructed coastline. The result was a set of coastline polyline features with an indication of the accessibility of each section. These features were used in the subsequent cost raster creation as possible landing spots. The coastline sections that were not suitable as landing spots were used as barriers.</w:t>
      </w:r>
    </w:p>
    <w:p w14:paraId="221F66E7" w14:textId="77777777" w:rsidR="00B03716" w:rsidRDefault="00000000" w:rsidP="00653FBA">
      <w:pPr>
        <w:pStyle w:val="Heading3"/>
      </w:pPr>
      <w:r>
        <w:t>Shortest Maritime Routes</w:t>
      </w:r>
    </w:p>
    <w:p w14:paraId="29BB7DD1" w14:textId="77777777" w:rsidR="00B03716" w:rsidRDefault="00000000" w:rsidP="00653FBA">
      <w:r>
        <w:t>The Paphos coast is considered dangerous to navigate by boat. Rapidly changing winds and unpredictable currents mean that it is wise to stay within a safe distance from the coast to find shelter in one of the many bays. Such a system of cabotage, hopping along the coast with brief or overnight stays, may have been used in challenging conditions. For our calculations we assumed a direct route to assess the total energy requirement for the full route.</w:t>
      </w:r>
    </w:p>
    <w:p w14:paraId="18D682DC" w14:textId="77777777" w:rsidR="00B03716" w:rsidRDefault="00000000" w:rsidP="00653FBA">
      <w:r>
        <w:t>Maritime routes along the Paphos coast were calculated using a cost raster with high cost allocated to the area within 50 meters of the coastline, and low cost for the area between 50 and 500 meters from the coast.</w:t>
      </w:r>
    </w:p>
    <w:p w14:paraId="7866F3C8" w14:textId="77777777" w:rsidR="00B03716" w:rsidRDefault="00000000" w:rsidP="00653FBA">
      <w:r>
        <w:t xml:space="preserve">For the route calculation, first the most direct overland route from the settlements to the nearest landing spot was determined using the method described above for land-based transport. Next, the </w:t>
      </w:r>
      <w:r>
        <w:lastRenderedPageBreak/>
        <w:t>resulting beach locations were used as points of departure and destination for least cost path calculations along the maritime corridor using the cost accumulation tool in ArcGIS Pro.</w:t>
      </w:r>
    </w:p>
    <w:p w14:paraId="20A332E6" w14:textId="77777777" w:rsidR="00B03716" w:rsidRDefault="00000000" w:rsidP="00653FBA">
      <w:pPr>
        <w:pStyle w:val="Heading3"/>
      </w:pPr>
      <w:r>
        <w:t>Wind and Currents</w:t>
      </w:r>
    </w:p>
    <w:p w14:paraId="2FE4631E" w14:textId="66AA4FFC" w:rsidR="00B03716" w:rsidRDefault="00000000" w:rsidP="00653FBA">
      <w:r>
        <w:t>Although currents in the Mediterranean are considered low in general (</w:t>
      </w:r>
      <w:proofErr w:type="spellStart"/>
      <w:r>
        <w:t>Heikell</w:t>
      </w:r>
      <w:proofErr w:type="spellEnd"/>
      <w:r>
        <w:t xml:space="preserve"> 1994: 24</w:t>
      </w:r>
      <w:r w:rsidR="00DF6F92">
        <w:t>; Safadi and Sturt 2019</w:t>
      </w:r>
      <w:r>
        <w:t>), they still have a significant impact on the energy requirements for seafaring. Similarly, wind direction and speed can significantly influence the speed and energy requirement of travel by sea through air resistance and resulting vessel instability and waves (</w:t>
      </w:r>
      <w:proofErr w:type="spellStart"/>
      <w:r>
        <w:t>Leidwanger</w:t>
      </w:r>
      <w:proofErr w:type="spellEnd"/>
      <w:r>
        <w:t xml:space="preserve"> 2013</w:t>
      </w:r>
      <w:r w:rsidR="00A07FDE">
        <w:t>b</w:t>
      </w:r>
      <w:r>
        <w:t>; Safadi 2016).</w:t>
      </w:r>
    </w:p>
    <w:p w14:paraId="67BB4D43" w14:textId="77777777" w:rsidR="00B03716" w:rsidRDefault="00000000" w:rsidP="00653FBA">
      <w:r>
        <w:t>Data for wind and currents were obtained from the open data sets of the Copernicus Marine Environmental Monitoring Service, a European program that provides comprehensive ocean and atmospheric data (available through https://data.marine.copernicus.eu/). The data comprise rasters with a resolution of 0.25 degrees, which is about 28 kilometres. Average data were obtained for each month which were combined into average for the four seasons.</w:t>
      </w:r>
    </w:p>
    <w:p w14:paraId="178FFB9A" w14:textId="77777777" w:rsidR="00B03716" w:rsidRDefault="00000000" w:rsidP="00653FBA">
      <w:pPr>
        <w:pStyle w:val="Heading3"/>
      </w:pPr>
      <w:r>
        <w:t>Calculating Energy Requirements for Maritime Routes</w:t>
      </w:r>
    </w:p>
    <w:p w14:paraId="09B40AE1" w14:textId="77777777" w:rsidR="00B03716" w:rsidRDefault="00000000">
      <w:r>
        <w:t>Parallel with the energy cost calculations for land-based transport, for maritime routes a two-tiered approach was also used for, first, a determination of the likely route, and secondly a calculation of the costs involved traversing that trajectory.</w:t>
      </w:r>
    </w:p>
    <w:p w14:paraId="5B121B99" w14:textId="77777777" w:rsidR="00B03716" w:rsidRDefault="00000000">
      <w:r>
        <w:t xml:space="preserve">The polyline features that were calculated for the maritime routes were segmented at each vertex so that current and wind values could be calculated for each segment. This yielded around 10,000 line segments for each route, which was too high for subsequent calculations. To reduce number of segments, the Simplify Line tool was used which reduced the number of segments to a mere 26 while retaining the overall shape of the route. ArcGIS modelbuilder was used to calculate for each segment the line bearing, the bearing and speed of wind and currents for all four seasons. The raster cells for wind and current do not snugly reach the coastline, so some line segments crossed ‘No </w:t>
      </w:r>
      <w:r>
        <w:lastRenderedPageBreak/>
        <w:t>Data’ cells of some of the environmental rasters. To make sure that these line segments were still associated with raster data, the ‘sample’ tool in ArcGIS was used to calculate for each line segment the average raster value for speed and direction of wind and current while disregarding cells with no data. The results were converted to a table which was then connected to the line feature class. Subsequently, using field calculator in ArcGIS Pro, we determined the relative wind and current direction compared to the direction of travel, by deducting the line bearing from the raster values. The resulting table contained all data required to calculate travel time for each line segment: length, relative wind and current direction and speed.</w:t>
      </w:r>
    </w:p>
    <w:p w14:paraId="60B9AFD2" w14:textId="77777777" w:rsidR="00B03716" w:rsidRDefault="00000000">
      <w:r>
        <w:t>The factors used to determine seafaring speed are based on the experimental work by Tichý (2019; 2025). From this it appears that currents hardly influence the speed and direction of travel, while wind has a mostly negative influence. While slight following winds can moderately influence travel speed positively, high following winds actually have a negative effect due to high waves and resulting difficulties with steering. Head wind obviously has adverse effect on speed, especially if winds are significant. With winds of 30 km/h and higher, seafaring is considered impossible, so these are left out of the calculations (table 1 and 2).</w:t>
      </w:r>
    </w:p>
    <w:p w14:paraId="4E9AF310" w14:textId="77777777" w:rsidR="00B03716" w:rsidRDefault="00000000">
      <w:r>
        <w:t>Table 1: Wind Speed Factors for Paddle-Only Navigation (5.5 km/hr baseline)</w:t>
      </w:r>
    </w:p>
    <w:tbl>
      <w:tblPr>
        <w:tblStyle w:val="TableGrid"/>
        <w:tblW w:w="0" w:type="auto"/>
        <w:tblLook w:val="04A0" w:firstRow="1" w:lastRow="0" w:firstColumn="1" w:lastColumn="0" w:noHBand="0" w:noVBand="1"/>
      </w:tblPr>
      <w:tblGrid>
        <w:gridCol w:w="1940"/>
        <w:gridCol w:w="2096"/>
        <w:gridCol w:w="1104"/>
        <w:gridCol w:w="1089"/>
      </w:tblGrid>
      <w:tr w:rsidR="00313E5C" w:rsidRPr="00FF6CCF" w14:paraId="3E40623B" w14:textId="77777777" w:rsidTr="000E1E36">
        <w:tc>
          <w:tcPr>
            <w:tcW w:w="1940" w:type="dxa"/>
            <w:hideMark/>
          </w:tcPr>
          <w:p w14:paraId="39101B47" w14:textId="77777777" w:rsidR="00313E5C" w:rsidRPr="00FF6CCF" w:rsidRDefault="00313E5C" w:rsidP="000E1E36">
            <w:pPr>
              <w:jc w:val="left"/>
              <w:rPr>
                <w:lang w:val="el-GR"/>
              </w:rPr>
            </w:pPr>
            <w:proofErr w:type="spellStart"/>
            <w:r w:rsidRPr="00FF6CCF">
              <w:rPr>
                <w:lang w:val="el-GR"/>
              </w:rPr>
              <w:t>Wind</w:t>
            </w:r>
            <w:proofErr w:type="spellEnd"/>
            <w:r w:rsidRPr="00FF6CCF">
              <w:rPr>
                <w:lang w:val="el-GR"/>
              </w:rPr>
              <w:t xml:space="preserve"> </w:t>
            </w:r>
            <w:proofErr w:type="spellStart"/>
            <w:r w:rsidRPr="00FF6CCF">
              <w:rPr>
                <w:lang w:val="el-GR"/>
              </w:rPr>
              <w:t>Speed</w:t>
            </w:r>
            <w:proofErr w:type="spellEnd"/>
            <w:r w:rsidRPr="00FF6CCF">
              <w:rPr>
                <w:lang w:val="el-GR"/>
              </w:rPr>
              <w:t xml:space="preserve"> (</w:t>
            </w:r>
            <w:proofErr w:type="spellStart"/>
            <w:r w:rsidRPr="00FF6CCF">
              <w:rPr>
                <w:lang w:val="el-GR"/>
              </w:rPr>
              <w:t>km</w:t>
            </w:r>
            <w:proofErr w:type="spellEnd"/>
            <w:r w:rsidRPr="00FF6CCF">
              <w:rPr>
                <w:lang w:val="el-GR"/>
              </w:rPr>
              <w:t>/h)</w:t>
            </w:r>
          </w:p>
        </w:tc>
        <w:tc>
          <w:tcPr>
            <w:tcW w:w="2096" w:type="dxa"/>
            <w:hideMark/>
          </w:tcPr>
          <w:p w14:paraId="39F34391" w14:textId="77777777" w:rsidR="00313E5C" w:rsidRPr="00FF6CCF" w:rsidRDefault="00313E5C" w:rsidP="000E1E36">
            <w:pPr>
              <w:jc w:val="left"/>
              <w:rPr>
                <w:lang w:val="el-GR"/>
              </w:rPr>
            </w:pPr>
            <w:proofErr w:type="spellStart"/>
            <w:r w:rsidRPr="00FF6CCF">
              <w:rPr>
                <w:lang w:val="el-GR"/>
              </w:rPr>
              <w:t>Following</w:t>
            </w:r>
            <w:proofErr w:type="spellEnd"/>
            <w:r w:rsidRPr="00FF6CCF">
              <w:rPr>
                <w:lang w:val="el-GR"/>
              </w:rPr>
              <w:t>/</w:t>
            </w:r>
            <w:proofErr w:type="spellStart"/>
            <w:r w:rsidRPr="00FF6CCF">
              <w:rPr>
                <w:lang w:val="el-GR"/>
              </w:rPr>
              <w:t>Abaft</w:t>
            </w:r>
            <w:proofErr w:type="spellEnd"/>
            <w:r w:rsidRPr="00FF6CCF">
              <w:rPr>
                <w:lang w:val="el-GR"/>
              </w:rPr>
              <w:t xml:space="preserve"> </w:t>
            </w:r>
            <w:proofErr w:type="spellStart"/>
            <w:r w:rsidRPr="00FF6CCF">
              <w:rPr>
                <w:lang w:val="el-GR"/>
              </w:rPr>
              <w:t>Wind</w:t>
            </w:r>
            <w:proofErr w:type="spellEnd"/>
          </w:p>
        </w:tc>
        <w:tc>
          <w:tcPr>
            <w:tcW w:w="1104" w:type="dxa"/>
            <w:hideMark/>
          </w:tcPr>
          <w:p w14:paraId="4473E42C" w14:textId="77777777" w:rsidR="00313E5C" w:rsidRPr="00FF6CCF" w:rsidRDefault="00313E5C" w:rsidP="000E1E36">
            <w:pPr>
              <w:jc w:val="left"/>
              <w:rPr>
                <w:lang w:val="el-GR"/>
              </w:rPr>
            </w:pPr>
            <w:proofErr w:type="spellStart"/>
            <w:r w:rsidRPr="00FF6CCF">
              <w:rPr>
                <w:lang w:val="el-GR"/>
              </w:rPr>
              <w:t>Side</w:t>
            </w:r>
            <w:proofErr w:type="spellEnd"/>
            <w:r w:rsidRPr="00FF6CCF">
              <w:rPr>
                <w:lang w:val="el-GR"/>
              </w:rPr>
              <w:t xml:space="preserve"> </w:t>
            </w:r>
            <w:proofErr w:type="spellStart"/>
            <w:r w:rsidRPr="00FF6CCF">
              <w:rPr>
                <w:lang w:val="el-GR"/>
              </w:rPr>
              <w:t>Wind</w:t>
            </w:r>
            <w:proofErr w:type="spellEnd"/>
          </w:p>
        </w:tc>
        <w:tc>
          <w:tcPr>
            <w:tcW w:w="1089" w:type="dxa"/>
            <w:hideMark/>
          </w:tcPr>
          <w:p w14:paraId="2D05454D" w14:textId="77777777" w:rsidR="00313E5C" w:rsidRPr="00FF6CCF" w:rsidRDefault="00313E5C" w:rsidP="000E1E36">
            <w:pPr>
              <w:jc w:val="left"/>
              <w:rPr>
                <w:lang w:val="el-GR"/>
              </w:rPr>
            </w:pPr>
            <w:proofErr w:type="spellStart"/>
            <w:r w:rsidRPr="00FF6CCF">
              <w:rPr>
                <w:lang w:val="el-GR"/>
              </w:rPr>
              <w:t>Head</w:t>
            </w:r>
            <w:proofErr w:type="spellEnd"/>
            <w:r w:rsidRPr="00FF6CCF">
              <w:rPr>
                <w:lang w:val="el-GR"/>
              </w:rPr>
              <w:t xml:space="preserve"> </w:t>
            </w:r>
            <w:proofErr w:type="spellStart"/>
            <w:r w:rsidRPr="00FF6CCF">
              <w:rPr>
                <w:lang w:val="el-GR"/>
              </w:rPr>
              <w:t>Wind</w:t>
            </w:r>
            <w:proofErr w:type="spellEnd"/>
          </w:p>
        </w:tc>
      </w:tr>
      <w:tr w:rsidR="00313E5C" w:rsidRPr="00FF6CCF" w14:paraId="672008C5" w14:textId="77777777" w:rsidTr="000E1E36">
        <w:tc>
          <w:tcPr>
            <w:tcW w:w="1940" w:type="dxa"/>
            <w:hideMark/>
          </w:tcPr>
          <w:p w14:paraId="4705414F" w14:textId="77777777" w:rsidR="00313E5C" w:rsidRPr="00FF6CCF" w:rsidRDefault="00313E5C" w:rsidP="000E1E36">
            <w:pPr>
              <w:jc w:val="left"/>
              <w:rPr>
                <w:lang w:val="el-GR"/>
              </w:rPr>
            </w:pPr>
            <w:r w:rsidRPr="00FF6CCF">
              <w:rPr>
                <w:lang w:val="el-GR"/>
              </w:rPr>
              <w:t>0-10 (</w:t>
            </w:r>
            <w:proofErr w:type="spellStart"/>
            <w:r w:rsidRPr="00FF6CCF">
              <w:rPr>
                <w:lang w:val="el-GR"/>
              </w:rPr>
              <w:t>Light</w:t>
            </w:r>
            <w:proofErr w:type="spellEnd"/>
            <w:r w:rsidRPr="00FF6CCF">
              <w:rPr>
                <w:lang w:val="el-GR"/>
              </w:rPr>
              <w:t>)</w:t>
            </w:r>
          </w:p>
        </w:tc>
        <w:tc>
          <w:tcPr>
            <w:tcW w:w="2096" w:type="dxa"/>
            <w:hideMark/>
          </w:tcPr>
          <w:p w14:paraId="2FA73F4E" w14:textId="77777777" w:rsidR="00313E5C" w:rsidRPr="00FF6CCF" w:rsidRDefault="00313E5C" w:rsidP="000E1E36">
            <w:pPr>
              <w:jc w:val="left"/>
              <w:rPr>
                <w:lang w:val="el-GR"/>
              </w:rPr>
            </w:pPr>
            <w:r w:rsidRPr="00FF6CCF">
              <w:rPr>
                <w:lang w:val="el-GR"/>
              </w:rPr>
              <w:t>1.0</w:t>
            </w:r>
          </w:p>
        </w:tc>
        <w:tc>
          <w:tcPr>
            <w:tcW w:w="1104" w:type="dxa"/>
            <w:hideMark/>
          </w:tcPr>
          <w:p w14:paraId="3E345161" w14:textId="77777777" w:rsidR="00313E5C" w:rsidRPr="00FF6CCF" w:rsidRDefault="00313E5C" w:rsidP="000E1E36">
            <w:pPr>
              <w:jc w:val="left"/>
              <w:rPr>
                <w:lang w:val="el-GR"/>
              </w:rPr>
            </w:pPr>
            <w:r w:rsidRPr="00FF6CCF">
              <w:rPr>
                <w:lang w:val="el-GR"/>
              </w:rPr>
              <w:t>0.95</w:t>
            </w:r>
          </w:p>
        </w:tc>
        <w:tc>
          <w:tcPr>
            <w:tcW w:w="1089" w:type="dxa"/>
            <w:hideMark/>
          </w:tcPr>
          <w:p w14:paraId="7822B8FF" w14:textId="77777777" w:rsidR="00313E5C" w:rsidRPr="00FF6CCF" w:rsidRDefault="00313E5C" w:rsidP="000E1E36">
            <w:pPr>
              <w:jc w:val="left"/>
              <w:rPr>
                <w:lang w:val="el-GR"/>
              </w:rPr>
            </w:pPr>
            <w:r w:rsidRPr="00FF6CCF">
              <w:rPr>
                <w:lang w:val="el-GR"/>
              </w:rPr>
              <w:t>0.90</w:t>
            </w:r>
          </w:p>
        </w:tc>
      </w:tr>
      <w:tr w:rsidR="00313E5C" w:rsidRPr="00FF6CCF" w14:paraId="32F8195D" w14:textId="77777777" w:rsidTr="000E1E36">
        <w:tc>
          <w:tcPr>
            <w:tcW w:w="1940" w:type="dxa"/>
            <w:hideMark/>
          </w:tcPr>
          <w:p w14:paraId="52FD4A67" w14:textId="77777777" w:rsidR="00313E5C" w:rsidRPr="00FF6CCF" w:rsidRDefault="00313E5C" w:rsidP="000E1E36">
            <w:pPr>
              <w:jc w:val="left"/>
              <w:rPr>
                <w:lang w:val="el-GR"/>
              </w:rPr>
            </w:pPr>
            <w:r w:rsidRPr="00FF6CCF">
              <w:rPr>
                <w:lang w:val="el-GR"/>
              </w:rPr>
              <w:t>10-20 (</w:t>
            </w:r>
            <w:proofErr w:type="spellStart"/>
            <w:r w:rsidRPr="00FF6CCF">
              <w:rPr>
                <w:lang w:val="el-GR"/>
              </w:rPr>
              <w:t>Moderate</w:t>
            </w:r>
            <w:proofErr w:type="spellEnd"/>
            <w:r w:rsidRPr="00FF6CCF">
              <w:rPr>
                <w:lang w:val="el-GR"/>
              </w:rPr>
              <w:t>)</w:t>
            </w:r>
          </w:p>
        </w:tc>
        <w:tc>
          <w:tcPr>
            <w:tcW w:w="2096" w:type="dxa"/>
            <w:hideMark/>
          </w:tcPr>
          <w:p w14:paraId="5A1C2D47" w14:textId="77777777" w:rsidR="00313E5C" w:rsidRPr="00FF6CCF" w:rsidRDefault="00313E5C" w:rsidP="000E1E36">
            <w:pPr>
              <w:jc w:val="left"/>
              <w:rPr>
                <w:lang w:val="el-GR"/>
              </w:rPr>
            </w:pPr>
            <w:r w:rsidRPr="00FF6CCF">
              <w:rPr>
                <w:lang w:val="el-GR"/>
              </w:rPr>
              <w:t>1.0</w:t>
            </w:r>
          </w:p>
        </w:tc>
        <w:tc>
          <w:tcPr>
            <w:tcW w:w="1104" w:type="dxa"/>
            <w:hideMark/>
          </w:tcPr>
          <w:p w14:paraId="0601F129" w14:textId="77777777" w:rsidR="00313E5C" w:rsidRPr="00FF6CCF" w:rsidRDefault="00313E5C" w:rsidP="000E1E36">
            <w:pPr>
              <w:jc w:val="left"/>
              <w:rPr>
                <w:lang w:val="el-GR"/>
              </w:rPr>
            </w:pPr>
            <w:r w:rsidRPr="00FF6CCF">
              <w:rPr>
                <w:lang w:val="el-GR"/>
              </w:rPr>
              <w:t>0.90</w:t>
            </w:r>
          </w:p>
        </w:tc>
        <w:tc>
          <w:tcPr>
            <w:tcW w:w="1089" w:type="dxa"/>
            <w:hideMark/>
          </w:tcPr>
          <w:p w14:paraId="138D68BF" w14:textId="77777777" w:rsidR="00313E5C" w:rsidRPr="00FF6CCF" w:rsidRDefault="00313E5C" w:rsidP="000E1E36">
            <w:pPr>
              <w:jc w:val="left"/>
              <w:rPr>
                <w:lang w:val="el-GR"/>
              </w:rPr>
            </w:pPr>
            <w:r w:rsidRPr="00FF6CCF">
              <w:rPr>
                <w:lang w:val="el-GR"/>
              </w:rPr>
              <w:t>0.80</w:t>
            </w:r>
          </w:p>
        </w:tc>
      </w:tr>
      <w:tr w:rsidR="00313E5C" w:rsidRPr="00FF6CCF" w14:paraId="66464F5D" w14:textId="77777777" w:rsidTr="000E1E36">
        <w:tc>
          <w:tcPr>
            <w:tcW w:w="1940" w:type="dxa"/>
            <w:hideMark/>
          </w:tcPr>
          <w:p w14:paraId="72F1E48A" w14:textId="77777777" w:rsidR="00313E5C" w:rsidRPr="00FF6CCF" w:rsidRDefault="00313E5C" w:rsidP="000E1E36">
            <w:pPr>
              <w:jc w:val="left"/>
              <w:rPr>
                <w:lang w:val="el-GR"/>
              </w:rPr>
            </w:pPr>
            <w:r w:rsidRPr="00FF6CCF">
              <w:rPr>
                <w:lang w:val="el-GR"/>
              </w:rPr>
              <w:t>20-30 (</w:t>
            </w:r>
            <w:proofErr w:type="spellStart"/>
            <w:r w:rsidRPr="00FF6CCF">
              <w:rPr>
                <w:lang w:val="el-GR"/>
              </w:rPr>
              <w:t>Strong</w:t>
            </w:r>
            <w:proofErr w:type="spellEnd"/>
            <w:r w:rsidRPr="00FF6CCF">
              <w:rPr>
                <w:lang w:val="el-GR"/>
              </w:rPr>
              <w:t>)</w:t>
            </w:r>
          </w:p>
        </w:tc>
        <w:tc>
          <w:tcPr>
            <w:tcW w:w="2096" w:type="dxa"/>
            <w:hideMark/>
          </w:tcPr>
          <w:p w14:paraId="44D98795" w14:textId="77777777" w:rsidR="00313E5C" w:rsidRPr="00FF6CCF" w:rsidRDefault="00313E5C" w:rsidP="000E1E36">
            <w:pPr>
              <w:jc w:val="left"/>
              <w:rPr>
                <w:lang w:val="el-GR"/>
              </w:rPr>
            </w:pPr>
            <w:r w:rsidRPr="00FF6CCF">
              <w:rPr>
                <w:lang w:val="el-GR"/>
              </w:rPr>
              <w:t>0.90</w:t>
            </w:r>
          </w:p>
        </w:tc>
        <w:tc>
          <w:tcPr>
            <w:tcW w:w="1104" w:type="dxa"/>
            <w:hideMark/>
          </w:tcPr>
          <w:p w14:paraId="683325EF" w14:textId="77777777" w:rsidR="00313E5C" w:rsidRPr="00FF6CCF" w:rsidRDefault="00313E5C" w:rsidP="000E1E36">
            <w:pPr>
              <w:jc w:val="left"/>
              <w:rPr>
                <w:lang w:val="el-GR"/>
              </w:rPr>
            </w:pPr>
            <w:r w:rsidRPr="00FF6CCF">
              <w:rPr>
                <w:lang w:val="el-GR"/>
              </w:rPr>
              <w:t>0.80</w:t>
            </w:r>
          </w:p>
        </w:tc>
        <w:tc>
          <w:tcPr>
            <w:tcW w:w="1089" w:type="dxa"/>
            <w:hideMark/>
          </w:tcPr>
          <w:p w14:paraId="0D43349E" w14:textId="77777777" w:rsidR="00313E5C" w:rsidRPr="00FF6CCF" w:rsidRDefault="00313E5C" w:rsidP="000E1E36">
            <w:pPr>
              <w:jc w:val="left"/>
              <w:rPr>
                <w:lang w:val="el-GR"/>
              </w:rPr>
            </w:pPr>
            <w:r w:rsidRPr="00FF6CCF">
              <w:rPr>
                <w:lang w:val="el-GR"/>
              </w:rPr>
              <w:t>0.60</w:t>
            </w:r>
          </w:p>
        </w:tc>
      </w:tr>
      <w:tr w:rsidR="00313E5C" w:rsidRPr="00FF6CCF" w14:paraId="6F2ACF47" w14:textId="77777777" w:rsidTr="000E1E36">
        <w:tc>
          <w:tcPr>
            <w:tcW w:w="1940" w:type="dxa"/>
            <w:hideMark/>
          </w:tcPr>
          <w:p w14:paraId="325F84F1" w14:textId="77777777" w:rsidR="00313E5C" w:rsidRPr="00FF6CCF" w:rsidRDefault="00313E5C" w:rsidP="000E1E36">
            <w:pPr>
              <w:jc w:val="left"/>
              <w:rPr>
                <w:lang w:val="el-GR"/>
              </w:rPr>
            </w:pPr>
            <w:r w:rsidRPr="00FF6CCF">
              <w:rPr>
                <w:lang w:val="el-GR"/>
              </w:rPr>
              <w:t>&gt;30 (</w:t>
            </w:r>
            <w:proofErr w:type="spellStart"/>
            <w:r w:rsidRPr="00FF6CCF">
              <w:rPr>
                <w:lang w:val="el-GR"/>
              </w:rPr>
              <w:t>Very</w:t>
            </w:r>
            <w:proofErr w:type="spellEnd"/>
            <w:r w:rsidRPr="00FF6CCF">
              <w:rPr>
                <w:lang w:val="el-GR"/>
              </w:rPr>
              <w:t xml:space="preserve"> </w:t>
            </w:r>
            <w:proofErr w:type="spellStart"/>
            <w:r w:rsidRPr="00FF6CCF">
              <w:rPr>
                <w:lang w:val="el-GR"/>
              </w:rPr>
              <w:t>Strong</w:t>
            </w:r>
            <w:proofErr w:type="spellEnd"/>
            <w:r w:rsidRPr="00FF6CCF">
              <w:rPr>
                <w:lang w:val="el-GR"/>
              </w:rPr>
              <w:t>)</w:t>
            </w:r>
          </w:p>
        </w:tc>
        <w:tc>
          <w:tcPr>
            <w:tcW w:w="2096" w:type="dxa"/>
            <w:hideMark/>
          </w:tcPr>
          <w:p w14:paraId="157BE972" w14:textId="77777777" w:rsidR="00313E5C" w:rsidRPr="00FF6CCF" w:rsidRDefault="00313E5C" w:rsidP="000E1E36">
            <w:pPr>
              <w:jc w:val="left"/>
            </w:pPr>
            <w:r>
              <w:t>N/A</w:t>
            </w:r>
          </w:p>
        </w:tc>
        <w:tc>
          <w:tcPr>
            <w:tcW w:w="1104" w:type="dxa"/>
            <w:hideMark/>
          </w:tcPr>
          <w:p w14:paraId="4DB7705D" w14:textId="77777777" w:rsidR="00313E5C" w:rsidRPr="00FF6CCF" w:rsidRDefault="00313E5C" w:rsidP="000E1E36">
            <w:pPr>
              <w:jc w:val="left"/>
            </w:pPr>
            <w:r>
              <w:t>N/A</w:t>
            </w:r>
          </w:p>
        </w:tc>
        <w:tc>
          <w:tcPr>
            <w:tcW w:w="1089" w:type="dxa"/>
            <w:hideMark/>
          </w:tcPr>
          <w:p w14:paraId="115E713C" w14:textId="77777777" w:rsidR="00313E5C" w:rsidRPr="00FF6CCF" w:rsidRDefault="00313E5C" w:rsidP="000E1E36">
            <w:pPr>
              <w:jc w:val="left"/>
            </w:pPr>
            <w:r>
              <w:t>N/A</w:t>
            </w:r>
          </w:p>
        </w:tc>
      </w:tr>
    </w:tbl>
    <w:p w14:paraId="7D45CC90" w14:textId="77777777" w:rsidR="00313E5C" w:rsidRDefault="00313E5C"/>
    <w:p w14:paraId="296B9C9B" w14:textId="77777777" w:rsidR="00B03716" w:rsidRDefault="00000000">
      <w:r>
        <w:t>Table 2: Current Speed Factors.</w:t>
      </w:r>
    </w:p>
    <w:tbl>
      <w:tblPr>
        <w:tblStyle w:val="TableGrid"/>
        <w:tblW w:w="0" w:type="auto"/>
        <w:tblLook w:val="04A0" w:firstRow="1" w:lastRow="0" w:firstColumn="1" w:lastColumn="0" w:noHBand="0" w:noVBand="1"/>
      </w:tblPr>
      <w:tblGrid>
        <w:gridCol w:w="1481"/>
        <w:gridCol w:w="1848"/>
        <w:gridCol w:w="1335"/>
        <w:gridCol w:w="1408"/>
      </w:tblGrid>
      <w:tr w:rsidR="00313E5C" w:rsidRPr="00FF6CCF" w14:paraId="66AF2A74" w14:textId="77777777" w:rsidTr="000E1E36">
        <w:tc>
          <w:tcPr>
            <w:tcW w:w="0" w:type="auto"/>
            <w:hideMark/>
          </w:tcPr>
          <w:p w14:paraId="0D39D84B" w14:textId="77777777" w:rsidR="00313E5C" w:rsidRPr="00FF6CCF" w:rsidRDefault="00313E5C" w:rsidP="000E1E36">
            <w:pPr>
              <w:jc w:val="left"/>
              <w:rPr>
                <w:lang w:val="el-GR"/>
              </w:rPr>
            </w:pPr>
            <w:proofErr w:type="spellStart"/>
            <w:r w:rsidRPr="00FF6CCF">
              <w:rPr>
                <w:lang w:val="el-GR"/>
              </w:rPr>
              <w:lastRenderedPageBreak/>
              <w:t>Current</w:t>
            </w:r>
            <w:proofErr w:type="spellEnd"/>
            <w:r w:rsidRPr="00FF6CCF">
              <w:rPr>
                <w:lang w:val="el-GR"/>
              </w:rPr>
              <w:t xml:space="preserve"> </w:t>
            </w:r>
            <w:proofErr w:type="spellStart"/>
            <w:r w:rsidRPr="00FF6CCF">
              <w:rPr>
                <w:lang w:val="el-GR"/>
              </w:rPr>
              <w:t>Speed</w:t>
            </w:r>
            <w:proofErr w:type="spellEnd"/>
          </w:p>
        </w:tc>
        <w:tc>
          <w:tcPr>
            <w:tcW w:w="0" w:type="auto"/>
            <w:hideMark/>
          </w:tcPr>
          <w:p w14:paraId="7F2B5B3B" w14:textId="77777777" w:rsidR="00313E5C" w:rsidRPr="00FF6CCF" w:rsidRDefault="00313E5C" w:rsidP="000E1E36">
            <w:pPr>
              <w:jc w:val="left"/>
              <w:rPr>
                <w:lang w:val="el-GR"/>
              </w:rPr>
            </w:pPr>
            <w:proofErr w:type="spellStart"/>
            <w:r w:rsidRPr="00FF6CCF">
              <w:rPr>
                <w:lang w:val="el-GR"/>
              </w:rPr>
              <w:t>Following</w:t>
            </w:r>
            <w:proofErr w:type="spellEnd"/>
            <w:r w:rsidRPr="00FF6CCF">
              <w:rPr>
                <w:lang w:val="el-GR"/>
              </w:rPr>
              <w:t xml:space="preserve"> </w:t>
            </w:r>
            <w:proofErr w:type="spellStart"/>
            <w:r w:rsidRPr="00FF6CCF">
              <w:rPr>
                <w:lang w:val="el-GR"/>
              </w:rPr>
              <w:t>Current</w:t>
            </w:r>
            <w:proofErr w:type="spellEnd"/>
          </w:p>
        </w:tc>
        <w:tc>
          <w:tcPr>
            <w:tcW w:w="0" w:type="auto"/>
            <w:hideMark/>
          </w:tcPr>
          <w:p w14:paraId="3D57EA28" w14:textId="77777777" w:rsidR="00313E5C" w:rsidRPr="00FF6CCF" w:rsidRDefault="00313E5C" w:rsidP="000E1E36">
            <w:pPr>
              <w:jc w:val="left"/>
              <w:rPr>
                <w:lang w:val="el-GR"/>
              </w:rPr>
            </w:pPr>
            <w:proofErr w:type="spellStart"/>
            <w:r w:rsidRPr="00FF6CCF">
              <w:rPr>
                <w:lang w:val="el-GR"/>
              </w:rPr>
              <w:t>Side</w:t>
            </w:r>
            <w:proofErr w:type="spellEnd"/>
            <w:r w:rsidRPr="00FF6CCF">
              <w:rPr>
                <w:lang w:val="el-GR"/>
              </w:rPr>
              <w:t xml:space="preserve"> </w:t>
            </w:r>
            <w:proofErr w:type="spellStart"/>
            <w:r w:rsidRPr="00FF6CCF">
              <w:rPr>
                <w:lang w:val="el-GR"/>
              </w:rPr>
              <w:t>Current</w:t>
            </w:r>
            <w:proofErr w:type="spellEnd"/>
          </w:p>
        </w:tc>
        <w:tc>
          <w:tcPr>
            <w:tcW w:w="0" w:type="auto"/>
            <w:hideMark/>
          </w:tcPr>
          <w:p w14:paraId="70BEE6F5" w14:textId="77777777" w:rsidR="00313E5C" w:rsidRPr="00FF6CCF" w:rsidRDefault="00313E5C" w:rsidP="000E1E36">
            <w:pPr>
              <w:jc w:val="left"/>
              <w:rPr>
                <w:lang w:val="el-GR"/>
              </w:rPr>
            </w:pPr>
            <w:proofErr w:type="spellStart"/>
            <w:r w:rsidRPr="00FF6CCF">
              <w:rPr>
                <w:lang w:val="el-GR"/>
              </w:rPr>
              <w:t>Head</w:t>
            </w:r>
            <w:proofErr w:type="spellEnd"/>
            <w:r w:rsidRPr="00FF6CCF">
              <w:rPr>
                <w:lang w:val="el-GR"/>
              </w:rPr>
              <w:t xml:space="preserve"> </w:t>
            </w:r>
            <w:proofErr w:type="spellStart"/>
            <w:r w:rsidRPr="00FF6CCF">
              <w:rPr>
                <w:lang w:val="el-GR"/>
              </w:rPr>
              <w:t>Current</w:t>
            </w:r>
            <w:proofErr w:type="spellEnd"/>
          </w:p>
        </w:tc>
      </w:tr>
      <w:tr w:rsidR="00313E5C" w:rsidRPr="00FF6CCF" w14:paraId="3A1E5436" w14:textId="77777777" w:rsidTr="000E1E36">
        <w:tc>
          <w:tcPr>
            <w:tcW w:w="0" w:type="auto"/>
            <w:hideMark/>
          </w:tcPr>
          <w:p w14:paraId="68FCA23E" w14:textId="77777777" w:rsidR="00313E5C" w:rsidRPr="00FF6CCF" w:rsidRDefault="00313E5C" w:rsidP="000E1E36">
            <w:pPr>
              <w:jc w:val="left"/>
              <w:rPr>
                <w:lang w:val="el-GR"/>
              </w:rPr>
            </w:pPr>
            <w:proofErr w:type="spellStart"/>
            <w:r w:rsidRPr="00FF6CCF">
              <w:rPr>
                <w:lang w:val="el-GR"/>
              </w:rPr>
              <w:t>Any</w:t>
            </w:r>
            <w:proofErr w:type="spellEnd"/>
            <w:r w:rsidRPr="00FF6CCF">
              <w:rPr>
                <w:lang w:val="el-GR"/>
              </w:rPr>
              <w:t xml:space="preserve"> </w:t>
            </w:r>
            <w:proofErr w:type="spellStart"/>
            <w:r w:rsidRPr="00FF6CCF">
              <w:rPr>
                <w:lang w:val="el-GR"/>
              </w:rPr>
              <w:t>speed</w:t>
            </w:r>
            <w:proofErr w:type="spellEnd"/>
          </w:p>
        </w:tc>
        <w:tc>
          <w:tcPr>
            <w:tcW w:w="0" w:type="auto"/>
            <w:hideMark/>
          </w:tcPr>
          <w:p w14:paraId="3EE91943" w14:textId="77777777" w:rsidR="00313E5C" w:rsidRPr="00FF6CCF" w:rsidRDefault="00313E5C" w:rsidP="000E1E36">
            <w:pPr>
              <w:jc w:val="left"/>
              <w:rPr>
                <w:lang w:val="el-GR"/>
              </w:rPr>
            </w:pPr>
            <w:r w:rsidRPr="00FF6CCF">
              <w:rPr>
                <w:lang w:val="el-GR"/>
              </w:rPr>
              <w:t>1.05</w:t>
            </w:r>
          </w:p>
        </w:tc>
        <w:tc>
          <w:tcPr>
            <w:tcW w:w="0" w:type="auto"/>
            <w:hideMark/>
          </w:tcPr>
          <w:p w14:paraId="0F7AF908" w14:textId="77777777" w:rsidR="00313E5C" w:rsidRPr="00FF6CCF" w:rsidRDefault="00313E5C" w:rsidP="000E1E36">
            <w:pPr>
              <w:jc w:val="left"/>
              <w:rPr>
                <w:lang w:val="el-GR"/>
              </w:rPr>
            </w:pPr>
            <w:r w:rsidRPr="00FF6CCF">
              <w:rPr>
                <w:lang w:val="el-GR"/>
              </w:rPr>
              <w:t>1.00</w:t>
            </w:r>
          </w:p>
        </w:tc>
        <w:tc>
          <w:tcPr>
            <w:tcW w:w="0" w:type="auto"/>
            <w:hideMark/>
          </w:tcPr>
          <w:p w14:paraId="7BB06BA3" w14:textId="77777777" w:rsidR="00313E5C" w:rsidRPr="00FF6CCF" w:rsidRDefault="00313E5C" w:rsidP="000E1E36">
            <w:pPr>
              <w:jc w:val="left"/>
              <w:rPr>
                <w:lang w:val="el-GR"/>
              </w:rPr>
            </w:pPr>
            <w:r w:rsidRPr="00FF6CCF">
              <w:rPr>
                <w:lang w:val="el-GR"/>
              </w:rPr>
              <w:t>0.95</w:t>
            </w:r>
          </w:p>
        </w:tc>
      </w:tr>
    </w:tbl>
    <w:p w14:paraId="48968282" w14:textId="77777777" w:rsidR="00313E5C" w:rsidRDefault="00313E5C"/>
    <w:p w14:paraId="2063C073" w14:textId="77777777" w:rsidR="00B03716" w:rsidRDefault="00000000">
      <w:r>
        <w:t>As the current factor is linearly related to the relative current direction, the factor is calculated using:</w:t>
      </w:r>
    </w:p>
    <w:p w14:paraId="2DDAC2F6" w14:textId="77777777" w:rsidR="00B03716" w:rsidRDefault="00000000">
      <w:r>
        <w:t>Current Factor = 0,95 + ( ABS ( MOD ( VB – CB - 180; -180)) / 1800)</w:t>
      </w:r>
    </w:p>
    <w:p w14:paraId="3C762046" w14:textId="77777777" w:rsidR="00B03716" w:rsidRDefault="00000000">
      <w:r>
        <w:t>Light Wind Factor = 0,90 + ( ABS ( MOD ( VB – WB - 180; -180)) / 1800)</w:t>
      </w:r>
    </w:p>
    <w:p w14:paraId="1AC0ED28" w14:textId="77777777" w:rsidR="00B03716" w:rsidRDefault="00000000">
      <w:r>
        <w:t>Moderate Wind Factor = 0,80 + ( ABS ( MOD ( VB – WB - 180; -180)) / 900)</w:t>
      </w:r>
    </w:p>
    <w:p w14:paraId="7656D532" w14:textId="77777777" w:rsidR="00B03716" w:rsidRDefault="00000000">
      <w:r>
        <w:t>Strong Wind Factor = 0,60 + ( ABS ( MOD (VB – WB – 180; -180)) / 450)</w:t>
      </w:r>
    </w:p>
    <w:p w14:paraId="7C3DCBCF" w14:textId="77777777" w:rsidR="00B03716" w:rsidRDefault="00000000">
      <w:r>
        <w:t>Where VB = Vessel bearing; CB = current bearing; WB = wind bearing.</w:t>
      </w:r>
    </w:p>
    <w:p w14:paraId="69C0ACB9" w14:textId="77777777" w:rsidR="00B03716" w:rsidRDefault="00000000">
      <w:r>
        <w:t>Using field calculator, the final speed was calculated for each route segment using the formula 5.5 * Current Factor * Wind Factor. Subsequently, we calculated the duration of travel by multiplying the speed with the length of each segment.</w:t>
      </w:r>
    </w:p>
    <w:p w14:paraId="1FAF1E09" w14:textId="77777777" w:rsidR="00B03716" w:rsidRDefault="00000000">
      <w:r>
        <w:t>To determine the amount of energy required for these seafaring trips, we used the recent global overview of metabolic requirements for activities (Hermann et al. 2024; www.pacompendium.com). Following this work, long term paddling has comparable metabolic rate to moderate hiking with light pack, around 5.0 MET (Metabolic Equivalent of Task) which for a 70kg individual corresponds to an energy rate of 1,464 KJ/hour.</w:t>
      </w:r>
    </w:p>
    <w:p w14:paraId="1C1FF72B" w14:textId="77777777" w:rsidR="00B03716" w:rsidRDefault="00000000">
      <w:r>
        <w:t>We calculated the energy requirement per person for the maritime route by multiplying this energy rate with the estimated duration of travel. Finally, the energy requirement of the maritime route was combined with the energetic requirement for the routes between the coast and the settlements.</w:t>
      </w:r>
    </w:p>
    <w:p w14:paraId="63703CC5" w14:textId="77777777" w:rsidR="00313E5C" w:rsidRPr="00313E5C" w:rsidRDefault="00313E5C" w:rsidP="00653FBA">
      <w:pPr>
        <w:pStyle w:val="Heading2"/>
      </w:pPr>
      <w:r w:rsidRPr="00313E5C">
        <w:lastRenderedPageBreak/>
        <w:t>References</w:t>
      </w:r>
    </w:p>
    <w:p w14:paraId="63D82FC0" w14:textId="77777777" w:rsidR="00313E5C" w:rsidRDefault="00313E5C" w:rsidP="00313E5C">
      <w:r w:rsidRPr="00313E5C">
        <w:t>Bach, A. J., Costello, J. T., Borg, D. N. and Stewart, I. B (2017) The Pandolf load carriage equation is a poor predictor of metabolic rate while wearing explosive ordnance disposal protective clothing. Ergonomics 60 (3): 430–8.</w:t>
      </w:r>
    </w:p>
    <w:p w14:paraId="0F1C219A" w14:textId="5D59C3EF" w:rsidR="004E617C" w:rsidRDefault="004E617C" w:rsidP="004E617C">
      <w:pPr>
        <w:rPr>
          <w:lang w:val="en-GB"/>
        </w:rPr>
      </w:pPr>
      <w:r w:rsidRPr="004E617C">
        <w:rPr>
          <w:lang w:val="en-GB"/>
        </w:rPr>
        <w:t>Bastien GJ, Willems PA, Schepens B, Heglund NC (2005) Effect of load and speed on the energetic cost of</w:t>
      </w:r>
      <w:r>
        <w:rPr>
          <w:lang w:val="en-GB"/>
        </w:rPr>
        <w:t xml:space="preserve"> </w:t>
      </w:r>
      <w:r w:rsidRPr="004E617C">
        <w:rPr>
          <w:lang w:val="en-GB"/>
        </w:rPr>
        <w:t xml:space="preserve">human walking. </w:t>
      </w:r>
      <w:proofErr w:type="spellStart"/>
      <w:r w:rsidRPr="004E617C">
        <w:rPr>
          <w:lang w:val="en-GB"/>
        </w:rPr>
        <w:t>Eur</w:t>
      </w:r>
      <w:proofErr w:type="spellEnd"/>
      <w:r w:rsidRPr="004E617C">
        <w:rPr>
          <w:lang w:val="en-GB"/>
        </w:rPr>
        <w:t xml:space="preserve"> J Appl </w:t>
      </w:r>
      <w:proofErr w:type="spellStart"/>
      <w:r w:rsidRPr="004E617C">
        <w:rPr>
          <w:lang w:val="en-GB"/>
        </w:rPr>
        <w:t>Physiol</w:t>
      </w:r>
      <w:proofErr w:type="spellEnd"/>
      <w:r w:rsidRPr="004E617C">
        <w:rPr>
          <w:lang w:val="en-GB"/>
        </w:rPr>
        <w:t xml:space="preserve"> 94(1):76–83</w:t>
      </w:r>
    </w:p>
    <w:p w14:paraId="445E52F6" w14:textId="072A51FE" w:rsidR="004E617C" w:rsidRDefault="004E617C" w:rsidP="004E617C">
      <w:pPr>
        <w:rPr>
          <w:lang w:val="en-GB"/>
        </w:rPr>
      </w:pPr>
      <w:proofErr w:type="spellStart"/>
      <w:r w:rsidRPr="004E617C">
        <w:rPr>
          <w:lang w:val="en-GB"/>
        </w:rPr>
        <w:t>Broodbank</w:t>
      </w:r>
      <w:proofErr w:type="spellEnd"/>
      <w:r w:rsidRPr="004E617C">
        <w:rPr>
          <w:lang w:val="en-GB"/>
        </w:rPr>
        <w:t xml:space="preserve"> C (2010) Ships-a-sail from over the rim of the sea: Voyaging, Sailing and the making of</w:t>
      </w:r>
      <w:r>
        <w:rPr>
          <w:lang w:val="en-GB"/>
        </w:rPr>
        <w:t xml:space="preserve"> </w:t>
      </w:r>
      <w:r w:rsidRPr="004E617C">
        <w:rPr>
          <w:lang w:val="en-GB"/>
        </w:rPr>
        <w:t>Mediterranean Societies c. 3500–800 BC. In: Anderson A, Barrett JH, Boyle KV (eds) The global</w:t>
      </w:r>
      <w:r>
        <w:rPr>
          <w:lang w:val="en-GB"/>
        </w:rPr>
        <w:t xml:space="preserve"> </w:t>
      </w:r>
      <w:r w:rsidRPr="004E617C">
        <w:rPr>
          <w:lang w:val="en-GB"/>
        </w:rPr>
        <w:t>origins and development of seafaring. Oxford: Oxbow</w:t>
      </w:r>
    </w:p>
    <w:p w14:paraId="50935E71" w14:textId="4B421CD6" w:rsidR="004E617C" w:rsidRPr="004E617C" w:rsidRDefault="004E617C" w:rsidP="004E617C">
      <w:pPr>
        <w:rPr>
          <w:lang w:val="en-GB"/>
        </w:rPr>
      </w:pPr>
      <w:proofErr w:type="spellStart"/>
      <w:r w:rsidRPr="004E617C">
        <w:rPr>
          <w:lang w:val="en-GB"/>
        </w:rPr>
        <w:t>Broodbank</w:t>
      </w:r>
      <w:proofErr w:type="spellEnd"/>
      <w:r w:rsidRPr="004E617C">
        <w:rPr>
          <w:lang w:val="en-GB"/>
        </w:rPr>
        <w:t xml:space="preserve"> C (2013) The making of the middle sea: a history of the mediterranean from the beginning to the</w:t>
      </w:r>
      <w:r>
        <w:rPr>
          <w:lang w:val="en-GB"/>
        </w:rPr>
        <w:t xml:space="preserve"> </w:t>
      </w:r>
      <w:r w:rsidRPr="004E617C">
        <w:rPr>
          <w:lang w:val="en-GB"/>
        </w:rPr>
        <w:t>emergence of the classical world. Thames and Hudson, London</w:t>
      </w:r>
    </w:p>
    <w:p w14:paraId="11518078" w14:textId="77777777" w:rsidR="00313E5C" w:rsidRDefault="00313E5C" w:rsidP="00313E5C">
      <w:r w:rsidRPr="00313E5C">
        <w:t>Drain, J. R., Aisbett, B., Lewis, M. and Billing, D. C (2017) The Pandolf equation under-predicts the metabolic rate of contemporary military load carriage. Journal of Science and Medicine in Sport 20: S104–S108.</w:t>
      </w:r>
    </w:p>
    <w:p w14:paraId="717143B3" w14:textId="1A09B4D0" w:rsidR="004E617C" w:rsidRPr="004E617C" w:rsidRDefault="004E617C" w:rsidP="004E617C">
      <w:pPr>
        <w:rPr>
          <w:lang w:val="en-GB"/>
        </w:rPr>
      </w:pPr>
      <w:r w:rsidRPr="004E617C">
        <w:rPr>
          <w:lang w:val="en-GB"/>
        </w:rPr>
        <w:t>D</w:t>
      </w:r>
      <w:r w:rsidRPr="004E617C">
        <w:rPr>
          <w:lang w:val="el-GR"/>
        </w:rPr>
        <w:t>ό</w:t>
      </w:r>
      <w:r w:rsidRPr="004E617C">
        <w:rPr>
          <w:lang w:val="en-GB"/>
        </w:rPr>
        <w:t>ring BS (2025) Connecting Cyprus: interregional interaction and society in the third millennium BC.</w:t>
      </w:r>
      <w:r>
        <w:rPr>
          <w:lang w:val="en-GB"/>
        </w:rPr>
        <w:t xml:space="preserve"> </w:t>
      </w:r>
      <w:r w:rsidRPr="004E617C">
        <w:rPr>
          <w:lang w:val="en-GB"/>
        </w:rPr>
        <w:t xml:space="preserve">J World </w:t>
      </w:r>
      <w:proofErr w:type="spellStart"/>
      <w:r w:rsidRPr="004E617C">
        <w:rPr>
          <w:lang w:val="en-GB"/>
        </w:rPr>
        <w:t>Prehist</w:t>
      </w:r>
      <w:proofErr w:type="spellEnd"/>
      <w:r w:rsidRPr="004E617C">
        <w:rPr>
          <w:lang w:val="en-GB"/>
        </w:rPr>
        <w:t xml:space="preserve"> 38(2):1–35</w:t>
      </w:r>
    </w:p>
    <w:p w14:paraId="7EBA41DF" w14:textId="77777777" w:rsidR="00313E5C" w:rsidRPr="00313E5C" w:rsidRDefault="00313E5C" w:rsidP="00313E5C">
      <w:r w:rsidRPr="00313E5C">
        <w:t xml:space="preserve">Fermé, L. C., Mineo, M., </w:t>
      </w:r>
      <w:proofErr w:type="spellStart"/>
      <w:r w:rsidRPr="00313E5C">
        <w:t>Remolins</w:t>
      </w:r>
      <w:proofErr w:type="spellEnd"/>
      <w:r w:rsidRPr="00313E5C">
        <w:t xml:space="preserve">, G., Mazzucco, N. and </w:t>
      </w:r>
      <w:proofErr w:type="spellStart"/>
      <w:r w:rsidRPr="00313E5C">
        <w:t>Gibaja</w:t>
      </w:r>
      <w:proofErr w:type="spellEnd"/>
      <w:r w:rsidRPr="00313E5C">
        <w:t xml:space="preserve">, J. F (2023) Navigation during the early Neolithic in the Mediterranean area: study of wooden artifacts associated with dugout canoes at La </w:t>
      </w:r>
      <w:proofErr w:type="spellStart"/>
      <w:r w:rsidRPr="00313E5C">
        <w:t>Marmotta</w:t>
      </w:r>
      <w:proofErr w:type="spellEnd"/>
      <w:r w:rsidRPr="00313E5C">
        <w:t xml:space="preserve"> (Lago di </w:t>
      </w:r>
      <w:proofErr w:type="spellStart"/>
      <w:r w:rsidRPr="00313E5C">
        <w:t>Bracciano</w:t>
      </w:r>
      <w:proofErr w:type="spellEnd"/>
      <w:r w:rsidRPr="00313E5C">
        <w:t xml:space="preserve">, Anguillara </w:t>
      </w:r>
      <w:proofErr w:type="spellStart"/>
      <w:r w:rsidRPr="00313E5C">
        <w:t>Sabazia</w:t>
      </w:r>
      <w:proofErr w:type="spellEnd"/>
      <w:r w:rsidRPr="00313E5C">
        <w:t>, Lazio, Italy). Quaternary Science Reviews 311: 108129.</w:t>
      </w:r>
    </w:p>
    <w:p w14:paraId="4A7E16C0" w14:textId="77777777" w:rsidR="00313E5C" w:rsidRPr="00313E5C" w:rsidRDefault="00313E5C" w:rsidP="00313E5C">
      <w:r w:rsidRPr="00313E5C">
        <w:t>Field, S., Heitman, C. and Richards-Rissetto, H (2019) A Least Cost Analysis: Correlative Modeling of the Chaco Regional Road System. Journal of Computer Applications in Archaeology 2 (1): 136–50.</w:t>
      </w:r>
    </w:p>
    <w:p w14:paraId="623B9EA3" w14:textId="77777777" w:rsidR="00313E5C" w:rsidRDefault="00313E5C" w:rsidP="00313E5C">
      <w:proofErr w:type="spellStart"/>
      <w:r w:rsidRPr="00313E5C">
        <w:lastRenderedPageBreak/>
        <w:t>Fugazzola</w:t>
      </w:r>
      <w:proofErr w:type="spellEnd"/>
      <w:r w:rsidRPr="00313E5C">
        <w:t xml:space="preserve">, M. A. and Mineo, M (1995) La </w:t>
      </w:r>
      <w:proofErr w:type="spellStart"/>
      <w:r w:rsidRPr="00313E5C">
        <w:t>piroga</w:t>
      </w:r>
      <w:proofErr w:type="spellEnd"/>
      <w:r w:rsidRPr="00313E5C">
        <w:t xml:space="preserve"> </w:t>
      </w:r>
      <w:proofErr w:type="spellStart"/>
      <w:r w:rsidRPr="00313E5C">
        <w:t>neolitica</w:t>
      </w:r>
      <w:proofErr w:type="spellEnd"/>
      <w:r w:rsidRPr="00313E5C">
        <w:t xml:space="preserve"> del </w:t>
      </w:r>
      <w:proofErr w:type="spellStart"/>
      <w:r w:rsidRPr="00313E5C">
        <w:t>lago</w:t>
      </w:r>
      <w:proofErr w:type="spellEnd"/>
      <w:r w:rsidRPr="00313E5C">
        <w:t xml:space="preserve"> di </w:t>
      </w:r>
      <w:proofErr w:type="spellStart"/>
      <w:r w:rsidRPr="00313E5C">
        <w:t>Bracciano</w:t>
      </w:r>
      <w:proofErr w:type="spellEnd"/>
      <w:r w:rsidRPr="00313E5C">
        <w:t xml:space="preserve"> ("La </w:t>
      </w:r>
      <w:proofErr w:type="spellStart"/>
      <w:r w:rsidRPr="00313E5C">
        <w:t>Marmotta</w:t>
      </w:r>
      <w:proofErr w:type="spellEnd"/>
      <w:r w:rsidRPr="00313E5C">
        <w:t xml:space="preserve"> 1"). </w:t>
      </w:r>
      <w:proofErr w:type="spellStart"/>
      <w:r w:rsidRPr="00313E5C">
        <w:t>Bulletino</w:t>
      </w:r>
      <w:proofErr w:type="spellEnd"/>
      <w:r w:rsidRPr="00313E5C">
        <w:t xml:space="preserve"> di </w:t>
      </w:r>
      <w:proofErr w:type="spellStart"/>
      <w:r w:rsidRPr="00313E5C">
        <w:t>Paletnologia</w:t>
      </w:r>
      <w:proofErr w:type="spellEnd"/>
      <w:r w:rsidRPr="00313E5C">
        <w:t xml:space="preserve"> </w:t>
      </w:r>
      <w:proofErr w:type="spellStart"/>
      <w:r w:rsidRPr="00313E5C">
        <w:t>Italiana</w:t>
      </w:r>
      <w:proofErr w:type="spellEnd"/>
      <w:r w:rsidRPr="00313E5C">
        <w:t xml:space="preserve"> 86: 197–266.</w:t>
      </w:r>
    </w:p>
    <w:p w14:paraId="678EA64A" w14:textId="617D82D8" w:rsidR="004E617C" w:rsidRPr="004E617C" w:rsidRDefault="004E617C" w:rsidP="004E617C">
      <w:pPr>
        <w:rPr>
          <w:lang w:val="en-GB"/>
        </w:rPr>
      </w:pPr>
      <w:r w:rsidRPr="004E617C">
        <w:rPr>
          <w:lang w:val="en-GB"/>
        </w:rPr>
        <w:t>Gomez B, Pease PP (1992) Early Holocene Cypriot coastal palaeogeography. Report of the Department</w:t>
      </w:r>
      <w:r>
        <w:rPr>
          <w:lang w:val="en-GB"/>
        </w:rPr>
        <w:t xml:space="preserve"> </w:t>
      </w:r>
      <w:r w:rsidRPr="004E617C">
        <w:rPr>
          <w:lang w:val="en-GB"/>
        </w:rPr>
        <w:t>of Antiquities, Cyprus: 1–8</w:t>
      </w:r>
    </w:p>
    <w:p w14:paraId="1E4C73F3" w14:textId="41A3DED2" w:rsidR="00DD3C47" w:rsidRPr="0047640E" w:rsidRDefault="00DD3C47" w:rsidP="00313E5C">
      <w:pPr>
        <w:rPr>
          <w:lang w:val="en-GB"/>
        </w:rPr>
      </w:pPr>
      <w:r w:rsidRPr="00253EB9">
        <w:rPr>
          <w:lang w:val="en-GB"/>
        </w:rPr>
        <w:t xml:space="preserve">Gustas, R. and </w:t>
      </w:r>
      <w:proofErr w:type="spellStart"/>
      <w:r w:rsidRPr="00253EB9">
        <w:rPr>
          <w:lang w:val="en-GB"/>
        </w:rPr>
        <w:t>Supernant</w:t>
      </w:r>
      <w:proofErr w:type="spellEnd"/>
      <w:r w:rsidRPr="00253EB9">
        <w:rPr>
          <w:lang w:val="en-GB"/>
        </w:rPr>
        <w:t>, K (2017) Coastal migration into the Americas and least cost path analysis. Journal of Anthropological Archaeology 54: 192–206.</w:t>
      </w:r>
    </w:p>
    <w:p w14:paraId="775028B1" w14:textId="2E91F6A0" w:rsidR="00A07FDE" w:rsidRPr="00313E5C" w:rsidRDefault="00A07FDE" w:rsidP="00313E5C">
      <w:r w:rsidRPr="00A07FDE">
        <w:t xml:space="preserve">Gustas R, </w:t>
      </w:r>
      <w:proofErr w:type="spellStart"/>
      <w:r w:rsidRPr="00A07FDE">
        <w:t>Supernant</w:t>
      </w:r>
      <w:proofErr w:type="spellEnd"/>
      <w:r w:rsidRPr="00A07FDE">
        <w:t xml:space="preserve"> K (2019) Least cost path analysis of early maritime movement on the Pacific Northwest Coast. J </w:t>
      </w:r>
      <w:proofErr w:type="spellStart"/>
      <w:r w:rsidRPr="00A07FDE">
        <w:t>Archaeol</w:t>
      </w:r>
      <w:proofErr w:type="spellEnd"/>
      <w:r w:rsidRPr="00A07FDE">
        <w:t xml:space="preserve"> Sci 78:40–56</w:t>
      </w:r>
    </w:p>
    <w:p w14:paraId="07CC4A76" w14:textId="43A61EF4" w:rsidR="00DF6F92" w:rsidRDefault="00DF6F92" w:rsidP="00DF6F92">
      <w:pPr>
        <w:rPr>
          <w:lang w:val="en-GB"/>
        </w:rPr>
      </w:pPr>
      <w:proofErr w:type="spellStart"/>
      <w:r w:rsidRPr="00DF6F92">
        <w:rPr>
          <w:lang w:val="en-GB"/>
        </w:rPr>
        <w:t>Heikell</w:t>
      </w:r>
      <w:proofErr w:type="spellEnd"/>
      <w:r>
        <w:rPr>
          <w:lang w:val="en-GB"/>
        </w:rPr>
        <w:t xml:space="preserve"> R</w:t>
      </w:r>
      <w:r w:rsidRPr="00DF6F92">
        <w:rPr>
          <w:lang w:val="en-GB"/>
        </w:rPr>
        <w:t xml:space="preserve"> </w:t>
      </w:r>
      <w:r>
        <w:rPr>
          <w:lang w:val="en-GB"/>
        </w:rPr>
        <w:t>(</w:t>
      </w:r>
      <w:r w:rsidRPr="00DF6F92">
        <w:rPr>
          <w:lang w:val="en-GB"/>
        </w:rPr>
        <w:t>1994</w:t>
      </w:r>
      <w:r>
        <w:rPr>
          <w:lang w:val="en-GB"/>
        </w:rPr>
        <w:t xml:space="preserve">) </w:t>
      </w:r>
      <w:r w:rsidRPr="00DF6F92">
        <w:rPr>
          <w:lang w:val="en-GB"/>
        </w:rPr>
        <w:t>Greek Waters Pilot: A Yachtsman's Guide to the Coasts and Islands of Greece</w:t>
      </w:r>
      <w:r>
        <w:rPr>
          <w:lang w:val="en-GB"/>
        </w:rPr>
        <w:t xml:space="preserve">. </w:t>
      </w:r>
      <w:r w:rsidRPr="00DF6F92">
        <w:rPr>
          <w:lang w:val="en-GB"/>
        </w:rPr>
        <w:t>Imray, Laurie, Norie &amp; Wilson, Limited</w:t>
      </w:r>
      <w:r>
        <w:rPr>
          <w:lang w:val="en-GB"/>
        </w:rPr>
        <w:t xml:space="preserve">: </w:t>
      </w:r>
      <w:r w:rsidRPr="00DF6F92">
        <w:rPr>
          <w:lang w:val="en-GB"/>
        </w:rPr>
        <w:t>Huntingdon</w:t>
      </w:r>
    </w:p>
    <w:p w14:paraId="25A49FB4" w14:textId="74129432" w:rsidR="00A07FDE" w:rsidRPr="0047640E" w:rsidRDefault="00A07FDE" w:rsidP="00A07FDE">
      <w:pPr>
        <w:rPr>
          <w:lang w:val="en-GB"/>
        </w:rPr>
      </w:pPr>
      <w:r w:rsidRPr="0047640E">
        <w:rPr>
          <w:lang w:val="en-GB"/>
        </w:rPr>
        <w:t>Held SO (1993) Insularity as a modifier of culture change: the case of prehistoric Cyprus. Bull Am Sch</w:t>
      </w:r>
      <w:r>
        <w:rPr>
          <w:lang w:val="en-GB"/>
        </w:rPr>
        <w:t xml:space="preserve"> </w:t>
      </w:r>
      <w:r w:rsidRPr="0047640E">
        <w:rPr>
          <w:lang w:val="en-GB"/>
        </w:rPr>
        <w:t>Orient Res 292(1):25–33</w:t>
      </w:r>
    </w:p>
    <w:p w14:paraId="73755F5C" w14:textId="3B23E111" w:rsidR="0082421F" w:rsidRDefault="0082421F" w:rsidP="0082421F">
      <w:pPr>
        <w:rPr>
          <w:lang w:val="en-GB"/>
        </w:rPr>
      </w:pPr>
      <w:r w:rsidRPr="0082421F">
        <w:rPr>
          <w:lang w:val="en-GB"/>
        </w:rPr>
        <w:t>Herrmann SD, Willis EA, Ainsworth BE, Barreira TV, Hastert M, Kracht CL, Jacobs DR Jr et al (2024)</w:t>
      </w:r>
      <w:r>
        <w:rPr>
          <w:lang w:val="en-GB"/>
        </w:rPr>
        <w:t xml:space="preserve"> </w:t>
      </w:r>
      <w:r w:rsidRPr="0082421F">
        <w:rPr>
          <w:lang w:val="en-GB"/>
        </w:rPr>
        <w:t>Adult compendium of physical activities: a third update of the energy costs of human activities. J</w:t>
      </w:r>
      <w:r>
        <w:rPr>
          <w:lang w:val="en-GB"/>
        </w:rPr>
        <w:t xml:space="preserve"> </w:t>
      </w:r>
      <w:r w:rsidRPr="0082421F">
        <w:rPr>
          <w:lang w:val="en-GB"/>
        </w:rPr>
        <w:t>Sport Health Sci 13(1):6–12</w:t>
      </w:r>
    </w:p>
    <w:p w14:paraId="087E8DE8" w14:textId="283AD11F" w:rsidR="00313E5C" w:rsidRPr="00313E5C" w:rsidRDefault="00313E5C" w:rsidP="0082421F">
      <w:r w:rsidRPr="00313E5C">
        <w:t xml:space="preserve">Hubert-Ferrari, A., Drab, L., Van Der Woerd, J., Benedetti, L. and Van </w:t>
      </w:r>
      <w:proofErr w:type="spellStart"/>
      <w:r w:rsidRPr="00313E5C">
        <w:t>Campenhout</w:t>
      </w:r>
      <w:proofErr w:type="spellEnd"/>
      <w:r w:rsidRPr="00313E5C">
        <w:t xml:space="preserve">, J (2021) Cosmogenic data about offset uplifted river terraces and erosion rates: Implication regarding the central North Anatolian Fault and the Central </w:t>
      </w:r>
      <w:proofErr w:type="spellStart"/>
      <w:r w:rsidRPr="00313E5C">
        <w:t>Pontides</w:t>
      </w:r>
      <w:proofErr w:type="spellEnd"/>
      <w:r w:rsidRPr="00313E5C">
        <w:t>. Mediterranean Geoscience Reviews 3: 129–57.</w:t>
      </w:r>
    </w:p>
    <w:p w14:paraId="78760E36" w14:textId="41E5B64F" w:rsidR="0082421F" w:rsidRPr="0082421F" w:rsidRDefault="0082421F" w:rsidP="0082421F">
      <w:pPr>
        <w:rPr>
          <w:lang w:val="en-GB"/>
        </w:rPr>
      </w:pPr>
      <w:r w:rsidRPr="0082421F">
        <w:rPr>
          <w:lang w:val="en-GB"/>
        </w:rPr>
        <w:t xml:space="preserve">Knapp AB (2018) Seafaring and Seafarers in the Bronze Age Eastern Mediterranean. </w:t>
      </w:r>
      <w:proofErr w:type="spellStart"/>
      <w:r w:rsidRPr="0082421F">
        <w:rPr>
          <w:lang w:val="en-GB"/>
        </w:rPr>
        <w:t>Sidestone</w:t>
      </w:r>
      <w:proofErr w:type="spellEnd"/>
      <w:r w:rsidRPr="0082421F">
        <w:rPr>
          <w:lang w:val="en-GB"/>
        </w:rPr>
        <w:t xml:space="preserve"> Press,</w:t>
      </w:r>
      <w:r>
        <w:rPr>
          <w:lang w:val="en-GB"/>
        </w:rPr>
        <w:t xml:space="preserve"> </w:t>
      </w:r>
      <w:r w:rsidRPr="0082421F">
        <w:rPr>
          <w:lang w:val="en-GB"/>
        </w:rPr>
        <w:t>Leiden</w:t>
      </w:r>
    </w:p>
    <w:p w14:paraId="4D691AFC" w14:textId="015CA8A1" w:rsidR="0082421F" w:rsidRDefault="0082421F" w:rsidP="0082421F">
      <w:pPr>
        <w:rPr>
          <w:lang w:val="en-GB"/>
        </w:rPr>
      </w:pPr>
      <w:r w:rsidRPr="0082421F">
        <w:rPr>
          <w:lang w:val="en-GB"/>
        </w:rPr>
        <w:lastRenderedPageBreak/>
        <w:t>Knapp AB (2020) Maritime narratives of prehistoric Cyprus: seafaring as everyday practice. J</w:t>
      </w:r>
      <w:r>
        <w:rPr>
          <w:lang w:val="en-GB"/>
        </w:rPr>
        <w:t xml:space="preserve"> </w:t>
      </w:r>
      <w:r w:rsidRPr="0082421F">
        <w:rPr>
          <w:lang w:val="en-GB"/>
        </w:rPr>
        <w:t>Marit</w:t>
      </w:r>
      <w:r>
        <w:rPr>
          <w:lang w:val="en-GB"/>
        </w:rPr>
        <w:t xml:space="preserve"> </w:t>
      </w:r>
      <w:proofErr w:type="spellStart"/>
      <w:r w:rsidRPr="0082421F">
        <w:rPr>
          <w:lang w:val="en-GB"/>
        </w:rPr>
        <w:t>Archaeol</w:t>
      </w:r>
      <w:proofErr w:type="spellEnd"/>
      <w:r w:rsidRPr="0082421F">
        <w:rPr>
          <w:lang w:val="en-GB"/>
        </w:rPr>
        <w:t xml:space="preserve"> 15:415–450</w:t>
      </w:r>
    </w:p>
    <w:p w14:paraId="225C6BE4" w14:textId="34842AC2" w:rsidR="00A07FDE" w:rsidRPr="0047640E" w:rsidRDefault="00A07FDE" w:rsidP="0082421F">
      <w:pPr>
        <w:rPr>
          <w:lang w:val="en-GB"/>
        </w:rPr>
      </w:pPr>
      <w:proofErr w:type="spellStart"/>
      <w:r w:rsidRPr="0047640E">
        <w:rPr>
          <w:lang w:val="en-GB"/>
        </w:rPr>
        <w:t>Leidwanger</w:t>
      </w:r>
      <w:proofErr w:type="spellEnd"/>
      <w:r w:rsidRPr="0047640E">
        <w:rPr>
          <w:lang w:val="en-GB"/>
        </w:rPr>
        <w:t xml:space="preserve"> J (2013</w:t>
      </w:r>
      <w:r>
        <w:rPr>
          <w:lang w:val="en-GB"/>
        </w:rPr>
        <w:t>a</w:t>
      </w:r>
      <w:r w:rsidRPr="0047640E">
        <w:rPr>
          <w:lang w:val="en-GB"/>
        </w:rPr>
        <w:t>) Opportunistic ports and spaces of exchange in Late Roman Cyprus. J Marit</w:t>
      </w:r>
      <w:r>
        <w:rPr>
          <w:lang w:val="en-GB"/>
        </w:rPr>
        <w:t xml:space="preserve"> </w:t>
      </w:r>
      <w:proofErr w:type="spellStart"/>
      <w:r w:rsidRPr="0047640E">
        <w:rPr>
          <w:lang w:val="en-GB"/>
        </w:rPr>
        <w:t>Archaeol</w:t>
      </w:r>
      <w:proofErr w:type="spellEnd"/>
      <w:r w:rsidRPr="0047640E">
        <w:rPr>
          <w:lang w:val="en-GB"/>
        </w:rPr>
        <w:t xml:space="preserve"> 8:221–243</w:t>
      </w:r>
    </w:p>
    <w:p w14:paraId="2997A77A" w14:textId="77777777" w:rsidR="00A07FDE" w:rsidRPr="000E1EE0" w:rsidRDefault="00A07FDE" w:rsidP="00A07FDE">
      <w:pPr>
        <w:rPr>
          <w:lang w:val="en-GB"/>
        </w:rPr>
      </w:pPr>
      <w:proofErr w:type="spellStart"/>
      <w:r w:rsidRPr="000E1EE0">
        <w:rPr>
          <w:lang w:val="en-GB"/>
        </w:rPr>
        <w:t>Leidwanger</w:t>
      </w:r>
      <w:proofErr w:type="spellEnd"/>
      <w:r w:rsidRPr="000E1EE0">
        <w:rPr>
          <w:lang w:val="en-GB"/>
        </w:rPr>
        <w:t xml:space="preserve"> J (2013</w:t>
      </w:r>
      <w:r>
        <w:rPr>
          <w:lang w:val="en-GB"/>
        </w:rPr>
        <w:t>b</w:t>
      </w:r>
      <w:r w:rsidRPr="000E1EE0">
        <w:rPr>
          <w:lang w:val="en-GB"/>
        </w:rPr>
        <w:t xml:space="preserve">) </w:t>
      </w:r>
      <w:proofErr w:type="spellStart"/>
      <w:r w:rsidRPr="000E1EE0">
        <w:rPr>
          <w:lang w:val="en-GB"/>
        </w:rPr>
        <w:t>Modeling</w:t>
      </w:r>
      <w:proofErr w:type="spellEnd"/>
      <w:r w:rsidRPr="000E1EE0">
        <w:rPr>
          <w:lang w:val="en-GB"/>
        </w:rPr>
        <w:t xml:space="preserve"> distance with time in ancient Mediterranean seafaring: a GIS application</w:t>
      </w:r>
      <w:r>
        <w:rPr>
          <w:lang w:val="en-GB"/>
        </w:rPr>
        <w:t xml:space="preserve"> </w:t>
      </w:r>
      <w:r w:rsidRPr="000E1EE0">
        <w:rPr>
          <w:lang w:val="en-GB"/>
        </w:rPr>
        <w:t xml:space="preserve">for the interpretation of maritime connectivity. J </w:t>
      </w:r>
      <w:proofErr w:type="spellStart"/>
      <w:r w:rsidRPr="000E1EE0">
        <w:rPr>
          <w:lang w:val="en-GB"/>
        </w:rPr>
        <w:t>Archaeol</w:t>
      </w:r>
      <w:proofErr w:type="spellEnd"/>
      <w:r w:rsidRPr="000E1EE0">
        <w:rPr>
          <w:lang w:val="en-GB"/>
        </w:rPr>
        <w:t xml:space="preserve"> Sci 40:3302–3308</w:t>
      </w:r>
    </w:p>
    <w:p w14:paraId="7F81668F" w14:textId="77777777" w:rsidR="00313E5C" w:rsidRPr="00313E5C" w:rsidRDefault="00313E5C" w:rsidP="00313E5C">
      <w:r w:rsidRPr="00313E5C">
        <w:t>Looney, D. P., Lavoie, E. M., Vangala, S. V., Holden, L. U. C. A. S., Figueiredo, P. S., Friedl, K. E. and Potter, A. W (2021) Modeling the metabolic costs of heavy military backpacking. Medicine and Science in Sports and Exercise 54 (4): 646.</w:t>
      </w:r>
    </w:p>
    <w:p w14:paraId="22487E07" w14:textId="77777777" w:rsidR="00313E5C" w:rsidRPr="00313E5C" w:rsidRDefault="00313E5C" w:rsidP="00313E5C">
      <w:r w:rsidRPr="00313E5C">
        <w:t>Looney, D. P., Santee, W. R., Hansen, E. O., Bonventre, P. J., Chalmers, C. R. and Potter, A. W (2019) Estimating energy expenditure during level, uphill and downhill walking. Medicine and Science in Sports and Exercise 51: 1954–69.</w:t>
      </w:r>
    </w:p>
    <w:p w14:paraId="5217929B" w14:textId="77777777" w:rsidR="00313E5C" w:rsidRPr="00313E5C" w:rsidRDefault="00313E5C" w:rsidP="00313E5C">
      <w:r w:rsidRPr="00313E5C">
        <w:t>Looney, D. P., Santee, W. R., Karis, A. J., Blanchard, L. A., Rome, M. N., Carter, A. J. and Potter, A. W (2018) Metabolic Costs of Military Load Carriage over Complex Terrain. Military Medicine 183 (9-10): e357–e362.</w:t>
      </w:r>
    </w:p>
    <w:p w14:paraId="6D6029C2" w14:textId="77777777" w:rsidR="00313E5C" w:rsidRPr="00313E5C" w:rsidRDefault="00313E5C" w:rsidP="00313E5C">
      <w:r w:rsidRPr="00313E5C">
        <w:t xml:space="preserve">Marble, D. F. and Machovina, B (1997) A GIS-based approach to estimating the human effort involved in movement over natural terrain. </w:t>
      </w:r>
      <w:proofErr w:type="spellStart"/>
      <w:r w:rsidRPr="00313E5C">
        <w:t>Iskos</w:t>
      </w:r>
      <w:proofErr w:type="spellEnd"/>
      <w:r w:rsidRPr="00313E5C">
        <w:t xml:space="preserve"> 11 – Proceedings of the VII Nordic Conference on the Application of Scientific Methods in Archaeology – </w:t>
      </w:r>
      <w:proofErr w:type="spellStart"/>
      <w:r w:rsidRPr="00313E5C">
        <w:t>Savonlinna</w:t>
      </w:r>
      <w:proofErr w:type="spellEnd"/>
      <w:r w:rsidRPr="00313E5C">
        <w:t>, Finland, 7–11 September 1996: 117–26.</w:t>
      </w:r>
    </w:p>
    <w:p w14:paraId="5F9C037A" w14:textId="04A3BD17" w:rsidR="00A07FDE" w:rsidRDefault="00A07FDE" w:rsidP="00A07FDE">
      <w:pPr>
        <w:rPr>
          <w:lang w:val="en-GB"/>
        </w:rPr>
      </w:pPr>
      <w:r w:rsidRPr="0047640E">
        <w:rPr>
          <w:lang w:val="en-GB"/>
        </w:rPr>
        <w:t>Marcus E (2002) Early seafaring and maritime activity in the southern Levant from prehistory through</w:t>
      </w:r>
      <w:r>
        <w:rPr>
          <w:lang w:val="en-GB"/>
        </w:rPr>
        <w:t xml:space="preserve"> </w:t>
      </w:r>
      <w:r w:rsidRPr="0047640E">
        <w:rPr>
          <w:lang w:val="en-GB"/>
        </w:rPr>
        <w:t>the third millennium BCE. Egypt Levant 403–417</w:t>
      </w:r>
    </w:p>
    <w:p w14:paraId="1D2EF56F" w14:textId="1F6E255C" w:rsidR="00313E5C" w:rsidRPr="00313E5C" w:rsidRDefault="00313E5C" w:rsidP="00A07FDE">
      <w:r w:rsidRPr="00313E5C">
        <w:lastRenderedPageBreak/>
        <w:t xml:space="preserve">McClain, M. E., Schildgen, T. F., </w:t>
      </w:r>
      <w:proofErr w:type="spellStart"/>
      <w:r w:rsidRPr="00313E5C">
        <w:t>Echtler</w:t>
      </w:r>
      <w:proofErr w:type="spellEnd"/>
      <w:r w:rsidRPr="00313E5C">
        <w:t>, H., Melnick, D. and Yıldırım, C (2020) Quaternary rock uplift rates and their implications for the western flank of the North Anatolian Fault restraining bend; inferences from fluvial terrace ages. Tectonics.</w:t>
      </w:r>
    </w:p>
    <w:p w14:paraId="2D8A63D7" w14:textId="77777777" w:rsidR="00313E5C" w:rsidRPr="00313E5C" w:rsidRDefault="00313E5C" w:rsidP="00313E5C">
      <w:r w:rsidRPr="00313E5C">
        <w:t>O'Neill, J. E. R., Corish, C. A. and Horner, K (2023) Accuracy of Resting Metabolic Rate Prediction Equations in Athletes: A Systematic Review with Meta-analysis. Sports Medicine 53: 2373–98.</w:t>
      </w:r>
    </w:p>
    <w:p w14:paraId="3124F1A5" w14:textId="77777777" w:rsidR="00313E5C" w:rsidRPr="00313E5C" w:rsidRDefault="00313E5C" w:rsidP="00313E5C">
      <w:r w:rsidRPr="00313E5C">
        <w:t xml:space="preserve">Pandolf, K. B., </w:t>
      </w:r>
      <w:proofErr w:type="spellStart"/>
      <w:r w:rsidRPr="00313E5C">
        <w:t>Givoni</w:t>
      </w:r>
      <w:proofErr w:type="spellEnd"/>
      <w:r w:rsidRPr="00313E5C">
        <w:t>, B. and Goldman, R. F (1977) Predicting energy expenditure with loads while standing or walking very slowly. Journal of Applied Physiology 43: 577–81.</w:t>
      </w:r>
    </w:p>
    <w:p w14:paraId="5A92F200" w14:textId="77777777" w:rsidR="00DD3C47" w:rsidRPr="00253EB9" w:rsidRDefault="00DD3C47" w:rsidP="00DD3C47">
      <w:pPr>
        <w:rPr>
          <w:lang w:val="en-GB"/>
        </w:rPr>
      </w:pPr>
      <w:r w:rsidRPr="00253EB9">
        <w:rPr>
          <w:lang w:val="en-GB"/>
        </w:rPr>
        <w:t>Peterson, R. E (2022) Maritime Least Cost Path Analysis: Archaic Travel Routes in the Upper Great Lakes. Midcontinental Journal of Archaeology 47 (2): 105–27.</w:t>
      </w:r>
    </w:p>
    <w:p w14:paraId="715705CE" w14:textId="77777777" w:rsidR="00313E5C" w:rsidRPr="00313E5C" w:rsidRDefault="00313E5C" w:rsidP="00313E5C">
      <w:proofErr w:type="spellStart"/>
      <w:r w:rsidRPr="00313E5C">
        <w:t>Polidorou</w:t>
      </w:r>
      <w:proofErr w:type="spellEnd"/>
      <w:r w:rsidRPr="00313E5C">
        <w:t xml:space="preserve">, M. and </w:t>
      </w:r>
      <w:proofErr w:type="spellStart"/>
      <w:r w:rsidRPr="00313E5C">
        <w:t>Evelpidou</w:t>
      </w:r>
      <w:proofErr w:type="spellEnd"/>
      <w:r w:rsidRPr="00313E5C">
        <w:t xml:space="preserve">, N (2021) Geomorphology of the Coastal Sand Dune Fields and Their Association with the </w:t>
      </w:r>
      <w:proofErr w:type="spellStart"/>
      <w:r w:rsidRPr="00313E5C">
        <w:t>Palaeolandscape</w:t>
      </w:r>
      <w:proofErr w:type="spellEnd"/>
      <w:r w:rsidRPr="00313E5C">
        <w:t xml:space="preserve"> Evolution of Akrotiri Peninsula, </w:t>
      </w:r>
      <w:proofErr w:type="spellStart"/>
      <w:r w:rsidRPr="00313E5C">
        <w:t>Lemesos</w:t>
      </w:r>
      <w:proofErr w:type="spellEnd"/>
      <w:r w:rsidRPr="00313E5C">
        <w:t>, Cyprus. Geosciences 11 (11): 448.</w:t>
      </w:r>
    </w:p>
    <w:p w14:paraId="4BF19D1A" w14:textId="77777777" w:rsidR="004E617C" w:rsidRDefault="004E617C" w:rsidP="00313E5C">
      <w:r w:rsidRPr="004E617C">
        <w:t xml:space="preserve">Miltiadis, </w:t>
      </w:r>
      <w:proofErr w:type="spellStart"/>
      <w:r w:rsidRPr="004E617C">
        <w:t>Polidorou</w:t>
      </w:r>
      <w:proofErr w:type="spellEnd"/>
      <w:r w:rsidRPr="004E617C">
        <w:t xml:space="preserve"> Giannis, </w:t>
      </w:r>
      <w:proofErr w:type="spellStart"/>
      <w:r w:rsidRPr="004E617C">
        <w:t>Saitis</w:t>
      </w:r>
      <w:proofErr w:type="spellEnd"/>
      <w:r w:rsidRPr="004E617C">
        <w:t xml:space="preserve"> Anna, </w:t>
      </w:r>
      <w:proofErr w:type="spellStart"/>
      <w:r w:rsidRPr="004E617C">
        <w:t>Karkani</w:t>
      </w:r>
      <w:proofErr w:type="spellEnd"/>
      <w:r w:rsidRPr="004E617C">
        <w:t xml:space="preserve"> Judith, Gatt (2025) Relative Sea-Level Changes During the Upper Holocene as Determined by Reference to </w:t>
      </w:r>
      <w:proofErr w:type="spellStart"/>
      <w:r w:rsidRPr="004E617C">
        <w:t>Beachrock</w:t>
      </w:r>
      <w:proofErr w:type="spellEnd"/>
      <w:r w:rsidRPr="004E617C">
        <w:t xml:space="preserve"> Formations Along the South Coastline of Cyprus and Their Correlation with the Archaeological Context of the Island Geosciences 15(4) 137-10.3390/geosciences15040137</w:t>
      </w:r>
      <w:r w:rsidRPr="004E617C">
        <w:t xml:space="preserve"> </w:t>
      </w:r>
    </w:p>
    <w:p w14:paraId="70A4096A" w14:textId="3A96F2E9" w:rsidR="00313E5C" w:rsidRPr="00313E5C" w:rsidRDefault="00313E5C" w:rsidP="00313E5C">
      <w:r w:rsidRPr="00313E5C">
        <w:t>Rowley-Conwy, P. and Piper, S (2016) Hunter-gatherer variability: Developing models for the northern coasts. Arctic 69 (5): 1–14.</w:t>
      </w:r>
    </w:p>
    <w:p w14:paraId="611BFCF4" w14:textId="77777777" w:rsidR="00DD3C47" w:rsidRPr="00253EB9" w:rsidRDefault="00DD3C47" w:rsidP="00DD3C47">
      <w:pPr>
        <w:rPr>
          <w:lang w:val="en-GB"/>
        </w:rPr>
      </w:pPr>
      <w:r w:rsidRPr="00253EB9">
        <w:rPr>
          <w:lang w:val="en-GB"/>
        </w:rPr>
        <w:t>Safadi, C (2016) Wind and wave modelling for the evaluation of the maritime accessibility and protection afforded by ancient harbours. Journal of Archaeological Science: Reports 5: 348–60.</w:t>
      </w:r>
    </w:p>
    <w:p w14:paraId="1A51B1A9" w14:textId="62ACCD55" w:rsidR="00DF6F92" w:rsidRDefault="00DF6F92" w:rsidP="00DF6F92">
      <w:r w:rsidRPr="00DF6F92">
        <w:rPr>
          <w:lang w:val="en-GB"/>
        </w:rPr>
        <w:t>Safadi C</w:t>
      </w:r>
      <w:r>
        <w:rPr>
          <w:lang w:val="en-GB"/>
        </w:rPr>
        <w:t>,</w:t>
      </w:r>
      <w:r w:rsidRPr="00DF6F92">
        <w:rPr>
          <w:lang w:val="en-GB"/>
        </w:rPr>
        <w:t xml:space="preserve"> Sturt F (2019) The warped sea of sailing: maritime topographies of space and time for the</w:t>
      </w:r>
      <w:r>
        <w:rPr>
          <w:lang w:val="en-GB"/>
        </w:rPr>
        <w:t xml:space="preserve"> </w:t>
      </w:r>
      <w:r w:rsidRPr="00DF6F92">
        <w:rPr>
          <w:lang w:val="en-GB"/>
        </w:rPr>
        <w:t xml:space="preserve">Bronze Age Eastern Mediterranean. J </w:t>
      </w:r>
      <w:proofErr w:type="spellStart"/>
      <w:r w:rsidRPr="00DF6F92">
        <w:rPr>
          <w:lang w:val="en-GB"/>
        </w:rPr>
        <w:t>Archaeol</w:t>
      </w:r>
      <w:proofErr w:type="spellEnd"/>
      <w:r w:rsidRPr="00DF6F92">
        <w:rPr>
          <w:lang w:val="en-GB"/>
        </w:rPr>
        <w:t xml:space="preserve"> Sci 103:1–15</w:t>
      </w:r>
      <w:r w:rsidRPr="00DF6F92">
        <w:t xml:space="preserve"> </w:t>
      </w:r>
    </w:p>
    <w:p w14:paraId="600A1640" w14:textId="70522491" w:rsidR="00313E5C" w:rsidRPr="00313E5C" w:rsidRDefault="00313E5C" w:rsidP="00DF6F92">
      <w:r w:rsidRPr="00313E5C">
        <w:lastRenderedPageBreak/>
        <w:t>Santee, W. R., Allison, W. F., Blanchard, L. A. and Small, M. G (2001) A proposed model for load carriage on sloped terrain. Aviation, Space, and Environmental Medicine 72 (6): 562–6.</w:t>
      </w:r>
    </w:p>
    <w:p w14:paraId="7E048111" w14:textId="77777777" w:rsidR="00313E5C" w:rsidRPr="00313E5C" w:rsidRDefault="00313E5C" w:rsidP="00313E5C">
      <w:r w:rsidRPr="00313E5C">
        <w:t>Santee, W. R., Blanchard, L. A., Speckman, K. L., Gonzalez, J. A. and Wallace, R. F (2003) Load carriage model development and testing with field data. Natick, MA: US Army Research Institute of Environmental Medicine ADA, 415788.</w:t>
      </w:r>
    </w:p>
    <w:p w14:paraId="0DD877FE" w14:textId="27EAE797" w:rsidR="00313E5C" w:rsidRPr="00313E5C" w:rsidRDefault="00313E5C" w:rsidP="00313E5C">
      <w:r w:rsidRPr="00313E5C">
        <w:t>Shearn, I (2020) Canoe societies in the Caribbean: Ethnography, archaeology, and ecology of precolonial canoe manufacturing and voyaging. Journal of Anthropological Archaeology 57.</w:t>
      </w:r>
    </w:p>
    <w:p w14:paraId="72753E43" w14:textId="77777777" w:rsidR="00E97CF5" w:rsidRPr="00253EB9" w:rsidRDefault="00E97CF5" w:rsidP="00E97CF5">
      <w:pPr>
        <w:rPr>
          <w:lang w:val="en-GB"/>
        </w:rPr>
      </w:pPr>
      <w:r w:rsidRPr="00253EB9">
        <w:rPr>
          <w:lang w:val="en-GB"/>
        </w:rPr>
        <w:t xml:space="preserve">Slayton E.R. (2018) Seascape corridors: </w:t>
      </w:r>
      <w:proofErr w:type="spellStart"/>
      <w:r w:rsidRPr="00253EB9">
        <w:rPr>
          <w:lang w:val="en-GB"/>
        </w:rPr>
        <w:t>modeling</w:t>
      </w:r>
      <w:proofErr w:type="spellEnd"/>
      <w:r w:rsidRPr="00253EB9">
        <w:rPr>
          <w:lang w:val="en-GB"/>
        </w:rPr>
        <w:t xml:space="preserve"> routes to connect communities across the Caribbean Sea. </w:t>
      </w:r>
      <w:proofErr w:type="spellStart"/>
      <w:r w:rsidRPr="00253EB9">
        <w:rPr>
          <w:lang w:val="en-GB"/>
        </w:rPr>
        <w:t>Sidestone</w:t>
      </w:r>
      <w:proofErr w:type="spellEnd"/>
      <w:r w:rsidRPr="00253EB9">
        <w:rPr>
          <w:lang w:val="en-GB"/>
        </w:rPr>
        <w:t xml:space="preserve"> Press, Leiden</w:t>
      </w:r>
    </w:p>
    <w:p w14:paraId="16E28515" w14:textId="0D5E1FA8" w:rsidR="00E97CF5" w:rsidRPr="00253EB9" w:rsidRDefault="00E97CF5" w:rsidP="00E97CF5">
      <w:pPr>
        <w:rPr>
          <w:lang w:val="en-GB"/>
        </w:rPr>
      </w:pPr>
      <w:r w:rsidRPr="00253EB9">
        <w:rPr>
          <w:lang w:val="en-GB"/>
        </w:rPr>
        <w:t>Slayton, E.R., Jarriel, K., Montenegro, A. </w:t>
      </w:r>
      <w:r>
        <w:rPr>
          <w:lang w:val="en-GB"/>
        </w:rPr>
        <w:t>(2025)</w:t>
      </w:r>
      <w:r w:rsidRPr="00253EB9">
        <w:rPr>
          <w:lang w:val="en-GB"/>
        </w:rPr>
        <w:t> Seafaring and Modelling. Journal of Maritime Archaeology 20, 601–628</w:t>
      </w:r>
      <w:r>
        <w:rPr>
          <w:lang w:val="en-GB"/>
        </w:rPr>
        <w:t>.</w:t>
      </w:r>
      <w:r w:rsidRPr="00253EB9">
        <w:rPr>
          <w:lang w:val="en-GB"/>
        </w:rPr>
        <w:t xml:space="preserve"> https://doi.org/10.1007/s11457-025-09455-5</w:t>
      </w:r>
    </w:p>
    <w:p w14:paraId="5FB079CF" w14:textId="77777777" w:rsidR="00922EA4" w:rsidRDefault="00922EA4" w:rsidP="00313E5C">
      <w:proofErr w:type="spellStart"/>
      <w:r w:rsidRPr="00922EA4">
        <w:t>Tartaron</w:t>
      </w:r>
      <w:proofErr w:type="spellEnd"/>
      <w:r w:rsidRPr="00922EA4">
        <w:t>, T. F. (2013). Ships and Boats of the Aegean Bronze Age. In Maritime Networks in the Mycenaean World (pp. 48–89). chapter, Cambridge: Cambridge University Press.</w:t>
      </w:r>
    </w:p>
    <w:p w14:paraId="448006D7" w14:textId="782C89D4" w:rsidR="00313E5C" w:rsidRPr="00313E5C" w:rsidRDefault="00313E5C" w:rsidP="00313E5C">
      <w:r w:rsidRPr="00313E5C">
        <w:t xml:space="preserve">Tichý, R (2019) Archaeology of the wind: natural conditions and early sea navigation in the Eastern Mediterranean. </w:t>
      </w:r>
      <w:proofErr w:type="spellStart"/>
      <w:r w:rsidRPr="00313E5C">
        <w:t>Živá</w:t>
      </w:r>
      <w:proofErr w:type="spellEnd"/>
      <w:r w:rsidRPr="00313E5C">
        <w:t xml:space="preserve"> </w:t>
      </w:r>
      <w:proofErr w:type="spellStart"/>
      <w:r w:rsidRPr="00313E5C">
        <w:t>archeologie</w:t>
      </w:r>
      <w:proofErr w:type="spellEnd"/>
      <w:r w:rsidRPr="00313E5C">
        <w:t xml:space="preserve"> 21: 3–12.</w:t>
      </w:r>
    </w:p>
    <w:p w14:paraId="7E934F73" w14:textId="77777777" w:rsidR="00313E5C" w:rsidRPr="00313E5C" w:rsidRDefault="00313E5C" w:rsidP="00313E5C">
      <w:r w:rsidRPr="00313E5C">
        <w:t xml:space="preserve">Tichý, R (2025) The </w:t>
      </w:r>
      <w:proofErr w:type="spellStart"/>
      <w:r w:rsidRPr="00313E5C">
        <w:t>Monoxylon</w:t>
      </w:r>
      <w:proofErr w:type="spellEnd"/>
      <w:r w:rsidRPr="00313E5C">
        <w:t xml:space="preserve"> Expeditions: The starting Points of a Nautical Archaeological Experiment. EXARC Journal 1.</w:t>
      </w:r>
    </w:p>
    <w:p w14:paraId="745BFDD0" w14:textId="77777777" w:rsidR="00313E5C" w:rsidRPr="00313E5C" w:rsidRDefault="00313E5C" w:rsidP="00313E5C">
      <w:r w:rsidRPr="00313E5C">
        <w:t>Tobler, W (1993) Three presentations on geographical analysis and modeling: Non- Isotropic Geographic Modeling; Speculations on the geometry of geography; and global Spatial Analysis (93-1). National Center for Geographic Information and Analysis.</w:t>
      </w:r>
    </w:p>
    <w:p w14:paraId="5AEFA52D" w14:textId="0D54CA18" w:rsidR="00E97CF5" w:rsidRDefault="00E97CF5" w:rsidP="00E97CF5">
      <w:pPr>
        <w:rPr>
          <w:lang w:val="en-GB"/>
        </w:rPr>
      </w:pPr>
      <w:proofErr w:type="spellStart"/>
      <w:r w:rsidRPr="0047640E">
        <w:rPr>
          <w:lang w:val="en-GB"/>
        </w:rPr>
        <w:lastRenderedPageBreak/>
        <w:t>T</w:t>
      </w:r>
      <w:r w:rsidR="0047640E">
        <w:rPr>
          <w:lang w:val="en-GB"/>
        </w:rPr>
        <w:t>z</w:t>
      </w:r>
      <w:r w:rsidRPr="0047640E">
        <w:rPr>
          <w:lang w:val="en-GB"/>
        </w:rPr>
        <w:t>ovaras</w:t>
      </w:r>
      <w:proofErr w:type="spellEnd"/>
      <w:r w:rsidRPr="0047640E">
        <w:rPr>
          <w:lang w:val="en-GB"/>
        </w:rPr>
        <w:t xml:space="preserve"> P, Turnock S, Blue L, Vlachopoulos AG, Sofaer J (2023) Reverse engineering the Neolithic</w:t>
      </w:r>
      <w:r>
        <w:rPr>
          <w:lang w:val="en-GB"/>
        </w:rPr>
        <w:t xml:space="preserve"> </w:t>
      </w:r>
      <w:r w:rsidRPr="0047640E">
        <w:rPr>
          <w:lang w:val="en-GB"/>
        </w:rPr>
        <w:t>boats of the Aegean Sea: typological classification, reconstruction and seakeeping assessment. In:</w:t>
      </w:r>
      <w:r>
        <w:rPr>
          <w:lang w:val="en-GB"/>
        </w:rPr>
        <w:t xml:space="preserve"> </w:t>
      </w:r>
      <w:r w:rsidRPr="0047640E">
        <w:rPr>
          <w:lang w:val="en-GB"/>
        </w:rPr>
        <w:t>Historic Ships Conference 28th—29th November 2023 London</w:t>
      </w:r>
    </w:p>
    <w:p w14:paraId="08250B54" w14:textId="5BC62112" w:rsidR="00313E5C" w:rsidRPr="00313E5C" w:rsidRDefault="00313E5C" w:rsidP="00E97CF5">
      <w:r w:rsidRPr="00313E5C">
        <w:t>Van Leusen, M (2002) Pattern to Process: Methodological Investigations into the Formation and Interpretation of Spatial Patterns in Archaeological Landscapes. PhD. University of Groningen.</w:t>
      </w:r>
    </w:p>
    <w:p w14:paraId="1362B3C6" w14:textId="77777777" w:rsidR="00313E5C" w:rsidRPr="00313E5C" w:rsidRDefault="00313E5C" w:rsidP="00313E5C">
      <w:r w:rsidRPr="00313E5C">
        <w:t>Vine, C. A. J., Coakley, S. L., Blacker, S. D., Doherty, J., Hale, B. J., Walker, E. F., Rue, C. A., Lee, B. J., Flood, T. R., Knapik, J. J., Jackson, S., Greeves, J. P. and Myers, S. D (2022) Accuracy of Metabolic Cost Predictive Equations During Military Load Carriage. Journal of Strength and Conditioning Research 36 (5): 1297–303.</w:t>
      </w:r>
    </w:p>
    <w:p w14:paraId="49BF0272" w14:textId="51FC7C1A" w:rsidR="0082421F" w:rsidRDefault="0082421F" w:rsidP="0082421F">
      <w:pPr>
        <w:rPr>
          <w:lang w:val="en-GB"/>
        </w:rPr>
      </w:pPr>
      <w:r w:rsidRPr="0082421F">
        <w:rPr>
          <w:lang w:val="en-GB"/>
        </w:rPr>
        <w:t xml:space="preserve">Vigne J-D, </w:t>
      </w:r>
      <w:proofErr w:type="spellStart"/>
      <w:r w:rsidRPr="0082421F">
        <w:rPr>
          <w:lang w:val="en-GB"/>
        </w:rPr>
        <w:t>Zazzo</w:t>
      </w:r>
      <w:proofErr w:type="spellEnd"/>
      <w:r w:rsidRPr="0082421F">
        <w:rPr>
          <w:lang w:val="en-GB"/>
        </w:rPr>
        <w:t xml:space="preserve"> A, Cucchi T, </w:t>
      </w:r>
      <w:proofErr w:type="spellStart"/>
      <w:r w:rsidRPr="0082421F">
        <w:rPr>
          <w:lang w:val="en-GB"/>
        </w:rPr>
        <w:t>Briois</w:t>
      </w:r>
      <w:proofErr w:type="spellEnd"/>
      <w:r w:rsidRPr="0082421F">
        <w:rPr>
          <w:lang w:val="en-GB"/>
        </w:rPr>
        <w:t xml:space="preserve"> F, </w:t>
      </w:r>
      <w:proofErr w:type="spellStart"/>
      <w:r w:rsidRPr="0082421F">
        <w:rPr>
          <w:lang w:val="en-GB"/>
        </w:rPr>
        <w:t>Guilaine</w:t>
      </w:r>
      <w:proofErr w:type="spellEnd"/>
      <w:r w:rsidRPr="0082421F">
        <w:rPr>
          <w:lang w:val="en-GB"/>
        </w:rPr>
        <w:t xml:space="preserve"> J (2014) The transportation of mammals to Cyprus</w:t>
      </w:r>
      <w:r>
        <w:rPr>
          <w:lang w:val="en-GB"/>
        </w:rPr>
        <w:t xml:space="preserve"> </w:t>
      </w:r>
      <w:r w:rsidRPr="0082421F">
        <w:rPr>
          <w:lang w:val="en-GB"/>
        </w:rPr>
        <w:t xml:space="preserve">shed light on early voyaging and boats in the Mediterranean Sea. Eurasian </w:t>
      </w:r>
      <w:proofErr w:type="spellStart"/>
      <w:r w:rsidRPr="0082421F">
        <w:rPr>
          <w:lang w:val="en-GB"/>
        </w:rPr>
        <w:t>Prehist</w:t>
      </w:r>
      <w:proofErr w:type="spellEnd"/>
      <w:r w:rsidRPr="0082421F">
        <w:rPr>
          <w:lang w:val="en-GB"/>
        </w:rPr>
        <w:t xml:space="preserve"> 10(1–2):157–176</w:t>
      </w:r>
    </w:p>
    <w:p w14:paraId="6FFE1263" w14:textId="17483FA9" w:rsidR="00E97CF5" w:rsidRDefault="00E97CF5" w:rsidP="0082421F">
      <w:pPr>
        <w:rPr>
          <w:lang w:val="en-GB"/>
        </w:rPr>
      </w:pPr>
      <w:r w:rsidRPr="0047640E">
        <w:rPr>
          <w:lang w:val="en-GB"/>
        </w:rPr>
        <w:t>Wachsmann S (1998) Seagoing ships &amp; seamanship in the Bronze Age Levant. Texas A&amp;M University</w:t>
      </w:r>
      <w:r>
        <w:rPr>
          <w:lang w:val="en-GB"/>
        </w:rPr>
        <w:t xml:space="preserve"> </w:t>
      </w:r>
      <w:r w:rsidRPr="0047640E">
        <w:rPr>
          <w:lang w:val="en-GB"/>
        </w:rPr>
        <w:t>Press, College Station</w:t>
      </w:r>
    </w:p>
    <w:p w14:paraId="1D69FF48" w14:textId="4412F8B6" w:rsidR="00E97CF5" w:rsidRDefault="00E97CF5" w:rsidP="00E97CF5">
      <w:pPr>
        <w:rPr>
          <w:lang w:val="en-GB"/>
        </w:rPr>
      </w:pPr>
      <w:r w:rsidRPr="0047640E">
        <w:rPr>
          <w:lang w:val="en-GB"/>
        </w:rPr>
        <w:t xml:space="preserve">Wedde M (2000) Towards a Hermeneutics of Aegean Bronze Age Ship Imagery. </w:t>
      </w:r>
      <w:proofErr w:type="spellStart"/>
      <w:r w:rsidRPr="0047640E">
        <w:rPr>
          <w:lang w:val="en-GB"/>
        </w:rPr>
        <w:t>Bibliopolis</w:t>
      </w:r>
      <w:proofErr w:type="spellEnd"/>
      <w:r w:rsidRPr="0047640E">
        <w:rPr>
          <w:lang w:val="en-GB"/>
        </w:rPr>
        <w:t>, Mannheim</w:t>
      </w:r>
      <w:r>
        <w:rPr>
          <w:lang w:val="en-GB"/>
        </w:rPr>
        <w:t xml:space="preserve"> </w:t>
      </w:r>
      <w:r w:rsidRPr="0047640E">
        <w:rPr>
          <w:lang w:val="en-GB"/>
        </w:rPr>
        <w:t xml:space="preserve">and </w:t>
      </w:r>
      <w:proofErr w:type="spellStart"/>
      <w:r w:rsidRPr="0047640E">
        <w:rPr>
          <w:lang w:val="en-GB"/>
        </w:rPr>
        <w:t>Mohnesee</w:t>
      </w:r>
      <w:proofErr w:type="spellEnd"/>
    </w:p>
    <w:p w14:paraId="4C976E6C" w14:textId="21A3A126" w:rsidR="00313E5C" w:rsidRPr="00313E5C" w:rsidRDefault="00313E5C" w:rsidP="00E97CF5">
      <w:r w:rsidRPr="00313E5C">
        <w:t xml:space="preserve">Weyand, P. G., Ludlow, L. W., </w:t>
      </w:r>
      <w:proofErr w:type="spellStart"/>
      <w:r w:rsidRPr="00313E5C">
        <w:t>Nollkamper</w:t>
      </w:r>
      <w:proofErr w:type="spellEnd"/>
      <w:r w:rsidRPr="00313E5C">
        <w:t>, J. J. and Buller, M. J (2021) Real-world walking economy: can laboratory equations predict field energy expenditure? Journal of Applied Physiology 131 (4): 1272–85.</w:t>
      </w:r>
    </w:p>
    <w:p w14:paraId="4654FED5" w14:textId="77777777" w:rsidR="00313E5C" w:rsidRDefault="00313E5C" w:rsidP="00313E5C">
      <w:proofErr w:type="spellStart"/>
      <w:r w:rsidRPr="00313E5C">
        <w:t>Zamparo</w:t>
      </w:r>
      <w:proofErr w:type="spellEnd"/>
      <w:r w:rsidRPr="00313E5C">
        <w:t>, P., Capelli, C. and Guerrini, G (1999) Energetics of kayaking at submaximal and maximal speeds. European Journal of Applied Physiology and Occupational Physiology 80 (6): 542–8.</w:t>
      </w:r>
    </w:p>
    <w:p w14:paraId="2DE2FE89" w14:textId="11765048" w:rsidR="00E97CF5" w:rsidRPr="0047640E" w:rsidRDefault="00E97CF5" w:rsidP="00E97CF5">
      <w:pPr>
        <w:rPr>
          <w:lang w:val="en-GB"/>
        </w:rPr>
      </w:pPr>
      <w:r w:rsidRPr="0047640E">
        <w:rPr>
          <w:lang w:val="en-GB"/>
        </w:rPr>
        <w:lastRenderedPageBreak/>
        <w:t>Whitewright J (2018) Sailing and sailing rigs in the Ancient Mediterranean: implications of continuity,</w:t>
      </w:r>
      <w:r>
        <w:rPr>
          <w:lang w:val="en-GB"/>
        </w:rPr>
        <w:t xml:space="preserve"> </w:t>
      </w:r>
      <w:r w:rsidRPr="0047640E">
        <w:rPr>
          <w:lang w:val="en-GB"/>
        </w:rPr>
        <w:t xml:space="preserve">variation and change in propulsion technology. Int J Naut </w:t>
      </w:r>
      <w:proofErr w:type="spellStart"/>
      <w:r w:rsidRPr="0047640E">
        <w:rPr>
          <w:lang w:val="en-GB"/>
        </w:rPr>
        <w:t>Archaeol</w:t>
      </w:r>
      <w:proofErr w:type="spellEnd"/>
      <w:r w:rsidRPr="0047640E">
        <w:rPr>
          <w:lang w:val="en-GB"/>
        </w:rPr>
        <w:t xml:space="preserve"> 47:28–44. https:// </w:t>
      </w:r>
      <w:proofErr w:type="spellStart"/>
      <w:r w:rsidRPr="0047640E">
        <w:rPr>
          <w:lang w:val="en-GB"/>
        </w:rPr>
        <w:t>doi</w:t>
      </w:r>
      <w:proofErr w:type="spellEnd"/>
      <w:r w:rsidRPr="0047640E">
        <w:rPr>
          <w:lang w:val="en-GB"/>
        </w:rPr>
        <w:t>. org/ 10</w:t>
      </w:r>
      <w:r>
        <w:rPr>
          <w:lang w:val="en-GB"/>
        </w:rPr>
        <w:t>.</w:t>
      </w:r>
      <w:r w:rsidRPr="0047640E">
        <w:rPr>
          <w:lang w:val="en-GB"/>
        </w:rPr>
        <w:t>1111/ 1095- 9270. 12278</w:t>
      </w:r>
    </w:p>
    <w:p w14:paraId="45C10154" w14:textId="77777777" w:rsidR="00313E5C" w:rsidRPr="00313E5C" w:rsidRDefault="00313E5C" w:rsidP="00313E5C">
      <w:proofErr w:type="spellStart"/>
      <w:r w:rsidRPr="00313E5C">
        <w:t>Çiner</w:t>
      </w:r>
      <w:proofErr w:type="spellEnd"/>
      <w:r w:rsidRPr="00313E5C">
        <w:t xml:space="preserve">, A., Doğan, U., Yıldırım, C., </w:t>
      </w:r>
      <w:proofErr w:type="spellStart"/>
      <w:r w:rsidRPr="00313E5C">
        <w:t>Akçar</w:t>
      </w:r>
      <w:proofErr w:type="spellEnd"/>
      <w:r w:rsidRPr="00313E5C">
        <w:t xml:space="preserve">, N., Ivy-Ochs, S., Alfimov, V., Kubik, P. W. and </w:t>
      </w:r>
      <w:proofErr w:type="spellStart"/>
      <w:r w:rsidRPr="00313E5C">
        <w:t>Schlüchter</w:t>
      </w:r>
      <w:proofErr w:type="spellEnd"/>
      <w:r w:rsidRPr="00313E5C">
        <w:t xml:space="preserve">, C (2015) Quaternary uplift rates of the Central Anatolian Plateau, Turkey: Insights from cosmogenic isochron-burial nuclide dating of the </w:t>
      </w:r>
      <w:proofErr w:type="spellStart"/>
      <w:r w:rsidRPr="00313E5C">
        <w:t>Kızılırmak</w:t>
      </w:r>
      <w:proofErr w:type="spellEnd"/>
      <w:r w:rsidRPr="00313E5C">
        <w:t xml:space="preserve"> River terraces. Quaternary Science Reviews 107: 81–97.</w:t>
      </w:r>
    </w:p>
    <w:p w14:paraId="1159F36E" w14:textId="2A4A6DAE" w:rsidR="00B03716" w:rsidRDefault="00B03716"/>
    <w:sectPr w:rsidR="00B0371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27976780">
    <w:abstractNumId w:val="8"/>
  </w:num>
  <w:num w:numId="2" w16cid:durableId="1956521450">
    <w:abstractNumId w:val="6"/>
  </w:num>
  <w:num w:numId="3" w16cid:durableId="149251297">
    <w:abstractNumId w:val="5"/>
  </w:num>
  <w:num w:numId="4" w16cid:durableId="531117081">
    <w:abstractNumId w:val="4"/>
  </w:num>
  <w:num w:numId="5" w16cid:durableId="1208496328">
    <w:abstractNumId w:val="7"/>
  </w:num>
  <w:num w:numId="6" w16cid:durableId="715470068">
    <w:abstractNumId w:val="3"/>
  </w:num>
  <w:num w:numId="7" w16cid:durableId="231933538">
    <w:abstractNumId w:val="2"/>
  </w:num>
  <w:num w:numId="8" w16cid:durableId="1962879266">
    <w:abstractNumId w:val="1"/>
  </w:num>
  <w:num w:numId="9" w16cid:durableId="2041858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13E5C"/>
    <w:rsid w:val="00326F90"/>
    <w:rsid w:val="003D1A78"/>
    <w:rsid w:val="0040183D"/>
    <w:rsid w:val="0047640E"/>
    <w:rsid w:val="004E617C"/>
    <w:rsid w:val="004F6A35"/>
    <w:rsid w:val="00503C35"/>
    <w:rsid w:val="00653FBA"/>
    <w:rsid w:val="006A0968"/>
    <w:rsid w:val="0082421F"/>
    <w:rsid w:val="00922EA4"/>
    <w:rsid w:val="00A07FDE"/>
    <w:rsid w:val="00A52E27"/>
    <w:rsid w:val="00AA1D8D"/>
    <w:rsid w:val="00B03716"/>
    <w:rsid w:val="00B47730"/>
    <w:rsid w:val="00C15DCD"/>
    <w:rsid w:val="00CB0664"/>
    <w:rsid w:val="00DD3C47"/>
    <w:rsid w:val="00DF6F92"/>
    <w:rsid w:val="00E97CF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94E289"/>
  <w14:defaultImageDpi w14:val="300"/>
  <w15:docId w15:val="{1EFE42BA-1843-4173-AB48-FE63303A2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DCD"/>
    <w:pPr>
      <w:spacing w:line="480" w:lineRule="auto"/>
      <w:jc w:val="both"/>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A07FDE"/>
    <w:pPr>
      <w:spacing w:after="0" w:line="240" w:lineRule="auto"/>
    </w:pPr>
    <w:rPr>
      <w:rFonts w:ascii="Times New Roman" w:hAnsi="Times New Roman"/>
    </w:rPr>
  </w:style>
  <w:style w:type="character" w:styleId="Hyperlink">
    <w:name w:val="Hyperlink"/>
    <w:basedOn w:val="DefaultParagraphFont"/>
    <w:uiPriority w:val="99"/>
    <w:unhideWhenUsed/>
    <w:rsid w:val="00DF6F92"/>
    <w:rPr>
      <w:color w:val="0000FF" w:themeColor="hyperlink"/>
      <w:u w:val="single"/>
    </w:rPr>
  </w:style>
  <w:style w:type="character" w:styleId="UnresolvedMention">
    <w:name w:val="Unresolved Mention"/>
    <w:basedOn w:val="DefaultParagraphFont"/>
    <w:uiPriority w:val="99"/>
    <w:semiHidden/>
    <w:unhideWhenUsed/>
    <w:rsid w:val="00DF6F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20</Pages>
  <Words>5604</Words>
  <Characters>30262</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35795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Victor Klinkenberg</cp:lastModifiedBy>
  <cp:revision>5</cp:revision>
  <dcterms:created xsi:type="dcterms:W3CDTF">2026-03-09T12:44:00Z</dcterms:created>
  <dcterms:modified xsi:type="dcterms:W3CDTF">2026-03-09T13:34:00Z</dcterms:modified>
  <cp:category/>
</cp:coreProperties>
</file>