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F92" w:rsidRPr="00297F92" w:rsidRDefault="00297F92" w:rsidP="00297F92">
      <w:pPr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  <w:r w:rsidRPr="00297F92">
        <w:rPr>
          <w:rFonts w:ascii="Times New Roman" w:hAnsi="Times New Roman" w:cs="Times New Roman"/>
          <w:b/>
          <w:bCs/>
          <w:lang w:val="en-US"/>
        </w:rPr>
        <w:t>SUPPLEMENTARY MATERIALS</w:t>
      </w:r>
    </w:p>
    <w:p w:rsidR="00297F92" w:rsidRDefault="00297F92" w:rsidP="00297F92">
      <w:pPr>
        <w:spacing w:after="0" w:line="240" w:lineRule="auto"/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694055</wp:posOffset>
            </wp:positionV>
            <wp:extent cx="9053195" cy="5353050"/>
            <wp:effectExtent l="0" t="0" r="0" b="0"/>
            <wp:wrapTight wrapText="bothSides">
              <wp:wrapPolygon edited="0">
                <wp:start x="0" y="0"/>
                <wp:lineTo x="0" y="21523"/>
                <wp:lineTo x="21544" y="21523"/>
                <wp:lineTo x="21544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3195" cy="535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lang w:val="en-US" w:eastAsia="it-IT"/>
        </w:rPr>
        <w:t xml:space="preserve">Supplementary figure 1. </w:t>
      </w:r>
      <w:r>
        <w:rPr>
          <w:rFonts w:ascii="Times New Roman" w:eastAsia="Times New Roman" w:hAnsi="Times New Roman" w:cs="Times New Roman"/>
          <w:bCs/>
          <w:lang w:val="en-US" w:eastAsia="it-IT"/>
        </w:rPr>
        <w:t xml:space="preserve">Relative frequency and cumulative relative frequency of </w:t>
      </w:r>
      <w:r>
        <w:rPr>
          <w:rFonts w:ascii="Times" w:hAnsi="Times"/>
          <w:bCs/>
          <w:lang w:val="en-GB"/>
        </w:rPr>
        <w:t>Problem Gambling Severity Index (</w:t>
      </w:r>
      <w:r>
        <w:rPr>
          <w:rFonts w:ascii="Times New Roman" w:eastAsia="Times New Roman" w:hAnsi="Times New Roman" w:cs="Times New Roman"/>
          <w:bCs/>
          <w:lang w:val="en-US" w:eastAsia="it-IT"/>
        </w:rPr>
        <w:t xml:space="preserve">PGSI) scores in 1,060 Italian recent gamblers </w:t>
      </w:r>
      <w:r>
        <w:rPr>
          <w:rFonts w:ascii="Times New Roman" w:hAnsi="Times New Roman" w:cs="Times New Roman"/>
          <w:lang w:val="en-GB"/>
        </w:rPr>
        <w:t xml:space="preserve">(gambling in the previous 12 months) </w:t>
      </w:r>
      <w:r>
        <w:rPr>
          <w:rFonts w:ascii="Times New Roman" w:eastAsia="Times New Roman" w:hAnsi="Times New Roman" w:cs="Times New Roman"/>
          <w:bCs/>
          <w:lang w:val="en-US" w:eastAsia="it-IT"/>
        </w:rPr>
        <w:t xml:space="preserve">aged 18 or over. </w:t>
      </w:r>
      <w:r>
        <w:rPr>
          <w:rFonts w:ascii="Times New Roman" w:hAnsi="Times New Roman" w:cs="Times New Roman"/>
          <w:lang w:val="en-US"/>
        </w:rPr>
        <w:t>Italy, 2022-2023.</w:t>
      </w:r>
    </w:p>
    <w:p w:rsidR="00297F92" w:rsidRDefault="00297F92" w:rsidP="00297F92">
      <w:pPr>
        <w:spacing w:after="0"/>
        <w:rPr>
          <w:lang w:val="en-US"/>
        </w:rPr>
        <w:sectPr w:rsidR="00297F92">
          <w:pgSz w:w="16838" w:h="11906" w:orient="landscape"/>
          <w:pgMar w:top="1134" w:right="1417" w:bottom="1134" w:left="1134" w:header="708" w:footer="708" w:gutter="0"/>
          <w:cols w:space="720"/>
        </w:sectPr>
      </w:pP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Supplementary figure 2. </w:t>
      </w:r>
      <w:r>
        <w:rPr>
          <w:rFonts w:ascii="Times New Roman" w:hAnsi="Times New Roman" w:cs="Times New Roman"/>
          <w:bCs/>
          <w:lang w:val="en-US"/>
        </w:rPr>
        <w:t xml:space="preserve">Distribution </w:t>
      </w:r>
      <w:r>
        <w:rPr>
          <w:rFonts w:ascii="Times New Roman" w:eastAsia="Times New Roman" w:hAnsi="Times New Roman" w:cs="Times New Roman"/>
          <w:bCs/>
          <w:lang w:val="en-US" w:eastAsia="it-IT"/>
        </w:rPr>
        <w:t>(</w:t>
      </w:r>
      <w:proofErr w:type="gramStart"/>
      <w:r>
        <w:rPr>
          <w:rFonts w:ascii="Times New Roman" w:eastAsia="Times New Roman" w:hAnsi="Times New Roman" w:cs="Times New Roman"/>
          <w:bCs/>
          <w:lang w:val="en-US" w:eastAsia="it-IT"/>
        </w:rPr>
        <w:t>%</w:t>
      </w:r>
      <w:proofErr w:type="gramEnd"/>
      <w:r>
        <w:rPr>
          <w:rFonts w:ascii="Times New Roman" w:eastAsia="Times New Roman" w:hAnsi="Times New Roman" w:cs="Times New Roman"/>
          <w:bCs/>
          <w:lang w:val="en-US" w:eastAsia="it-IT"/>
        </w:rPr>
        <w:t xml:space="preserve">) of self-reported problem gambling behaviors and negative consequences as assessed by the </w:t>
      </w:r>
      <w:r>
        <w:rPr>
          <w:rFonts w:ascii="Times" w:hAnsi="Times"/>
          <w:bCs/>
          <w:lang w:val="en-GB"/>
        </w:rPr>
        <w:t>Problem Gambling Severity Index (</w:t>
      </w:r>
      <w:r>
        <w:rPr>
          <w:rFonts w:ascii="Times New Roman" w:eastAsia="Times New Roman" w:hAnsi="Times New Roman" w:cs="Times New Roman"/>
          <w:bCs/>
          <w:lang w:val="en-US" w:eastAsia="it-IT"/>
        </w:rPr>
        <w:t xml:space="preserve">PGSI) among 1,060 Italian recent gamblers </w:t>
      </w:r>
      <w:r>
        <w:rPr>
          <w:rFonts w:ascii="Times New Roman" w:hAnsi="Times New Roman" w:cs="Times New Roman"/>
          <w:lang w:val="en-GB"/>
        </w:rPr>
        <w:t xml:space="preserve">(gambling in the previous 12 months) </w:t>
      </w:r>
      <w:r>
        <w:rPr>
          <w:rFonts w:ascii="Times New Roman" w:eastAsia="Times New Roman" w:hAnsi="Times New Roman" w:cs="Times New Roman"/>
          <w:bCs/>
          <w:lang w:val="en-US" w:eastAsia="it-IT"/>
        </w:rPr>
        <w:t xml:space="preserve">aged ≥ 18. </w:t>
      </w:r>
      <w:r>
        <w:rPr>
          <w:rFonts w:ascii="Times New Roman" w:hAnsi="Times New Roman" w:cs="Times New Roman"/>
          <w:lang w:val="en-US"/>
        </w:rPr>
        <w:t>Italy, 2022-2023.</w:t>
      </w: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>
            <wp:extent cx="6124575" cy="38481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297F92" w:rsidRDefault="00297F92" w:rsidP="00297F92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</w:pPr>
    </w:p>
    <w:p w:rsidR="00E21E10" w:rsidRDefault="00297F92"/>
    <w:sectPr w:rsidR="00E21E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D47061"/>
    <w:multiLevelType w:val="hybridMultilevel"/>
    <w:tmpl w:val="23F6E7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DB"/>
    <w:rsid w:val="00297F92"/>
    <w:rsid w:val="002D66C6"/>
    <w:rsid w:val="006072DB"/>
    <w:rsid w:val="007D1F72"/>
    <w:rsid w:val="00D35740"/>
    <w:rsid w:val="00E8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99B2"/>
  <w15:chartTrackingRefBased/>
  <w15:docId w15:val="{60EE7E6C-85FC-4F61-B591-9F7D2ADA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7F92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7F92"/>
    <w:pPr>
      <w:spacing w:after="200" w:line="276" w:lineRule="auto"/>
      <w:ind w:left="720"/>
      <w:contextualSpacing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MSCGSN90D09D150A</dc:creator>
  <cp:keywords/>
  <dc:description/>
  <cp:lastModifiedBy>MSCGSN90D09D150A</cp:lastModifiedBy>
  <cp:revision>2</cp:revision>
  <dcterms:created xsi:type="dcterms:W3CDTF">2024-06-12T08:48:00Z</dcterms:created>
  <dcterms:modified xsi:type="dcterms:W3CDTF">2024-06-12T08:48:00Z</dcterms:modified>
</cp:coreProperties>
</file>