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rPr>
          <w:rFonts w:ascii="Times New Roman" w:eastAsia="Times New Roman" w:hAnsi="Times New Roman" w:cs="Times New Roman"/>
          <w:b/>
          <w:bCs/>
          <w:highlight w:val="yellow"/>
        </w:rPr>
      </w:pPr>
      <w:proofErr w:type="gramStart"/>
      <w:r>
        <w:rPr>
          <w:rFonts w:ascii="Times New Roman" w:eastAsia="Times New Roman" w:hAnsi="Times New Roman" w:cs="Times New Roman"/>
          <w:b/>
          <w:bCs/>
          <w:highlight w:val="yellow"/>
        </w:rPr>
        <w:t>Appendix I.</w:t>
      </w:r>
      <w:proofErr w:type="gramEnd"/>
      <w:r>
        <w:rPr>
          <w:rFonts w:ascii="Times New Roman" w:eastAsia="Times New Roman" w:hAnsi="Times New Roman" w:cs="Times New Roman"/>
          <w:b/>
          <w:bCs/>
          <w:highlight w:val="yellow"/>
        </w:rPr>
        <w:t xml:space="preserve"> </w:t>
      </w:r>
    </w:p>
    <w:p>
      <w:pPr>
        <w:spacing w:after="200"/>
        <w:jc w:val="center"/>
        <w:rPr>
          <w:rFonts w:ascii="Times New Roman" w:eastAsia="Times New Roman" w:hAnsi="Times New Roman" w:cs="Times New Roman"/>
          <w:i/>
          <w:iCs/>
          <w:sz w:val="24"/>
          <w:szCs w:val="24"/>
          <w:highlight w:val="yellow"/>
        </w:rPr>
      </w:pPr>
      <w:r>
        <w:rPr>
          <w:rFonts w:ascii="Times New Roman" w:eastAsia="Times New Roman" w:hAnsi="Times New Roman" w:cs="Times New Roman"/>
          <w:i/>
          <w:iCs/>
          <w:highlight w:val="yellow"/>
        </w:rPr>
        <w:t>Supplementary Table I. PRISMA checklist</w:t>
      </w:r>
    </w:p>
    <w:tbl>
      <w:tblPr>
        <w:tblW w:w="5000" w:type="pct"/>
        <w:tblBorders>
          <w:top w:val="nil"/>
          <w:left w:val="nil"/>
          <w:bottom w:val="nil"/>
          <w:right w:val="nil"/>
        </w:tblBorders>
        <w:tblLook w:val="0000" w:firstRow="0" w:lastRow="0" w:firstColumn="0" w:lastColumn="0" w:noHBand="0" w:noVBand="0"/>
      </w:tblPr>
      <w:tblGrid>
        <w:gridCol w:w="2198"/>
        <w:gridCol w:w="1130"/>
        <w:gridCol w:w="8477"/>
        <w:gridCol w:w="2285"/>
      </w:tblGrid>
      <w:tr>
        <w:trPr>
          <w:trHeight w:val="65"/>
          <w:tblHeader/>
        </w:trPr>
        <w:tc>
          <w:tcPr>
            <w:tcW w:w="780" w:type="pct"/>
            <w:tcBorders>
              <w:top w:val="single" w:sz="5" w:space="0" w:color="000000"/>
              <w:left w:val="single" w:sz="5" w:space="0" w:color="000000"/>
              <w:bottom w:val="single" w:sz="4" w:space="0" w:color="FFFFCC"/>
              <w:right w:val="single" w:sz="5" w:space="0" w:color="000000"/>
            </w:tcBorders>
            <w:shd w:val="clear" w:color="auto" w:fill="63639A"/>
            <w:tcMar>
              <w:left w:w="43" w:type="dxa"/>
              <w:right w:w="43" w:type="dxa"/>
            </w:tcMar>
            <w:vAlign w:val="center"/>
          </w:tcPr>
          <w:p>
            <w:pPr>
              <w:widowControl w:val="0"/>
              <w:spacing w:line="240" w:lineRule="auto"/>
              <w:rPr>
                <w:rFonts w:ascii="Times New Roman" w:eastAsia="Times New Roman" w:hAnsi="Times New Roman" w:cs="Times New Roman"/>
                <w:color w:val="FFFFFF"/>
                <w:sz w:val="20"/>
                <w:szCs w:val="20"/>
              </w:rPr>
            </w:pPr>
            <w:r>
              <w:rPr>
                <w:rFonts w:ascii="Times New Roman" w:eastAsia="Times New Roman" w:hAnsi="Times New Roman" w:cs="Times New Roman"/>
                <w:b/>
                <w:bCs/>
                <w:color w:val="FFFFFF"/>
                <w:sz w:val="20"/>
                <w:szCs w:val="20"/>
              </w:rPr>
              <w:t xml:space="preserve">Section and Topic </w:t>
            </w:r>
          </w:p>
        </w:tc>
        <w:tc>
          <w:tcPr>
            <w:tcW w:w="401" w:type="pct"/>
            <w:tcBorders>
              <w:top w:val="single" w:sz="5" w:space="0" w:color="000000"/>
              <w:left w:val="single" w:sz="5" w:space="0" w:color="000000"/>
              <w:bottom w:val="single" w:sz="4" w:space="0" w:color="FFFFCC"/>
              <w:right w:val="single" w:sz="5" w:space="0" w:color="000000"/>
            </w:tcBorders>
            <w:shd w:val="clear" w:color="auto" w:fill="63639A"/>
            <w:tcMar>
              <w:left w:w="43" w:type="dxa"/>
              <w:right w:w="43" w:type="dxa"/>
            </w:tcMar>
            <w:vAlign w:val="center"/>
          </w:tcPr>
          <w:p>
            <w:pPr>
              <w:widowControl w:val="0"/>
              <w:spacing w:line="240" w:lineRule="auto"/>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Item #</w:t>
            </w:r>
          </w:p>
        </w:tc>
        <w:tc>
          <w:tcPr>
            <w:tcW w:w="3008" w:type="pct"/>
            <w:tcBorders>
              <w:top w:val="single" w:sz="5" w:space="0" w:color="000000"/>
              <w:left w:val="single" w:sz="5" w:space="0" w:color="000000"/>
              <w:bottom w:val="single" w:sz="5" w:space="0" w:color="000000"/>
              <w:right w:val="single" w:sz="5" w:space="0" w:color="000000"/>
            </w:tcBorders>
            <w:shd w:val="clear" w:color="auto" w:fill="63639A"/>
            <w:tcMar>
              <w:left w:w="43" w:type="dxa"/>
              <w:right w:w="43" w:type="dxa"/>
            </w:tcMar>
            <w:vAlign w:val="center"/>
          </w:tcPr>
          <w:p>
            <w:pPr>
              <w:widowControl w:val="0"/>
              <w:spacing w:line="240" w:lineRule="auto"/>
              <w:rPr>
                <w:rFonts w:ascii="Times New Roman" w:eastAsia="Times New Roman" w:hAnsi="Times New Roman" w:cs="Times New Roman"/>
                <w:color w:val="FFFFFF"/>
                <w:sz w:val="20"/>
                <w:szCs w:val="20"/>
              </w:rPr>
            </w:pPr>
            <w:r>
              <w:rPr>
                <w:rFonts w:ascii="Times New Roman" w:eastAsia="Times New Roman" w:hAnsi="Times New Roman" w:cs="Times New Roman"/>
                <w:b/>
                <w:bCs/>
                <w:color w:val="FFFFFF"/>
                <w:sz w:val="20"/>
                <w:szCs w:val="20"/>
              </w:rPr>
              <w:t xml:space="preserve">Checklist item </w:t>
            </w:r>
          </w:p>
        </w:tc>
        <w:tc>
          <w:tcPr>
            <w:tcW w:w="811" w:type="pct"/>
            <w:tcBorders>
              <w:top w:val="single" w:sz="5" w:space="0" w:color="000000"/>
              <w:left w:val="single" w:sz="5" w:space="0" w:color="000000"/>
              <w:bottom w:val="single" w:sz="5" w:space="0" w:color="000000"/>
              <w:right w:val="single" w:sz="5" w:space="0" w:color="000000"/>
            </w:tcBorders>
            <w:shd w:val="clear" w:color="auto" w:fill="63639A"/>
            <w:tcMar>
              <w:left w:w="43" w:type="dxa"/>
              <w:right w:w="43" w:type="dxa"/>
            </w:tcMar>
            <w:vAlign w:val="center"/>
          </w:tcPr>
          <w:p>
            <w:pPr>
              <w:widowControl w:val="0"/>
              <w:spacing w:line="240" w:lineRule="auto"/>
              <w:rPr>
                <w:rFonts w:ascii="Times New Roman" w:eastAsia="Times New Roman" w:hAnsi="Times New Roman" w:cs="Times New Roman"/>
                <w:color w:val="FFFFFF"/>
                <w:sz w:val="20"/>
                <w:szCs w:val="20"/>
              </w:rPr>
            </w:pPr>
            <w:r>
              <w:rPr>
                <w:rFonts w:ascii="Times New Roman" w:eastAsia="Times New Roman" w:hAnsi="Times New Roman" w:cs="Times New Roman"/>
                <w:b/>
                <w:bCs/>
                <w:color w:val="FFFFFF"/>
                <w:sz w:val="20"/>
                <w:szCs w:val="20"/>
              </w:rPr>
              <w:t xml:space="preserve">Location where item is reported </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TITLE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right"/>
              <w:rPr>
                <w:rFonts w:ascii="Times New Roman" w:eastAsia="Times New Roman" w:hAnsi="Times New Roman" w:cs="Times New Roman"/>
                <w:sz w:val="20"/>
                <w:szCs w:val="20"/>
              </w:rPr>
            </w:pPr>
          </w:p>
        </w:tc>
      </w:tr>
      <w:tr>
        <w:trPr>
          <w:trHeight w:val="48"/>
        </w:trPr>
        <w:tc>
          <w:tcPr>
            <w:tcW w:w="780"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Title </w:t>
            </w:r>
          </w:p>
        </w:tc>
        <w:tc>
          <w:tcPr>
            <w:tcW w:w="401"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the report as a systematic review.</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ABSTRACT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right"/>
              <w:rPr>
                <w:rFonts w:ascii="Times New Roman" w:eastAsia="Times New Roman" w:hAnsi="Times New Roman" w:cs="Times New Roman"/>
                <w:sz w:val="20"/>
                <w:szCs w:val="20"/>
              </w:rPr>
            </w:pPr>
          </w:p>
        </w:tc>
      </w:tr>
      <w:tr>
        <w:trPr>
          <w:trHeight w:val="48"/>
        </w:trPr>
        <w:tc>
          <w:tcPr>
            <w:tcW w:w="780"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Abstract </w:t>
            </w:r>
          </w:p>
        </w:tc>
        <w:tc>
          <w:tcPr>
            <w:tcW w:w="401"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See the PRISMA 2020 for Abstracts checklist.</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INTRODUCTION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right"/>
              <w:rPr>
                <w:rFonts w:ascii="Times New Roman" w:eastAsia="Times New Roman" w:hAnsi="Times New Roman" w:cs="Times New Roman"/>
                <w:sz w:val="20"/>
                <w:szCs w:val="20"/>
              </w:rPr>
            </w:pP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Rationale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the rationale for the review in the context of existing knowledge.</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trPr>
          <w:trHeight w:val="48"/>
        </w:trPr>
        <w:tc>
          <w:tcPr>
            <w:tcW w:w="780"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Objectives </w:t>
            </w:r>
          </w:p>
        </w:tc>
        <w:tc>
          <w:tcPr>
            <w:tcW w:w="401" w:type="pct"/>
            <w:tcBorders>
              <w:top w:val="single" w:sz="5" w:space="0" w:color="000000"/>
              <w:left w:val="single" w:sz="5" w:space="0" w:color="000000"/>
              <w:bottom w:val="single" w:sz="4" w:space="0" w:color="FFFFCC"/>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an explicit statement of the objective(s) or question(s) the review addresses.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METHODS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center"/>
              <w:rPr>
                <w:rFonts w:ascii="Times New Roman" w:eastAsia="Times New Roman" w:hAnsi="Times New Roman" w:cs="Times New Roman"/>
                <w:sz w:val="20"/>
                <w:szCs w:val="20"/>
              </w:rPr>
            </w:pP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Eligibility criteria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the inclusion and exclusion criteria for the review and how studies were grouped for the syntheses.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trPr>
          <w:trHeight w:val="191"/>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Information sources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Search strategy</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the full search strategies for all databases, registers and websites, including any filters and limits used.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Selection process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trPr>
          <w:trHeight w:val="152"/>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collection process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items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List and define all other variables for which data were sought (e.g. participant and intervention characteristics, funding sources). Describe any assumptions made about any missing or unclear </w:t>
            </w:r>
            <w:r>
              <w:rPr>
                <w:rFonts w:ascii="Times New Roman" w:eastAsia="Times New Roman" w:hAnsi="Times New Roman" w:cs="Times New Roman"/>
                <w:sz w:val="20"/>
                <w:szCs w:val="20"/>
              </w:rPr>
              <w:lastRenderedPageBreak/>
              <w:t>information.</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Study risk of bias assessment</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Effect measures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Specify for each outcome the effect measure(s) (e.g. risk ratio, mean difference) used in the synthesis or presentation of results.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Synthesis methods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required to prepare the data for presentation or synthesis, such as handling of missing summary statistics, or data conversions.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13c</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used to tabulate or visually display results of individual studies and syntheses.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13d</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13e</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used to explore possible causes of heterogeneity among study results (e.g. subgroup analysis, meta-regression).</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50"/>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13f</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sensitivity analyses conducted to assess robustness of the synthesized results.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Reporting bias assessment</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used to assess risk of bias due to missing results in a synthesis (arising from reporting biases).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Certainty assessment</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any methods used to assess certainty (or confidence) in the body of evidence for an outcome.</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RESULTS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center"/>
              <w:rPr>
                <w:rFonts w:ascii="Times New Roman" w:eastAsia="Times New Roman" w:hAnsi="Times New Roman" w:cs="Times New Roman"/>
                <w:sz w:val="20"/>
                <w:szCs w:val="20"/>
              </w:rPr>
            </w:pP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 selection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 Figure 1</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Cite studies that might appear to meet the inclusion criteria, but which were excluded, and explain why they were excluded.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 Appendix III; Figure 1</w:t>
            </w:r>
          </w:p>
        </w:tc>
      </w:tr>
      <w:tr>
        <w:trPr>
          <w:trHeight w:val="103"/>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 characteristics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Cite each included study and present its characteristics.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10-18; Table I, Table II</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Risk of bias in studies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assessments of risk of bias for each included study.</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17-18; Table III</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Results of individual studies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Results of syntheses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each synthesis, briefly summarise the characteristics and risk of bias among contributing studies.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17-18; Table III</w:t>
            </w:r>
          </w:p>
        </w:tc>
      </w:tr>
      <w:tr>
        <w:trPr>
          <w:trHeight w:val="203"/>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20c</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results of all investigations of possible causes of heterogeneity among study results.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20d</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results of all sensitivity analyses conducted to assess the robustness of the synthesized results.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Reporting biases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assessments of risk of bias due to missing results (arising from reporting biases) for each synthesis assessed.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Certainty of evidence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 assessments of certainty (or confidence) in the body of evidence for each outcome assessed.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DISCUSSION </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center"/>
              <w:rPr>
                <w:rFonts w:ascii="Times New Roman" w:eastAsia="Times New Roman" w:hAnsi="Times New Roman" w:cs="Times New Roman"/>
                <w:sz w:val="20"/>
                <w:szCs w:val="20"/>
              </w:rPr>
            </w:pP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Provide a general interpretation of the results in the context of other evidence.</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18-23</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Discuss any limitations of the evidence included in the review.</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23-24</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4"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23c</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Discuss any limitations of the review processes used.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23-24</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4" w:space="0" w:color="000000"/>
              <w:left w:val="single" w:sz="5" w:space="0" w:color="000000"/>
              <w:bottom w:val="single" w:sz="4" w:space="0" w:color="000000"/>
              <w:right w:val="single" w:sz="4"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23d</w:t>
            </w:r>
          </w:p>
        </w:tc>
        <w:tc>
          <w:tcPr>
            <w:tcW w:w="3008" w:type="pct"/>
            <w:tcBorders>
              <w:top w:val="single" w:sz="5" w:space="0" w:color="000000"/>
              <w:left w:val="single" w:sz="4"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Discuss implications of the results for practice, policy, and future research.</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24-25</w:t>
            </w:r>
          </w:p>
        </w:tc>
      </w:tr>
      <w:tr>
        <w:trPr>
          <w:trHeight w:val="24"/>
        </w:trPr>
        <w:tc>
          <w:tcPr>
            <w:tcW w:w="4189" w:type="pct"/>
            <w:gridSpan w:val="3"/>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vAlign w:val="center"/>
          </w:tcPr>
          <w:p>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OTHER INFORMATION</w:t>
            </w:r>
          </w:p>
        </w:tc>
        <w:tc>
          <w:tcPr>
            <w:tcW w:w="811" w:type="pct"/>
            <w:tcBorders>
              <w:top w:val="single" w:sz="5" w:space="0" w:color="000000"/>
              <w:left w:val="single" w:sz="5" w:space="0" w:color="000000"/>
              <w:bottom w:val="single" w:sz="5" w:space="0" w:color="000000"/>
              <w:right w:val="single" w:sz="5" w:space="0" w:color="000000"/>
            </w:tcBorders>
            <w:shd w:val="clear" w:color="auto" w:fill="FFFFCC"/>
            <w:tcMar>
              <w:left w:w="43" w:type="dxa"/>
              <w:right w:w="43" w:type="dxa"/>
            </w:tcMar>
          </w:tcPr>
          <w:p>
            <w:pPr>
              <w:widowControl w:val="0"/>
              <w:spacing w:line="240" w:lineRule="auto"/>
              <w:jc w:val="center"/>
              <w:rPr>
                <w:rFonts w:ascii="Times New Roman" w:eastAsia="Times New Roman" w:hAnsi="Times New Roman" w:cs="Times New Roman"/>
                <w:sz w:val="20"/>
                <w:szCs w:val="20"/>
              </w:rPr>
            </w:pPr>
          </w:p>
        </w:tc>
      </w:tr>
      <w:tr>
        <w:trPr>
          <w:trHeight w:val="48"/>
        </w:trPr>
        <w:tc>
          <w:tcPr>
            <w:tcW w:w="780" w:type="pct"/>
            <w:vMerge w:val="restart"/>
            <w:tcBorders>
              <w:top w:val="single" w:sz="5" w:space="0" w:color="000000"/>
              <w:left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Registration and protocol</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24a</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Provide registration information for the review, including register name and registration number, or state that the review was not registered.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trPr>
          <w:trHeight w:val="57"/>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24b</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Indicate where the review protocol can be accessed, or state that a protocol was not prepared.</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vMerge/>
            <w:tcBorders>
              <w:top w:val="single" w:sz="5" w:space="0" w:color="000000"/>
              <w:left w:val="single" w:sz="5" w:space="0" w:color="000000"/>
              <w:right w:val="single" w:sz="5" w:space="0" w:color="000000"/>
            </w:tcBorders>
            <w:tcMar>
              <w:left w:w="43" w:type="dxa"/>
              <w:right w:w="43" w:type="dxa"/>
            </w:tcMar>
          </w:tcPr>
          <w:p>
            <w:pPr>
              <w:widowControl w:val="0"/>
              <w:rPr>
                <w:rFonts w:ascii="Times New Roman" w:eastAsia="Times New Roman" w:hAnsi="Times New Roman" w:cs="Times New Roman"/>
                <w:sz w:val="20"/>
                <w:szCs w:val="20"/>
              </w:rPr>
            </w:pP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24c</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and explain any amendments to information provided at registration or in the protocol.</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Support</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Describe sources of financial or non-financial support for the review, and the role of the funders or sponsors in the review.</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Title Page </w:t>
            </w:r>
          </w:p>
        </w:tc>
      </w:tr>
      <w:tr>
        <w:trPr>
          <w:trHeight w:val="48"/>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Competing interests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Declare any competing interests of review authors.</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trPr>
          <w:trHeight w:val="219"/>
        </w:trPr>
        <w:tc>
          <w:tcPr>
            <w:tcW w:w="780"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Availability of data, code and other materials</w:t>
            </w:r>
          </w:p>
        </w:tc>
        <w:tc>
          <w:tcPr>
            <w:tcW w:w="40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3008"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Report which of the following are publicly available and where they can be found: template data collection forms; data extracted from included studies; data used for all analyses; analytic code; any </w:t>
            </w:r>
            <w:r>
              <w:rPr>
                <w:rFonts w:ascii="Times New Roman" w:eastAsia="Times New Roman" w:hAnsi="Times New Roman" w:cs="Times New Roman"/>
                <w:sz w:val="20"/>
                <w:szCs w:val="20"/>
              </w:rPr>
              <w:lastRenderedPageBreak/>
              <w:t>other materials used in the review.</w:t>
            </w:r>
          </w:p>
        </w:tc>
        <w:tc>
          <w:tcPr>
            <w:tcW w:w="811" w:type="pct"/>
            <w:tcBorders>
              <w:top w:val="single" w:sz="5" w:space="0" w:color="000000"/>
              <w:left w:val="single" w:sz="5" w:space="0" w:color="000000"/>
              <w:bottom w:val="single" w:sz="5" w:space="0" w:color="000000"/>
              <w:right w:val="single" w:sz="5" w:space="0" w:color="000000"/>
            </w:tcBorders>
            <w:tcMar>
              <w:left w:w="43" w:type="dxa"/>
              <w:right w:w="43" w:type="dxa"/>
            </w:tcMar>
          </w:tcPr>
          <w:p>
            <w:pPr>
              <w:widowControl w:val="0"/>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Title Page </w:t>
            </w:r>
          </w:p>
        </w:tc>
      </w:tr>
    </w:tbl>
    <w:p>
      <w:pPr>
        <w:spacing w:after="160" w:line="259" w:lineRule="auto"/>
        <w:rPr>
          <w:rFonts w:ascii="Times New Roman" w:eastAsia="Times New Roman" w:hAnsi="Times New Roman" w:cs="Times New Roman"/>
          <w:b/>
          <w:bCs/>
        </w:rPr>
      </w:pPr>
    </w:p>
    <w:p>
      <w:pPr>
        <w:spacing w:after="200"/>
        <w:rPr>
          <w:rFonts w:ascii="Times New Roman" w:eastAsia="Times New Roman" w:hAnsi="Times New Roman" w:cs="Times New Roman"/>
          <w:b/>
          <w:bCs/>
        </w:rPr>
      </w:pPr>
    </w:p>
    <w:p>
      <w:pPr>
        <w:spacing w:after="200"/>
        <w:rPr>
          <w:rFonts w:ascii="Times New Roman" w:eastAsia="Times New Roman" w:hAnsi="Times New Roman" w:cs="Times New Roman"/>
          <w:b/>
          <w:bCs/>
        </w:rPr>
      </w:pPr>
    </w:p>
    <w:p>
      <w:pPr>
        <w:spacing w:after="200"/>
        <w:rPr>
          <w:rFonts w:ascii="Times New Roman" w:eastAsia="Times New Roman" w:hAnsi="Times New Roman" w:cs="Times New Roman"/>
          <w:b/>
          <w:bCs/>
        </w:rPr>
      </w:pPr>
    </w:p>
    <w:p>
      <w:pPr>
        <w:spacing w:after="200"/>
        <w:jc w:val="center"/>
        <w:rPr>
          <w:rFonts w:ascii="Times New Roman" w:eastAsia="Times New Roman" w:hAnsi="Times New Roman" w:cs="Times New Roman"/>
          <w:sz w:val="24"/>
          <w:szCs w:val="24"/>
          <w:highlight w:val="yellow"/>
        </w:rPr>
      </w:pPr>
      <w:proofErr w:type="gramStart"/>
      <w:r>
        <w:rPr>
          <w:rFonts w:ascii="Times New Roman" w:eastAsia="Times New Roman" w:hAnsi="Times New Roman" w:cs="Times New Roman"/>
          <w:b/>
          <w:bCs/>
          <w:sz w:val="24"/>
          <w:szCs w:val="24"/>
          <w:highlight w:val="yellow"/>
        </w:rPr>
        <w:t>Appendix II.</w:t>
      </w:r>
      <w:proofErr w:type="gramEnd"/>
      <w:r>
        <w:rPr>
          <w:rFonts w:ascii="Times New Roman" w:eastAsia="Times New Roman" w:hAnsi="Times New Roman" w:cs="Times New Roman"/>
          <w:sz w:val="24"/>
          <w:szCs w:val="24"/>
          <w:highlight w:val="yellow"/>
        </w:rPr>
        <w:t xml:space="preserve"> </w:t>
      </w:r>
    </w:p>
    <w:p>
      <w:pPr>
        <w:spacing w:after="200"/>
        <w:jc w:val="center"/>
        <w:rPr>
          <w:rFonts w:ascii="Times New Roman" w:eastAsia="Times New Roman" w:hAnsi="Times New Roman" w:cs="Times New Roman"/>
          <w:i/>
          <w:iCs/>
        </w:rPr>
      </w:pPr>
      <w:r>
        <w:rPr>
          <w:rFonts w:ascii="Times New Roman" w:eastAsia="Times New Roman" w:hAnsi="Times New Roman" w:cs="Times New Roman"/>
          <w:i/>
          <w:iCs/>
          <w:highlight w:val="yellow"/>
        </w:rPr>
        <w:t xml:space="preserve">Supplementary Table II. </w:t>
      </w:r>
      <w:r>
        <w:rPr>
          <w:rFonts w:ascii="Times New Roman" w:eastAsia="Times New Roman" w:hAnsi="Times New Roman" w:cs="Times New Roman"/>
          <w:i/>
          <w:iCs/>
        </w:rPr>
        <w:t>Search Terms Used in the Databases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7515"/>
      </w:tblGrid>
      <w:tr>
        <w:trPr>
          <w:trHeight w:val="319"/>
        </w:trPr>
        <w:tc>
          <w:tcPr>
            <w:tcW w:w="1485" w:type="dxa"/>
            <w:tcBorders>
              <w:left w:val="single" w:sz="8" w:space="0" w:color="FFFFFF"/>
              <w:right w:val="single" w:sz="8" w:space="0" w:color="FFFFFF"/>
            </w:tcBorders>
            <w:tcMar>
              <w:top w:w="100" w:type="dxa"/>
              <w:left w:w="100" w:type="dxa"/>
              <w:bottom w:w="100" w:type="dxa"/>
              <w:right w:w="100" w:type="dxa"/>
            </w:tcMar>
          </w:tcPr>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Database</w:t>
            </w:r>
          </w:p>
        </w:tc>
        <w:tc>
          <w:tcPr>
            <w:tcW w:w="7515" w:type="dxa"/>
            <w:tcBorders>
              <w:left w:val="single" w:sz="8" w:space="0" w:color="FFFFFF"/>
              <w:right w:val="single" w:sz="8" w:space="0" w:color="FFFFFF"/>
            </w:tcBorders>
            <w:tcMar>
              <w:top w:w="100" w:type="dxa"/>
              <w:left w:w="100" w:type="dxa"/>
              <w:bottom w:w="100" w:type="dxa"/>
              <w:right w:w="100" w:type="dxa"/>
            </w:tcMar>
          </w:tcPr>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Search terms</w:t>
            </w:r>
          </w:p>
        </w:tc>
      </w:tr>
      <w:tr>
        <w:tc>
          <w:tcPr>
            <w:tcW w:w="1485" w:type="dxa"/>
            <w:tcBorders>
              <w:left w:val="single" w:sz="8" w:space="0" w:color="FFFFFF"/>
              <w:bottom w:val="single" w:sz="8" w:space="0" w:color="FFFFFF"/>
              <w:right w:val="single" w:sz="8" w:space="0" w:color="FFFFFF"/>
            </w:tcBorders>
            <w:tcMar>
              <w:top w:w="100" w:type="dxa"/>
              <w:left w:w="100" w:type="dxa"/>
              <w:bottom w:w="100" w:type="dxa"/>
              <w:right w:w="100" w:type="dxa"/>
            </w:tcMar>
          </w:tcPr>
          <w:p>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PsycINFO search strategy</w:t>
            </w:r>
          </w:p>
        </w:tc>
        <w:tc>
          <w:tcPr>
            <w:tcW w:w="7515" w:type="dxa"/>
            <w:tcBorders>
              <w:left w:val="single" w:sz="8" w:space="0" w:color="FFFFFF"/>
              <w:bottom w:val="single" w:sz="8" w:space="0" w:color="FFFFFF"/>
              <w:right w:val="single" w:sz="8" w:space="0" w:color="FFFFFF"/>
            </w:tcBorders>
            <w:tcMar>
              <w:top w:w="100" w:type="dxa"/>
              <w:left w:w="100" w:type="dxa"/>
              <w:bottom w:w="100" w:type="dxa"/>
              <w:right w:w="100" w:type="dxa"/>
            </w:tcMar>
          </w:tcPr>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Concept: Intellectual Disability</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("developmental disab*")</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developmental disab*")</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and developmental disab*")</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disab*")</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disab*")</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("mental defici*")</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("mental retard*")</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or 2 or 3 or 4 or 5 or 6 or 7</w:t>
            </w:r>
          </w:p>
          <w:p>
            <w:pPr>
              <w:widowControl w:val="0"/>
              <w:spacing w:line="240" w:lineRule="auto"/>
              <w:rPr>
                <w:rFonts w:ascii="Times New Roman" w:eastAsia="Times New Roman" w:hAnsi="Times New Roman" w:cs="Times New Roman"/>
                <w:sz w:val="20"/>
                <w:szCs w:val="20"/>
              </w:rPr>
            </w:pPr>
          </w:p>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Concept: Addiction </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(“Computer games”).ti.ab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(“erotic”).ti.ab</w:t>
            </w:r>
          </w:p>
          <w:p>
            <w:pPr>
              <w:numPr>
                <w:ilvl w:val="0"/>
                <w:numId w:val="1"/>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(“Gambl*”</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(“gambl* disorder</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shd w:val="clear" w:color="auto" w:fill="FAFAFC"/>
              </w:rPr>
              <w:t xml:space="preserve"> )</w:t>
            </w:r>
            <w:proofErr w:type="gramEnd"/>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gambling</w:t>
            </w:r>
            <w:proofErr w:type="gramEnd"/>
            <w:r>
              <w:rPr>
                <w:rFonts w:ascii="Times New Roman" w:eastAsia="Times New Roman" w:hAnsi="Times New Roman" w:cs="Times New Roman"/>
                <w:sz w:val="20"/>
                <w:szCs w:val="20"/>
              </w:rPr>
              <w:t>”)</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w:t>
            </w:r>
            <w:proofErr w:type="gramStart"/>
            <w:r>
              <w:rPr>
                <w:rFonts w:ascii="Times New Roman" w:eastAsia="Times New Roman" w:hAnsi="Times New Roman" w:cs="Times New Roman"/>
                <w:sz w:val="20"/>
                <w:szCs w:val="20"/>
                <w:shd w:val="clear" w:color="auto" w:fill="FAFAFC"/>
              </w:rPr>
              <w:t>gaming</w:t>
            </w:r>
            <w:proofErr w:type="gramEnd"/>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(“Gaming disorder”)</w:t>
            </w:r>
            <w:r>
              <w:rPr>
                <w:rFonts w:ascii="Times New Roman" w:eastAsia="Times New Roman" w:hAnsi="Times New Roman" w:cs="Times New Roman"/>
                <w:sz w:val="20"/>
                <w:szCs w:val="20"/>
                <w:shd w:val="clear" w:color="auto" w:fill="FAFAFC"/>
              </w:rPr>
              <w:t>.ti.ab.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(“harmful sexual behavior”) .ti.ab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(“inappropriate sexual behavior”).ti.ab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(“Internet Gaming Disorder”).ti.ab.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(“Internet addiction”).ti.ab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(“Mobile phone addiction”).ti.ab</w:t>
            </w:r>
          </w:p>
          <w:p>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pathological</w:t>
            </w:r>
            <w:proofErr w:type="gramEnd"/>
            <w:r>
              <w:rPr>
                <w:rFonts w:ascii="Times New Roman" w:eastAsia="Times New Roman" w:hAnsi="Times New Roman" w:cs="Times New Roman"/>
                <w:sz w:val="20"/>
                <w:szCs w:val="20"/>
              </w:rPr>
              <w:t xml:space="preserve"> gambling”) </w:t>
            </w:r>
            <w:r>
              <w:rPr>
                <w:rFonts w:ascii="Times New Roman" w:eastAsia="Times New Roman" w:hAnsi="Times New Roman" w:cs="Times New Roman"/>
                <w:sz w:val="20"/>
                <w:szCs w:val="20"/>
                <w:shd w:val="clear" w:color="auto" w:fill="FAFAFC"/>
              </w:rPr>
              <w:t>.ti.ab.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(“Pathological Internet use”).ti.ab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(“Problematic internet use”).ti.ab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(“pornography use”).ti.ab</w:t>
            </w:r>
          </w:p>
          <w:p>
            <w:pPr>
              <w:numPr>
                <w:ilvl w:val="0"/>
                <w:numId w:val="1"/>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(“pornography”).ti.ab</w:t>
            </w:r>
          </w:p>
          <w:p>
            <w:pPr>
              <w:numPr>
                <w:ilvl w:val="0"/>
                <w:numId w:val="1"/>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(“problem gambl*”</w:t>
            </w:r>
            <w:r>
              <w:rPr>
                <w:rFonts w:ascii="Times New Roman" w:eastAsia="Times New Roman" w:hAnsi="Times New Roman" w:cs="Times New Roman"/>
                <w:sz w:val="20"/>
                <w:szCs w:val="20"/>
                <w:shd w:val="clear" w:color="auto" w:fill="FAFAFC"/>
              </w:rPr>
              <w:t>).ti.ab.</w:t>
            </w:r>
          </w:p>
          <w:p>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(“Problem gaming”)</w:t>
            </w:r>
            <w:r>
              <w:rPr>
                <w:rFonts w:ascii="Times New Roman" w:eastAsia="Times New Roman" w:hAnsi="Times New Roman" w:cs="Times New Roman"/>
                <w:sz w:val="20"/>
                <w:szCs w:val="20"/>
                <w:shd w:val="clear" w:color="auto" w:fill="FAFAFC"/>
              </w:rPr>
              <w:t>.ti.ab.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(“Problematic social media use ”).ti.ab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w:t>
            </w:r>
            <w:r>
              <w:rPr>
                <w:rFonts w:ascii="Times New Roman" w:eastAsia="Times New Roman" w:hAnsi="Times New Roman" w:cs="Times New Roman"/>
                <w:sz w:val="20"/>
                <w:szCs w:val="20"/>
              </w:rPr>
              <w:t>PSMU”).ti.ab</w:t>
            </w:r>
          </w:p>
          <w:p>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(“sexual behavior”).ti.ab</w:t>
            </w:r>
          </w:p>
          <w:p>
            <w:pPr>
              <w:numPr>
                <w:ilvl w:val="0"/>
                <w:numId w:val="1"/>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(“sex addiction”).ti.ab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(“Smartphone addiction”).ti.ab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(“Social Media Addiction”).ti.ab</w:t>
            </w:r>
          </w:p>
          <w:p>
            <w:pPr>
              <w:numPr>
                <w:ilvl w:val="0"/>
                <w:numId w:val="1"/>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(“Social Networks Addiction”).ti.ab</w:t>
            </w:r>
          </w:p>
          <w:p>
            <w:pPr>
              <w:numPr>
                <w:ilvl w:val="0"/>
                <w:numId w:val="1"/>
              </w:numPr>
              <w:spacing w:line="259" w:lineRule="auto"/>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(“Video games”).ti.ab.</w:t>
            </w:r>
          </w:p>
          <w:p>
            <w:pPr>
              <w:numPr>
                <w:ilvl w:val="0"/>
                <w:numId w:val="1"/>
              </w:numPr>
              <w:spacing w:line="259" w:lineRule="auto"/>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videogame</w:t>
            </w:r>
            <w:proofErr w:type="gramEnd"/>
            <w:r>
              <w:rPr>
                <w:rFonts w:ascii="Times New Roman" w:eastAsia="Times New Roman" w:hAnsi="Times New Roman" w:cs="Times New Roman"/>
                <w:sz w:val="20"/>
                <w:szCs w:val="20"/>
              </w:rPr>
              <w:t xml:space="preserve"> addiction”)</w:t>
            </w:r>
            <w:r>
              <w:rPr>
                <w:rFonts w:ascii="Times New Roman" w:eastAsia="Times New Roman" w:hAnsi="Times New Roman" w:cs="Times New Roman"/>
                <w:sz w:val="20"/>
                <w:szCs w:val="20"/>
                <w:shd w:val="clear" w:color="auto" w:fill="FAFAFC"/>
              </w:rPr>
              <w:t>.ti.ab.</w:t>
            </w:r>
          </w:p>
          <w:p>
            <w:pPr>
              <w:numPr>
                <w:ilvl w:val="0"/>
                <w:numId w:val="1"/>
              </w:numPr>
              <w:spacing w:after="160" w:line="259" w:lineRule="auto"/>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rPr>
              <w:t>9 or 10 or 11 or 12 or 13 or 14 or 15 or 16 or 17 or 18 or 19 or 20 or 21 or 23 or 24 or 25 or 26 or 27 or 28 or 29 or 30 or 31 or 32 or 33 or 34 or 35 or 36</w:t>
            </w:r>
          </w:p>
        </w:tc>
      </w:tr>
      <w:tr>
        <w:tc>
          <w:tcPr>
            <w:tcW w:w="1485" w:type="dxa"/>
            <w:tcBorders>
              <w:top w:val="single" w:sz="8" w:space="0" w:color="FFFFFF"/>
              <w:left w:val="single" w:sz="8" w:space="0" w:color="FFFFFF"/>
              <w:right w:val="single" w:sz="8" w:space="0" w:color="FFFFFF"/>
            </w:tcBorders>
            <w:tcMar>
              <w:top w:w="100" w:type="dxa"/>
              <w:left w:w="100" w:type="dxa"/>
              <w:bottom w:w="100" w:type="dxa"/>
              <w:right w:w="100" w:type="dxa"/>
            </w:tcMar>
          </w:tcPr>
          <w:p>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Web of Science Search Strategy</w:t>
            </w:r>
          </w:p>
        </w:tc>
        <w:tc>
          <w:tcPr>
            <w:tcW w:w="7515" w:type="dxa"/>
            <w:tcBorders>
              <w:top w:val="single" w:sz="8" w:space="0" w:color="FFFFFF"/>
              <w:left w:val="single" w:sz="8" w:space="0" w:color="FFFFFF"/>
              <w:right w:val="single" w:sz="8" w:space="0" w:color="FFFFFF"/>
            </w:tcBorders>
            <w:tcMar>
              <w:top w:w="100" w:type="dxa"/>
              <w:left w:w="100" w:type="dxa"/>
              <w:bottom w:w="100" w:type="dxa"/>
              <w:right w:w="100" w:type="dxa"/>
            </w:tcMar>
          </w:tcPr>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Concept: Intellectual Disability</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("developmental disab*")</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developmental disab*")</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and developmental disab*")</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("intellectual disab*")</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disab*")</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("mental defici*")</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("mental retard*")</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or 2 or 3 or 4 or 5 or 6 or 7</w:t>
            </w:r>
          </w:p>
          <w:p>
            <w:pPr>
              <w:widowControl w:val="0"/>
              <w:spacing w:line="240" w:lineRule="auto"/>
              <w:rPr>
                <w:rFonts w:ascii="Times New Roman" w:eastAsia="Times New Roman" w:hAnsi="Times New Roman" w:cs="Times New Roman"/>
                <w:sz w:val="20"/>
                <w:szCs w:val="20"/>
              </w:rPr>
            </w:pPr>
          </w:p>
          <w:p>
            <w:pPr>
              <w:widowControl w:val="0"/>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Concept: Addiction </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(“Computer games”).ti.ab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(“erotic”).ti.ab</w:t>
            </w:r>
          </w:p>
          <w:p>
            <w:pPr>
              <w:numPr>
                <w:ilvl w:val="0"/>
                <w:numId w:val="4"/>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(“Gambl*”</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(“gambl* disorder</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shd w:val="clear" w:color="auto" w:fill="FAFAFC"/>
              </w:rPr>
              <w:t xml:space="preserve"> )</w:t>
            </w:r>
            <w:proofErr w:type="gramEnd"/>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gambling</w:t>
            </w:r>
            <w:proofErr w:type="gramEnd"/>
            <w:r>
              <w:rPr>
                <w:rFonts w:ascii="Times New Roman" w:eastAsia="Times New Roman" w:hAnsi="Times New Roman" w:cs="Times New Roman"/>
                <w:sz w:val="20"/>
                <w:szCs w:val="20"/>
              </w:rPr>
              <w:t>”)</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w:t>
            </w:r>
            <w:proofErr w:type="gramStart"/>
            <w:r>
              <w:rPr>
                <w:rFonts w:ascii="Times New Roman" w:eastAsia="Times New Roman" w:hAnsi="Times New Roman" w:cs="Times New Roman"/>
                <w:sz w:val="20"/>
                <w:szCs w:val="20"/>
                <w:shd w:val="clear" w:color="auto" w:fill="FAFAFC"/>
              </w:rPr>
              <w:t>gaming</w:t>
            </w:r>
            <w:proofErr w:type="gramEnd"/>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(“Gaming disorder”)</w:t>
            </w:r>
            <w:r>
              <w:rPr>
                <w:rFonts w:ascii="Times New Roman" w:eastAsia="Times New Roman" w:hAnsi="Times New Roman" w:cs="Times New Roman"/>
                <w:sz w:val="20"/>
                <w:szCs w:val="20"/>
                <w:shd w:val="clear" w:color="auto" w:fill="FAFAFC"/>
              </w:rPr>
              <w:t>.ti.ab.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(“harmful sexual behavior”) .ti.ab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(“inappropriate sexual behavior”).ti.ab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(“Internet Gaming Disorder”).ti.ab.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(“Internet addiction”).ti.ab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(“Mobile phone addiction”).ti.ab</w:t>
            </w:r>
          </w:p>
          <w:p>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pathological</w:t>
            </w:r>
            <w:proofErr w:type="gramEnd"/>
            <w:r>
              <w:rPr>
                <w:rFonts w:ascii="Times New Roman" w:eastAsia="Times New Roman" w:hAnsi="Times New Roman" w:cs="Times New Roman"/>
                <w:sz w:val="20"/>
                <w:szCs w:val="20"/>
              </w:rPr>
              <w:t xml:space="preserve"> gambling”) </w:t>
            </w:r>
            <w:r>
              <w:rPr>
                <w:rFonts w:ascii="Times New Roman" w:eastAsia="Times New Roman" w:hAnsi="Times New Roman" w:cs="Times New Roman"/>
                <w:sz w:val="20"/>
                <w:szCs w:val="20"/>
                <w:shd w:val="clear" w:color="auto" w:fill="FAFAFC"/>
              </w:rPr>
              <w:t>.ti.ab.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(“Pathological Internet use”).ti.ab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(“Problematic internet use”).ti.ab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(“pornography use”).ti.ab</w:t>
            </w:r>
          </w:p>
          <w:p>
            <w:pPr>
              <w:numPr>
                <w:ilvl w:val="0"/>
                <w:numId w:val="4"/>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AFAFC"/>
              </w:rPr>
              <w:t>(“pornography”).ti.ab</w:t>
            </w:r>
          </w:p>
          <w:p>
            <w:pPr>
              <w:numPr>
                <w:ilvl w:val="0"/>
                <w:numId w:val="4"/>
              </w:numPr>
              <w:spacing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(“problem gambl*”</w:t>
            </w:r>
            <w:r>
              <w:rPr>
                <w:rFonts w:ascii="Times New Roman" w:eastAsia="Times New Roman" w:hAnsi="Times New Roman" w:cs="Times New Roman"/>
                <w:sz w:val="20"/>
                <w:szCs w:val="20"/>
                <w:shd w:val="clear" w:color="auto" w:fill="FAFAFC"/>
              </w:rPr>
              <w:t>).ti.ab.</w:t>
            </w:r>
          </w:p>
          <w:p>
            <w:pPr>
              <w:numPr>
                <w:ilvl w:val="0"/>
                <w:numId w:val="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(“Problem gaming”)</w:t>
            </w:r>
            <w:r>
              <w:rPr>
                <w:rFonts w:ascii="Times New Roman" w:eastAsia="Times New Roman" w:hAnsi="Times New Roman" w:cs="Times New Roman"/>
                <w:sz w:val="20"/>
                <w:szCs w:val="20"/>
                <w:shd w:val="clear" w:color="auto" w:fill="FAFAFC"/>
              </w:rPr>
              <w:t>.ti.ab.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(“Problematic social media use ”).ti.ab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(“PSMU”).ti.ab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(“sexual behavior”).ti.ab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(“sex addiction”).ti.ab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(“Smartphone addiction”).ti.ab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(“Social Media Addiction”).ti.ab</w:t>
            </w:r>
          </w:p>
          <w:p>
            <w:pPr>
              <w:numPr>
                <w:ilvl w:val="0"/>
                <w:numId w:val="4"/>
              </w:numPr>
              <w:jc w:val="both"/>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(“Social Networks Addiction”).ti.ab</w:t>
            </w:r>
          </w:p>
          <w:p>
            <w:pPr>
              <w:numPr>
                <w:ilvl w:val="0"/>
                <w:numId w:val="4"/>
              </w:numPr>
              <w:spacing w:line="259" w:lineRule="auto"/>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shd w:val="clear" w:color="auto" w:fill="FAFAFC"/>
              </w:rPr>
              <w:t>(“Video games”).ti.ab.</w:t>
            </w:r>
          </w:p>
          <w:p>
            <w:pPr>
              <w:numPr>
                <w:ilvl w:val="0"/>
                <w:numId w:val="4"/>
              </w:numPr>
              <w:spacing w:line="259" w:lineRule="auto"/>
              <w:rPr>
                <w:rFonts w:ascii="Times New Roman" w:eastAsia="Times New Roman" w:hAnsi="Times New Roman" w:cs="Times New Roman"/>
                <w:sz w:val="20"/>
                <w:szCs w:val="20"/>
                <w:shd w:val="clear" w:color="auto" w:fill="FAFAFC"/>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videogame</w:t>
            </w:r>
            <w:proofErr w:type="gramEnd"/>
            <w:r>
              <w:rPr>
                <w:rFonts w:ascii="Times New Roman" w:eastAsia="Times New Roman" w:hAnsi="Times New Roman" w:cs="Times New Roman"/>
                <w:sz w:val="20"/>
                <w:szCs w:val="20"/>
              </w:rPr>
              <w:t xml:space="preserve"> addiction”)</w:t>
            </w:r>
            <w:r>
              <w:rPr>
                <w:rFonts w:ascii="Times New Roman" w:eastAsia="Times New Roman" w:hAnsi="Times New Roman" w:cs="Times New Roman"/>
                <w:sz w:val="20"/>
                <w:szCs w:val="20"/>
                <w:shd w:val="clear" w:color="auto" w:fill="FAFAFC"/>
              </w:rPr>
              <w:t>.ti.ab.</w:t>
            </w:r>
          </w:p>
          <w:p>
            <w:pPr>
              <w:numPr>
                <w:ilvl w:val="0"/>
                <w:numId w:val="4"/>
              </w:numPr>
              <w:spacing w:after="160" w:line="25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 or 10 or 11 or 12 or 13 or 14 or 15 or 16 or 17 or 18 or 19 or 20 or 21 or 23 or 24 or 25 or 26 or 27 or 28 or 29 or 30 or 31 or 32 or 33 or 34 or 35 or 36</w:t>
            </w:r>
          </w:p>
        </w:tc>
      </w:tr>
    </w:tbl>
    <w:p>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0"/>
          <w:szCs w:val="20"/>
        </w:rPr>
        <w:lastRenderedPageBreak/>
        <w:t>Note.</w:t>
      </w:r>
      <w:proofErr w:type="gramStart"/>
      <w:r>
        <w:rPr>
          <w:rFonts w:ascii="Times New Roman" w:eastAsia="Times New Roman" w:hAnsi="Times New Roman" w:cs="Times New Roman"/>
          <w:i/>
          <w:iCs/>
          <w:sz w:val="20"/>
          <w:szCs w:val="20"/>
        </w:rPr>
        <w:t>“ti</w:t>
      </w:r>
      <w:proofErr w:type="gramEnd"/>
      <w:r>
        <w:rPr>
          <w:rFonts w:ascii="Times New Roman" w:eastAsia="Times New Roman" w:hAnsi="Times New Roman" w:cs="Times New Roman"/>
          <w:i/>
          <w:iCs/>
          <w:sz w:val="20"/>
          <w:szCs w:val="20"/>
        </w:rPr>
        <w:t>” = title; “ab” = abstract</w:t>
      </w:r>
    </w:p>
    <w:p>
      <w:pPr>
        <w:spacing w:line="480" w:lineRule="auto"/>
        <w:ind w:left="720"/>
        <w:rPr>
          <w:rFonts w:ascii="Times New Roman" w:eastAsia="Times New Roman" w:hAnsi="Times New Roman" w:cs="Times New Roman"/>
          <w:sz w:val="24"/>
          <w:szCs w:val="24"/>
        </w:rPr>
      </w:pPr>
    </w:p>
    <w:p>
      <w:pPr>
        <w:spacing w:line="480" w:lineRule="auto"/>
        <w:ind w:left="720"/>
        <w:rPr>
          <w:rFonts w:ascii="Times New Roman" w:eastAsia="Times New Roman" w:hAnsi="Times New Roman" w:cs="Times New Roman"/>
          <w:sz w:val="24"/>
          <w:szCs w:val="24"/>
        </w:rPr>
      </w:pPr>
    </w:p>
    <w:p>
      <w:pPr>
        <w:spacing w:line="480" w:lineRule="auto"/>
        <w:ind w:left="720"/>
        <w:rPr>
          <w:rFonts w:ascii="Times New Roman" w:eastAsia="Times New Roman" w:hAnsi="Times New Roman" w:cs="Times New Roman"/>
          <w:sz w:val="24"/>
          <w:szCs w:val="24"/>
        </w:rPr>
      </w:pPr>
    </w:p>
    <w:p>
      <w:pPr>
        <w:spacing w:line="480" w:lineRule="auto"/>
        <w:jc w:val="center"/>
        <w:rPr>
          <w:rFonts w:ascii="Times New Roman" w:eastAsia="Times New Roman" w:hAnsi="Times New Roman" w:cs="Times New Roman"/>
          <w:b/>
          <w:bCs/>
          <w:sz w:val="24"/>
          <w:szCs w:val="24"/>
          <w:highlight w:val="yellow"/>
        </w:rPr>
      </w:pPr>
      <w:proofErr w:type="gramStart"/>
      <w:r>
        <w:rPr>
          <w:rFonts w:ascii="Times New Roman" w:eastAsia="Times New Roman" w:hAnsi="Times New Roman" w:cs="Times New Roman"/>
          <w:b/>
          <w:bCs/>
          <w:sz w:val="24"/>
          <w:szCs w:val="24"/>
          <w:highlight w:val="yellow"/>
        </w:rPr>
        <w:t>Appendix III.</w:t>
      </w:r>
      <w:proofErr w:type="gramEnd"/>
      <w:r>
        <w:rPr>
          <w:rFonts w:ascii="Times New Roman" w:eastAsia="Times New Roman" w:hAnsi="Times New Roman" w:cs="Times New Roman"/>
          <w:b/>
          <w:bCs/>
          <w:sz w:val="24"/>
          <w:szCs w:val="24"/>
          <w:highlight w:val="yellow"/>
        </w:rPr>
        <w:t xml:space="preserve"> </w:t>
      </w:r>
    </w:p>
    <w:p>
      <w:pPr>
        <w:spacing w:after="200"/>
        <w:jc w:val="center"/>
        <w:rPr>
          <w:rFonts w:ascii="Times New Roman" w:eastAsia="Times New Roman" w:hAnsi="Times New Roman" w:cs="Times New Roman"/>
          <w:i/>
          <w:iCs/>
        </w:rPr>
      </w:pPr>
      <w:r>
        <w:rPr>
          <w:rFonts w:ascii="Times New Roman" w:eastAsia="Times New Roman" w:hAnsi="Times New Roman" w:cs="Times New Roman"/>
          <w:i/>
          <w:iCs/>
        </w:rPr>
        <w:t xml:space="preserve">Supplementary </w:t>
      </w:r>
      <w:r>
        <w:rPr>
          <w:rFonts w:ascii="Times New Roman" w:eastAsia="Times New Roman" w:hAnsi="Times New Roman" w:cs="Times New Roman"/>
          <w:i/>
          <w:iCs/>
          <w:highlight w:val="yellow"/>
        </w:rPr>
        <w:t>Table III</w:t>
      </w:r>
      <w:r>
        <w:rPr>
          <w:rFonts w:ascii="Times New Roman" w:eastAsia="Times New Roman" w:hAnsi="Times New Roman" w:cs="Times New Roman"/>
          <w:i/>
          <w:iCs/>
        </w:rPr>
        <w:t xml:space="preserve">. Excluded Studies </w:t>
      </w:r>
      <w:proofErr w:type="gramStart"/>
      <w:r>
        <w:rPr>
          <w:rFonts w:ascii="Times New Roman" w:eastAsia="Times New Roman" w:hAnsi="Times New Roman" w:cs="Times New Roman"/>
          <w:i/>
          <w:iCs/>
        </w:rPr>
        <w:t>With</w:t>
      </w:r>
      <w:proofErr w:type="gramEnd"/>
      <w:r>
        <w:rPr>
          <w:rFonts w:ascii="Times New Roman" w:eastAsia="Times New Roman" w:hAnsi="Times New Roman" w:cs="Times New Roman"/>
          <w:i/>
          <w:iCs/>
        </w:rPr>
        <w:t xml:space="preserve"> Reasons </w:t>
      </w:r>
    </w:p>
    <w:tbl>
      <w:tblPr>
        <w:tblW w:w="13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10500"/>
      </w:tblGrid>
      <w:tr>
        <w:trPr>
          <w:jc w:val="center"/>
        </w:trPr>
        <w:tc>
          <w:tcPr>
            <w:tcW w:w="3405" w:type="dxa"/>
            <w:tcBorders>
              <w:left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Reasons for exclusion</w:t>
            </w:r>
          </w:p>
        </w:tc>
        <w:tc>
          <w:tcPr>
            <w:tcW w:w="10500" w:type="dxa"/>
            <w:tcBorders>
              <w:left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References</w:t>
            </w:r>
          </w:p>
        </w:tc>
      </w:tr>
      <w:tr>
        <w:trPr>
          <w:jc w:val="center"/>
        </w:trPr>
        <w:tc>
          <w:tcPr>
            <w:tcW w:w="3405" w:type="dxa"/>
            <w:tcBorders>
              <w:left w:val="nil"/>
              <w:bottom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Studies that not include participants with ID (</w:t>
            </w:r>
            <w:r>
              <w:rPr>
                <w:rFonts w:ascii="Times New Roman" w:eastAsia="Times New Roman" w:hAnsi="Times New Roman" w:cs="Times New Roman"/>
                <w:i/>
                <w:iCs/>
                <w:sz w:val="20"/>
                <w:szCs w:val="20"/>
              </w:rPr>
              <w:t>n</w:t>
            </w:r>
            <w:r>
              <w:rPr>
                <w:rFonts w:ascii="Times New Roman" w:eastAsia="Times New Roman" w:hAnsi="Times New Roman" w:cs="Times New Roman"/>
                <w:sz w:val="20"/>
                <w:szCs w:val="20"/>
              </w:rPr>
              <w:t xml:space="preserve"> = 25)</w:t>
            </w:r>
          </w:p>
        </w:tc>
        <w:tc>
          <w:tcPr>
            <w:tcW w:w="10500" w:type="dxa"/>
            <w:tcBorders>
              <w:left w:val="nil"/>
              <w:bottom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Allely, C. S. (2020). Contributory role of autism spectrum disorder symptomology to the viewing of indecent images of children (IIOC) and the experience of the criminal justice system. </w:t>
            </w:r>
            <w:r>
              <w:rPr>
                <w:rFonts w:ascii="Times New Roman" w:eastAsia="Times New Roman" w:hAnsi="Times New Roman" w:cs="Times New Roman"/>
                <w:i/>
                <w:iCs/>
                <w:sz w:val="20"/>
                <w:szCs w:val="20"/>
              </w:rPr>
              <w:t>Journal of Intellectual Disabilities and Offending Behaviour</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11</w:t>
            </w:r>
            <w:r>
              <w:rPr>
                <w:rFonts w:ascii="Times New Roman" w:eastAsia="Times New Roman" w:hAnsi="Times New Roman" w:cs="Times New Roman"/>
                <w:sz w:val="20"/>
                <w:szCs w:val="20"/>
              </w:rPr>
              <w:t>(3), 171-189. https://doi.org/10.1108/jidob-11-2019-0026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Ang, C. T., &amp; Lee, L. W. (2016). Sexuality education curriculum content for Malaysian students with learning disabilities. </w:t>
            </w:r>
            <w:r>
              <w:rPr>
                <w:rFonts w:ascii="Times New Roman" w:eastAsia="Times New Roman" w:hAnsi="Times New Roman" w:cs="Times New Roman"/>
                <w:i/>
                <w:iCs/>
                <w:sz w:val="20"/>
                <w:szCs w:val="20"/>
              </w:rPr>
              <w:t>Sexuality and Disability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34</w:t>
            </w:r>
            <w:r>
              <w:rPr>
                <w:rFonts w:ascii="Times New Roman" w:eastAsia="Times New Roman" w:hAnsi="Times New Roman" w:cs="Times New Roman"/>
                <w:sz w:val="20"/>
                <w:szCs w:val="20"/>
              </w:rPr>
              <w:t>(3), 255-267. https://doi.org/10.1007/s11195-016-9446-8</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Byers, E. S., &amp; Nichols, S. (2018). Prevalence and frequency of online sexual activity by adults with autism spectrum disorder. </w:t>
            </w:r>
            <w:r>
              <w:rPr>
                <w:rFonts w:ascii="Times New Roman" w:eastAsia="Times New Roman" w:hAnsi="Times New Roman" w:cs="Times New Roman"/>
                <w:i/>
                <w:iCs/>
                <w:sz w:val="20"/>
                <w:szCs w:val="20"/>
              </w:rPr>
              <w:t>Focus on Autism and Other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34</w:t>
            </w:r>
            <w:r>
              <w:rPr>
                <w:rFonts w:ascii="Times New Roman" w:eastAsia="Times New Roman" w:hAnsi="Times New Roman" w:cs="Times New Roman"/>
                <w:sz w:val="20"/>
                <w:szCs w:val="20"/>
              </w:rPr>
              <w:t>(3), 163-172. https://doi.org/10.1177/1088357618800061</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Chen, Y., Chen, S., &amp; Gau, S. S. (2015). ADHD and autistic traits, family function, parenting style, and social adjustment for Internet addiction among children and adolescents in Taiwan: A longitudinal study. </w:t>
            </w:r>
            <w:r>
              <w:rPr>
                <w:rFonts w:ascii="Times New Roman" w:eastAsia="Times New Roman" w:hAnsi="Times New Roman" w:cs="Times New Roman"/>
                <w:i/>
                <w:iCs/>
                <w:sz w:val="20"/>
                <w:szCs w:val="20"/>
              </w:rPr>
              <w:t xml:space="preserve">Research in </w:t>
            </w:r>
            <w:r>
              <w:rPr>
                <w:rFonts w:ascii="Times New Roman" w:eastAsia="Times New Roman" w:hAnsi="Times New Roman" w:cs="Times New Roman"/>
                <w:i/>
                <w:iCs/>
                <w:sz w:val="20"/>
                <w:szCs w:val="20"/>
              </w:rPr>
              <w:lastRenderedPageBreak/>
              <w:t>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39</w:t>
            </w:r>
            <w:r>
              <w:rPr>
                <w:rFonts w:ascii="Times New Roman" w:eastAsia="Times New Roman" w:hAnsi="Times New Roman" w:cs="Times New Roman"/>
                <w:sz w:val="20"/>
                <w:szCs w:val="20"/>
              </w:rPr>
              <w:t>, 20-31. https://doi.org/10.1016/j.ridd.2014.12.025</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Coutelle, R., Weiner, L., Paasche, C., Pottelette, J., Bertschy, G., Schröder, C. M., &amp; Lalanne, L. (2021). Autism Spectrum Disorder and Video Games: Restricted Interests or Addiction? </w:t>
            </w:r>
            <w:r>
              <w:rPr>
                <w:rFonts w:ascii="Times New Roman" w:eastAsia="Times New Roman" w:hAnsi="Times New Roman" w:cs="Times New Roman"/>
                <w:i/>
                <w:iCs/>
                <w:sz w:val="20"/>
                <w:szCs w:val="20"/>
              </w:rPr>
              <w:t>International Journal of Mental Health and Addiction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20</w:t>
            </w:r>
            <w:r>
              <w:rPr>
                <w:rFonts w:ascii="Times New Roman" w:eastAsia="Times New Roman" w:hAnsi="Times New Roman" w:cs="Times New Roman"/>
                <w:sz w:val="20"/>
                <w:szCs w:val="20"/>
              </w:rPr>
              <w:t>(4), 2243-2264. https://doi.org/10.1007/s11469-021-00511-4</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Durkin, K., Boyle, J., Hunter, S., &amp; Conti-Ramsden, G. (2013). Video Games for Children and Adolescents With Special Educational Needs. </w:t>
            </w:r>
            <w:r>
              <w:rPr>
                <w:rFonts w:ascii="Times New Roman" w:eastAsia="Times New Roman" w:hAnsi="Times New Roman" w:cs="Times New Roman"/>
                <w:i/>
                <w:iCs/>
                <w:sz w:val="20"/>
                <w:szCs w:val="20"/>
              </w:rPr>
              <w:t>Zeitschrift Für Psychologie</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221</w:t>
            </w:r>
            <w:r>
              <w:rPr>
                <w:rFonts w:ascii="Times New Roman" w:eastAsia="Times New Roman" w:hAnsi="Times New Roman" w:cs="Times New Roman"/>
                <w:sz w:val="20"/>
                <w:szCs w:val="20"/>
              </w:rPr>
              <w:t>(2), 79-89. https://doi.org/10.1027/2151-2604/a000138</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Eden, S., &amp; Tal, H. (2024). Why Do Parenting Styles Matter? The Relation Between Parenting Styles, Cyberbullying, and Problematic Internet Use Among Children With and Without SLD/ADHD. </w:t>
            </w:r>
            <w:r>
              <w:rPr>
                <w:rFonts w:ascii="Times New Roman" w:eastAsia="Times New Roman" w:hAnsi="Times New Roman" w:cs="Times New Roman"/>
                <w:i/>
                <w:iCs/>
                <w:sz w:val="20"/>
                <w:szCs w:val="20"/>
              </w:rPr>
              <w:t>Journal of Learning Disabilities</w:t>
            </w:r>
            <w:r>
              <w:rPr>
                <w:rFonts w:ascii="Times New Roman" w:eastAsia="Times New Roman" w:hAnsi="Times New Roman" w:cs="Times New Roman"/>
                <w:sz w:val="20"/>
                <w:szCs w:val="20"/>
              </w:rPr>
              <w:t>. https://doi.org/10.1177/00222194241301051</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Gusciora, L. (2016). </w:t>
            </w:r>
            <w:r>
              <w:rPr>
                <w:rFonts w:ascii="Times New Roman" w:eastAsia="Times New Roman" w:hAnsi="Times New Roman" w:cs="Times New Roman"/>
                <w:i/>
                <w:iCs/>
                <w:sz w:val="20"/>
                <w:szCs w:val="20"/>
              </w:rPr>
              <w:t>Attitudes and beliefs towards pornography use and men with learning disabilities : A Q methodological study</w:t>
            </w:r>
            <w:r>
              <w:rPr>
                <w:rFonts w:ascii="Times New Roman" w:eastAsia="Times New Roman" w:hAnsi="Times New Roman" w:cs="Times New Roman"/>
                <w:sz w:val="20"/>
                <w:szCs w:val="20"/>
              </w:rPr>
              <w:t xml:space="preserve"> [Doctoral dissertation]. http://eprints.staffs.ac.uk/3024/</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Kawabe, K., Horiuchi, F., Miyama, T., Jogamoto, T., Aibara, K., Ishii, E., &amp; Ueno, S. (2019). Internet addiction and attention-deficit / hyperactivity disorder symptoms in adolescents with autism spectrum disorder. </w:t>
            </w:r>
            <w:r>
              <w:rPr>
                <w:rFonts w:ascii="Times New Roman" w:eastAsia="Times New Roman" w:hAnsi="Times New Roman" w:cs="Times New Roman"/>
                <w:i/>
                <w:iCs/>
                <w:sz w:val="20"/>
                <w:szCs w:val="20"/>
              </w:rPr>
              <w:t>Research in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89</w:t>
            </w:r>
            <w:r>
              <w:rPr>
                <w:rFonts w:ascii="Times New Roman" w:eastAsia="Times New Roman" w:hAnsi="Times New Roman" w:cs="Times New Roman"/>
                <w:sz w:val="20"/>
                <w:szCs w:val="20"/>
              </w:rPr>
              <w:t>, 22-28. https://doi.org/10.1016/j.ridd.2019.03.002</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Kocabas, S., Adak, I., Karakus, O. B., &amp; Toksoy, Z. E. (2025). Learning disability as a determinant of digital behavior in adolescents with ADHD: a cross-sectional study. </w:t>
            </w:r>
            <w:r>
              <w:rPr>
                <w:rFonts w:ascii="Times New Roman" w:eastAsia="Times New Roman" w:hAnsi="Times New Roman" w:cs="Times New Roman"/>
                <w:i/>
                <w:iCs/>
                <w:sz w:val="20"/>
                <w:szCs w:val="20"/>
              </w:rPr>
              <w:t>European Child &amp; Adolescent Psychiatry</w:t>
            </w:r>
            <w:r>
              <w:rPr>
                <w:rFonts w:ascii="Times New Roman" w:eastAsia="Times New Roman" w:hAnsi="Times New Roman" w:cs="Times New Roman"/>
                <w:sz w:val="20"/>
                <w:szCs w:val="20"/>
              </w:rPr>
              <w:t>. https://doi.org/10.1007/s00787-025-02802-w</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Kreider, C. M., Bendixen, R. M., Young, M. E., Prudencio, S. M., McCarty, C., &amp; Mann, W. C. (2015). Social </w:t>
            </w:r>
            <w:r>
              <w:rPr>
                <w:rFonts w:ascii="Times New Roman" w:eastAsia="Times New Roman" w:hAnsi="Times New Roman" w:cs="Times New Roman"/>
                <w:sz w:val="20"/>
                <w:szCs w:val="20"/>
              </w:rPr>
              <w:lastRenderedPageBreak/>
              <w:t xml:space="preserve">networks and participation with others for youth with learning, attention, and autism spectrum disorders. </w:t>
            </w:r>
            <w:r>
              <w:rPr>
                <w:rFonts w:ascii="Times New Roman" w:eastAsia="Times New Roman" w:hAnsi="Times New Roman" w:cs="Times New Roman"/>
                <w:i/>
                <w:iCs/>
                <w:sz w:val="20"/>
                <w:szCs w:val="20"/>
              </w:rPr>
              <w:t>Canadian Journal of Occupational Therapy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83</w:t>
            </w:r>
            <w:r>
              <w:rPr>
                <w:rFonts w:ascii="Times New Roman" w:eastAsia="Times New Roman" w:hAnsi="Times New Roman" w:cs="Times New Roman"/>
                <w:sz w:val="20"/>
                <w:szCs w:val="20"/>
              </w:rPr>
              <w:t>(1), 14-26. https://doi.org/10.1177/0008417415583107</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Kumar, S., Jackson, S., &amp; Petronzi, D. (2023). A preliminary study into internet related addictions among adults with dyslexia. </w:t>
            </w:r>
            <w:r>
              <w:rPr>
                <w:rFonts w:ascii="Times New Roman" w:eastAsia="Times New Roman" w:hAnsi="Times New Roman" w:cs="Times New Roman"/>
                <w:i/>
                <w:iCs/>
                <w:sz w:val="20"/>
                <w:szCs w:val="20"/>
              </w:rPr>
              <w:t>PLoS ONE</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18</w:t>
            </w:r>
            <w:r>
              <w:rPr>
                <w:rFonts w:ascii="Times New Roman" w:eastAsia="Times New Roman" w:hAnsi="Times New Roman" w:cs="Times New Roman"/>
                <w:sz w:val="20"/>
                <w:szCs w:val="20"/>
              </w:rPr>
              <w:t>(2), e0280555. https://doi.org/10.1371/journal.pone.0280555</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Liu, S., Yu, C., Conner, B. T., Wang, S., Lai, W., &amp; Zhang, W. (2017). Autistic traits and internet gaming addiction in Chinese children: The mediating effect of emotion regulation and school connectedness. </w:t>
            </w:r>
            <w:r>
              <w:rPr>
                <w:rFonts w:ascii="Times New Roman" w:eastAsia="Times New Roman" w:hAnsi="Times New Roman" w:cs="Times New Roman"/>
                <w:i/>
                <w:iCs/>
                <w:sz w:val="20"/>
                <w:szCs w:val="20"/>
              </w:rPr>
              <w:t>Research in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68</w:t>
            </w:r>
            <w:r>
              <w:rPr>
                <w:rFonts w:ascii="Times New Roman" w:eastAsia="Times New Roman" w:hAnsi="Times New Roman" w:cs="Times New Roman"/>
                <w:sz w:val="20"/>
                <w:szCs w:val="20"/>
              </w:rPr>
              <w:t>, 122-130. https://doi.org/10.1016/j.ridd.2017.07.011</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Marín-Navarrete, R., Sánchez-Domínguez, R., Pérez-López, A., &amp; Saracco-Alvarez, R. (2022). Addictive disorders, psychiatric symptoms, and potentially traumatic events in individuals with disabilities. </w:t>
            </w:r>
            <w:r>
              <w:rPr>
                <w:rFonts w:ascii="Times New Roman" w:eastAsia="Times New Roman" w:hAnsi="Times New Roman" w:cs="Times New Roman"/>
                <w:i/>
                <w:iCs/>
                <w:sz w:val="20"/>
                <w:szCs w:val="20"/>
              </w:rPr>
              <w:t>Frontiers in Psychology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13</w:t>
            </w:r>
            <w:r>
              <w:rPr>
                <w:rFonts w:ascii="Times New Roman" w:eastAsia="Times New Roman" w:hAnsi="Times New Roman" w:cs="Times New Roman"/>
                <w:sz w:val="20"/>
                <w:szCs w:val="20"/>
              </w:rPr>
              <w:t>. https://doi.org/10.3389/fpsyg.2022.936184</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Mazurek, M. O., Shattuck, P. T., Wagner, M., &amp; Cooper, B. P. (2011). Prevalence and Correlates of Screen-Based Media Use Among Youths with Autism Spectrum Disorders. </w:t>
            </w:r>
            <w:r>
              <w:rPr>
                <w:rFonts w:ascii="Times New Roman" w:eastAsia="Times New Roman" w:hAnsi="Times New Roman" w:cs="Times New Roman"/>
                <w:i/>
                <w:iCs/>
                <w:sz w:val="20"/>
                <w:szCs w:val="20"/>
              </w:rPr>
              <w:t>Journal of Autism and Developmental Disorders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42</w:t>
            </w:r>
            <w:r>
              <w:rPr>
                <w:rFonts w:ascii="Times New Roman" w:eastAsia="Times New Roman" w:hAnsi="Times New Roman" w:cs="Times New Roman"/>
                <w:sz w:val="20"/>
                <w:szCs w:val="20"/>
              </w:rPr>
              <w:t>(8), 1757-1767. https://doi.org/10.1007/s10803-011-1413-8</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Parker, J. D. A., Summerfeldt, L. J., Kloosterman, P. H., Keefer, K. V., &amp; Taylor, R. N. (2012). Gambling Behaviour in Adolescents with Learning Disorders. </w:t>
            </w:r>
            <w:r>
              <w:rPr>
                <w:rFonts w:ascii="Times New Roman" w:eastAsia="Times New Roman" w:hAnsi="Times New Roman" w:cs="Times New Roman"/>
                <w:i/>
                <w:iCs/>
                <w:sz w:val="20"/>
                <w:szCs w:val="20"/>
              </w:rPr>
              <w:t>Journal of Gambling Studies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29</w:t>
            </w:r>
            <w:r>
              <w:rPr>
                <w:rFonts w:ascii="Times New Roman" w:eastAsia="Times New Roman" w:hAnsi="Times New Roman" w:cs="Times New Roman"/>
                <w:sz w:val="20"/>
                <w:szCs w:val="20"/>
              </w:rPr>
              <w:t>(2), 231-239. https://doi.org/10.1007/s10899-012-9312-2</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Parker, J. D. A., Summerfeldt, L. J., Taylor, R. N., Kloosterman, P. H., &amp; Keefer, K. V. (2013). Problem gambling, gaming and Internet use in adolescents: Relationships with emotional intelligence in clinical and special needs samples. </w:t>
            </w:r>
            <w:r>
              <w:rPr>
                <w:rFonts w:ascii="Times New Roman" w:eastAsia="Times New Roman" w:hAnsi="Times New Roman" w:cs="Times New Roman"/>
                <w:i/>
                <w:iCs/>
                <w:sz w:val="20"/>
                <w:szCs w:val="20"/>
              </w:rPr>
              <w:lastRenderedPageBreak/>
              <w:t>Personality and Individual Differences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55</w:t>
            </w:r>
            <w:r>
              <w:rPr>
                <w:rFonts w:ascii="Times New Roman" w:eastAsia="Times New Roman" w:hAnsi="Times New Roman" w:cs="Times New Roman"/>
                <w:sz w:val="20"/>
                <w:szCs w:val="20"/>
              </w:rPr>
              <w:t>(3), 288-293. https://doi.org/10.1016/j.paid.2013.02.025</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Pino-Osuna, M. J., Herruzo Pino, C., Lucena-Jurado, V., &amp; Herruzo-Cabrera, J. (2022). Uso problemático de Internet y problemas psicológicos entre estudiantes universitarios con discapacidad. </w:t>
            </w:r>
            <w:r>
              <w:rPr>
                <w:rFonts w:ascii="Times New Roman" w:eastAsia="Times New Roman" w:hAnsi="Times New Roman" w:cs="Times New Roman"/>
                <w:i/>
                <w:iCs/>
                <w:sz w:val="20"/>
                <w:szCs w:val="20"/>
              </w:rPr>
              <w:t>Adicciones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35</w:t>
            </w:r>
            <w:r>
              <w:rPr>
                <w:rFonts w:ascii="Times New Roman" w:eastAsia="Times New Roman" w:hAnsi="Times New Roman" w:cs="Times New Roman"/>
                <w:sz w:val="20"/>
                <w:szCs w:val="20"/>
              </w:rPr>
              <w:t>(2), 177-184. https://doi.org/10.20882/adicciones.1574</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Saad, M. A. E. (2020). Self-Regulated Learning and Academic Procrastination as Predictors of Smartphone Addiction among Second Year-Middle School Learning Disabled Students. </w:t>
            </w:r>
            <w:r>
              <w:rPr>
                <w:rFonts w:ascii="Times New Roman" w:eastAsia="Times New Roman" w:hAnsi="Times New Roman" w:cs="Times New Roman"/>
                <w:i/>
                <w:iCs/>
                <w:sz w:val="20"/>
                <w:szCs w:val="20"/>
              </w:rPr>
              <w:t>Revista Amazonia Investiga</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9</w:t>
            </w:r>
            <w:r>
              <w:rPr>
                <w:rFonts w:ascii="Times New Roman" w:eastAsia="Times New Roman" w:hAnsi="Times New Roman" w:cs="Times New Roman"/>
                <w:sz w:val="20"/>
                <w:szCs w:val="20"/>
              </w:rPr>
              <w:t>(26), 236-243. https://doi.org/10.34069/ai/2020.26.02.27</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Sarti, D., Bettoni, R., Offredi, I., Tironi, M., Lombardi, E., Traficante, D., &amp; Lorusso, M. L. (2019). Tell Me a Story: Socio-Emotional Functioning, Well-Being and Problematic Smartphone Use in Adolescents With Specific Learning Disabilities. </w:t>
            </w:r>
            <w:r>
              <w:rPr>
                <w:rFonts w:ascii="Times New Roman" w:eastAsia="Times New Roman" w:hAnsi="Times New Roman" w:cs="Times New Roman"/>
                <w:i/>
                <w:iCs/>
                <w:sz w:val="20"/>
                <w:szCs w:val="20"/>
              </w:rPr>
              <w:t>Frontiers in Psychology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10</w:t>
            </w:r>
            <w:r>
              <w:rPr>
                <w:rFonts w:ascii="Times New Roman" w:eastAsia="Times New Roman" w:hAnsi="Times New Roman" w:cs="Times New Roman"/>
                <w:sz w:val="20"/>
                <w:szCs w:val="20"/>
              </w:rPr>
              <w:t>. https://doi.org/10.3389/fpsyg.2019.02369</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Taylor, R. N., Parker, J. D. A., Keefer, K. V., Kloosterman, P. H., &amp; Summerfeldt, L. J. (2014). Gambling Related Cognitive Distortions in Adolescence: Relationships with Gambling Problems in Typically Developing and Special Needs Students. </w:t>
            </w:r>
            <w:r>
              <w:rPr>
                <w:rFonts w:ascii="Times New Roman" w:eastAsia="Times New Roman" w:hAnsi="Times New Roman" w:cs="Times New Roman"/>
                <w:i/>
                <w:iCs/>
                <w:sz w:val="20"/>
                <w:szCs w:val="20"/>
              </w:rPr>
              <w:t>Journal of Gambling Studies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31</w:t>
            </w:r>
            <w:r>
              <w:rPr>
                <w:rFonts w:ascii="Times New Roman" w:eastAsia="Times New Roman" w:hAnsi="Times New Roman" w:cs="Times New Roman"/>
                <w:sz w:val="20"/>
                <w:szCs w:val="20"/>
              </w:rPr>
              <w:t>(4), 1417-1429. https://doi.org/10.1007/s10899-014-9480-3</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Umeda, M., Shimoda, H., Miyamoto, K., Ishikawa, H., Tachimori, H., Takeshima, T., &amp; Kawakami, N. (2019). Comorbidity and sociodemographic characteristics of adult autism spectrum disorder and attention deficit hyperactivity disorder: epidemiological investigation in the World Mental Health Japan 2nd Survey. </w:t>
            </w:r>
            <w:r>
              <w:rPr>
                <w:rFonts w:ascii="Times New Roman" w:eastAsia="Times New Roman" w:hAnsi="Times New Roman" w:cs="Times New Roman"/>
                <w:i/>
                <w:iCs/>
                <w:sz w:val="20"/>
                <w:szCs w:val="20"/>
              </w:rPr>
              <w:t>International Journal of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67</w:t>
            </w:r>
            <w:r>
              <w:rPr>
                <w:rFonts w:ascii="Times New Roman" w:eastAsia="Times New Roman" w:hAnsi="Times New Roman" w:cs="Times New Roman"/>
                <w:sz w:val="20"/>
                <w:szCs w:val="20"/>
              </w:rPr>
              <w:t>(1), 58-66. https://doi.org/10.1080/20473869.2019.1576409</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Van Ommen, C. A., &amp; Chaparro, B. S. (2022). Exploring Video Game Satisfaction of Gamers with Disabilities. En </w:t>
            </w:r>
            <w:r>
              <w:rPr>
                <w:rFonts w:ascii="Times New Roman" w:eastAsia="Times New Roman" w:hAnsi="Times New Roman" w:cs="Times New Roman"/>
                <w:i/>
                <w:iCs/>
                <w:sz w:val="20"/>
                <w:szCs w:val="20"/>
              </w:rPr>
              <w:lastRenderedPageBreak/>
              <w:t>Lecture notes in computer science</w:t>
            </w:r>
            <w:r>
              <w:rPr>
                <w:rFonts w:ascii="Times New Roman" w:eastAsia="Times New Roman" w:hAnsi="Times New Roman" w:cs="Times New Roman"/>
                <w:sz w:val="20"/>
                <w:szCs w:val="20"/>
              </w:rPr>
              <w:t xml:space="preserve"> (pp. 392-405). https://doi.org/10.1007/978-3-031-05028-2_26</w:t>
            </w:r>
          </w:p>
          <w:p>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Razi, N. I. M., Rahman, A. W. A., &amp; Kamaruddin, N. (2018, July). Neurophysiological analysis of porn addiction to learning disabilities. In </w:t>
            </w:r>
            <w:r>
              <w:rPr>
                <w:rFonts w:ascii="Times New Roman" w:eastAsia="Times New Roman" w:hAnsi="Times New Roman" w:cs="Times New Roman"/>
                <w:i/>
                <w:iCs/>
                <w:sz w:val="20"/>
                <w:szCs w:val="20"/>
              </w:rPr>
              <w:t>2018 International Conference on Information and Communication Technology for the Muslim World (ICT4M)</w:t>
            </w:r>
            <w:r>
              <w:rPr>
                <w:rFonts w:ascii="Times New Roman" w:eastAsia="Times New Roman" w:hAnsi="Times New Roman" w:cs="Times New Roman"/>
                <w:sz w:val="20"/>
                <w:szCs w:val="20"/>
              </w:rPr>
              <w:t xml:space="preserve"> (pp. 272–277). IEEE. https://doi.org/10.1109/ICT4M.2018.00054</w:t>
            </w:r>
          </w:p>
          <w:p>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Young, J. (2008). Common comorbidities seen in adolescents with attention-deficit/hyperactivity disorder. </w:t>
            </w:r>
            <w:r>
              <w:rPr>
                <w:rFonts w:ascii="Times New Roman" w:eastAsia="Times New Roman" w:hAnsi="Times New Roman" w:cs="Times New Roman"/>
                <w:i/>
                <w:iCs/>
                <w:sz w:val="20"/>
                <w:szCs w:val="20"/>
              </w:rPr>
              <w:t>Adolescent medicine: state of the art reviews, 19</w:t>
            </w:r>
            <w:r>
              <w:rPr>
                <w:rFonts w:ascii="Times New Roman" w:eastAsia="Times New Roman" w:hAnsi="Times New Roman" w:cs="Times New Roman"/>
                <w:sz w:val="20"/>
                <w:szCs w:val="20"/>
              </w:rPr>
              <w:t>(2), 216–228.</w:t>
            </w:r>
          </w:p>
        </w:tc>
      </w:tr>
      <w:tr>
        <w:trPr>
          <w:jc w:val="center"/>
        </w:trPr>
        <w:tc>
          <w:tcPr>
            <w:tcW w:w="3405" w:type="dxa"/>
            <w:tcBorders>
              <w:top w:val="nil"/>
              <w:left w:val="nil"/>
              <w:bottom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Studies that not consider non-substance addictive behaviors (</w:t>
            </w:r>
            <w:r>
              <w:rPr>
                <w:rFonts w:ascii="Times New Roman" w:eastAsia="Times New Roman" w:hAnsi="Times New Roman" w:cs="Times New Roman"/>
                <w:i/>
                <w:iCs/>
                <w:sz w:val="20"/>
                <w:szCs w:val="20"/>
              </w:rPr>
              <w:t>n</w:t>
            </w:r>
            <w:r>
              <w:rPr>
                <w:rFonts w:ascii="Times New Roman" w:eastAsia="Times New Roman" w:hAnsi="Times New Roman" w:cs="Times New Roman"/>
                <w:sz w:val="20"/>
                <w:szCs w:val="20"/>
              </w:rPr>
              <w:t xml:space="preserve"> = 16)</w:t>
            </w:r>
          </w:p>
        </w:tc>
        <w:tc>
          <w:tcPr>
            <w:tcW w:w="10500" w:type="dxa"/>
            <w:tcBorders>
              <w:top w:val="nil"/>
              <w:left w:val="nil"/>
              <w:bottom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Abu-Alghayth, K. M., &amp; Al-Rawi, J. M. (2023). Problematic sexual behaviors of adolescents with intellectual disability in Saudi Arabia: uncovering the hidden. </w:t>
            </w:r>
            <w:r>
              <w:rPr>
                <w:rFonts w:ascii="Times New Roman" w:eastAsia="Times New Roman" w:hAnsi="Times New Roman" w:cs="Times New Roman"/>
                <w:i/>
                <w:iCs/>
                <w:sz w:val="20"/>
                <w:szCs w:val="20"/>
              </w:rPr>
              <w:t>International Journal of Developmental Disabilities</w:t>
            </w:r>
            <w:r>
              <w:rPr>
                <w:rFonts w:ascii="Times New Roman" w:eastAsia="Times New Roman" w:hAnsi="Times New Roman" w:cs="Times New Roman"/>
                <w:sz w:val="20"/>
                <w:szCs w:val="20"/>
              </w:rPr>
              <w:t>, 1-10. https://doi.org/10.1080/20473869.2023.2294393</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Ahn, S. (2021). Combined Effects of Virtual Reality and Computer Game-Based Cognitive Therapy on the Development of Visual-Motor Integration in Children with Intellectual Disabilities: A Pilot Study. </w:t>
            </w:r>
            <w:r>
              <w:rPr>
                <w:rFonts w:ascii="Times New Roman" w:eastAsia="Times New Roman" w:hAnsi="Times New Roman" w:cs="Times New Roman"/>
                <w:i/>
                <w:iCs/>
                <w:sz w:val="20"/>
                <w:szCs w:val="20"/>
              </w:rPr>
              <w:t>Occupational Therapy International</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2021</w:t>
            </w:r>
            <w:r>
              <w:rPr>
                <w:rFonts w:ascii="Times New Roman" w:eastAsia="Times New Roman" w:hAnsi="Times New Roman" w:cs="Times New Roman"/>
                <w:sz w:val="20"/>
                <w:szCs w:val="20"/>
              </w:rPr>
              <w:t>, 1-8. https://doi.org/10.1155/2021/6696779</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Akdemir, B. (2022). Opinions of special education teachers on inappropriate sexual behaviors in adolescents with intellectual disabilities. </w:t>
            </w:r>
            <w:r>
              <w:rPr>
                <w:rFonts w:ascii="Times New Roman" w:eastAsia="Times New Roman" w:hAnsi="Times New Roman" w:cs="Times New Roman"/>
                <w:i/>
                <w:iCs/>
                <w:sz w:val="20"/>
                <w:szCs w:val="20"/>
              </w:rPr>
              <w:t>International Journal of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70</w:t>
            </w:r>
            <w:r>
              <w:rPr>
                <w:rFonts w:ascii="Times New Roman" w:eastAsia="Times New Roman" w:hAnsi="Times New Roman" w:cs="Times New Roman"/>
                <w:sz w:val="20"/>
                <w:szCs w:val="20"/>
              </w:rPr>
              <w:t>(4), 641-650. https://doi.org/10.1080/20473869.2022.2129127</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Åker, T. H., &amp; Johnson, M. S. (2019). Sexual abuse and violence against people with intellectual disability and physical impairments: Characteristics of police‐investigated cases in a Norwegian national sample. </w:t>
            </w:r>
            <w:r>
              <w:rPr>
                <w:rFonts w:ascii="Times New Roman" w:eastAsia="Times New Roman" w:hAnsi="Times New Roman" w:cs="Times New Roman"/>
                <w:i/>
                <w:iCs/>
                <w:sz w:val="20"/>
                <w:szCs w:val="20"/>
              </w:rPr>
              <w:t xml:space="preserve">Journal of Applied </w:t>
            </w:r>
            <w:r>
              <w:rPr>
                <w:rFonts w:ascii="Times New Roman" w:eastAsia="Times New Roman" w:hAnsi="Times New Roman" w:cs="Times New Roman"/>
                <w:i/>
                <w:iCs/>
                <w:sz w:val="20"/>
                <w:szCs w:val="20"/>
              </w:rPr>
              <w:lastRenderedPageBreak/>
              <w:t>Research in Intellectual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33</w:t>
            </w:r>
            <w:r>
              <w:rPr>
                <w:rFonts w:ascii="Times New Roman" w:eastAsia="Times New Roman" w:hAnsi="Times New Roman" w:cs="Times New Roman"/>
                <w:sz w:val="20"/>
                <w:szCs w:val="20"/>
              </w:rPr>
              <w:t>(2), 139-145. https://doi.org/10.1111/jar.12656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Alkahtani, M. A. (2022). Parents’ view on the effect of online games on social interaction of adolescents with intellectual disability. </w:t>
            </w:r>
            <w:r>
              <w:rPr>
                <w:rFonts w:ascii="Times New Roman" w:eastAsia="Times New Roman" w:hAnsi="Times New Roman" w:cs="Times New Roman"/>
                <w:i/>
                <w:iCs/>
                <w:sz w:val="20"/>
                <w:szCs w:val="20"/>
              </w:rPr>
              <w:t>International Journal of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70</w:t>
            </w:r>
            <w:r>
              <w:rPr>
                <w:rFonts w:ascii="Times New Roman" w:eastAsia="Times New Roman" w:hAnsi="Times New Roman" w:cs="Times New Roman"/>
                <w:sz w:val="20"/>
                <w:szCs w:val="20"/>
              </w:rPr>
              <w:t>(3), 530-535. https://doi.org/10.1080/20473869.2022.2116906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Bexkens, A., Jansen, B. R. J., Van Der Molen, M. W., &amp; Huizenga, H. M. (2015). Cool Decision-Making in Adolescents with Behavior Disorder and/or Mild-to-Borderline Intellectual Disability. </w:t>
            </w:r>
            <w:r>
              <w:rPr>
                <w:rFonts w:ascii="Times New Roman" w:eastAsia="Times New Roman" w:hAnsi="Times New Roman" w:cs="Times New Roman"/>
                <w:i/>
                <w:iCs/>
                <w:sz w:val="20"/>
                <w:szCs w:val="20"/>
              </w:rPr>
              <w:t>Journal of Abnormal Child Psychology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44</w:t>
            </w:r>
            <w:r>
              <w:rPr>
                <w:rFonts w:ascii="Times New Roman" w:eastAsia="Times New Roman" w:hAnsi="Times New Roman" w:cs="Times New Roman"/>
                <w:sz w:val="20"/>
                <w:szCs w:val="20"/>
              </w:rPr>
              <w:t>(2), 357-367. https://doi.org/10.1007/s10802-015-9996-8</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Chang, C., Hwang, G., &amp; Ou, L. (2025). Fostering the Life Skills of Learners With Intellectual Disabilities Using Interactive Technologies: A Motivational Model‐Based Digital Game‐Based Training Approach. </w:t>
            </w:r>
            <w:r>
              <w:rPr>
                <w:rFonts w:ascii="Times New Roman" w:eastAsia="Times New Roman" w:hAnsi="Times New Roman" w:cs="Times New Roman"/>
                <w:i/>
                <w:iCs/>
                <w:sz w:val="20"/>
                <w:szCs w:val="20"/>
              </w:rPr>
              <w:t>Journal of Computer Assisted Learning</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41</w:t>
            </w:r>
            <w:r>
              <w:rPr>
                <w:rFonts w:ascii="Times New Roman" w:eastAsia="Times New Roman" w:hAnsi="Times New Roman" w:cs="Times New Roman"/>
                <w:sz w:val="20"/>
                <w:szCs w:val="20"/>
              </w:rPr>
              <w:t>(2). https://doi.org/10.1111/jcal.70026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Choi, Y., Kim, J., Park, C. W., Kim, J., Yi, J. H., &amp; Hong, J. (2022). We Play and Learn Rhythmically: Gesture-based Rhythm Game for Children with Intellectual Developmental Disabilities to Learn Manual Sign. </w:t>
            </w:r>
            <w:r>
              <w:rPr>
                <w:rFonts w:ascii="Times New Roman" w:eastAsia="Times New Roman" w:hAnsi="Times New Roman" w:cs="Times New Roman"/>
                <w:i/>
                <w:iCs/>
                <w:sz w:val="20"/>
                <w:szCs w:val="20"/>
              </w:rPr>
              <w:t>CHI Conference on Human Factors in Computing Systems</w:t>
            </w:r>
            <w:r>
              <w:rPr>
                <w:rFonts w:ascii="Times New Roman" w:eastAsia="Times New Roman" w:hAnsi="Times New Roman" w:cs="Times New Roman"/>
                <w:sz w:val="20"/>
                <w:szCs w:val="20"/>
              </w:rPr>
              <w:t>, 1-13. https://doi.org/10.1145/3491102.3517456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Dutra, T. C., Felipe, D., Gasparini, I., &amp; Maschio, E. (2021). Educational Digital Games and Computational Thinking for students with Intellectual Disabilities - Guidelines for accessibility. </w:t>
            </w:r>
            <w:r>
              <w:rPr>
                <w:rFonts w:ascii="Times New Roman" w:eastAsia="Times New Roman" w:hAnsi="Times New Roman" w:cs="Times New Roman"/>
                <w:i/>
                <w:iCs/>
                <w:sz w:val="20"/>
                <w:szCs w:val="20"/>
              </w:rPr>
              <w:t>2022 International Conference on Advanced Learning Technologies (ICALT)</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20</w:t>
            </w:r>
            <w:r>
              <w:rPr>
                <w:rFonts w:ascii="Times New Roman" w:eastAsia="Times New Roman" w:hAnsi="Times New Roman" w:cs="Times New Roman"/>
                <w:sz w:val="20"/>
                <w:szCs w:val="20"/>
              </w:rPr>
              <w:t>, 314-316. https://doi.org/10.1109/icalt52272.2021.00101</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Dymond, S., Bailey, R., Willner, P., &amp; Parry, R. (2009). Symbol labelling improves advantageous decision-making on the Iowa Gambling Task in people with intellectual disabilities. </w:t>
            </w:r>
            <w:r>
              <w:rPr>
                <w:rFonts w:ascii="Times New Roman" w:eastAsia="Times New Roman" w:hAnsi="Times New Roman" w:cs="Times New Roman"/>
                <w:i/>
                <w:iCs/>
                <w:sz w:val="20"/>
                <w:szCs w:val="20"/>
              </w:rPr>
              <w:t>Research in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31</w:t>
            </w:r>
            <w:r>
              <w:rPr>
                <w:rFonts w:ascii="Times New Roman" w:eastAsia="Times New Roman" w:hAnsi="Times New Roman" w:cs="Times New Roman"/>
                <w:sz w:val="20"/>
                <w:szCs w:val="20"/>
              </w:rPr>
              <w:t>(2), 536-</w:t>
            </w:r>
            <w:r>
              <w:rPr>
                <w:rFonts w:ascii="Times New Roman" w:eastAsia="Times New Roman" w:hAnsi="Times New Roman" w:cs="Times New Roman"/>
                <w:sz w:val="20"/>
                <w:szCs w:val="20"/>
              </w:rPr>
              <w:lastRenderedPageBreak/>
              <w:t>544. https://doi.org/10.1016/j.ridd.2009.12.003</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Frimpong, R., &amp; Acheampong, E. Y. (2024). “If You Don’t Arrange </w:t>
            </w:r>
            <w:proofErr w:type="gramStart"/>
            <w:r>
              <w:rPr>
                <w:rFonts w:ascii="Times New Roman" w:eastAsia="Times New Roman" w:hAnsi="Times New Roman" w:cs="Times New Roman"/>
                <w:sz w:val="20"/>
                <w:szCs w:val="20"/>
              </w:rPr>
              <w:t>Your</w:t>
            </w:r>
            <w:proofErr w:type="gramEnd"/>
            <w:r>
              <w:rPr>
                <w:rFonts w:ascii="Times New Roman" w:eastAsia="Times New Roman" w:hAnsi="Times New Roman" w:cs="Times New Roman"/>
                <w:sz w:val="20"/>
                <w:szCs w:val="20"/>
              </w:rPr>
              <w:t xml:space="preserve"> Bets Well You Will Still Lose”: Gambling Strategies of Visually Impaired Students. </w:t>
            </w:r>
            <w:r>
              <w:rPr>
                <w:rFonts w:ascii="Times New Roman" w:eastAsia="Times New Roman" w:hAnsi="Times New Roman" w:cs="Times New Roman"/>
                <w:i/>
                <w:iCs/>
                <w:sz w:val="20"/>
                <w:szCs w:val="20"/>
              </w:rPr>
              <w:t>Journal of Gambling Studies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40</w:t>
            </w:r>
            <w:r>
              <w:rPr>
                <w:rFonts w:ascii="Times New Roman" w:eastAsia="Times New Roman" w:hAnsi="Times New Roman" w:cs="Times New Roman"/>
                <w:sz w:val="20"/>
                <w:szCs w:val="20"/>
              </w:rPr>
              <w:t>(3), 1679-1700. https://doi.org/10.1007/s10899-023-10279-y</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Hebblewhite, G., Hutchinson, N., &amp; Galvin, K. (2020). Adults with intellectual disabilities’ lived experiences of wellbeing and the internet: a descriptive phenomenological study. </w:t>
            </w:r>
            <w:r>
              <w:rPr>
                <w:rFonts w:ascii="Times New Roman" w:eastAsia="Times New Roman" w:hAnsi="Times New Roman" w:cs="Times New Roman"/>
                <w:i/>
                <w:iCs/>
                <w:sz w:val="20"/>
                <w:szCs w:val="20"/>
              </w:rPr>
              <w:t>Disability &amp; Society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37</w:t>
            </w:r>
            <w:r>
              <w:rPr>
                <w:rFonts w:ascii="Times New Roman" w:eastAsia="Times New Roman" w:hAnsi="Times New Roman" w:cs="Times New Roman"/>
                <w:sz w:val="20"/>
                <w:szCs w:val="20"/>
              </w:rPr>
              <w:t>(4), 567-590. https://doi.org/10.1080/09687599.2020.1829554</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Jenaro, C., Flores, N., Vega, V., Cruz, M., Pérez, M. C., &amp; Torres, V. A. (2017). Cyberbullying among adults with intellectual disabilities: Some preliminary data. </w:t>
            </w:r>
            <w:r>
              <w:rPr>
                <w:rFonts w:ascii="Times New Roman" w:eastAsia="Times New Roman" w:hAnsi="Times New Roman" w:cs="Times New Roman"/>
                <w:i/>
                <w:iCs/>
                <w:sz w:val="20"/>
                <w:szCs w:val="20"/>
              </w:rPr>
              <w:t>Research in Developmental Disabilities</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72</w:t>
            </w:r>
            <w:r>
              <w:rPr>
                <w:rFonts w:ascii="Times New Roman" w:eastAsia="Times New Roman" w:hAnsi="Times New Roman" w:cs="Times New Roman"/>
                <w:sz w:val="20"/>
                <w:szCs w:val="20"/>
              </w:rPr>
              <w:t>, 265-274. https://doi.org/10.1016/j.ridd.2017.12.006</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Lamy, S., Delavenne, H., &amp; Thibaut, F. (2015). A case of female hypersexuality and child abuse and a review. </w:t>
            </w:r>
            <w:r>
              <w:rPr>
                <w:rFonts w:ascii="Times New Roman" w:eastAsia="Times New Roman" w:hAnsi="Times New Roman" w:cs="Times New Roman"/>
                <w:i/>
                <w:iCs/>
                <w:sz w:val="20"/>
                <w:szCs w:val="20"/>
              </w:rPr>
              <w:t>Archives of Women S Mental Health</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19</w:t>
            </w:r>
            <w:r>
              <w:rPr>
                <w:rFonts w:ascii="Times New Roman" w:eastAsia="Times New Roman" w:hAnsi="Times New Roman" w:cs="Times New Roman"/>
                <w:sz w:val="20"/>
                <w:szCs w:val="20"/>
              </w:rPr>
              <w:t>(4), 701-703. https://doi.org/10.1007/s00737-015-0579-z</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Löfgren-Mårtenson, L., Sorbring, E., &amp; Molin, M. (2015). “T@ngled Up in Blue”: Views of Parents and Professionals on Internet Use for Sexual Purposes Among Young People with Intellectual Disabilities. </w:t>
            </w:r>
            <w:r>
              <w:rPr>
                <w:rFonts w:ascii="Times New Roman" w:eastAsia="Times New Roman" w:hAnsi="Times New Roman" w:cs="Times New Roman"/>
                <w:i/>
                <w:iCs/>
                <w:sz w:val="20"/>
                <w:szCs w:val="20"/>
              </w:rPr>
              <w:t>Sexuality and Disability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33</w:t>
            </w:r>
            <w:r>
              <w:rPr>
                <w:rFonts w:ascii="Times New Roman" w:eastAsia="Times New Roman" w:hAnsi="Times New Roman" w:cs="Times New Roman"/>
                <w:sz w:val="20"/>
                <w:szCs w:val="20"/>
              </w:rPr>
              <w:t>(4), 533-544. https://doi.org/10.1007/s11195-015-9415-7</w:t>
            </w:r>
          </w:p>
          <w:p>
            <w:pPr>
              <w:widowControl w:val="0"/>
              <w:spacing w:line="48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Rooks-Ellis, D. L., Jones, B., Sulinski, E., Howorth, S., &amp; Achey, N. (2020). The Effectiveness of a Brief Sexuality Education Intervention for Parents of Children with Intellectual and Developmental Disabilities. </w:t>
            </w:r>
            <w:r>
              <w:rPr>
                <w:rFonts w:ascii="Times New Roman" w:eastAsia="Times New Roman" w:hAnsi="Times New Roman" w:cs="Times New Roman"/>
                <w:i/>
                <w:iCs/>
                <w:sz w:val="20"/>
                <w:szCs w:val="20"/>
              </w:rPr>
              <w:t>American Journal of Sexuality Education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15</w:t>
            </w:r>
            <w:r>
              <w:rPr>
                <w:rFonts w:ascii="Times New Roman" w:eastAsia="Times New Roman" w:hAnsi="Times New Roman" w:cs="Times New Roman"/>
                <w:sz w:val="20"/>
                <w:szCs w:val="20"/>
              </w:rPr>
              <w:t>(4), 444-464. https://doi.org/10.1080/15546128.2020.1800542</w:t>
            </w:r>
          </w:p>
        </w:tc>
      </w:tr>
      <w:tr>
        <w:trPr>
          <w:jc w:val="center"/>
        </w:trPr>
        <w:tc>
          <w:tcPr>
            <w:tcW w:w="3405" w:type="dxa"/>
            <w:tcBorders>
              <w:top w:val="nil"/>
              <w:left w:val="nil"/>
              <w:bottom w:val="nil"/>
              <w:right w:val="nil"/>
            </w:tcBorders>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Studies not available in full-text (</w:t>
            </w:r>
            <w:r>
              <w:rPr>
                <w:rFonts w:ascii="Times New Roman" w:eastAsia="Times New Roman" w:hAnsi="Times New Roman" w:cs="Times New Roman"/>
                <w:i/>
                <w:iCs/>
                <w:sz w:val="20"/>
                <w:szCs w:val="20"/>
              </w:rPr>
              <w:t>n</w:t>
            </w:r>
            <w:r>
              <w:rPr>
                <w:rFonts w:ascii="Times New Roman" w:eastAsia="Times New Roman" w:hAnsi="Times New Roman" w:cs="Times New Roman"/>
                <w:sz w:val="20"/>
                <w:szCs w:val="20"/>
              </w:rPr>
              <w:t xml:space="preserve"> = 2)</w:t>
            </w:r>
          </w:p>
        </w:tc>
        <w:tc>
          <w:tcPr>
            <w:tcW w:w="10500" w:type="dxa"/>
            <w:tcBorders>
              <w:top w:val="nil"/>
              <w:left w:val="nil"/>
              <w:bottom w:val="nil"/>
              <w:right w:val="nil"/>
            </w:tcBorders>
            <w:shd w:val="clear" w:color="auto" w:fill="auto"/>
            <w:tcMar>
              <w:top w:w="100" w:type="dxa"/>
              <w:left w:w="100" w:type="dxa"/>
              <w:bottom w:w="100" w:type="dxa"/>
              <w:right w:w="100" w:type="dxa"/>
            </w:tcMar>
          </w:tcPr>
          <w:p>
            <w:pPr>
              <w:spacing w:line="480" w:lineRule="auto"/>
              <w:ind w:left="72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Groombridge, S., Gordon, A., &amp; Tierney, K. (2000). Innovative approaches to problem gambling for people with intellectual disability. </w:t>
            </w:r>
            <w:r>
              <w:rPr>
                <w:rFonts w:ascii="Times New Roman" w:eastAsia="Times New Roman" w:hAnsi="Times New Roman" w:cs="Times New Roman"/>
                <w:i/>
                <w:iCs/>
                <w:sz w:val="20"/>
                <w:szCs w:val="20"/>
              </w:rPr>
              <w:t>Journal of Intellectual Disability Research</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44</w:t>
            </w:r>
            <w:r>
              <w:rPr>
                <w:rFonts w:ascii="Times New Roman" w:eastAsia="Times New Roman" w:hAnsi="Times New Roman" w:cs="Times New Roman"/>
                <w:sz w:val="20"/>
                <w:szCs w:val="20"/>
              </w:rPr>
              <w:t>. 302</w:t>
            </w:r>
          </w:p>
          <w:p>
            <w:pPr>
              <w:spacing w:line="480" w:lineRule="auto"/>
              <w:ind w:left="720"/>
              <w:rPr>
                <w:rFonts w:ascii="Times New Roman" w:eastAsia="Times New Roman" w:hAnsi="Times New Roman" w:cs="Times New Roman"/>
                <w:sz w:val="16"/>
                <w:szCs w:val="16"/>
              </w:rPr>
            </w:pPr>
            <w:r>
              <w:rPr>
                <w:rFonts w:ascii="Times New Roman" w:eastAsia="Times New Roman" w:hAnsi="Times New Roman" w:cs="Times New Roman"/>
                <w:sz w:val="20"/>
                <w:szCs w:val="20"/>
              </w:rPr>
              <w:t xml:space="preserve">Sharma, A., Darshan, S., &amp; Shukla, L. (2024). Gambling disorder in a patient with intellectual disability: A case report. </w:t>
            </w:r>
            <w:r>
              <w:rPr>
                <w:rFonts w:ascii="Times New Roman" w:eastAsia="Times New Roman" w:hAnsi="Times New Roman" w:cs="Times New Roman"/>
                <w:i/>
                <w:iCs/>
                <w:sz w:val="20"/>
                <w:szCs w:val="20"/>
              </w:rPr>
              <w:t>Indian Journal of Psychiatry</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66</w:t>
            </w:r>
            <w:r>
              <w:rPr>
                <w:rFonts w:ascii="Times New Roman" w:eastAsia="Times New Roman" w:hAnsi="Times New Roman" w:cs="Times New Roman"/>
                <w:sz w:val="20"/>
                <w:szCs w:val="20"/>
              </w:rPr>
              <w:t>, Article S205.</w:t>
            </w:r>
          </w:p>
        </w:tc>
      </w:tr>
      <w:tr>
        <w:trPr>
          <w:jc w:val="center"/>
        </w:trPr>
        <w:tc>
          <w:tcPr>
            <w:tcW w:w="3405" w:type="dxa"/>
            <w:tcBorders>
              <w:top w:val="nil"/>
              <w:left w:val="nil"/>
              <w:right w:val="nil"/>
            </w:tcBorders>
            <w:shd w:val="clear" w:color="auto" w:fill="auto"/>
            <w:tcMar>
              <w:top w:w="100" w:type="dxa"/>
              <w:left w:w="100" w:type="dxa"/>
              <w:bottom w:w="100" w:type="dxa"/>
              <w:right w:w="100" w:type="dxa"/>
            </w:tcMar>
          </w:tcPr>
          <w:p>
            <w:pPr>
              <w:spacing w:after="200"/>
              <w:rPr>
                <w:rFonts w:ascii="Times New Roman" w:eastAsia="Times New Roman" w:hAnsi="Times New Roman" w:cs="Times New Roman"/>
                <w:sz w:val="16"/>
                <w:szCs w:val="16"/>
              </w:rPr>
            </w:pPr>
            <w:r>
              <w:rPr>
                <w:rFonts w:ascii="Times New Roman" w:eastAsia="Times New Roman" w:hAnsi="Times New Roman" w:cs="Times New Roman"/>
                <w:sz w:val="20"/>
                <w:szCs w:val="20"/>
              </w:rPr>
              <w:t>Studies rejected for being books or systematic reviews (</w:t>
            </w:r>
            <w:r>
              <w:rPr>
                <w:rFonts w:ascii="Times New Roman" w:eastAsia="Times New Roman" w:hAnsi="Times New Roman" w:cs="Times New Roman"/>
                <w:i/>
                <w:iCs/>
                <w:sz w:val="20"/>
                <w:szCs w:val="20"/>
              </w:rPr>
              <w:t>n</w:t>
            </w:r>
            <w:r>
              <w:rPr>
                <w:rFonts w:ascii="Times New Roman" w:eastAsia="Times New Roman" w:hAnsi="Times New Roman" w:cs="Times New Roman"/>
                <w:sz w:val="20"/>
                <w:szCs w:val="20"/>
              </w:rPr>
              <w:t xml:space="preserve"> = 1)</w:t>
            </w:r>
          </w:p>
        </w:tc>
        <w:tc>
          <w:tcPr>
            <w:tcW w:w="10500" w:type="dxa"/>
            <w:tcBorders>
              <w:top w:val="nil"/>
              <w:left w:val="nil"/>
              <w:right w:val="nil"/>
            </w:tcBorders>
            <w:shd w:val="clear" w:color="auto" w:fill="auto"/>
            <w:tcMar>
              <w:top w:w="100" w:type="dxa"/>
              <w:left w:w="100" w:type="dxa"/>
              <w:bottom w:w="100" w:type="dxa"/>
              <w:right w:w="100" w:type="dxa"/>
            </w:tcMar>
          </w:tcPr>
          <w:p>
            <w:pPr>
              <w:spacing w:line="480" w:lineRule="auto"/>
              <w:ind w:left="720"/>
              <w:rPr>
                <w:rFonts w:ascii="Times New Roman" w:eastAsia="Times New Roman" w:hAnsi="Times New Roman" w:cs="Times New Roman"/>
                <w:sz w:val="16"/>
                <w:szCs w:val="16"/>
              </w:rPr>
            </w:pPr>
            <w:r>
              <w:rPr>
                <w:rFonts w:ascii="Times New Roman" w:eastAsia="Times New Roman" w:hAnsi="Times New Roman" w:cs="Times New Roman"/>
                <w:sz w:val="20"/>
                <w:szCs w:val="20"/>
              </w:rPr>
              <w:t xml:space="preserve">Udeanu, A., García-Fernández, G., Krotter, A., García-Aller, J. A., Solís, P., &amp; Gómez, L. E. (2025). Substance use and problem gambling interventions for people with intellectual disability: A systematic review. </w:t>
            </w:r>
            <w:r>
              <w:rPr>
                <w:rFonts w:ascii="Times New Roman" w:eastAsia="Times New Roman" w:hAnsi="Times New Roman" w:cs="Times New Roman"/>
                <w:i/>
                <w:iCs/>
                <w:sz w:val="20"/>
                <w:szCs w:val="20"/>
              </w:rPr>
              <w:t>Journal of Intellectual Disability Research</w:t>
            </w:r>
            <w:r>
              <w:rPr>
                <w:rFonts w:ascii="Times New Roman" w:eastAsia="Times New Roman" w:hAnsi="Times New Roman" w:cs="Times New Roman"/>
                <w:sz w:val="20"/>
                <w:szCs w:val="20"/>
              </w:rPr>
              <w:t xml:space="preserve">. </w:t>
            </w:r>
            <w:hyperlink r:id="rId8">
              <w:r>
                <w:rPr>
                  <w:rFonts w:ascii="Times New Roman" w:eastAsia="Times New Roman" w:hAnsi="Times New Roman" w:cs="Times New Roman"/>
                  <w:color w:val="1155CC"/>
                  <w:sz w:val="20"/>
                  <w:szCs w:val="20"/>
                  <w:u w:val="single"/>
                </w:rPr>
                <w:t>https://doi.org/10.1111/jir.70007</w:t>
              </w:r>
            </w:hyperlink>
            <w:r>
              <w:rPr>
                <w:rFonts w:ascii="Times New Roman" w:eastAsia="Times New Roman" w:hAnsi="Times New Roman" w:cs="Times New Roman"/>
                <w:sz w:val="20"/>
                <w:szCs w:val="20"/>
              </w:rPr>
              <w:t xml:space="preserve"> </w:t>
            </w:r>
          </w:p>
        </w:tc>
      </w:tr>
    </w:tbl>
    <w:p>
      <w:pPr>
        <w:spacing w:after="200"/>
        <w:rPr>
          <w:rFonts w:ascii="Times New Roman" w:eastAsia="Times New Roman" w:hAnsi="Times New Roman" w:cs="Times New Roman"/>
          <w:sz w:val="24"/>
          <w:szCs w:val="24"/>
          <w:highlight w:val="white"/>
        </w:rPr>
      </w:pPr>
      <w:bookmarkStart w:id="0" w:name="_GoBack"/>
      <w:bookmarkEnd w:id="0"/>
    </w:p>
    <w:sectPr>
      <w:headerReference w:type="default" r:id="rId9"/>
      <w:type w:val="continuous"/>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868BB"/>
    <w:multiLevelType w:val="multilevel"/>
    <w:tmpl w:val="41086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A1B697A"/>
    <w:multiLevelType w:val="multilevel"/>
    <w:tmpl w:val="55786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DEC4424"/>
    <w:multiLevelType w:val="multilevel"/>
    <w:tmpl w:val="CC267200"/>
    <w:lvl w:ilvl="0">
      <w:start w:val="487"/>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nsid w:val="702D3B85"/>
    <w:multiLevelType w:val="multilevel"/>
    <w:tmpl w:val="38E04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MS_Route" w:val="Done"/>
    <w:docVar w:name="Total_Editing_Time" w:val="0"/>
  </w:docVar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76" w:lineRule="auto"/>
    </w:pPr>
    <w:rPr>
      <w:rFonts w:ascii="Arial" w:eastAsia="Arial" w:hAnsi="Arial" w:cs="Arial"/>
      <w:lang w:val="en" w:eastAsia="es-ES"/>
    </w:rPr>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Arial" w:hAnsi="Arial" w:cs="Arial"/>
      <w:sz w:val="40"/>
      <w:szCs w:val="40"/>
      <w:lang w:val="en" w:eastAsia="es-ES"/>
    </w:rPr>
  </w:style>
  <w:style w:type="character" w:customStyle="1" w:styleId="Heading2Char">
    <w:name w:val="Heading 2 Char"/>
    <w:basedOn w:val="DefaultParagraphFont"/>
    <w:link w:val="Heading2"/>
    <w:rPr>
      <w:rFonts w:ascii="Arial" w:eastAsia="Arial" w:hAnsi="Arial" w:cs="Arial"/>
      <w:sz w:val="32"/>
      <w:szCs w:val="32"/>
      <w:lang w:val="en" w:eastAsia="es-ES"/>
    </w:rPr>
  </w:style>
  <w:style w:type="character" w:customStyle="1" w:styleId="Heading3Char">
    <w:name w:val="Heading 3 Char"/>
    <w:basedOn w:val="DefaultParagraphFont"/>
    <w:link w:val="Heading3"/>
    <w:rPr>
      <w:rFonts w:ascii="Arial" w:eastAsia="Arial" w:hAnsi="Arial" w:cs="Arial"/>
      <w:color w:val="434343"/>
      <w:sz w:val="28"/>
      <w:szCs w:val="28"/>
      <w:lang w:val="en" w:eastAsia="es-ES"/>
    </w:rPr>
  </w:style>
  <w:style w:type="character" w:customStyle="1" w:styleId="Heading4Char">
    <w:name w:val="Heading 4 Char"/>
    <w:basedOn w:val="DefaultParagraphFont"/>
    <w:link w:val="Heading4"/>
    <w:rPr>
      <w:rFonts w:ascii="Arial" w:eastAsia="Arial" w:hAnsi="Arial" w:cs="Arial"/>
      <w:color w:val="666666"/>
      <w:sz w:val="24"/>
      <w:szCs w:val="24"/>
      <w:lang w:val="en" w:eastAsia="es-ES"/>
    </w:rPr>
  </w:style>
  <w:style w:type="character" w:customStyle="1" w:styleId="Heading5Char">
    <w:name w:val="Heading 5 Char"/>
    <w:basedOn w:val="DefaultParagraphFont"/>
    <w:link w:val="Heading5"/>
    <w:rPr>
      <w:rFonts w:ascii="Arial" w:eastAsia="Arial" w:hAnsi="Arial" w:cs="Arial"/>
      <w:color w:val="666666"/>
      <w:lang w:val="en" w:eastAsia="es-ES"/>
    </w:rPr>
  </w:style>
  <w:style w:type="character" w:customStyle="1" w:styleId="Heading6Char">
    <w:name w:val="Heading 6 Char"/>
    <w:basedOn w:val="DefaultParagraphFont"/>
    <w:link w:val="Heading6"/>
    <w:rPr>
      <w:rFonts w:ascii="Arial" w:eastAsia="Arial" w:hAnsi="Arial" w:cs="Arial"/>
      <w:i/>
      <w:iCs/>
      <w:color w:val="666666"/>
      <w:lang w:val="en" w:eastAsia="es-ES"/>
    </w:rPr>
  </w:style>
  <w:style w:type="table" w:customStyle="1" w:styleId="TableNormal0">
    <w:name w:val="TableNormal"/>
    <w:pPr>
      <w:spacing w:after="0" w:line="276" w:lineRule="auto"/>
    </w:pPr>
    <w:rPr>
      <w:rFonts w:ascii="Arial" w:eastAsia="Arial" w:hAnsi="Arial" w:cs="Arial"/>
      <w:lang w:val="en" w:eastAsia="es-ES"/>
    </w:rPr>
    <w:tblPr>
      <w:tblCellMar>
        <w:top w:w="100" w:type="dxa"/>
        <w:left w:w="100" w:type="dxa"/>
        <w:bottom w:w="100" w:type="dxa"/>
        <w:right w:w="100" w:type="dxa"/>
      </w:tblCellMar>
    </w:tblPr>
  </w:style>
  <w:style w:type="paragraph" w:styleId="Title">
    <w:name w:val="Title"/>
    <w:basedOn w:val="Normal"/>
    <w:next w:val="Normal"/>
    <w:link w:val="TitleChar"/>
    <w:pPr>
      <w:keepNext/>
      <w:keepLines/>
      <w:spacing w:after="60"/>
    </w:pPr>
    <w:rPr>
      <w:sz w:val="52"/>
      <w:szCs w:val="52"/>
    </w:rPr>
  </w:style>
  <w:style w:type="character" w:customStyle="1" w:styleId="TitleChar">
    <w:name w:val="Title Char"/>
    <w:basedOn w:val="DefaultParagraphFont"/>
    <w:link w:val="Title"/>
    <w:rPr>
      <w:rFonts w:ascii="Arial" w:eastAsia="Arial" w:hAnsi="Arial" w:cs="Arial"/>
      <w:sz w:val="52"/>
      <w:szCs w:val="52"/>
      <w:lang w:val="en" w:eastAsia="es-ES"/>
    </w:rPr>
  </w:style>
  <w:style w:type="paragraph" w:styleId="Revision">
    <w:name w:val="Revision"/>
    <w:hidden/>
    <w:uiPriority w:val="99"/>
    <w:semiHidden/>
    <w:pPr>
      <w:spacing w:after="0" w:line="240" w:lineRule="auto"/>
    </w:pPr>
    <w:rPr>
      <w:rFonts w:ascii="Arial" w:eastAsia="Arial" w:hAnsi="Arial" w:cs="Arial"/>
      <w:lang w:val="en" w:eastAsia="es-E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 w:eastAsia="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val="en" w:eastAsia="es-ES"/>
    </w:rPr>
  </w:style>
  <w:style w:type="paragraph" w:styleId="Subtitle">
    <w:name w:val="Subtitle"/>
    <w:basedOn w:val="Normal"/>
    <w:next w:val="Normal"/>
    <w:link w:val="SubtitleChar"/>
    <w:pPr>
      <w:keepNext/>
      <w:keepLines/>
      <w:spacing w:after="320"/>
    </w:pPr>
    <w:rPr>
      <w:color w:val="666666"/>
      <w:sz w:val="30"/>
      <w:szCs w:val="30"/>
    </w:rPr>
  </w:style>
  <w:style w:type="character" w:customStyle="1" w:styleId="SubtitleChar">
    <w:name w:val="Subtitle Char"/>
    <w:basedOn w:val="DefaultParagraphFont"/>
    <w:link w:val="Subtitle"/>
    <w:rPr>
      <w:rFonts w:ascii="Arial" w:eastAsia="Arial" w:hAnsi="Arial" w:cs="Arial"/>
      <w:color w:val="666666"/>
      <w:sz w:val="30"/>
      <w:szCs w:val="30"/>
      <w:lang w:val="en" w:eastAsia="es-ES"/>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Arial" w:hAnsi="Tahoma" w:cs="Tahoma"/>
      <w:sz w:val="16"/>
      <w:szCs w:val="16"/>
      <w:lang w:val="en"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76" w:lineRule="auto"/>
    </w:pPr>
    <w:rPr>
      <w:rFonts w:ascii="Arial" w:eastAsia="Arial" w:hAnsi="Arial" w:cs="Arial"/>
      <w:lang w:val="en" w:eastAsia="es-ES"/>
    </w:rPr>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Arial" w:hAnsi="Arial" w:cs="Arial"/>
      <w:sz w:val="40"/>
      <w:szCs w:val="40"/>
      <w:lang w:val="en" w:eastAsia="es-ES"/>
    </w:rPr>
  </w:style>
  <w:style w:type="character" w:customStyle="1" w:styleId="Heading2Char">
    <w:name w:val="Heading 2 Char"/>
    <w:basedOn w:val="DefaultParagraphFont"/>
    <w:link w:val="Heading2"/>
    <w:rPr>
      <w:rFonts w:ascii="Arial" w:eastAsia="Arial" w:hAnsi="Arial" w:cs="Arial"/>
      <w:sz w:val="32"/>
      <w:szCs w:val="32"/>
      <w:lang w:val="en" w:eastAsia="es-ES"/>
    </w:rPr>
  </w:style>
  <w:style w:type="character" w:customStyle="1" w:styleId="Heading3Char">
    <w:name w:val="Heading 3 Char"/>
    <w:basedOn w:val="DefaultParagraphFont"/>
    <w:link w:val="Heading3"/>
    <w:rPr>
      <w:rFonts w:ascii="Arial" w:eastAsia="Arial" w:hAnsi="Arial" w:cs="Arial"/>
      <w:color w:val="434343"/>
      <w:sz w:val="28"/>
      <w:szCs w:val="28"/>
      <w:lang w:val="en" w:eastAsia="es-ES"/>
    </w:rPr>
  </w:style>
  <w:style w:type="character" w:customStyle="1" w:styleId="Heading4Char">
    <w:name w:val="Heading 4 Char"/>
    <w:basedOn w:val="DefaultParagraphFont"/>
    <w:link w:val="Heading4"/>
    <w:rPr>
      <w:rFonts w:ascii="Arial" w:eastAsia="Arial" w:hAnsi="Arial" w:cs="Arial"/>
      <w:color w:val="666666"/>
      <w:sz w:val="24"/>
      <w:szCs w:val="24"/>
      <w:lang w:val="en" w:eastAsia="es-ES"/>
    </w:rPr>
  </w:style>
  <w:style w:type="character" w:customStyle="1" w:styleId="Heading5Char">
    <w:name w:val="Heading 5 Char"/>
    <w:basedOn w:val="DefaultParagraphFont"/>
    <w:link w:val="Heading5"/>
    <w:rPr>
      <w:rFonts w:ascii="Arial" w:eastAsia="Arial" w:hAnsi="Arial" w:cs="Arial"/>
      <w:color w:val="666666"/>
      <w:lang w:val="en" w:eastAsia="es-ES"/>
    </w:rPr>
  </w:style>
  <w:style w:type="character" w:customStyle="1" w:styleId="Heading6Char">
    <w:name w:val="Heading 6 Char"/>
    <w:basedOn w:val="DefaultParagraphFont"/>
    <w:link w:val="Heading6"/>
    <w:rPr>
      <w:rFonts w:ascii="Arial" w:eastAsia="Arial" w:hAnsi="Arial" w:cs="Arial"/>
      <w:i/>
      <w:iCs/>
      <w:color w:val="666666"/>
      <w:lang w:val="en" w:eastAsia="es-ES"/>
    </w:rPr>
  </w:style>
  <w:style w:type="table" w:customStyle="1" w:styleId="TableNormal0">
    <w:name w:val="TableNormal"/>
    <w:pPr>
      <w:spacing w:after="0" w:line="276" w:lineRule="auto"/>
    </w:pPr>
    <w:rPr>
      <w:rFonts w:ascii="Arial" w:eastAsia="Arial" w:hAnsi="Arial" w:cs="Arial"/>
      <w:lang w:val="en" w:eastAsia="es-ES"/>
    </w:rPr>
    <w:tblPr>
      <w:tblCellMar>
        <w:top w:w="100" w:type="dxa"/>
        <w:left w:w="100" w:type="dxa"/>
        <w:bottom w:w="100" w:type="dxa"/>
        <w:right w:w="100" w:type="dxa"/>
      </w:tblCellMar>
    </w:tblPr>
  </w:style>
  <w:style w:type="paragraph" w:styleId="Title">
    <w:name w:val="Title"/>
    <w:basedOn w:val="Normal"/>
    <w:next w:val="Normal"/>
    <w:link w:val="TitleChar"/>
    <w:pPr>
      <w:keepNext/>
      <w:keepLines/>
      <w:spacing w:after="60"/>
    </w:pPr>
    <w:rPr>
      <w:sz w:val="52"/>
      <w:szCs w:val="52"/>
    </w:rPr>
  </w:style>
  <w:style w:type="character" w:customStyle="1" w:styleId="TitleChar">
    <w:name w:val="Title Char"/>
    <w:basedOn w:val="DefaultParagraphFont"/>
    <w:link w:val="Title"/>
    <w:rPr>
      <w:rFonts w:ascii="Arial" w:eastAsia="Arial" w:hAnsi="Arial" w:cs="Arial"/>
      <w:sz w:val="52"/>
      <w:szCs w:val="52"/>
      <w:lang w:val="en" w:eastAsia="es-ES"/>
    </w:rPr>
  </w:style>
  <w:style w:type="paragraph" w:styleId="Revision">
    <w:name w:val="Revision"/>
    <w:hidden/>
    <w:uiPriority w:val="99"/>
    <w:semiHidden/>
    <w:pPr>
      <w:spacing w:after="0" w:line="240" w:lineRule="auto"/>
    </w:pPr>
    <w:rPr>
      <w:rFonts w:ascii="Arial" w:eastAsia="Arial" w:hAnsi="Arial" w:cs="Arial"/>
      <w:lang w:val="en" w:eastAsia="es-E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 w:eastAsia="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val="en" w:eastAsia="es-ES"/>
    </w:rPr>
  </w:style>
  <w:style w:type="paragraph" w:styleId="Subtitle">
    <w:name w:val="Subtitle"/>
    <w:basedOn w:val="Normal"/>
    <w:next w:val="Normal"/>
    <w:link w:val="SubtitleChar"/>
    <w:pPr>
      <w:keepNext/>
      <w:keepLines/>
      <w:spacing w:after="320"/>
    </w:pPr>
    <w:rPr>
      <w:color w:val="666666"/>
      <w:sz w:val="30"/>
      <w:szCs w:val="30"/>
    </w:rPr>
  </w:style>
  <w:style w:type="character" w:customStyle="1" w:styleId="SubtitleChar">
    <w:name w:val="Subtitle Char"/>
    <w:basedOn w:val="DefaultParagraphFont"/>
    <w:link w:val="Subtitle"/>
    <w:rPr>
      <w:rFonts w:ascii="Arial" w:eastAsia="Arial" w:hAnsi="Arial" w:cs="Arial"/>
      <w:color w:val="666666"/>
      <w:sz w:val="30"/>
      <w:szCs w:val="30"/>
      <w:lang w:val="en" w:eastAsia="es-ES"/>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Arial" w:hAnsi="Tahoma" w:cs="Tahoma"/>
      <w:sz w:val="16"/>
      <w:szCs w:val="16"/>
      <w:lang w:val="en"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ir.7000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2571</Words>
  <Characters>19387</Characters>
  <Application>Microsoft Office Word</Application>
  <DocSecurity>0</DocSecurity>
  <Lines>403</Lines>
  <Paragraphs>211</Paragraphs>
  <ScaleCrop>false</ScaleCrop>
  <Company/>
  <LinksUpToDate>false</LinksUpToDate>
  <CharactersWithSpaces>21747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ESTRELLA FERNANDEZ ALBA</dc:creator>
  <cp:keywords/>
  <dc:description/>
  <cp:lastModifiedBy>E749536</cp:lastModifiedBy>
  <cp:revision>8</cp:revision>
  <dcterms:created xsi:type="dcterms:W3CDTF">2026-01-17T01:18:00Z</dcterms:created>
  <dcterms:modified xsi:type="dcterms:W3CDTF">2026-01-30T00:27:00Z</dcterms:modified>
</cp:coreProperties>
</file>