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EE8AA" w14:textId="4E36CE31" w:rsidR="006017CA" w:rsidRDefault="006017CA" w:rsidP="006017CA">
      <w:pPr>
        <w:spacing w:line="240" w:lineRule="auto"/>
        <w:jc w:val="left"/>
        <w:rPr>
          <w:rFonts w:ascii="Times New Roman" w:hAnsi="Times New Roman"/>
          <w:b/>
          <w:sz w:val="28"/>
          <w:szCs w:val="28"/>
        </w:rPr>
      </w:pPr>
      <w:r>
        <w:rPr>
          <w:rFonts w:ascii="Times New Roman" w:hAnsi="Times New Roman"/>
          <w:b/>
          <w:sz w:val="28"/>
          <w:szCs w:val="28"/>
        </w:rPr>
        <w:t>Supplementary materials</w:t>
      </w:r>
    </w:p>
    <w:p w14:paraId="27911547" w14:textId="77777777" w:rsidR="006017CA" w:rsidRPr="004C3CBA" w:rsidRDefault="006017CA" w:rsidP="006017CA">
      <w:pPr>
        <w:spacing w:line="240" w:lineRule="auto"/>
        <w:jc w:val="left"/>
        <w:rPr>
          <w:rFonts w:ascii="Times New Roman" w:hAnsi="Times New Roman"/>
          <w:b/>
          <w:noProof w:val="0"/>
          <w:sz w:val="28"/>
          <w:szCs w:val="28"/>
          <w:lang w:eastAsia="de-DE"/>
        </w:rPr>
      </w:pPr>
    </w:p>
    <w:p w14:paraId="15A07F0D" w14:textId="03EA18B7" w:rsidR="006017CA" w:rsidRDefault="006017CA" w:rsidP="006017CA">
      <w:pPr>
        <w:pStyle w:val="MDPI22heading2"/>
        <w:numPr>
          <w:ilvl w:val="0"/>
          <w:numId w:val="0"/>
        </w:numPr>
        <w:ind w:left="360" w:hanging="360"/>
      </w:pPr>
      <w:r>
        <w:t>A: Walking detection using two IMUs</w:t>
      </w:r>
    </w:p>
    <w:p w14:paraId="4936DF87" w14:textId="2424E1B0" w:rsidR="006017CA" w:rsidRDefault="006017CA" w:rsidP="006017CA">
      <w:pPr>
        <w:pStyle w:val="MDPI31text"/>
      </w:pPr>
      <w:r>
        <w:t>This appendix shows an illustrative example of the preprocessing steps when two sensors are used (left and right foot) (</w:t>
      </w:r>
      <w:r w:rsidRPr="00F2609E">
        <w:rPr>
          <w:b/>
        </w:rPr>
        <w:t xml:space="preserve">Fig. </w:t>
      </w:r>
      <w:r w:rsidR="008E7C32">
        <w:rPr>
          <w:b/>
        </w:rPr>
        <w:t>1</w:t>
      </w:r>
      <w:r>
        <w:t xml:space="preserve">). In addition, the performances obtained when two IMUs are used are provided in the </w:t>
      </w:r>
      <w:r w:rsidRPr="0016046A">
        <w:rPr>
          <w:b/>
        </w:rPr>
        <w:t xml:space="preserve">Table </w:t>
      </w:r>
      <w:r w:rsidR="008E7C32">
        <w:rPr>
          <w:b/>
        </w:rPr>
        <w:t>1</w:t>
      </w:r>
      <w:r>
        <w:t xml:space="preserve"> below.  </w:t>
      </w:r>
    </w:p>
    <w:p w14:paraId="7DE57B7A" w14:textId="77777777" w:rsidR="008E7C32" w:rsidRDefault="008E7C32" w:rsidP="006017CA">
      <w:pPr>
        <w:pStyle w:val="MDPI31text"/>
      </w:pPr>
    </w:p>
    <w:p w14:paraId="45CEE018" w14:textId="2C77D076" w:rsidR="008E7C32" w:rsidRDefault="008E7C32" w:rsidP="006017CA">
      <w:pPr>
        <w:pStyle w:val="MDPI31text"/>
      </w:pPr>
    </w:p>
    <w:p w14:paraId="0A59DD37" w14:textId="486A6D17" w:rsidR="008E7C32" w:rsidRDefault="008A0413" w:rsidP="008E7C32">
      <w:pPr>
        <w:pStyle w:val="MDPI31text"/>
        <w:ind w:firstLine="0"/>
        <w:jc w:val="center"/>
        <w:rPr>
          <w:b/>
        </w:rPr>
      </w:pPr>
      <w:r>
        <w:rPr>
          <w:b/>
          <w:noProof/>
        </w:rPr>
        <w:drawing>
          <wp:inline distT="0" distB="0" distL="0" distR="0" wp14:anchorId="6B80D043" wp14:editId="35E7DC5B">
            <wp:extent cx="4640400" cy="2844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0400" cy="2844000"/>
                    </a:xfrm>
                    <a:prstGeom prst="rect">
                      <a:avLst/>
                    </a:prstGeom>
                    <a:noFill/>
                    <a:ln>
                      <a:noFill/>
                    </a:ln>
                  </pic:spPr>
                </pic:pic>
              </a:graphicData>
            </a:graphic>
          </wp:inline>
        </w:drawing>
      </w:r>
    </w:p>
    <w:p w14:paraId="0B850D3F" w14:textId="5B796162" w:rsidR="008E7C32" w:rsidRDefault="008E7C32" w:rsidP="000A5EFB">
      <w:pPr>
        <w:pStyle w:val="MDPI51figurecaption"/>
        <w:ind w:left="0"/>
      </w:pPr>
      <w:r w:rsidRPr="00976020">
        <w:rPr>
          <w:b/>
        </w:rPr>
        <w:t xml:space="preserve">Fig. </w:t>
      </w:r>
      <w:r>
        <w:rPr>
          <w:b/>
        </w:rPr>
        <w:t>1</w:t>
      </w:r>
      <w:r w:rsidRPr="00976020">
        <w:rPr>
          <w:b/>
        </w:rPr>
        <w:t>.</w:t>
      </w:r>
      <w:r w:rsidRPr="00341DB0">
        <w:t xml:space="preserve">  Gyroscope signals recorded on two feet during few gait cycles of a subject from the </w:t>
      </w:r>
      <w:proofErr w:type="spellStart"/>
      <w:r w:rsidRPr="00341DB0">
        <w:rPr>
          <w:i/>
        </w:rPr>
        <w:t>Mobilise</w:t>
      </w:r>
      <w:proofErr w:type="spellEnd"/>
      <w:r w:rsidRPr="00341DB0">
        <w:rPr>
          <w:i/>
        </w:rPr>
        <w:t>-D</w:t>
      </w:r>
      <w:r w:rsidRPr="00341DB0">
        <w:t xml:space="preserve"> database. The top panel shows the raw angular velocity signals around the three axes. The middle panel shows the raw angular velocity norm (</w:t>
      </w:r>
      <w:proofErr w:type="spellStart"/>
      <w:r w:rsidRPr="00341DB0">
        <w:rPr>
          <w:i/>
        </w:rPr>
        <w:t>ωN</w:t>
      </w:r>
      <w:proofErr w:type="spellEnd"/>
      <w:r w:rsidRPr="00341DB0">
        <w:rPr>
          <w:i/>
        </w:rPr>
        <w:t xml:space="preserve"> left and right</w:t>
      </w:r>
      <w:r w:rsidRPr="00341DB0">
        <w:t>, dark red and blue), after detrending and LPF (</w:t>
      </w:r>
      <w:proofErr w:type="spellStart"/>
      <w:r w:rsidRPr="00341DB0">
        <w:rPr>
          <w:i/>
        </w:rPr>
        <w:t>ωN</w:t>
      </w:r>
      <w:proofErr w:type="spellEnd"/>
      <w:r w:rsidRPr="00341DB0">
        <w:rPr>
          <w:i/>
        </w:rPr>
        <w:t>-LPF left and right</w:t>
      </w:r>
      <w:r w:rsidRPr="00341DB0">
        <w:t>, light red and blue), and after continuous wavelet transform (</w:t>
      </w:r>
      <w:proofErr w:type="spellStart"/>
      <w:r w:rsidRPr="00341DB0">
        <w:rPr>
          <w:i/>
        </w:rPr>
        <w:t>ωN</w:t>
      </w:r>
      <w:proofErr w:type="spellEnd"/>
      <w:r w:rsidRPr="00341DB0">
        <w:rPr>
          <w:i/>
        </w:rPr>
        <w:t>-LPF-CWT left and right</w:t>
      </w:r>
      <w:r w:rsidRPr="00341DB0">
        <w:t>, dashed red and blue lines). The bottom panel shows the pitch angular velocity signals recorded at the two feet. The strides are identified as maxima corresponding to mid-swing events (red and blue circles for left and right respectively).</w:t>
      </w:r>
    </w:p>
    <w:p w14:paraId="2E97BA0C" w14:textId="4BC3606A" w:rsidR="000A5EFB" w:rsidRDefault="000A5EFB" w:rsidP="000A5EFB">
      <w:pPr>
        <w:pStyle w:val="MDPI41tablecaption"/>
        <w:ind w:left="0"/>
      </w:pPr>
      <w:r w:rsidRPr="005342A6">
        <w:rPr>
          <w:b/>
        </w:rPr>
        <w:t xml:space="preserve">Table </w:t>
      </w:r>
      <w:r>
        <w:rPr>
          <w:b/>
        </w:rPr>
        <w:t>1</w:t>
      </w:r>
      <w:r w:rsidRPr="005342A6">
        <w:rPr>
          <w:b/>
        </w:rPr>
        <w:t>.</w:t>
      </w:r>
      <w:r w:rsidRPr="00341DB0">
        <w:t xml:space="preserve"> The results of the walking detection algorithms based on </w:t>
      </w:r>
      <w:r w:rsidR="007A0E68">
        <w:t>two</w:t>
      </w:r>
      <w:r w:rsidRPr="00341DB0">
        <w:t xml:space="preserve"> IMU (</w:t>
      </w:r>
      <w:proofErr w:type="spellStart"/>
      <w:r w:rsidRPr="00341DB0">
        <w:t>gyr</w:t>
      </w:r>
      <w:proofErr w:type="spellEnd"/>
      <w:r w:rsidRPr="00341DB0">
        <w:t xml:space="preserve">: gyroscope; and acc: accelerometer) for the three different thresholding methods. The </w:t>
      </w:r>
      <m:oMath>
        <m:sSup>
          <m:sSupPr>
            <m:ctrlPr>
              <w:rPr>
                <w:rFonts w:ascii="Cambria Math" w:hAnsi="Cambria Math"/>
              </w:rPr>
            </m:ctrlPr>
          </m:sSupPr>
          <m:e>
            <m:r>
              <m:rPr>
                <m:sty m:val="p"/>
              </m:rPr>
              <w:rPr>
                <w:rFonts w:ascii="Cambria Math" w:hAnsi="Cambria Math"/>
              </w:rPr>
              <m:t>10</m:t>
            </m:r>
          </m:e>
          <m:sup>
            <m:r>
              <w:rPr>
                <w:rFonts w:ascii="Cambria Math" w:hAnsi="Cambria Math"/>
              </w:rPr>
              <m:t>th</m:t>
            </m:r>
          </m:sup>
        </m:sSup>
      </m:oMath>
      <w:r w:rsidRPr="00341DB0">
        <w:t xml:space="preserve"> percentile is used for the adaptive method, and the </w:t>
      </w:r>
      <m:oMath>
        <m:sSup>
          <m:sSupPr>
            <m:ctrlPr>
              <w:rPr>
                <w:rFonts w:ascii="Cambria Math" w:hAnsi="Cambria Math"/>
              </w:rPr>
            </m:ctrlPr>
          </m:sSupPr>
          <m:e>
            <m:r>
              <m:rPr>
                <m:sty m:val="p"/>
              </m:rPr>
              <w:rPr>
                <w:rFonts w:ascii="Cambria Math" w:hAnsi="Cambria Math"/>
              </w:rPr>
              <m:t>1</m:t>
            </m:r>
          </m:e>
          <m:sup>
            <m:r>
              <w:rPr>
                <w:rFonts w:ascii="Cambria Math" w:hAnsi="Cambria Math"/>
              </w:rPr>
              <m:t>th</m:t>
            </m:r>
          </m:sup>
        </m:sSup>
      </m:oMath>
      <w:r w:rsidRPr="00341DB0">
        <w:t xml:space="preserve"> percentile for the Hilbert approach.</w:t>
      </w:r>
    </w:p>
    <w:tbl>
      <w:tblPr>
        <w:tblW w:w="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1"/>
        <w:gridCol w:w="877"/>
        <w:gridCol w:w="940"/>
        <w:gridCol w:w="940"/>
        <w:gridCol w:w="940"/>
        <w:gridCol w:w="940"/>
      </w:tblGrid>
      <w:tr w:rsidR="000A5EFB" w:rsidRPr="00083018" w14:paraId="18EC3B80" w14:textId="77777777" w:rsidTr="00CF43C4">
        <w:trPr>
          <w:trHeight w:val="54"/>
          <w:jc w:val="center"/>
        </w:trPr>
        <w:tc>
          <w:tcPr>
            <w:tcW w:w="1288" w:type="dxa"/>
            <w:gridSpan w:val="2"/>
            <w:tcBorders>
              <w:top w:val="nil"/>
              <w:left w:val="nil"/>
              <w:bottom w:val="single" w:sz="4" w:space="0" w:color="auto"/>
              <w:right w:val="nil"/>
            </w:tcBorders>
          </w:tcPr>
          <w:p w14:paraId="0DC92B64" w14:textId="77777777" w:rsidR="000A5EFB" w:rsidRPr="006529CE" w:rsidRDefault="000A5EFB" w:rsidP="00976295">
            <w:pPr>
              <w:pStyle w:val="MDPI42tablebody"/>
              <w:spacing w:line="240" w:lineRule="auto"/>
              <w:rPr>
                <w:rFonts w:ascii="Times New Roman" w:hAnsi="Times New Roman"/>
                <w:b/>
                <w:snapToGrid/>
                <w:highlight w:val="yellow"/>
              </w:rPr>
            </w:pPr>
          </w:p>
        </w:tc>
        <w:tc>
          <w:tcPr>
            <w:tcW w:w="940" w:type="dxa"/>
            <w:tcBorders>
              <w:left w:val="nil"/>
              <w:bottom w:val="single" w:sz="4" w:space="0" w:color="auto"/>
            </w:tcBorders>
            <w:shd w:val="clear" w:color="auto" w:fill="auto"/>
            <w:vAlign w:val="center"/>
          </w:tcPr>
          <w:p w14:paraId="79924450" w14:textId="77777777" w:rsidR="000A5EFB" w:rsidRPr="006529CE" w:rsidRDefault="000A5EFB" w:rsidP="00976295">
            <w:pPr>
              <w:pStyle w:val="MDPI42tablebody"/>
              <w:spacing w:line="240" w:lineRule="auto"/>
              <w:rPr>
                <w:rFonts w:ascii="Times New Roman" w:hAnsi="Times New Roman"/>
                <w:b/>
                <w:snapToGrid/>
                <w:highlight w:val="yellow"/>
              </w:rPr>
            </w:pPr>
            <w:r w:rsidRPr="006529CE">
              <w:rPr>
                <w:rFonts w:ascii="Times New Roman" w:hAnsi="Times New Roman"/>
                <w:b/>
                <w:snapToGrid/>
                <w:highlight w:val="yellow"/>
              </w:rPr>
              <w:t>Acc (%)</w:t>
            </w:r>
          </w:p>
          <w:p w14:paraId="7B53989C" w14:textId="77777777" w:rsidR="000A5EFB" w:rsidRPr="006529CE" w:rsidRDefault="000A5EFB" w:rsidP="00976295">
            <w:pPr>
              <w:pStyle w:val="MDPI42tablebody"/>
              <w:spacing w:line="240" w:lineRule="auto"/>
              <w:rPr>
                <w:rFonts w:ascii="Times New Roman" w:hAnsi="Times New Roman"/>
                <w:snapToGrid/>
                <w:highlight w:val="yellow"/>
              </w:rPr>
            </w:pPr>
            <w:r w:rsidRPr="006529CE">
              <w:rPr>
                <w:rFonts w:ascii="Times New Roman" w:hAnsi="Times New Roman"/>
                <w:snapToGrid/>
                <w:highlight w:val="yellow"/>
              </w:rPr>
              <w:t>mean (std)</w:t>
            </w:r>
          </w:p>
        </w:tc>
        <w:tc>
          <w:tcPr>
            <w:tcW w:w="940" w:type="dxa"/>
            <w:tcBorders>
              <w:bottom w:val="single" w:sz="4" w:space="0" w:color="auto"/>
            </w:tcBorders>
            <w:shd w:val="clear" w:color="auto" w:fill="auto"/>
            <w:vAlign w:val="center"/>
          </w:tcPr>
          <w:p w14:paraId="51129A13" w14:textId="77777777" w:rsidR="000A5EFB" w:rsidRPr="006529CE" w:rsidRDefault="000A5EFB" w:rsidP="00976295">
            <w:pPr>
              <w:pStyle w:val="MDPI42tablebody"/>
              <w:spacing w:line="240" w:lineRule="auto"/>
              <w:rPr>
                <w:rFonts w:ascii="Times New Roman" w:hAnsi="Times New Roman"/>
                <w:b/>
                <w:snapToGrid/>
                <w:highlight w:val="yellow"/>
              </w:rPr>
            </w:pPr>
            <w:proofErr w:type="spellStart"/>
            <w:r w:rsidRPr="006529CE">
              <w:rPr>
                <w:rFonts w:ascii="Times New Roman" w:hAnsi="Times New Roman"/>
                <w:b/>
                <w:snapToGrid/>
                <w:highlight w:val="yellow"/>
              </w:rPr>
              <w:t>Prec</w:t>
            </w:r>
            <w:proofErr w:type="spellEnd"/>
            <w:r w:rsidRPr="006529CE">
              <w:rPr>
                <w:rFonts w:ascii="Times New Roman" w:hAnsi="Times New Roman"/>
                <w:b/>
                <w:snapToGrid/>
                <w:highlight w:val="yellow"/>
              </w:rPr>
              <w:t xml:space="preserve"> (%)</w:t>
            </w:r>
          </w:p>
          <w:p w14:paraId="51AD990D" w14:textId="77777777" w:rsidR="000A5EFB" w:rsidRPr="006529CE" w:rsidRDefault="000A5EFB" w:rsidP="00976295">
            <w:pPr>
              <w:pStyle w:val="MDPI42tablebody"/>
              <w:spacing w:line="240" w:lineRule="auto"/>
              <w:rPr>
                <w:rFonts w:ascii="Times New Roman" w:hAnsi="Times New Roman"/>
                <w:b/>
                <w:snapToGrid/>
                <w:highlight w:val="yellow"/>
              </w:rPr>
            </w:pPr>
            <w:r w:rsidRPr="006529CE">
              <w:rPr>
                <w:rFonts w:ascii="Times New Roman" w:hAnsi="Times New Roman"/>
                <w:snapToGrid/>
                <w:highlight w:val="yellow"/>
              </w:rPr>
              <w:t>mean (std)</w:t>
            </w:r>
          </w:p>
        </w:tc>
        <w:tc>
          <w:tcPr>
            <w:tcW w:w="940" w:type="dxa"/>
            <w:tcBorders>
              <w:bottom w:val="single" w:sz="4" w:space="0" w:color="auto"/>
            </w:tcBorders>
          </w:tcPr>
          <w:p w14:paraId="0BD572E0" w14:textId="77777777" w:rsidR="000A5EFB" w:rsidRPr="006529CE" w:rsidRDefault="000A5EFB" w:rsidP="00976295">
            <w:pPr>
              <w:pStyle w:val="MDPI42tablebody"/>
              <w:spacing w:line="240" w:lineRule="auto"/>
              <w:rPr>
                <w:rFonts w:ascii="Times New Roman" w:hAnsi="Times New Roman"/>
                <w:b/>
                <w:snapToGrid/>
                <w:highlight w:val="yellow"/>
              </w:rPr>
            </w:pPr>
            <w:r w:rsidRPr="006529CE">
              <w:rPr>
                <w:rFonts w:ascii="Times New Roman" w:hAnsi="Times New Roman"/>
                <w:b/>
                <w:snapToGrid/>
                <w:highlight w:val="yellow"/>
              </w:rPr>
              <w:t>Sen (%)</w:t>
            </w:r>
          </w:p>
          <w:p w14:paraId="16A4A51D" w14:textId="77777777" w:rsidR="000A5EFB" w:rsidRPr="006529CE" w:rsidRDefault="000A5EFB" w:rsidP="00976295">
            <w:pPr>
              <w:pStyle w:val="MDPI42tablebody"/>
              <w:spacing w:line="240" w:lineRule="auto"/>
              <w:rPr>
                <w:rFonts w:ascii="Times New Roman" w:hAnsi="Times New Roman"/>
                <w:b/>
                <w:snapToGrid/>
                <w:highlight w:val="yellow"/>
              </w:rPr>
            </w:pPr>
            <w:r w:rsidRPr="006529CE">
              <w:rPr>
                <w:rFonts w:ascii="Times New Roman" w:hAnsi="Times New Roman"/>
                <w:snapToGrid/>
                <w:highlight w:val="yellow"/>
              </w:rPr>
              <w:t>mean (std)</w:t>
            </w:r>
          </w:p>
        </w:tc>
        <w:tc>
          <w:tcPr>
            <w:tcW w:w="940" w:type="dxa"/>
            <w:tcBorders>
              <w:bottom w:val="single" w:sz="4" w:space="0" w:color="auto"/>
              <w:right w:val="nil"/>
            </w:tcBorders>
          </w:tcPr>
          <w:p w14:paraId="455F03AE" w14:textId="77777777" w:rsidR="000A5EFB" w:rsidRPr="006529CE" w:rsidRDefault="000A5EFB" w:rsidP="00976295">
            <w:pPr>
              <w:pStyle w:val="MDPI42tablebody"/>
              <w:spacing w:line="240" w:lineRule="auto"/>
              <w:rPr>
                <w:rFonts w:ascii="Times New Roman" w:hAnsi="Times New Roman"/>
                <w:b/>
                <w:snapToGrid/>
                <w:highlight w:val="yellow"/>
              </w:rPr>
            </w:pPr>
            <w:proofErr w:type="spellStart"/>
            <w:r w:rsidRPr="006529CE">
              <w:rPr>
                <w:rFonts w:ascii="Times New Roman" w:hAnsi="Times New Roman"/>
                <w:b/>
                <w:snapToGrid/>
                <w:highlight w:val="yellow"/>
              </w:rPr>
              <w:t>Spe</w:t>
            </w:r>
            <w:proofErr w:type="spellEnd"/>
            <w:r w:rsidRPr="006529CE">
              <w:rPr>
                <w:rFonts w:ascii="Times New Roman" w:hAnsi="Times New Roman"/>
                <w:b/>
                <w:snapToGrid/>
                <w:highlight w:val="yellow"/>
              </w:rPr>
              <w:t xml:space="preserve"> (%)</w:t>
            </w:r>
          </w:p>
          <w:p w14:paraId="691D0240" w14:textId="77777777" w:rsidR="000A5EFB" w:rsidRPr="006529CE" w:rsidRDefault="000A5EFB" w:rsidP="00976295">
            <w:pPr>
              <w:pStyle w:val="MDPI42tablebody"/>
              <w:spacing w:line="240" w:lineRule="auto"/>
              <w:rPr>
                <w:rFonts w:ascii="Times New Roman" w:hAnsi="Times New Roman"/>
                <w:b/>
                <w:snapToGrid/>
                <w:highlight w:val="yellow"/>
              </w:rPr>
            </w:pPr>
            <w:r w:rsidRPr="006529CE">
              <w:rPr>
                <w:rFonts w:ascii="Times New Roman" w:hAnsi="Times New Roman"/>
                <w:snapToGrid/>
                <w:highlight w:val="yellow"/>
              </w:rPr>
              <w:t>mean (std)</w:t>
            </w:r>
          </w:p>
        </w:tc>
      </w:tr>
      <w:tr w:rsidR="000A5EFB" w:rsidRPr="00083018" w14:paraId="3784BD74" w14:textId="77777777" w:rsidTr="00CF43C4">
        <w:trPr>
          <w:trHeight w:val="54"/>
          <w:jc w:val="center"/>
        </w:trPr>
        <w:tc>
          <w:tcPr>
            <w:tcW w:w="411" w:type="dxa"/>
            <w:vMerge w:val="restart"/>
            <w:tcBorders>
              <w:top w:val="single" w:sz="4" w:space="0" w:color="auto"/>
              <w:left w:val="nil"/>
              <w:bottom w:val="single" w:sz="4" w:space="0" w:color="auto"/>
              <w:right w:val="single" w:sz="4" w:space="0" w:color="auto"/>
            </w:tcBorders>
            <w:vAlign w:val="center"/>
          </w:tcPr>
          <w:p w14:paraId="39B366B5" w14:textId="77777777" w:rsidR="000A5EFB" w:rsidRPr="00083018" w:rsidRDefault="000A5EFB" w:rsidP="00976295">
            <w:pPr>
              <w:pStyle w:val="MDPI42tablebody"/>
              <w:spacing w:line="240" w:lineRule="auto"/>
              <w:rPr>
                <w:rFonts w:ascii="Times New Roman" w:hAnsi="Times New Roman"/>
              </w:rPr>
            </w:pPr>
            <w:proofErr w:type="spellStart"/>
            <w:r w:rsidRPr="00083018">
              <w:rPr>
                <w:rFonts w:ascii="Times New Roman" w:hAnsi="Times New Roman"/>
                <w:b/>
                <w:snapToGrid/>
              </w:rPr>
              <w:t>Gyr</w:t>
            </w:r>
            <w:proofErr w:type="spellEnd"/>
          </w:p>
        </w:tc>
        <w:tc>
          <w:tcPr>
            <w:tcW w:w="877" w:type="dxa"/>
            <w:tcBorders>
              <w:top w:val="single" w:sz="4" w:space="0" w:color="auto"/>
              <w:left w:val="single" w:sz="4" w:space="0" w:color="auto"/>
              <w:bottom w:val="nil"/>
              <w:right w:val="nil"/>
            </w:tcBorders>
            <w:shd w:val="clear" w:color="auto" w:fill="auto"/>
            <w:vAlign w:val="center"/>
          </w:tcPr>
          <w:p w14:paraId="3277F2FD" w14:textId="77777777" w:rsidR="000A5EFB" w:rsidRPr="006529CE" w:rsidRDefault="002D641D" w:rsidP="00976295">
            <w:pPr>
              <w:pStyle w:val="MDPI42tablebody"/>
              <w:spacing w:line="240" w:lineRule="auto"/>
              <w:rPr>
                <w:rFonts w:ascii="Times New Roman" w:hAnsi="Times New Roman"/>
                <w:highlight w:val="yellow"/>
              </w:rPr>
            </w:pPr>
            <m:oMathPara>
              <m:oMath>
                <m:sSub>
                  <m:sSubPr>
                    <m:ctrlPr>
                      <w:rPr>
                        <w:rFonts w:ascii="Cambria Math" w:hAnsi="Cambria Math"/>
                        <w:highlight w:val="yellow"/>
                      </w:rPr>
                    </m:ctrlPr>
                  </m:sSubPr>
                  <m:e>
                    <m:r>
                      <w:rPr>
                        <w:rFonts w:ascii="Cambria Math" w:hAnsi="Cambria Math"/>
                        <w:highlight w:val="yellow"/>
                      </w:rPr>
                      <m:t>TH</m:t>
                    </m:r>
                  </m:e>
                  <m:sub>
                    <m:r>
                      <w:rPr>
                        <w:rFonts w:ascii="Cambria Math" w:hAnsi="Cambria Math"/>
                        <w:highlight w:val="yellow"/>
                      </w:rPr>
                      <m:t>fixed</m:t>
                    </m:r>
                  </m:sub>
                </m:sSub>
              </m:oMath>
            </m:oMathPara>
          </w:p>
        </w:tc>
        <w:tc>
          <w:tcPr>
            <w:tcW w:w="940" w:type="dxa"/>
            <w:tcBorders>
              <w:top w:val="single" w:sz="4" w:space="0" w:color="auto"/>
              <w:left w:val="nil"/>
              <w:bottom w:val="nil"/>
              <w:right w:val="nil"/>
            </w:tcBorders>
            <w:shd w:val="clear" w:color="auto" w:fill="auto"/>
            <w:vAlign w:val="center"/>
          </w:tcPr>
          <w:p w14:paraId="3EB1A775" w14:textId="148CE838"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8B23E8" w:rsidRPr="006529CE">
              <w:rPr>
                <w:rFonts w:ascii="Times New Roman" w:hAnsi="Times New Roman"/>
                <w:highlight w:val="yellow"/>
              </w:rPr>
              <w:t>3</w:t>
            </w:r>
            <w:r w:rsidRPr="006529CE">
              <w:rPr>
                <w:rFonts w:ascii="Times New Roman" w:hAnsi="Times New Roman"/>
                <w:highlight w:val="yellow"/>
              </w:rPr>
              <w:t>.</w:t>
            </w:r>
            <w:r w:rsidR="008B23E8" w:rsidRPr="006529CE">
              <w:rPr>
                <w:rFonts w:ascii="Times New Roman" w:hAnsi="Times New Roman"/>
                <w:highlight w:val="yellow"/>
              </w:rPr>
              <w:t>5</w:t>
            </w:r>
            <w:r w:rsidRPr="006529CE">
              <w:rPr>
                <w:rFonts w:ascii="Times New Roman" w:hAnsi="Times New Roman"/>
                <w:highlight w:val="yellow"/>
              </w:rPr>
              <w:t xml:space="preserve"> (2.</w:t>
            </w:r>
            <w:r w:rsidR="008B23E8" w:rsidRPr="006529CE">
              <w:rPr>
                <w:rFonts w:ascii="Times New Roman" w:hAnsi="Times New Roman"/>
                <w:highlight w:val="yellow"/>
              </w:rPr>
              <w:t>7</w:t>
            </w:r>
            <w:r w:rsidRPr="006529CE">
              <w:rPr>
                <w:rFonts w:ascii="Times New Roman" w:hAnsi="Times New Roman"/>
                <w:highlight w:val="yellow"/>
              </w:rPr>
              <w:t>)</w:t>
            </w:r>
          </w:p>
        </w:tc>
        <w:tc>
          <w:tcPr>
            <w:tcW w:w="940" w:type="dxa"/>
            <w:tcBorders>
              <w:top w:val="single" w:sz="4" w:space="0" w:color="auto"/>
              <w:left w:val="nil"/>
              <w:bottom w:val="nil"/>
              <w:right w:val="nil"/>
            </w:tcBorders>
            <w:shd w:val="clear" w:color="auto" w:fill="auto"/>
            <w:vAlign w:val="center"/>
          </w:tcPr>
          <w:p w14:paraId="4071FB49" w14:textId="5154DDA1" w:rsidR="000A5EFB" w:rsidRPr="006529CE" w:rsidRDefault="008B23E8" w:rsidP="00976295">
            <w:pPr>
              <w:pStyle w:val="MDPI42tablebody"/>
              <w:spacing w:line="240" w:lineRule="auto"/>
              <w:rPr>
                <w:rFonts w:ascii="Times New Roman" w:hAnsi="Times New Roman"/>
                <w:highlight w:val="yellow"/>
              </w:rPr>
            </w:pPr>
            <w:r w:rsidRPr="006529CE">
              <w:rPr>
                <w:rFonts w:ascii="Times New Roman" w:hAnsi="Times New Roman"/>
                <w:highlight w:val="yellow"/>
              </w:rPr>
              <w:t>77</w:t>
            </w:r>
            <w:r w:rsidR="000A5EFB" w:rsidRPr="006529CE">
              <w:rPr>
                <w:rFonts w:ascii="Times New Roman" w:hAnsi="Times New Roman"/>
                <w:highlight w:val="yellow"/>
              </w:rPr>
              <w:t>.</w:t>
            </w:r>
            <w:r w:rsidRPr="006529CE">
              <w:rPr>
                <w:rFonts w:ascii="Times New Roman" w:hAnsi="Times New Roman"/>
                <w:highlight w:val="yellow"/>
              </w:rPr>
              <w:t>3</w:t>
            </w:r>
            <w:r w:rsidR="000A5EFB" w:rsidRPr="006529CE">
              <w:rPr>
                <w:rFonts w:ascii="Times New Roman" w:hAnsi="Times New Roman"/>
                <w:highlight w:val="yellow"/>
              </w:rPr>
              <w:t xml:space="preserve"> (</w:t>
            </w:r>
            <w:r w:rsidRPr="006529CE">
              <w:rPr>
                <w:rFonts w:ascii="Times New Roman" w:hAnsi="Times New Roman"/>
                <w:highlight w:val="yellow"/>
              </w:rPr>
              <w:t>12</w:t>
            </w:r>
            <w:r w:rsidR="000A5EFB" w:rsidRPr="006529CE">
              <w:rPr>
                <w:rFonts w:ascii="Times New Roman" w:hAnsi="Times New Roman"/>
                <w:highlight w:val="yellow"/>
              </w:rPr>
              <w:t>.</w:t>
            </w:r>
            <w:r w:rsidRPr="006529CE">
              <w:rPr>
                <w:rFonts w:ascii="Times New Roman" w:hAnsi="Times New Roman"/>
                <w:highlight w:val="yellow"/>
              </w:rPr>
              <w:t>3</w:t>
            </w:r>
            <w:r w:rsidR="000A5EFB" w:rsidRPr="006529CE">
              <w:rPr>
                <w:rFonts w:ascii="Times New Roman" w:hAnsi="Times New Roman"/>
                <w:highlight w:val="yellow"/>
              </w:rPr>
              <w:t>)</w:t>
            </w:r>
          </w:p>
        </w:tc>
        <w:tc>
          <w:tcPr>
            <w:tcW w:w="940" w:type="dxa"/>
            <w:tcBorders>
              <w:top w:val="single" w:sz="4" w:space="0" w:color="auto"/>
              <w:left w:val="nil"/>
              <w:bottom w:val="nil"/>
              <w:right w:val="nil"/>
            </w:tcBorders>
            <w:vAlign w:val="center"/>
          </w:tcPr>
          <w:p w14:paraId="6FC1F9CE" w14:textId="32AA650F"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99.</w:t>
            </w:r>
            <w:r w:rsidR="008B23E8" w:rsidRPr="006529CE">
              <w:rPr>
                <w:rFonts w:ascii="Times New Roman" w:hAnsi="Times New Roman"/>
                <w:highlight w:val="yellow"/>
              </w:rPr>
              <w:t>0</w:t>
            </w:r>
            <w:r w:rsidRPr="006529CE">
              <w:rPr>
                <w:rFonts w:ascii="Times New Roman" w:hAnsi="Times New Roman"/>
                <w:highlight w:val="yellow"/>
              </w:rPr>
              <w:t xml:space="preserve"> (</w:t>
            </w:r>
            <w:r w:rsidR="008B23E8" w:rsidRPr="006529CE">
              <w:rPr>
                <w:rFonts w:ascii="Times New Roman" w:hAnsi="Times New Roman"/>
                <w:highlight w:val="yellow"/>
              </w:rPr>
              <w:t>1</w:t>
            </w:r>
            <w:r w:rsidRPr="006529CE">
              <w:rPr>
                <w:rFonts w:ascii="Times New Roman" w:hAnsi="Times New Roman"/>
                <w:highlight w:val="yellow"/>
              </w:rPr>
              <w:t>.</w:t>
            </w:r>
            <w:r w:rsidR="008B23E8" w:rsidRPr="006529CE">
              <w:rPr>
                <w:rFonts w:ascii="Times New Roman" w:hAnsi="Times New Roman"/>
                <w:highlight w:val="yellow"/>
              </w:rPr>
              <w:t>2</w:t>
            </w:r>
            <w:r w:rsidRPr="006529CE">
              <w:rPr>
                <w:rFonts w:ascii="Times New Roman" w:hAnsi="Times New Roman"/>
                <w:highlight w:val="yellow"/>
              </w:rPr>
              <w:t>)</w:t>
            </w:r>
          </w:p>
        </w:tc>
        <w:tc>
          <w:tcPr>
            <w:tcW w:w="940" w:type="dxa"/>
            <w:tcBorders>
              <w:top w:val="single" w:sz="4" w:space="0" w:color="auto"/>
              <w:left w:val="nil"/>
              <w:bottom w:val="nil"/>
              <w:right w:val="nil"/>
            </w:tcBorders>
            <w:vAlign w:val="center"/>
          </w:tcPr>
          <w:p w14:paraId="7F994F50" w14:textId="3423FED4"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89.</w:t>
            </w:r>
            <w:r w:rsidR="008B23E8" w:rsidRPr="006529CE">
              <w:rPr>
                <w:rFonts w:ascii="Times New Roman" w:hAnsi="Times New Roman"/>
                <w:highlight w:val="yellow"/>
              </w:rPr>
              <w:t>8</w:t>
            </w:r>
            <w:r w:rsidRPr="006529CE">
              <w:rPr>
                <w:rFonts w:ascii="Times New Roman" w:hAnsi="Times New Roman"/>
                <w:highlight w:val="yellow"/>
              </w:rPr>
              <w:t xml:space="preserve"> (</w:t>
            </w:r>
            <w:r w:rsidR="008B23E8" w:rsidRPr="006529CE">
              <w:rPr>
                <w:rFonts w:ascii="Times New Roman" w:hAnsi="Times New Roman"/>
                <w:highlight w:val="yellow"/>
              </w:rPr>
              <w:t>5</w:t>
            </w:r>
            <w:r w:rsidRPr="006529CE">
              <w:rPr>
                <w:rFonts w:ascii="Times New Roman" w:hAnsi="Times New Roman"/>
                <w:highlight w:val="yellow"/>
              </w:rPr>
              <w:t>.</w:t>
            </w:r>
            <w:r w:rsidR="008B23E8" w:rsidRPr="006529CE">
              <w:rPr>
                <w:rFonts w:ascii="Times New Roman" w:hAnsi="Times New Roman"/>
                <w:highlight w:val="yellow"/>
              </w:rPr>
              <w:t>9</w:t>
            </w:r>
            <w:r w:rsidRPr="006529CE">
              <w:rPr>
                <w:rFonts w:ascii="Times New Roman" w:hAnsi="Times New Roman"/>
                <w:highlight w:val="yellow"/>
              </w:rPr>
              <w:t>)</w:t>
            </w:r>
          </w:p>
        </w:tc>
      </w:tr>
      <w:tr w:rsidR="000A5EFB" w:rsidRPr="00083018" w14:paraId="0357D04B" w14:textId="77777777" w:rsidTr="00CF43C4">
        <w:trPr>
          <w:jc w:val="center"/>
        </w:trPr>
        <w:tc>
          <w:tcPr>
            <w:tcW w:w="411" w:type="dxa"/>
            <w:vMerge/>
            <w:tcBorders>
              <w:top w:val="nil"/>
              <w:left w:val="nil"/>
              <w:bottom w:val="single" w:sz="4" w:space="0" w:color="auto"/>
              <w:right w:val="single" w:sz="4" w:space="0" w:color="auto"/>
            </w:tcBorders>
          </w:tcPr>
          <w:p w14:paraId="7A64DBAF" w14:textId="77777777" w:rsidR="000A5EFB" w:rsidRPr="00083018" w:rsidRDefault="000A5EFB" w:rsidP="00976295">
            <w:pPr>
              <w:pStyle w:val="MDPI42tablebody"/>
              <w:spacing w:line="240" w:lineRule="auto"/>
              <w:rPr>
                <w:rFonts w:ascii="Times New Roman" w:hAnsi="Times New Roman"/>
              </w:rPr>
            </w:pPr>
          </w:p>
        </w:tc>
        <w:tc>
          <w:tcPr>
            <w:tcW w:w="877" w:type="dxa"/>
            <w:tcBorders>
              <w:top w:val="nil"/>
              <w:left w:val="single" w:sz="4" w:space="0" w:color="auto"/>
              <w:bottom w:val="nil"/>
              <w:right w:val="nil"/>
            </w:tcBorders>
            <w:shd w:val="clear" w:color="auto" w:fill="auto"/>
            <w:vAlign w:val="center"/>
          </w:tcPr>
          <w:p w14:paraId="0A4CD2E5" w14:textId="77777777" w:rsidR="000A5EFB" w:rsidRPr="006529CE" w:rsidRDefault="002D641D" w:rsidP="00976295">
            <w:pPr>
              <w:pStyle w:val="MDPI42tablebody"/>
              <w:spacing w:line="240" w:lineRule="auto"/>
              <w:rPr>
                <w:rFonts w:ascii="Times New Roman" w:hAnsi="Times New Roman"/>
                <w:highlight w:val="yellow"/>
              </w:rPr>
            </w:pPr>
            <m:oMathPara>
              <m:oMath>
                <m:sSub>
                  <m:sSubPr>
                    <m:ctrlPr>
                      <w:rPr>
                        <w:rFonts w:ascii="Cambria Math" w:hAnsi="Cambria Math"/>
                        <w:highlight w:val="yellow"/>
                      </w:rPr>
                    </m:ctrlPr>
                  </m:sSubPr>
                  <m:e>
                    <m:r>
                      <w:rPr>
                        <w:rFonts w:ascii="Cambria Math" w:hAnsi="Cambria Math"/>
                        <w:highlight w:val="yellow"/>
                      </w:rPr>
                      <m:t>TH</m:t>
                    </m:r>
                  </m:e>
                  <m:sub>
                    <m:r>
                      <w:rPr>
                        <w:rFonts w:ascii="Cambria Math" w:hAnsi="Cambria Math"/>
                        <w:highlight w:val="yellow"/>
                      </w:rPr>
                      <m:t>adapt</m:t>
                    </m:r>
                  </m:sub>
                </m:sSub>
              </m:oMath>
            </m:oMathPara>
          </w:p>
        </w:tc>
        <w:tc>
          <w:tcPr>
            <w:tcW w:w="940" w:type="dxa"/>
            <w:tcBorders>
              <w:top w:val="nil"/>
              <w:left w:val="nil"/>
              <w:bottom w:val="nil"/>
              <w:right w:val="nil"/>
            </w:tcBorders>
            <w:shd w:val="clear" w:color="auto" w:fill="auto"/>
            <w:vAlign w:val="center"/>
          </w:tcPr>
          <w:p w14:paraId="40435AA8" w14:textId="308902A0" w:rsidR="000A5EFB" w:rsidRPr="006529CE" w:rsidRDefault="008B23E8" w:rsidP="00976295">
            <w:pPr>
              <w:pStyle w:val="MDPI42tablebody"/>
              <w:spacing w:line="240" w:lineRule="auto"/>
              <w:rPr>
                <w:rFonts w:ascii="Times New Roman" w:hAnsi="Times New Roman"/>
                <w:highlight w:val="yellow"/>
              </w:rPr>
            </w:pPr>
            <w:r w:rsidRPr="006529CE">
              <w:rPr>
                <w:rFonts w:ascii="Times New Roman" w:hAnsi="Times New Roman"/>
                <w:highlight w:val="yellow"/>
              </w:rPr>
              <w:t>94</w:t>
            </w:r>
            <w:r w:rsidR="000A5EFB" w:rsidRPr="006529CE">
              <w:rPr>
                <w:rFonts w:ascii="Times New Roman" w:hAnsi="Times New Roman"/>
                <w:highlight w:val="yellow"/>
              </w:rPr>
              <w:t>.</w:t>
            </w:r>
            <w:r w:rsidRPr="006529CE">
              <w:rPr>
                <w:rFonts w:ascii="Times New Roman" w:hAnsi="Times New Roman"/>
                <w:highlight w:val="yellow"/>
              </w:rPr>
              <w:t>9</w:t>
            </w:r>
            <w:r w:rsidR="000A5EFB" w:rsidRPr="006529CE">
              <w:rPr>
                <w:rFonts w:ascii="Times New Roman" w:hAnsi="Times New Roman"/>
                <w:highlight w:val="yellow"/>
              </w:rPr>
              <w:t xml:space="preserve"> (</w:t>
            </w:r>
            <w:r w:rsidRPr="006529CE">
              <w:rPr>
                <w:rFonts w:ascii="Times New Roman" w:hAnsi="Times New Roman"/>
                <w:highlight w:val="yellow"/>
              </w:rPr>
              <w:t>2</w:t>
            </w:r>
            <w:r w:rsidR="000A5EFB" w:rsidRPr="006529CE">
              <w:rPr>
                <w:rFonts w:ascii="Times New Roman" w:hAnsi="Times New Roman"/>
                <w:highlight w:val="yellow"/>
              </w:rPr>
              <w:t>.</w:t>
            </w:r>
            <w:r w:rsidRPr="006529CE">
              <w:rPr>
                <w:rFonts w:ascii="Times New Roman" w:hAnsi="Times New Roman"/>
                <w:highlight w:val="yellow"/>
              </w:rPr>
              <w:t>1</w:t>
            </w:r>
            <w:r w:rsidR="000A5EFB" w:rsidRPr="006529CE">
              <w:rPr>
                <w:rFonts w:ascii="Times New Roman" w:hAnsi="Times New Roman"/>
                <w:highlight w:val="yellow"/>
              </w:rPr>
              <w:t>)</w:t>
            </w:r>
          </w:p>
        </w:tc>
        <w:tc>
          <w:tcPr>
            <w:tcW w:w="940" w:type="dxa"/>
            <w:tcBorders>
              <w:top w:val="nil"/>
              <w:left w:val="nil"/>
              <w:bottom w:val="nil"/>
              <w:right w:val="nil"/>
            </w:tcBorders>
            <w:shd w:val="clear" w:color="auto" w:fill="auto"/>
            <w:vAlign w:val="center"/>
          </w:tcPr>
          <w:p w14:paraId="72F9B319" w14:textId="4EDF1D6B" w:rsidR="000A5EFB" w:rsidRPr="006529CE" w:rsidRDefault="008B23E8" w:rsidP="00976295">
            <w:pPr>
              <w:pStyle w:val="MDPI42tablebody"/>
              <w:spacing w:line="240" w:lineRule="auto"/>
              <w:rPr>
                <w:rFonts w:ascii="Times New Roman" w:hAnsi="Times New Roman"/>
                <w:highlight w:val="yellow"/>
              </w:rPr>
            </w:pPr>
            <w:r w:rsidRPr="006529CE">
              <w:rPr>
                <w:rFonts w:ascii="Times New Roman" w:hAnsi="Times New Roman"/>
                <w:highlight w:val="yellow"/>
              </w:rPr>
              <w:t>83</w:t>
            </w:r>
            <w:r w:rsidR="000A5EFB" w:rsidRPr="006529CE">
              <w:rPr>
                <w:rFonts w:ascii="Times New Roman" w:hAnsi="Times New Roman"/>
                <w:highlight w:val="yellow"/>
              </w:rPr>
              <w:t>.</w:t>
            </w:r>
            <w:r w:rsidRPr="006529CE">
              <w:rPr>
                <w:rFonts w:ascii="Times New Roman" w:hAnsi="Times New Roman"/>
                <w:highlight w:val="yellow"/>
              </w:rPr>
              <w:t>1</w:t>
            </w:r>
            <w:r w:rsidR="000A5EFB" w:rsidRPr="006529CE">
              <w:rPr>
                <w:rFonts w:ascii="Times New Roman" w:hAnsi="Times New Roman"/>
                <w:highlight w:val="yellow"/>
              </w:rPr>
              <w:t xml:space="preserve"> (</w:t>
            </w:r>
            <w:r w:rsidRPr="006529CE">
              <w:rPr>
                <w:rFonts w:ascii="Times New Roman" w:hAnsi="Times New Roman"/>
                <w:highlight w:val="yellow"/>
              </w:rPr>
              <w:t>12</w:t>
            </w:r>
            <w:r w:rsidR="000A5EFB" w:rsidRPr="006529CE">
              <w:rPr>
                <w:rFonts w:ascii="Times New Roman" w:hAnsi="Times New Roman"/>
                <w:highlight w:val="yellow"/>
              </w:rPr>
              <w:t>.</w:t>
            </w:r>
            <w:r w:rsidRPr="006529CE">
              <w:rPr>
                <w:rFonts w:ascii="Times New Roman" w:hAnsi="Times New Roman"/>
                <w:highlight w:val="yellow"/>
              </w:rPr>
              <w:t>5</w:t>
            </w:r>
            <w:r w:rsidR="000A5EFB" w:rsidRPr="006529CE">
              <w:rPr>
                <w:rFonts w:ascii="Times New Roman" w:hAnsi="Times New Roman"/>
                <w:highlight w:val="yellow"/>
              </w:rPr>
              <w:t>)</w:t>
            </w:r>
          </w:p>
        </w:tc>
        <w:tc>
          <w:tcPr>
            <w:tcW w:w="940" w:type="dxa"/>
            <w:tcBorders>
              <w:top w:val="nil"/>
              <w:left w:val="nil"/>
              <w:bottom w:val="nil"/>
              <w:right w:val="nil"/>
            </w:tcBorders>
            <w:vAlign w:val="center"/>
          </w:tcPr>
          <w:p w14:paraId="7058BEA4" w14:textId="196399B6"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8B23E8" w:rsidRPr="006529CE">
              <w:rPr>
                <w:rFonts w:ascii="Times New Roman" w:hAnsi="Times New Roman"/>
                <w:highlight w:val="yellow"/>
              </w:rPr>
              <w:t>6</w:t>
            </w:r>
            <w:r w:rsidRPr="006529CE">
              <w:rPr>
                <w:rFonts w:ascii="Times New Roman" w:hAnsi="Times New Roman"/>
                <w:highlight w:val="yellow"/>
              </w:rPr>
              <w:t>.</w:t>
            </w:r>
            <w:r w:rsidR="008B23E8" w:rsidRPr="006529CE">
              <w:rPr>
                <w:rFonts w:ascii="Times New Roman" w:hAnsi="Times New Roman"/>
                <w:highlight w:val="yellow"/>
              </w:rPr>
              <w:t>5</w:t>
            </w:r>
            <w:r w:rsidRPr="006529CE">
              <w:rPr>
                <w:rFonts w:ascii="Times New Roman" w:hAnsi="Times New Roman"/>
                <w:highlight w:val="yellow"/>
              </w:rPr>
              <w:t xml:space="preserve"> (</w:t>
            </w:r>
            <w:r w:rsidR="008B23E8" w:rsidRPr="006529CE">
              <w:rPr>
                <w:rFonts w:ascii="Times New Roman" w:hAnsi="Times New Roman"/>
                <w:highlight w:val="yellow"/>
              </w:rPr>
              <w:t>2</w:t>
            </w:r>
            <w:r w:rsidRPr="006529CE">
              <w:rPr>
                <w:rFonts w:ascii="Times New Roman" w:hAnsi="Times New Roman"/>
                <w:highlight w:val="yellow"/>
              </w:rPr>
              <w:t>.2)</w:t>
            </w:r>
          </w:p>
        </w:tc>
        <w:tc>
          <w:tcPr>
            <w:tcW w:w="940" w:type="dxa"/>
            <w:tcBorders>
              <w:top w:val="nil"/>
              <w:left w:val="nil"/>
              <w:bottom w:val="nil"/>
              <w:right w:val="nil"/>
            </w:tcBorders>
            <w:vAlign w:val="center"/>
          </w:tcPr>
          <w:p w14:paraId="17967D76" w14:textId="18D1597A"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8B23E8" w:rsidRPr="006529CE">
              <w:rPr>
                <w:rFonts w:ascii="Times New Roman" w:hAnsi="Times New Roman"/>
                <w:highlight w:val="yellow"/>
              </w:rPr>
              <w:t>5</w:t>
            </w:r>
            <w:r w:rsidRPr="006529CE">
              <w:rPr>
                <w:rFonts w:ascii="Times New Roman" w:hAnsi="Times New Roman"/>
                <w:highlight w:val="yellow"/>
              </w:rPr>
              <w:t>.</w:t>
            </w:r>
            <w:r w:rsidR="008B23E8" w:rsidRPr="006529CE">
              <w:rPr>
                <w:rFonts w:ascii="Times New Roman" w:hAnsi="Times New Roman"/>
                <w:highlight w:val="yellow"/>
              </w:rPr>
              <w:t>0</w:t>
            </w:r>
            <w:r w:rsidRPr="006529CE">
              <w:rPr>
                <w:rFonts w:ascii="Times New Roman" w:hAnsi="Times New Roman"/>
                <w:highlight w:val="yellow"/>
              </w:rPr>
              <w:t xml:space="preserve"> (2.</w:t>
            </w:r>
            <w:r w:rsidR="008B23E8" w:rsidRPr="006529CE">
              <w:rPr>
                <w:rFonts w:ascii="Times New Roman" w:hAnsi="Times New Roman"/>
                <w:highlight w:val="yellow"/>
              </w:rPr>
              <w:t>8</w:t>
            </w:r>
            <w:r w:rsidRPr="006529CE">
              <w:rPr>
                <w:rFonts w:ascii="Times New Roman" w:hAnsi="Times New Roman"/>
                <w:highlight w:val="yellow"/>
              </w:rPr>
              <w:t>)</w:t>
            </w:r>
          </w:p>
        </w:tc>
      </w:tr>
      <w:tr w:rsidR="000A5EFB" w:rsidRPr="00083018" w14:paraId="55EE988C" w14:textId="77777777" w:rsidTr="00CF43C4">
        <w:trPr>
          <w:trHeight w:val="312"/>
          <w:jc w:val="center"/>
        </w:trPr>
        <w:tc>
          <w:tcPr>
            <w:tcW w:w="411" w:type="dxa"/>
            <w:vMerge/>
            <w:tcBorders>
              <w:top w:val="nil"/>
              <w:left w:val="nil"/>
              <w:bottom w:val="single" w:sz="4" w:space="0" w:color="auto"/>
              <w:right w:val="single" w:sz="4" w:space="0" w:color="auto"/>
            </w:tcBorders>
          </w:tcPr>
          <w:p w14:paraId="5ADE781B" w14:textId="77777777" w:rsidR="000A5EFB" w:rsidRPr="00083018" w:rsidRDefault="000A5EFB" w:rsidP="00976295">
            <w:pPr>
              <w:pStyle w:val="MDPI42tablebody"/>
              <w:spacing w:line="240" w:lineRule="auto"/>
              <w:rPr>
                <w:rFonts w:ascii="Times New Roman" w:hAnsi="Times New Roman"/>
              </w:rPr>
            </w:pPr>
          </w:p>
        </w:tc>
        <w:tc>
          <w:tcPr>
            <w:tcW w:w="877" w:type="dxa"/>
            <w:tcBorders>
              <w:top w:val="nil"/>
              <w:left w:val="single" w:sz="4" w:space="0" w:color="auto"/>
              <w:bottom w:val="single" w:sz="4" w:space="0" w:color="auto"/>
              <w:right w:val="nil"/>
            </w:tcBorders>
            <w:shd w:val="clear" w:color="auto" w:fill="auto"/>
            <w:vAlign w:val="center"/>
          </w:tcPr>
          <w:p w14:paraId="23B279C1" w14:textId="77777777" w:rsidR="000A5EFB" w:rsidRPr="006529CE" w:rsidRDefault="002D641D" w:rsidP="00976295">
            <w:pPr>
              <w:pStyle w:val="MDPI42tablebody"/>
              <w:spacing w:line="240" w:lineRule="auto"/>
              <w:rPr>
                <w:rFonts w:ascii="Times New Roman" w:hAnsi="Times New Roman"/>
                <w:highlight w:val="yellow"/>
              </w:rPr>
            </w:pPr>
            <m:oMathPara>
              <m:oMath>
                <m:sSub>
                  <m:sSubPr>
                    <m:ctrlPr>
                      <w:rPr>
                        <w:rFonts w:ascii="Cambria Math" w:hAnsi="Cambria Math"/>
                        <w:highlight w:val="yellow"/>
                      </w:rPr>
                    </m:ctrlPr>
                  </m:sSubPr>
                  <m:e>
                    <m:r>
                      <w:rPr>
                        <w:rFonts w:ascii="Cambria Math" w:hAnsi="Cambria Math"/>
                        <w:highlight w:val="yellow"/>
                      </w:rPr>
                      <m:t>TH</m:t>
                    </m:r>
                  </m:e>
                  <m:sub>
                    <m:r>
                      <w:rPr>
                        <w:rFonts w:ascii="Cambria Math" w:hAnsi="Cambria Math"/>
                        <w:highlight w:val="yellow"/>
                      </w:rPr>
                      <m:t>hilbert</m:t>
                    </m:r>
                  </m:sub>
                </m:sSub>
              </m:oMath>
            </m:oMathPara>
          </w:p>
        </w:tc>
        <w:tc>
          <w:tcPr>
            <w:tcW w:w="940" w:type="dxa"/>
            <w:tcBorders>
              <w:top w:val="nil"/>
              <w:left w:val="nil"/>
              <w:bottom w:val="single" w:sz="4" w:space="0" w:color="auto"/>
              <w:right w:val="nil"/>
            </w:tcBorders>
            <w:shd w:val="clear" w:color="auto" w:fill="auto"/>
            <w:vAlign w:val="center"/>
          </w:tcPr>
          <w:p w14:paraId="10F5A1B4" w14:textId="63B0F0A7"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687F84" w:rsidRPr="006529CE">
              <w:rPr>
                <w:rFonts w:ascii="Times New Roman" w:hAnsi="Times New Roman"/>
                <w:highlight w:val="yellow"/>
              </w:rPr>
              <w:t>4</w:t>
            </w:r>
            <w:r w:rsidRPr="006529CE">
              <w:rPr>
                <w:rFonts w:ascii="Times New Roman" w:hAnsi="Times New Roman"/>
                <w:highlight w:val="yellow"/>
              </w:rPr>
              <w:t>.</w:t>
            </w:r>
            <w:r w:rsidR="00687F84" w:rsidRPr="006529CE">
              <w:rPr>
                <w:rFonts w:ascii="Times New Roman" w:hAnsi="Times New Roman"/>
                <w:highlight w:val="yellow"/>
              </w:rPr>
              <w:t>9</w:t>
            </w:r>
            <w:r w:rsidRPr="006529CE">
              <w:rPr>
                <w:rFonts w:ascii="Times New Roman" w:hAnsi="Times New Roman"/>
                <w:highlight w:val="yellow"/>
              </w:rPr>
              <w:t xml:space="preserve"> (2.</w:t>
            </w:r>
            <w:r w:rsidR="00687F84" w:rsidRPr="006529CE">
              <w:rPr>
                <w:rFonts w:ascii="Times New Roman" w:hAnsi="Times New Roman"/>
                <w:highlight w:val="yellow"/>
              </w:rPr>
              <w:t>0</w:t>
            </w:r>
            <w:r w:rsidRPr="006529CE">
              <w:rPr>
                <w:rFonts w:ascii="Times New Roman" w:hAnsi="Times New Roman"/>
                <w:highlight w:val="yellow"/>
              </w:rPr>
              <w:t>)</w:t>
            </w:r>
          </w:p>
        </w:tc>
        <w:tc>
          <w:tcPr>
            <w:tcW w:w="940" w:type="dxa"/>
            <w:tcBorders>
              <w:top w:val="nil"/>
              <w:left w:val="nil"/>
              <w:bottom w:val="single" w:sz="4" w:space="0" w:color="auto"/>
              <w:right w:val="nil"/>
            </w:tcBorders>
            <w:shd w:val="clear" w:color="auto" w:fill="auto"/>
            <w:vAlign w:val="center"/>
          </w:tcPr>
          <w:p w14:paraId="3A493FE5" w14:textId="03AB00AE" w:rsidR="000A5EFB" w:rsidRPr="006529CE" w:rsidRDefault="00687F84" w:rsidP="00976295">
            <w:pPr>
              <w:pStyle w:val="MDPI42tablebody"/>
              <w:spacing w:line="240" w:lineRule="auto"/>
              <w:rPr>
                <w:rFonts w:ascii="Times New Roman" w:hAnsi="Times New Roman"/>
                <w:highlight w:val="yellow"/>
              </w:rPr>
            </w:pPr>
            <w:r w:rsidRPr="006529CE">
              <w:rPr>
                <w:rFonts w:ascii="Times New Roman" w:hAnsi="Times New Roman"/>
                <w:highlight w:val="yellow"/>
              </w:rPr>
              <w:t>83</w:t>
            </w:r>
            <w:r w:rsidR="000A5EFB" w:rsidRPr="006529CE">
              <w:rPr>
                <w:rFonts w:ascii="Times New Roman" w:hAnsi="Times New Roman"/>
                <w:highlight w:val="yellow"/>
              </w:rPr>
              <w:t>.</w:t>
            </w:r>
            <w:r w:rsidRPr="006529CE">
              <w:rPr>
                <w:rFonts w:ascii="Times New Roman" w:hAnsi="Times New Roman"/>
                <w:highlight w:val="yellow"/>
              </w:rPr>
              <w:t>6</w:t>
            </w:r>
            <w:r w:rsidR="000A5EFB" w:rsidRPr="006529CE">
              <w:rPr>
                <w:rFonts w:ascii="Times New Roman" w:hAnsi="Times New Roman"/>
                <w:highlight w:val="yellow"/>
              </w:rPr>
              <w:t xml:space="preserve"> (</w:t>
            </w:r>
            <w:r w:rsidRPr="006529CE">
              <w:rPr>
                <w:rFonts w:ascii="Times New Roman" w:hAnsi="Times New Roman"/>
                <w:highlight w:val="yellow"/>
              </w:rPr>
              <w:t>12</w:t>
            </w:r>
            <w:r w:rsidR="000A5EFB" w:rsidRPr="006529CE">
              <w:rPr>
                <w:rFonts w:ascii="Times New Roman" w:hAnsi="Times New Roman"/>
                <w:highlight w:val="yellow"/>
              </w:rPr>
              <w:t>.</w:t>
            </w:r>
            <w:r w:rsidRPr="006529CE">
              <w:rPr>
                <w:rFonts w:ascii="Times New Roman" w:hAnsi="Times New Roman"/>
                <w:highlight w:val="yellow"/>
              </w:rPr>
              <w:t>4</w:t>
            </w:r>
            <w:r w:rsidR="000A5EFB" w:rsidRPr="006529CE">
              <w:rPr>
                <w:rFonts w:ascii="Times New Roman" w:hAnsi="Times New Roman"/>
                <w:highlight w:val="yellow"/>
              </w:rPr>
              <w:t>)</w:t>
            </w:r>
          </w:p>
        </w:tc>
        <w:tc>
          <w:tcPr>
            <w:tcW w:w="940" w:type="dxa"/>
            <w:tcBorders>
              <w:top w:val="nil"/>
              <w:left w:val="nil"/>
              <w:bottom w:val="single" w:sz="4" w:space="0" w:color="auto"/>
              <w:right w:val="nil"/>
            </w:tcBorders>
            <w:vAlign w:val="center"/>
          </w:tcPr>
          <w:p w14:paraId="2725154D" w14:textId="78B9F1BD"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687F84" w:rsidRPr="006529CE">
              <w:rPr>
                <w:rFonts w:ascii="Times New Roman" w:hAnsi="Times New Roman"/>
                <w:highlight w:val="yellow"/>
              </w:rPr>
              <w:t>5</w:t>
            </w:r>
            <w:r w:rsidRPr="006529CE">
              <w:rPr>
                <w:rFonts w:ascii="Times New Roman" w:hAnsi="Times New Roman"/>
                <w:highlight w:val="yellow"/>
              </w:rPr>
              <w:t>.</w:t>
            </w:r>
            <w:r w:rsidR="00687F84" w:rsidRPr="006529CE">
              <w:rPr>
                <w:rFonts w:ascii="Times New Roman" w:hAnsi="Times New Roman"/>
                <w:highlight w:val="yellow"/>
              </w:rPr>
              <w:t>8</w:t>
            </w:r>
            <w:r w:rsidRPr="006529CE">
              <w:rPr>
                <w:rFonts w:ascii="Times New Roman" w:hAnsi="Times New Roman"/>
                <w:highlight w:val="yellow"/>
              </w:rPr>
              <w:t xml:space="preserve"> (3.</w:t>
            </w:r>
            <w:r w:rsidR="00687F84" w:rsidRPr="006529CE">
              <w:rPr>
                <w:rFonts w:ascii="Times New Roman" w:hAnsi="Times New Roman"/>
                <w:highlight w:val="yellow"/>
              </w:rPr>
              <w:t>2</w:t>
            </w:r>
            <w:r w:rsidRPr="006529CE">
              <w:rPr>
                <w:rFonts w:ascii="Times New Roman" w:hAnsi="Times New Roman"/>
                <w:highlight w:val="yellow"/>
              </w:rPr>
              <w:t>)</w:t>
            </w:r>
          </w:p>
        </w:tc>
        <w:tc>
          <w:tcPr>
            <w:tcW w:w="940" w:type="dxa"/>
            <w:tcBorders>
              <w:top w:val="nil"/>
              <w:left w:val="nil"/>
              <w:bottom w:val="single" w:sz="4" w:space="0" w:color="auto"/>
              <w:right w:val="nil"/>
            </w:tcBorders>
            <w:vAlign w:val="center"/>
          </w:tcPr>
          <w:p w14:paraId="54AEEE08" w14:textId="60C91444"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687F84" w:rsidRPr="006529CE">
              <w:rPr>
                <w:rFonts w:ascii="Times New Roman" w:hAnsi="Times New Roman"/>
                <w:highlight w:val="yellow"/>
              </w:rPr>
              <w:t>5</w:t>
            </w:r>
            <w:r w:rsidRPr="006529CE">
              <w:rPr>
                <w:rFonts w:ascii="Times New Roman" w:hAnsi="Times New Roman"/>
                <w:highlight w:val="yellow"/>
              </w:rPr>
              <w:t>.5 (</w:t>
            </w:r>
            <w:r w:rsidR="00687F84" w:rsidRPr="006529CE">
              <w:rPr>
                <w:rFonts w:ascii="Times New Roman" w:hAnsi="Times New Roman"/>
                <w:highlight w:val="yellow"/>
              </w:rPr>
              <w:t>2</w:t>
            </w:r>
            <w:r w:rsidRPr="006529CE">
              <w:rPr>
                <w:rFonts w:ascii="Times New Roman" w:hAnsi="Times New Roman"/>
                <w:highlight w:val="yellow"/>
              </w:rPr>
              <w:t>.</w:t>
            </w:r>
            <w:r w:rsidR="00687F84" w:rsidRPr="006529CE">
              <w:rPr>
                <w:rFonts w:ascii="Times New Roman" w:hAnsi="Times New Roman"/>
                <w:highlight w:val="yellow"/>
              </w:rPr>
              <w:t>3</w:t>
            </w:r>
            <w:r w:rsidRPr="006529CE">
              <w:rPr>
                <w:rFonts w:ascii="Times New Roman" w:hAnsi="Times New Roman"/>
                <w:highlight w:val="yellow"/>
              </w:rPr>
              <w:t>)</w:t>
            </w:r>
          </w:p>
        </w:tc>
      </w:tr>
      <w:tr w:rsidR="000A5EFB" w:rsidRPr="00083018" w14:paraId="4A2B68B2" w14:textId="77777777" w:rsidTr="00CF43C4">
        <w:trPr>
          <w:jc w:val="center"/>
        </w:trPr>
        <w:tc>
          <w:tcPr>
            <w:tcW w:w="411" w:type="dxa"/>
            <w:vMerge w:val="restart"/>
            <w:tcBorders>
              <w:top w:val="single" w:sz="4" w:space="0" w:color="auto"/>
              <w:left w:val="nil"/>
              <w:bottom w:val="single" w:sz="4" w:space="0" w:color="auto"/>
              <w:right w:val="single" w:sz="4" w:space="0" w:color="auto"/>
            </w:tcBorders>
            <w:vAlign w:val="center"/>
          </w:tcPr>
          <w:p w14:paraId="3D5F256D" w14:textId="77777777" w:rsidR="000A5EFB" w:rsidRPr="00083018" w:rsidRDefault="000A5EFB" w:rsidP="00976295">
            <w:pPr>
              <w:pStyle w:val="MDPI42tablebody"/>
              <w:spacing w:line="240" w:lineRule="auto"/>
              <w:rPr>
                <w:rFonts w:ascii="Times New Roman" w:hAnsi="Times New Roman"/>
              </w:rPr>
            </w:pPr>
            <w:r w:rsidRPr="00083018">
              <w:rPr>
                <w:rFonts w:ascii="Times New Roman" w:hAnsi="Times New Roman"/>
                <w:b/>
                <w:snapToGrid/>
              </w:rPr>
              <w:t>Acc</w:t>
            </w:r>
          </w:p>
        </w:tc>
        <w:tc>
          <w:tcPr>
            <w:tcW w:w="877" w:type="dxa"/>
            <w:tcBorders>
              <w:top w:val="single" w:sz="4" w:space="0" w:color="auto"/>
              <w:left w:val="single" w:sz="4" w:space="0" w:color="auto"/>
              <w:bottom w:val="nil"/>
              <w:right w:val="nil"/>
            </w:tcBorders>
            <w:shd w:val="clear" w:color="auto" w:fill="auto"/>
            <w:vAlign w:val="center"/>
          </w:tcPr>
          <w:p w14:paraId="062B9607" w14:textId="77777777" w:rsidR="000A5EFB" w:rsidRPr="006529CE" w:rsidRDefault="002D641D" w:rsidP="00976295">
            <w:pPr>
              <w:pStyle w:val="MDPI42tablebody"/>
              <w:spacing w:line="240" w:lineRule="auto"/>
              <w:rPr>
                <w:rFonts w:ascii="Times New Roman" w:hAnsi="Times New Roman"/>
                <w:highlight w:val="yellow"/>
              </w:rPr>
            </w:pPr>
            <m:oMathPara>
              <m:oMath>
                <m:sSub>
                  <m:sSubPr>
                    <m:ctrlPr>
                      <w:rPr>
                        <w:rFonts w:ascii="Cambria Math" w:hAnsi="Cambria Math"/>
                        <w:highlight w:val="yellow"/>
                      </w:rPr>
                    </m:ctrlPr>
                  </m:sSubPr>
                  <m:e>
                    <m:r>
                      <w:rPr>
                        <w:rFonts w:ascii="Cambria Math" w:hAnsi="Cambria Math"/>
                        <w:highlight w:val="yellow"/>
                      </w:rPr>
                      <m:t>TH</m:t>
                    </m:r>
                  </m:e>
                  <m:sub>
                    <m:r>
                      <w:rPr>
                        <w:rFonts w:ascii="Cambria Math" w:hAnsi="Cambria Math"/>
                        <w:highlight w:val="yellow"/>
                      </w:rPr>
                      <m:t>fixed</m:t>
                    </m:r>
                  </m:sub>
                </m:sSub>
              </m:oMath>
            </m:oMathPara>
          </w:p>
        </w:tc>
        <w:tc>
          <w:tcPr>
            <w:tcW w:w="940" w:type="dxa"/>
            <w:tcBorders>
              <w:top w:val="single" w:sz="4" w:space="0" w:color="auto"/>
              <w:left w:val="nil"/>
              <w:bottom w:val="nil"/>
              <w:right w:val="nil"/>
            </w:tcBorders>
            <w:shd w:val="clear" w:color="auto" w:fill="auto"/>
            <w:vAlign w:val="center"/>
          </w:tcPr>
          <w:p w14:paraId="51272C56" w14:textId="68F28D23"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96.</w:t>
            </w:r>
            <w:r w:rsidR="00B75813" w:rsidRPr="006529CE">
              <w:rPr>
                <w:rFonts w:ascii="Times New Roman" w:hAnsi="Times New Roman"/>
                <w:highlight w:val="yellow"/>
              </w:rPr>
              <w:t>0</w:t>
            </w:r>
            <w:r w:rsidRPr="006529CE">
              <w:rPr>
                <w:rFonts w:ascii="Times New Roman" w:hAnsi="Times New Roman"/>
                <w:highlight w:val="yellow"/>
              </w:rPr>
              <w:t xml:space="preserve"> (1.</w:t>
            </w:r>
            <w:r w:rsidR="00B75813" w:rsidRPr="006529CE">
              <w:rPr>
                <w:rFonts w:ascii="Times New Roman" w:hAnsi="Times New Roman"/>
                <w:highlight w:val="yellow"/>
              </w:rPr>
              <w:t>5</w:t>
            </w:r>
            <w:r w:rsidRPr="006529CE">
              <w:rPr>
                <w:rFonts w:ascii="Times New Roman" w:hAnsi="Times New Roman"/>
                <w:highlight w:val="yellow"/>
              </w:rPr>
              <w:t>)</w:t>
            </w:r>
          </w:p>
        </w:tc>
        <w:tc>
          <w:tcPr>
            <w:tcW w:w="940" w:type="dxa"/>
            <w:tcBorders>
              <w:top w:val="single" w:sz="4" w:space="0" w:color="auto"/>
              <w:left w:val="nil"/>
              <w:bottom w:val="nil"/>
              <w:right w:val="nil"/>
            </w:tcBorders>
            <w:shd w:val="clear" w:color="auto" w:fill="auto"/>
            <w:vAlign w:val="center"/>
          </w:tcPr>
          <w:p w14:paraId="66DCB602" w14:textId="526FC966" w:rsidR="000A5EFB" w:rsidRPr="006529CE" w:rsidRDefault="00B75813" w:rsidP="00976295">
            <w:pPr>
              <w:pStyle w:val="MDPI42tablebody"/>
              <w:spacing w:line="240" w:lineRule="auto"/>
              <w:rPr>
                <w:rFonts w:ascii="Times New Roman" w:hAnsi="Times New Roman"/>
                <w:highlight w:val="yellow"/>
              </w:rPr>
            </w:pPr>
            <w:r w:rsidRPr="006529CE">
              <w:rPr>
                <w:rFonts w:ascii="Times New Roman" w:hAnsi="Times New Roman"/>
                <w:highlight w:val="yellow"/>
              </w:rPr>
              <w:t>87</w:t>
            </w:r>
            <w:r w:rsidR="000A5EFB" w:rsidRPr="006529CE">
              <w:rPr>
                <w:rFonts w:ascii="Times New Roman" w:hAnsi="Times New Roman"/>
                <w:highlight w:val="yellow"/>
              </w:rPr>
              <w:t>.</w:t>
            </w:r>
            <w:r w:rsidRPr="006529CE">
              <w:rPr>
                <w:rFonts w:ascii="Times New Roman" w:hAnsi="Times New Roman"/>
                <w:highlight w:val="yellow"/>
              </w:rPr>
              <w:t>9</w:t>
            </w:r>
            <w:r w:rsidR="000A5EFB" w:rsidRPr="006529CE">
              <w:rPr>
                <w:rFonts w:ascii="Times New Roman" w:hAnsi="Times New Roman"/>
                <w:highlight w:val="yellow"/>
              </w:rPr>
              <w:t xml:space="preserve"> (</w:t>
            </w:r>
            <w:r w:rsidRPr="006529CE">
              <w:rPr>
                <w:rFonts w:ascii="Times New Roman" w:hAnsi="Times New Roman"/>
                <w:highlight w:val="yellow"/>
              </w:rPr>
              <w:t>6</w:t>
            </w:r>
            <w:r w:rsidR="000A5EFB" w:rsidRPr="006529CE">
              <w:rPr>
                <w:rFonts w:ascii="Times New Roman" w:hAnsi="Times New Roman"/>
                <w:highlight w:val="yellow"/>
              </w:rPr>
              <w:t>.</w:t>
            </w:r>
            <w:r w:rsidRPr="006529CE">
              <w:rPr>
                <w:rFonts w:ascii="Times New Roman" w:hAnsi="Times New Roman"/>
                <w:highlight w:val="yellow"/>
              </w:rPr>
              <w:t>0</w:t>
            </w:r>
            <w:r w:rsidR="000A5EFB" w:rsidRPr="006529CE">
              <w:rPr>
                <w:rFonts w:ascii="Times New Roman" w:hAnsi="Times New Roman"/>
                <w:highlight w:val="yellow"/>
              </w:rPr>
              <w:t>)</w:t>
            </w:r>
          </w:p>
        </w:tc>
        <w:tc>
          <w:tcPr>
            <w:tcW w:w="940" w:type="dxa"/>
            <w:tcBorders>
              <w:top w:val="single" w:sz="4" w:space="0" w:color="auto"/>
              <w:left w:val="nil"/>
              <w:bottom w:val="nil"/>
              <w:right w:val="nil"/>
            </w:tcBorders>
            <w:vAlign w:val="center"/>
          </w:tcPr>
          <w:p w14:paraId="3C3F519B" w14:textId="6CA47E0C"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8D43FA" w:rsidRPr="006529CE">
              <w:rPr>
                <w:rFonts w:ascii="Times New Roman" w:hAnsi="Times New Roman"/>
                <w:highlight w:val="yellow"/>
              </w:rPr>
              <w:t>3</w:t>
            </w:r>
            <w:r w:rsidRPr="006529CE">
              <w:rPr>
                <w:rFonts w:ascii="Times New Roman" w:hAnsi="Times New Roman"/>
                <w:highlight w:val="yellow"/>
              </w:rPr>
              <w:t>.</w:t>
            </w:r>
            <w:r w:rsidR="008D43FA" w:rsidRPr="006529CE">
              <w:rPr>
                <w:rFonts w:ascii="Times New Roman" w:hAnsi="Times New Roman"/>
                <w:highlight w:val="yellow"/>
              </w:rPr>
              <w:t>6</w:t>
            </w:r>
            <w:r w:rsidRPr="006529CE">
              <w:rPr>
                <w:rFonts w:ascii="Times New Roman" w:hAnsi="Times New Roman"/>
                <w:highlight w:val="yellow"/>
              </w:rPr>
              <w:t xml:space="preserve"> (</w:t>
            </w:r>
            <w:r w:rsidR="00B75813" w:rsidRPr="006529CE">
              <w:rPr>
                <w:rFonts w:ascii="Times New Roman" w:hAnsi="Times New Roman"/>
                <w:highlight w:val="yellow"/>
              </w:rPr>
              <w:t>6</w:t>
            </w:r>
            <w:r w:rsidRPr="006529CE">
              <w:rPr>
                <w:rFonts w:ascii="Times New Roman" w:hAnsi="Times New Roman"/>
                <w:highlight w:val="yellow"/>
              </w:rPr>
              <w:t>.</w:t>
            </w:r>
            <w:r w:rsidR="00B75813" w:rsidRPr="006529CE">
              <w:rPr>
                <w:rFonts w:ascii="Times New Roman" w:hAnsi="Times New Roman"/>
                <w:highlight w:val="yellow"/>
              </w:rPr>
              <w:t>8</w:t>
            </w:r>
            <w:r w:rsidRPr="006529CE">
              <w:rPr>
                <w:rFonts w:ascii="Times New Roman" w:hAnsi="Times New Roman"/>
                <w:highlight w:val="yellow"/>
              </w:rPr>
              <w:t>)</w:t>
            </w:r>
          </w:p>
        </w:tc>
        <w:tc>
          <w:tcPr>
            <w:tcW w:w="940" w:type="dxa"/>
            <w:tcBorders>
              <w:top w:val="single" w:sz="4" w:space="0" w:color="auto"/>
              <w:left w:val="nil"/>
              <w:bottom w:val="nil"/>
              <w:right w:val="nil"/>
            </w:tcBorders>
            <w:vAlign w:val="center"/>
          </w:tcPr>
          <w:p w14:paraId="642A69D8" w14:textId="5FCC5CAA"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8D43FA" w:rsidRPr="006529CE">
              <w:rPr>
                <w:rFonts w:ascii="Times New Roman" w:hAnsi="Times New Roman"/>
                <w:highlight w:val="yellow"/>
              </w:rPr>
              <w:t>5</w:t>
            </w:r>
            <w:r w:rsidRPr="006529CE">
              <w:rPr>
                <w:rFonts w:ascii="Times New Roman" w:hAnsi="Times New Roman"/>
                <w:highlight w:val="yellow"/>
              </w:rPr>
              <w:t>.</w:t>
            </w:r>
            <w:r w:rsidR="008D43FA" w:rsidRPr="006529CE">
              <w:rPr>
                <w:rFonts w:ascii="Times New Roman" w:hAnsi="Times New Roman"/>
                <w:highlight w:val="yellow"/>
              </w:rPr>
              <w:t>0</w:t>
            </w:r>
            <w:r w:rsidRPr="006529CE">
              <w:rPr>
                <w:rFonts w:ascii="Times New Roman" w:hAnsi="Times New Roman"/>
                <w:highlight w:val="yellow"/>
              </w:rPr>
              <w:t xml:space="preserve"> (</w:t>
            </w:r>
            <w:r w:rsidR="008D43FA" w:rsidRPr="006529CE">
              <w:rPr>
                <w:rFonts w:ascii="Times New Roman" w:hAnsi="Times New Roman"/>
                <w:highlight w:val="yellow"/>
              </w:rPr>
              <w:t>4</w:t>
            </w:r>
            <w:r w:rsidRPr="006529CE">
              <w:rPr>
                <w:rFonts w:ascii="Times New Roman" w:hAnsi="Times New Roman"/>
                <w:highlight w:val="yellow"/>
              </w:rPr>
              <w:t>.1)</w:t>
            </w:r>
          </w:p>
        </w:tc>
      </w:tr>
      <w:tr w:rsidR="000A5EFB" w:rsidRPr="00083018" w14:paraId="37B9B991" w14:textId="77777777" w:rsidTr="00CF43C4">
        <w:trPr>
          <w:jc w:val="center"/>
        </w:trPr>
        <w:tc>
          <w:tcPr>
            <w:tcW w:w="411" w:type="dxa"/>
            <w:vMerge/>
            <w:tcBorders>
              <w:top w:val="nil"/>
              <w:left w:val="nil"/>
              <w:bottom w:val="single" w:sz="4" w:space="0" w:color="auto"/>
              <w:right w:val="single" w:sz="4" w:space="0" w:color="auto"/>
            </w:tcBorders>
          </w:tcPr>
          <w:p w14:paraId="7E5C5DB6" w14:textId="77777777" w:rsidR="000A5EFB" w:rsidRPr="00083018" w:rsidRDefault="000A5EFB" w:rsidP="00976295">
            <w:pPr>
              <w:pStyle w:val="MDPI42tablebody"/>
              <w:spacing w:line="240" w:lineRule="auto"/>
              <w:rPr>
                <w:rFonts w:ascii="Times New Roman" w:hAnsi="Times New Roman"/>
              </w:rPr>
            </w:pPr>
          </w:p>
        </w:tc>
        <w:tc>
          <w:tcPr>
            <w:tcW w:w="877" w:type="dxa"/>
            <w:tcBorders>
              <w:top w:val="nil"/>
              <w:left w:val="single" w:sz="4" w:space="0" w:color="auto"/>
              <w:bottom w:val="nil"/>
              <w:right w:val="nil"/>
            </w:tcBorders>
            <w:shd w:val="clear" w:color="auto" w:fill="auto"/>
            <w:vAlign w:val="center"/>
          </w:tcPr>
          <w:p w14:paraId="38840248" w14:textId="77777777" w:rsidR="000A5EFB" w:rsidRPr="006529CE" w:rsidRDefault="002D641D" w:rsidP="00976295">
            <w:pPr>
              <w:pStyle w:val="MDPI42tablebody"/>
              <w:spacing w:line="240" w:lineRule="auto"/>
              <w:rPr>
                <w:rFonts w:ascii="Times New Roman" w:hAnsi="Times New Roman"/>
                <w:highlight w:val="yellow"/>
              </w:rPr>
            </w:pPr>
            <m:oMathPara>
              <m:oMath>
                <m:sSub>
                  <m:sSubPr>
                    <m:ctrlPr>
                      <w:rPr>
                        <w:rFonts w:ascii="Cambria Math" w:hAnsi="Cambria Math"/>
                        <w:highlight w:val="yellow"/>
                      </w:rPr>
                    </m:ctrlPr>
                  </m:sSubPr>
                  <m:e>
                    <m:r>
                      <w:rPr>
                        <w:rFonts w:ascii="Cambria Math" w:hAnsi="Cambria Math"/>
                        <w:highlight w:val="yellow"/>
                      </w:rPr>
                      <m:t>TH</m:t>
                    </m:r>
                  </m:e>
                  <m:sub>
                    <m:r>
                      <w:rPr>
                        <w:rFonts w:ascii="Cambria Math" w:hAnsi="Cambria Math"/>
                        <w:highlight w:val="yellow"/>
                      </w:rPr>
                      <m:t>adapt</m:t>
                    </m:r>
                  </m:sub>
                </m:sSub>
              </m:oMath>
            </m:oMathPara>
          </w:p>
        </w:tc>
        <w:tc>
          <w:tcPr>
            <w:tcW w:w="940" w:type="dxa"/>
            <w:tcBorders>
              <w:top w:val="nil"/>
              <w:left w:val="nil"/>
              <w:bottom w:val="nil"/>
              <w:right w:val="nil"/>
            </w:tcBorders>
            <w:shd w:val="clear" w:color="auto" w:fill="auto"/>
            <w:vAlign w:val="center"/>
          </w:tcPr>
          <w:p w14:paraId="3B58650A" w14:textId="028D80EB"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B75813" w:rsidRPr="006529CE">
              <w:rPr>
                <w:rFonts w:ascii="Times New Roman" w:hAnsi="Times New Roman"/>
                <w:highlight w:val="yellow"/>
              </w:rPr>
              <w:t>5</w:t>
            </w:r>
            <w:r w:rsidRPr="006529CE">
              <w:rPr>
                <w:rFonts w:ascii="Times New Roman" w:hAnsi="Times New Roman"/>
                <w:highlight w:val="yellow"/>
              </w:rPr>
              <w:t>.</w:t>
            </w:r>
            <w:r w:rsidR="00B75813" w:rsidRPr="006529CE">
              <w:rPr>
                <w:rFonts w:ascii="Times New Roman" w:hAnsi="Times New Roman"/>
                <w:highlight w:val="yellow"/>
              </w:rPr>
              <w:t>1</w:t>
            </w:r>
            <w:r w:rsidRPr="006529CE">
              <w:rPr>
                <w:rFonts w:ascii="Times New Roman" w:hAnsi="Times New Roman"/>
                <w:highlight w:val="yellow"/>
              </w:rPr>
              <w:t xml:space="preserve"> (</w:t>
            </w:r>
            <w:r w:rsidR="00B75813" w:rsidRPr="006529CE">
              <w:rPr>
                <w:rFonts w:ascii="Times New Roman" w:hAnsi="Times New Roman"/>
                <w:highlight w:val="yellow"/>
              </w:rPr>
              <w:t>2</w:t>
            </w:r>
            <w:r w:rsidRPr="006529CE">
              <w:rPr>
                <w:rFonts w:ascii="Times New Roman" w:hAnsi="Times New Roman"/>
                <w:highlight w:val="yellow"/>
              </w:rPr>
              <w:t>.</w:t>
            </w:r>
            <w:r w:rsidR="00B75813" w:rsidRPr="006529CE">
              <w:rPr>
                <w:rFonts w:ascii="Times New Roman" w:hAnsi="Times New Roman"/>
                <w:highlight w:val="yellow"/>
              </w:rPr>
              <w:t>0</w:t>
            </w:r>
            <w:r w:rsidRPr="006529CE">
              <w:rPr>
                <w:rFonts w:ascii="Times New Roman" w:hAnsi="Times New Roman"/>
                <w:highlight w:val="yellow"/>
              </w:rPr>
              <w:t>)</w:t>
            </w:r>
          </w:p>
        </w:tc>
        <w:tc>
          <w:tcPr>
            <w:tcW w:w="940" w:type="dxa"/>
            <w:tcBorders>
              <w:top w:val="nil"/>
              <w:left w:val="nil"/>
              <w:bottom w:val="nil"/>
              <w:right w:val="nil"/>
            </w:tcBorders>
            <w:shd w:val="clear" w:color="auto" w:fill="auto"/>
            <w:vAlign w:val="center"/>
          </w:tcPr>
          <w:p w14:paraId="49290527" w14:textId="05799ACD"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B75813" w:rsidRPr="006529CE">
              <w:rPr>
                <w:rFonts w:ascii="Times New Roman" w:hAnsi="Times New Roman"/>
                <w:highlight w:val="yellow"/>
              </w:rPr>
              <w:t>1</w:t>
            </w:r>
            <w:r w:rsidRPr="006529CE">
              <w:rPr>
                <w:rFonts w:ascii="Times New Roman" w:hAnsi="Times New Roman"/>
                <w:highlight w:val="yellow"/>
              </w:rPr>
              <w:t>.</w:t>
            </w:r>
            <w:r w:rsidR="00B75813" w:rsidRPr="006529CE">
              <w:rPr>
                <w:rFonts w:ascii="Times New Roman" w:hAnsi="Times New Roman"/>
                <w:highlight w:val="yellow"/>
              </w:rPr>
              <w:t>4</w:t>
            </w:r>
            <w:r w:rsidRPr="006529CE">
              <w:rPr>
                <w:rFonts w:ascii="Times New Roman" w:hAnsi="Times New Roman"/>
                <w:highlight w:val="yellow"/>
              </w:rPr>
              <w:t xml:space="preserve"> (</w:t>
            </w:r>
            <w:r w:rsidR="00B75813" w:rsidRPr="006529CE">
              <w:rPr>
                <w:rFonts w:ascii="Times New Roman" w:hAnsi="Times New Roman"/>
                <w:highlight w:val="yellow"/>
              </w:rPr>
              <w:t>5</w:t>
            </w:r>
            <w:r w:rsidRPr="006529CE">
              <w:rPr>
                <w:rFonts w:ascii="Times New Roman" w:hAnsi="Times New Roman"/>
                <w:highlight w:val="yellow"/>
              </w:rPr>
              <w:t>.4)</w:t>
            </w:r>
          </w:p>
        </w:tc>
        <w:tc>
          <w:tcPr>
            <w:tcW w:w="940" w:type="dxa"/>
            <w:tcBorders>
              <w:top w:val="nil"/>
              <w:left w:val="nil"/>
              <w:bottom w:val="nil"/>
              <w:right w:val="nil"/>
            </w:tcBorders>
            <w:vAlign w:val="center"/>
          </w:tcPr>
          <w:p w14:paraId="45B77ED0" w14:textId="545BB891"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8</w:t>
            </w:r>
            <w:r w:rsidR="00B75813" w:rsidRPr="006529CE">
              <w:rPr>
                <w:rFonts w:ascii="Times New Roman" w:hAnsi="Times New Roman"/>
                <w:highlight w:val="yellow"/>
              </w:rPr>
              <w:t>7</w:t>
            </w:r>
            <w:r w:rsidRPr="006529CE">
              <w:rPr>
                <w:rFonts w:ascii="Times New Roman" w:hAnsi="Times New Roman"/>
                <w:highlight w:val="yellow"/>
              </w:rPr>
              <w:t>.</w:t>
            </w:r>
            <w:r w:rsidR="00B75813" w:rsidRPr="006529CE">
              <w:rPr>
                <w:rFonts w:ascii="Times New Roman" w:hAnsi="Times New Roman"/>
                <w:highlight w:val="yellow"/>
              </w:rPr>
              <w:t>0</w:t>
            </w:r>
            <w:r w:rsidRPr="006529CE">
              <w:rPr>
                <w:rFonts w:ascii="Times New Roman" w:hAnsi="Times New Roman"/>
                <w:highlight w:val="yellow"/>
              </w:rPr>
              <w:t xml:space="preserve"> (</w:t>
            </w:r>
            <w:r w:rsidR="00B75813" w:rsidRPr="006529CE">
              <w:rPr>
                <w:rFonts w:ascii="Times New Roman" w:hAnsi="Times New Roman"/>
                <w:highlight w:val="yellow"/>
              </w:rPr>
              <w:t>7</w:t>
            </w:r>
            <w:r w:rsidRPr="006529CE">
              <w:rPr>
                <w:rFonts w:ascii="Times New Roman" w:hAnsi="Times New Roman"/>
                <w:highlight w:val="yellow"/>
              </w:rPr>
              <w:t>.</w:t>
            </w:r>
            <w:r w:rsidR="00B75813" w:rsidRPr="006529CE">
              <w:rPr>
                <w:rFonts w:ascii="Times New Roman" w:hAnsi="Times New Roman"/>
                <w:highlight w:val="yellow"/>
              </w:rPr>
              <w:t>0</w:t>
            </w:r>
            <w:r w:rsidRPr="006529CE">
              <w:rPr>
                <w:rFonts w:ascii="Times New Roman" w:hAnsi="Times New Roman"/>
                <w:highlight w:val="yellow"/>
              </w:rPr>
              <w:t>)</w:t>
            </w:r>
          </w:p>
        </w:tc>
        <w:tc>
          <w:tcPr>
            <w:tcW w:w="940" w:type="dxa"/>
            <w:tcBorders>
              <w:top w:val="nil"/>
              <w:left w:val="nil"/>
              <w:bottom w:val="nil"/>
              <w:right w:val="nil"/>
            </w:tcBorders>
            <w:vAlign w:val="center"/>
          </w:tcPr>
          <w:p w14:paraId="2B88BCA4" w14:textId="2E820806"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97.7 (</w:t>
            </w:r>
            <w:r w:rsidR="00B75813" w:rsidRPr="006529CE">
              <w:rPr>
                <w:rFonts w:ascii="Times New Roman" w:hAnsi="Times New Roman"/>
                <w:highlight w:val="yellow"/>
              </w:rPr>
              <w:t>1</w:t>
            </w:r>
            <w:r w:rsidRPr="006529CE">
              <w:rPr>
                <w:rFonts w:ascii="Times New Roman" w:hAnsi="Times New Roman"/>
                <w:highlight w:val="yellow"/>
              </w:rPr>
              <w:t>.</w:t>
            </w:r>
            <w:r w:rsidR="00B75813" w:rsidRPr="006529CE">
              <w:rPr>
                <w:rFonts w:ascii="Times New Roman" w:hAnsi="Times New Roman"/>
                <w:highlight w:val="yellow"/>
              </w:rPr>
              <w:t>2</w:t>
            </w:r>
            <w:r w:rsidRPr="006529CE">
              <w:rPr>
                <w:rFonts w:ascii="Times New Roman" w:hAnsi="Times New Roman"/>
                <w:highlight w:val="yellow"/>
              </w:rPr>
              <w:t>)</w:t>
            </w:r>
          </w:p>
        </w:tc>
      </w:tr>
      <w:tr w:rsidR="000A5EFB" w:rsidRPr="00083018" w14:paraId="34F0E99A" w14:textId="77777777" w:rsidTr="00CF43C4">
        <w:trPr>
          <w:trHeight w:val="324"/>
          <w:jc w:val="center"/>
        </w:trPr>
        <w:tc>
          <w:tcPr>
            <w:tcW w:w="411" w:type="dxa"/>
            <w:vMerge/>
            <w:tcBorders>
              <w:top w:val="nil"/>
              <w:left w:val="nil"/>
              <w:right w:val="single" w:sz="4" w:space="0" w:color="auto"/>
            </w:tcBorders>
          </w:tcPr>
          <w:p w14:paraId="6B10CF48" w14:textId="77777777" w:rsidR="000A5EFB" w:rsidRPr="00083018" w:rsidRDefault="000A5EFB" w:rsidP="00976295">
            <w:pPr>
              <w:pStyle w:val="MDPI42tablebody"/>
              <w:spacing w:line="240" w:lineRule="auto"/>
              <w:rPr>
                <w:rFonts w:ascii="Times New Roman" w:hAnsi="Times New Roman"/>
              </w:rPr>
            </w:pPr>
          </w:p>
        </w:tc>
        <w:tc>
          <w:tcPr>
            <w:tcW w:w="877" w:type="dxa"/>
            <w:tcBorders>
              <w:top w:val="nil"/>
              <w:left w:val="single" w:sz="4" w:space="0" w:color="auto"/>
              <w:right w:val="nil"/>
            </w:tcBorders>
            <w:shd w:val="clear" w:color="auto" w:fill="auto"/>
            <w:vAlign w:val="center"/>
          </w:tcPr>
          <w:p w14:paraId="7EECF4AA" w14:textId="77777777" w:rsidR="000A5EFB" w:rsidRPr="006529CE" w:rsidRDefault="002D641D" w:rsidP="00976295">
            <w:pPr>
              <w:pStyle w:val="MDPI42tablebody"/>
              <w:spacing w:line="240" w:lineRule="auto"/>
              <w:rPr>
                <w:rFonts w:ascii="Times New Roman" w:hAnsi="Times New Roman"/>
                <w:highlight w:val="yellow"/>
              </w:rPr>
            </w:pPr>
            <m:oMathPara>
              <m:oMath>
                <m:sSub>
                  <m:sSubPr>
                    <m:ctrlPr>
                      <w:rPr>
                        <w:rFonts w:ascii="Cambria Math" w:hAnsi="Cambria Math"/>
                        <w:highlight w:val="yellow"/>
                      </w:rPr>
                    </m:ctrlPr>
                  </m:sSubPr>
                  <m:e>
                    <m:r>
                      <w:rPr>
                        <w:rFonts w:ascii="Cambria Math" w:hAnsi="Cambria Math"/>
                        <w:highlight w:val="yellow"/>
                      </w:rPr>
                      <m:t>TH</m:t>
                    </m:r>
                  </m:e>
                  <m:sub>
                    <m:r>
                      <w:rPr>
                        <w:rFonts w:ascii="Cambria Math" w:hAnsi="Cambria Math"/>
                        <w:highlight w:val="yellow"/>
                      </w:rPr>
                      <m:t>hilbert</m:t>
                    </m:r>
                  </m:sub>
                </m:sSub>
              </m:oMath>
            </m:oMathPara>
          </w:p>
        </w:tc>
        <w:tc>
          <w:tcPr>
            <w:tcW w:w="940" w:type="dxa"/>
            <w:tcBorders>
              <w:top w:val="nil"/>
              <w:left w:val="nil"/>
              <w:right w:val="nil"/>
            </w:tcBorders>
            <w:shd w:val="clear" w:color="auto" w:fill="auto"/>
            <w:vAlign w:val="center"/>
          </w:tcPr>
          <w:p w14:paraId="6373132B" w14:textId="2D1F6B39"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94.</w:t>
            </w:r>
            <w:r w:rsidR="00797C35" w:rsidRPr="006529CE">
              <w:rPr>
                <w:rFonts w:ascii="Times New Roman" w:hAnsi="Times New Roman"/>
                <w:highlight w:val="yellow"/>
              </w:rPr>
              <w:t>5</w:t>
            </w:r>
            <w:r w:rsidRPr="006529CE">
              <w:rPr>
                <w:rFonts w:ascii="Times New Roman" w:hAnsi="Times New Roman"/>
                <w:highlight w:val="yellow"/>
              </w:rPr>
              <w:t xml:space="preserve"> (</w:t>
            </w:r>
            <w:r w:rsidR="00797C35" w:rsidRPr="006529CE">
              <w:rPr>
                <w:rFonts w:ascii="Times New Roman" w:hAnsi="Times New Roman"/>
                <w:highlight w:val="yellow"/>
              </w:rPr>
              <w:t>2</w:t>
            </w:r>
            <w:r w:rsidRPr="006529CE">
              <w:rPr>
                <w:rFonts w:ascii="Times New Roman" w:hAnsi="Times New Roman"/>
                <w:highlight w:val="yellow"/>
              </w:rPr>
              <w:t>.</w:t>
            </w:r>
            <w:r w:rsidR="00797C35" w:rsidRPr="006529CE">
              <w:rPr>
                <w:rFonts w:ascii="Times New Roman" w:hAnsi="Times New Roman"/>
                <w:highlight w:val="yellow"/>
              </w:rPr>
              <w:t>9</w:t>
            </w:r>
            <w:r w:rsidRPr="006529CE">
              <w:rPr>
                <w:rFonts w:ascii="Times New Roman" w:hAnsi="Times New Roman"/>
                <w:highlight w:val="yellow"/>
              </w:rPr>
              <w:t>)</w:t>
            </w:r>
          </w:p>
        </w:tc>
        <w:tc>
          <w:tcPr>
            <w:tcW w:w="940" w:type="dxa"/>
            <w:tcBorders>
              <w:top w:val="nil"/>
              <w:left w:val="nil"/>
              <w:right w:val="nil"/>
            </w:tcBorders>
            <w:shd w:val="clear" w:color="auto" w:fill="auto"/>
            <w:vAlign w:val="center"/>
          </w:tcPr>
          <w:p w14:paraId="50B34ABC" w14:textId="7C5290BB"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797C35" w:rsidRPr="006529CE">
              <w:rPr>
                <w:rFonts w:ascii="Times New Roman" w:hAnsi="Times New Roman"/>
                <w:highlight w:val="yellow"/>
              </w:rPr>
              <w:t>0</w:t>
            </w:r>
            <w:r w:rsidRPr="006529CE">
              <w:rPr>
                <w:rFonts w:ascii="Times New Roman" w:hAnsi="Times New Roman"/>
                <w:highlight w:val="yellow"/>
              </w:rPr>
              <w:t>.</w:t>
            </w:r>
            <w:r w:rsidR="00797C35" w:rsidRPr="006529CE">
              <w:rPr>
                <w:rFonts w:ascii="Times New Roman" w:hAnsi="Times New Roman"/>
                <w:highlight w:val="yellow"/>
              </w:rPr>
              <w:t>7</w:t>
            </w:r>
            <w:r w:rsidRPr="006529CE">
              <w:rPr>
                <w:rFonts w:ascii="Times New Roman" w:hAnsi="Times New Roman"/>
                <w:highlight w:val="yellow"/>
              </w:rPr>
              <w:t xml:space="preserve"> (</w:t>
            </w:r>
            <w:r w:rsidR="00797C35" w:rsidRPr="006529CE">
              <w:rPr>
                <w:rFonts w:ascii="Times New Roman" w:hAnsi="Times New Roman"/>
                <w:highlight w:val="yellow"/>
              </w:rPr>
              <w:t>6</w:t>
            </w:r>
            <w:r w:rsidRPr="006529CE">
              <w:rPr>
                <w:rFonts w:ascii="Times New Roman" w:hAnsi="Times New Roman"/>
                <w:highlight w:val="yellow"/>
              </w:rPr>
              <w:t>.</w:t>
            </w:r>
            <w:r w:rsidR="00797C35" w:rsidRPr="006529CE">
              <w:rPr>
                <w:rFonts w:ascii="Times New Roman" w:hAnsi="Times New Roman"/>
                <w:highlight w:val="yellow"/>
              </w:rPr>
              <w:t>8</w:t>
            </w:r>
            <w:r w:rsidRPr="006529CE">
              <w:rPr>
                <w:rFonts w:ascii="Times New Roman" w:hAnsi="Times New Roman"/>
                <w:highlight w:val="yellow"/>
              </w:rPr>
              <w:t>)</w:t>
            </w:r>
          </w:p>
        </w:tc>
        <w:tc>
          <w:tcPr>
            <w:tcW w:w="940" w:type="dxa"/>
            <w:tcBorders>
              <w:top w:val="nil"/>
              <w:left w:val="nil"/>
              <w:right w:val="nil"/>
            </w:tcBorders>
            <w:vAlign w:val="center"/>
          </w:tcPr>
          <w:p w14:paraId="094700A4" w14:textId="545F1C08"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8</w:t>
            </w:r>
            <w:r w:rsidR="00797C35" w:rsidRPr="006529CE">
              <w:rPr>
                <w:rFonts w:ascii="Times New Roman" w:hAnsi="Times New Roman"/>
                <w:highlight w:val="yellow"/>
              </w:rPr>
              <w:t>7</w:t>
            </w:r>
            <w:r w:rsidRPr="006529CE">
              <w:rPr>
                <w:rFonts w:ascii="Times New Roman" w:hAnsi="Times New Roman"/>
                <w:highlight w:val="yellow"/>
              </w:rPr>
              <w:t>.</w:t>
            </w:r>
            <w:r w:rsidR="00797C35" w:rsidRPr="006529CE">
              <w:rPr>
                <w:rFonts w:ascii="Times New Roman" w:hAnsi="Times New Roman"/>
                <w:highlight w:val="yellow"/>
              </w:rPr>
              <w:t>0</w:t>
            </w:r>
            <w:r w:rsidRPr="006529CE">
              <w:rPr>
                <w:rFonts w:ascii="Times New Roman" w:hAnsi="Times New Roman"/>
                <w:highlight w:val="yellow"/>
              </w:rPr>
              <w:t xml:space="preserve"> (6.</w:t>
            </w:r>
            <w:r w:rsidR="00797C35" w:rsidRPr="006529CE">
              <w:rPr>
                <w:rFonts w:ascii="Times New Roman" w:hAnsi="Times New Roman"/>
                <w:highlight w:val="yellow"/>
              </w:rPr>
              <w:t>7</w:t>
            </w:r>
            <w:r w:rsidRPr="006529CE">
              <w:rPr>
                <w:rFonts w:ascii="Times New Roman" w:hAnsi="Times New Roman"/>
                <w:highlight w:val="yellow"/>
              </w:rPr>
              <w:t>)</w:t>
            </w:r>
          </w:p>
        </w:tc>
        <w:tc>
          <w:tcPr>
            <w:tcW w:w="940" w:type="dxa"/>
            <w:tcBorders>
              <w:top w:val="nil"/>
              <w:left w:val="nil"/>
              <w:right w:val="nil"/>
            </w:tcBorders>
            <w:vAlign w:val="center"/>
          </w:tcPr>
          <w:p w14:paraId="03F04E1A" w14:textId="2AC9811D" w:rsidR="000A5EFB" w:rsidRPr="006529CE" w:rsidRDefault="000A5EFB" w:rsidP="00976295">
            <w:pPr>
              <w:pStyle w:val="MDPI42tablebody"/>
              <w:spacing w:line="240" w:lineRule="auto"/>
              <w:rPr>
                <w:rFonts w:ascii="Times New Roman" w:hAnsi="Times New Roman"/>
                <w:highlight w:val="yellow"/>
              </w:rPr>
            </w:pPr>
            <w:r w:rsidRPr="006529CE">
              <w:rPr>
                <w:rFonts w:ascii="Times New Roman" w:hAnsi="Times New Roman"/>
                <w:highlight w:val="yellow"/>
              </w:rPr>
              <w:t>9</w:t>
            </w:r>
            <w:r w:rsidR="00797C35" w:rsidRPr="006529CE">
              <w:rPr>
                <w:rFonts w:ascii="Times New Roman" w:hAnsi="Times New Roman"/>
                <w:highlight w:val="yellow"/>
              </w:rPr>
              <w:t>7</w:t>
            </w:r>
            <w:r w:rsidRPr="006529CE">
              <w:rPr>
                <w:rFonts w:ascii="Times New Roman" w:hAnsi="Times New Roman"/>
                <w:highlight w:val="yellow"/>
              </w:rPr>
              <w:t>.</w:t>
            </w:r>
            <w:r w:rsidR="00797C35" w:rsidRPr="006529CE">
              <w:rPr>
                <w:rFonts w:ascii="Times New Roman" w:hAnsi="Times New Roman"/>
                <w:highlight w:val="yellow"/>
              </w:rPr>
              <w:t>9</w:t>
            </w:r>
            <w:r w:rsidRPr="006529CE">
              <w:rPr>
                <w:rFonts w:ascii="Times New Roman" w:hAnsi="Times New Roman"/>
                <w:highlight w:val="yellow"/>
              </w:rPr>
              <w:t xml:space="preserve"> (</w:t>
            </w:r>
            <w:r w:rsidR="00797C35" w:rsidRPr="006529CE">
              <w:rPr>
                <w:rFonts w:ascii="Times New Roman" w:hAnsi="Times New Roman"/>
                <w:highlight w:val="yellow"/>
              </w:rPr>
              <w:t>1</w:t>
            </w:r>
            <w:r w:rsidRPr="006529CE">
              <w:rPr>
                <w:rFonts w:ascii="Times New Roman" w:hAnsi="Times New Roman"/>
                <w:highlight w:val="yellow"/>
              </w:rPr>
              <w:t>.</w:t>
            </w:r>
            <w:r w:rsidR="00797C35" w:rsidRPr="006529CE">
              <w:rPr>
                <w:rFonts w:ascii="Times New Roman" w:hAnsi="Times New Roman"/>
                <w:highlight w:val="yellow"/>
              </w:rPr>
              <w:t>1</w:t>
            </w:r>
            <w:r w:rsidRPr="006529CE">
              <w:rPr>
                <w:rFonts w:ascii="Times New Roman" w:hAnsi="Times New Roman"/>
                <w:highlight w:val="yellow"/>
              </w:rPr>
              <w:t>)</w:t>
            </w:r>
          </w:p>
        </w:tc>
      </w:tr>
    </w:tbl>
    <w:p w14:paraId="214D5E06" w14:textId="77777777" w:rsidR="006017CA" w:rsidRDefault="006017CA" w:rsidP="006017CA">
      <w:pPr>
        <w:pStyle w:val="Caption"/>
        <w:keepNext/>
        <w:spacing w:after="0"/>
        <w:rPr>
          <w:i w:val="0"/>
          <w:color w:val="auto"/>
          <w:sz w:val="16"/>
          <w:szCs w:val="16"/>
        </w:rPr>
      </w:pPr>
    </w:p>
    <w:p w14:paraId="301CCA4C" w14:textId="46C2E8BD" w:rsidR="006017CA" w:rsidRDefault="006017CA" w:rsidP="006017CA">
      <w:pPr>
        <w:pStyle w:val="MDPI22heading2"/>
        <w:numPr>
          <w:ilvl w:val="0"/>
          <w:numId w:val="0"/>
        </w:numPr>
        <w:ind w:left="360" w:hanging="360"/>
      </w:pPr>
      <w:r>
        <w:t>B: Accelerometer based algorithm</w:t>
      </w:r>
    </w:p>
    <w:p w14:paraId="5B898F56" w14:textId="7483DE1D" w:rsidR="006017CA" w:rsidRDefault="006017CA" w:rsidP="006017CA">
      <w:pPr>
        <w:pStyle w:val="MDPI31text"/>
      </w:pPr>
      <w:r>
        <w:t xml:space="preserve">This appendix summarizes the results obtained when the acceleration signal is used as input of the algorithm. To evaluate the influence of the percentile parameter on the classification performance, we computed the ROC curves for different percentile values from 1 to 50%, with 2.5 increments. </w:t>
      </w:r>
      <w:r w:rsidRPr="00EE5FF1">
        <w:rPr>
          <w:b/>
        </w:rPr>
        <w:t xml:space="preserve">Fig. </w:t>
      </w:r>
      <w:r w:rsidR="008E7C32">
        <w:rPr>
          <w:b/>
        </w:rPr>
        <w:t>2</w:t>
      </w:r>
      <w:r>
        <w:t xml:space="preserve"> shows the average ROC curves calculated for the 10 subjects in the </w:t>
      </w:r>
      <w:proofErr w:type="spellStart"/>
      <w:r w:rsidRPr="007C77F4">
        <w:rPr>
          <w:i/>
        </w:rPr>
        <w:t>Mobilise</w:t>
      </w:r>
      <w:proofErr w:type="spellEnd"/>
      <w:r>
        <w:rPr>
          <w:i/>
        </w:rPr>
        <w:t>-</w:t>
      </w:r>
      <w:r w:rsidRPr="007C77F4">
        <w:rPr>
          <w:i/>
        </w:rPr>
        <w:t>D</w:t>
      </w:r>
      <w:r>
        <w:t xml:space="preserve"> study. In contrast to the gyroscope-based approach, the ROC curves do not reach the upper left quadrant with a sensitivity of more than 95% and a false-positive rate (FPR, 1-specificity) of less than 4%. With t</w:t>
      </w:r>
      <w:r w:rsidRPr="009C359F">
        <w:t>he</w:t>
      </w:r>
      <w:r>
        <w:rPr>
          <w:i/>
        </w:rPr>
        <w:t xml:space="preserve"> </w:t>
      </w:r>
      <w:r w:rsidRPr="00705BAC">
        <w:rPr>
          <w:i/>
        </w:rPr>
        <w:t>adaptive</w:t>
      </w:r>
      <w:r>
        <w:t xml:space="preserve"> method (</w:t>
      </w:r>
      <m:oMath>
        <m:sSub>
          <m:sSubPr>
            <m:ctrlPr>
              <w:rPr>
                <w:rFonts w:ascii="Cambria Math" w:hAnsi="Cambria Math"/>
              </w:rPr>
            </m:ctrlPr>
          </m:sSubPr>
          <m:e>
            <m:r>
              <w:rPr>
                <w:rFonts w:ascii="Cambria Math" w:hAnsi="Cambria Math"/>
              </w:rPr>
              <m:t>TH</m:t>
            </m:r>
          </m:e>
          <m:sub>
            <m:r>
              <w:rPr>
                <w:rFonts w:ascii="Cambria Math" w:hAnsi="Cambria Math"/>
              </w:rPr>
              <m:t>adapt</m:t>
            </m:r>
          </m:sub>
        </m:sSub>
      </m:oMath>
      <w:r>
        <w:t xml:space="preserve">), the best results are obtained with percentile values between 10% and 5%. The </w:t>
      </w:r>
      <w:r w:rsidRPr="00705BAC">
        <w:rPr>
          <w:i/>
        </w:rPr>
        <w:t>Hilbert</w:t>
      </w:r>
      <w:r>
        <w:rPr>
          <w:i/>
        </w:rPr>
        <w:t xml:space="preserve"> </w:t>
      </w:r>
      <w:r w:rsidRPr="00A7209B">
        <w:t>method</w:t>
      </w:r>
      <w:r>
        <w:t xml:space="preserve"> (</w:t>
      </w:r>
      <m:oMath>
        <m:sSub>
          <m:sSubPr>
            <m:ctrlPr>
              <w:rPr>
                <w:rFonts w:ascii="Cambria Math" w:hAnsi="Cambria Math"/>
              </w:rPr>
            </m:ctrlPr>
          </m:sSubPr>
          <m:e>
            <m:r>
              <w:rPr>
                <w:rFonts w:ascii="Cambria Math" w:hAnsi="Cambria Math"/>
              </w:rPr>
              <m:t>TH</m:t>
            </m:r>
          </m:e>
          <m:sub>
            <m:r>
              <w:rPr>
                <w:rFonts w:ascii="Cambria Math" w:hAnsi="Cambria Math"/>
              </w:rPr>
              <m:t>hilbert</m:t>
            </m:r>
          </m:sub>
        </m:sSub>
      </m:oMath>
      <w:r>
        <w:t xml:space="preserve">) is more restrictive, with an FPR below 2% for all percentile values tested. However, </w:t>
      </w:r>
      <w:r>
        <w:lastRenderedPageBreak/>
        <w:t xml:space="preserve">the sensitivity is also lower for values below 90%. With the </w:t>
      </w:r>
      <w:r w:rsidRPr="00763648">
        <w:rPr>
          <w:i/>
        </w:rPr>
        <w:t>Hilbert</w:t>
      </w:r>
      <w:r>
        <w:t xml:space="preserve"> method (</w:t>
      </w:r>
      <m:oMath>
        <m:sSub>
          <m:sSubPr>
            <m:ctrlPr>
              <w:rPr>
                <w:rFonts w:ascii="Cambria Math" w:hAnsi="Cambria Math"/>
              </w:rPr>
            </m:ctrlPr>
          </m:sSubPr>
          <m:e>
            <m:r>
              <w:rPr>
                <w:rFonts w:ascii="Cambria Math" w:hAnsi="Cambria Math"/>
              </w:rPr>
              <m:t>TH</m:t>
            </m:r>
          </m:e>
          <m:sub>
            <m:r>
              <w:rPr>
                <w:rFonts w:ascii="Cambria Math" w:hAnsi="Cambria Math"/>
              </w:rPr>
              <m:t>hilbert</m:t>
            </m:r>
          </m:sub>
        </m:sSub>
      </m:oMath>
      <w:r>
        <w:t>), the best performance is obtained for a percentile of 1%.</w:t>
      </w:r>
    </w:p>
    <w:p w14:paraId="00542F8D" w14:textId="496C8210" w:rsidR="008E7C32" w:rsidRDefault="008E7C32" w:rsidP="002D641D">
      <w:pPr>
        <w:pStyle w:val="MDPI31text"/>
        <w:ind w:firstLine="0"/>
        <w:rPr>
          <w:b/>
        </w:rPr>
      </w:pPr>
      <w:bookmarkStart w:id="0" w:name="_GoBack"/>
      <w:bookmarkEnd w:id="0"/>
    </w:p>
    <w:p w14:paraId="3ACCD839" w14:textId="0B8A2577" w:rsidR="0030000B" w:rsidRDefault="0030000B" w:rsidP="008E7C32">
      <w:pPr>
        <w:pStyle w:val="MDPI31text"/>
        <w:ind w:firstLine="0"/>
        <w:jc w:val="center"/>
        <w:rPr>
          <w:b/>
        </w:rPr>
      </w:pPr>
      <w:r>
        <w:rPr>
          <w:b/>
          <w:noProof/>
        </w:rPr>
        <w:drawing>
          <wp:inline distT="0" distB="0" distL="0" distR="0" wp14:anchorId="0D5CBC2A" wp14:editId="004A9CC3">
            <wp:extent cx="4320000" cy="21420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0000" cy="2142000"/>
                    </a:xfrm>
                    <a:prstGeom prst="rect">
                      <a:avLst/>
                    </a:prstGeom>
                    <a:noFill/>
                    <a:ln>
                      <a:noFill/>
                    </a:ln>
                  </pic:spPr>
                </pic:pic>
              </a:graphicData>
            </a:graphic>
          </wp:inline>
        </w:drawing>
      </w:r>
    </w:p>
    <w:p w14:paraId="1FCFCD94" w14:textId="0A2625C6" w:rsidR="00F372FE" w:rsidRDefault="008E7C32" w:rsidP="008E7C32">
      <w:pPr>
        <w:pStyle w:val="MDPI51figurecaption"/>
        <w:ind w:left="0"/>
      </w:pPr>
      <w:r w:rsidRPr="00976020">
        <w:rPr>
          <w:b/>
        </w:rPr>
        <w:t xml:space="preserve">Fig. </w:t>
      </w:r>
      <w:r>
        <w:rPr>
          <w:b/>
        </w:rPr>
        <w:t>2</w:t>
      </w:r>
      <w:r w:rsidRPr="00976020">
        <w:rPr>
          <w:b/>
        </w:rPr>
        <w:t>.</w:t>
      </w:r>
      <w:r w:rsidRPr="00341DB0">
        <w:t xml:space="preserve">  ROC curves for performance evaluation as a function of the percentile-values from 1 to 50% when the accelerometer signal is used as input. The curve is obtained by averaging the results across the 10 subjects of the </w:t>
      </w:r>
      <w:proofErr w:type="spellStart"/>
      <w:r w:rsidRPr="00341DB0">
        <w:t>MobilizeD</w:t>
      </w:r>
      <w:proofErr w:type="spellEnd"/>
      <w:r w:rsidRPr="00341DB0">
        <w:t xml:space="preserve"> study when one IMU (continuous line) or two IMUs (dashed line) are used; (a) Adaptive thresholding method (</w:t>
      </w:r>
      <m:oMath>
        <m:sSub>
          <m:sSubPr>
            <m:ctrlPr>
              <w:rPr>
                <w:rFonts w:ascii="Cambria Math" w:hAnsi="Cambria Math"/>
              </w:rPr>
            </m:ctrlPr>
          </m:sSubPr>
          <m:e>
            <m:r>
              <w:rPr>
                <w:rFonts w:ascii="Cambria Math" w:hAnsi="Cambria Math"/>
              </w:rPr>
              <m:t>TH</m:t>
            </m:r>
          </m:e>
          <m:sub>
            <m:r>
              <w:rPr>
                <w:rFonts w:ascii="Cambria Math" w:hAnsi="Cambria Math"/>
              </w:rPr>
              <m:t>adapt</m:t>
            </m:r>
          </m:sub>
        </m:sSub>
      </m:oMath>
      <w:r w:rsidRPr="00341DB0">
        <w:t xml:space="preserve">) based on the percentile of the obtained peak amplitude distribution detected above the fixed-threshold </w:t>
      </w:r>
      <m:oMath>
        <m:r>
          <w:rPr>
            <w:rFonts w:ascii="Cambria Math" w:hAnsi="Cambria Math"/>
          </w:rPr>
          <m:t>(</m:t>
        </m:r>
        <m:sSub>
          <m:sSubPr>
            <m:ctrlPr>
              <w:rPr>
                <w:rFonts w:ascii="Cambria Math" w:hAnsi="Cambria Math"/>
              </w:rPr>
            </m:ctrlPr>
          </m:sSubPr>
          <m:e>
            <m:r>
              <w:rPr>
                <w:rFonts w:ascii="Cambria Math" w:hAnsi="Cambria Math"/>
              </w:rPr>
              <m:t>TH</m:t>
            </m:r>
          </m:e>
          <m:sub>
            <m:r>
              <w:rPr>
                <w:rFonts w:ascii="Cambria Math" w:hAnsi="Cambria Math"/>
              </w:rPr>
              <m:t>f</m:t>
            </m:r>
          </m:sub>
        </m:sSub>
        <m:r>
          <w:rPr>
            <w:rFonts w:ascii="Cambria Math" w:hAnsi="Cambria Math"/>
          </w:rPr>
          <m:t>=0.5 g)</m:t>
        </m:r>
      </m:oMath>
      <w:r w:rsidRPr="00341DB0">
        <w:t>; (b) Hilbert method, the threshold (</w:t>
      </w:r>
      <m:oMath>
        <m:sSub>
          <m:sSubPr>
            <m:ctrlPr>
              <w:rPr>
                <w:rFonts w:ascii="Cambria Math" w:hAnsi="Cambria Math"/>
              </w:rPr>
            </m:ctrlPr>
          </m:sSubPr>
          <m:e>
            <m:r>
              <w:rPr>
                <w:rFonts w:ascii="Cambria Math" w:hAnsi="Cambria Math"/>
              </w:rPr>
              <m:t>TH</m:t>
            </m:r>
          </m:e>
          <m:sub>
            <m:r>
              <w:rPr>
                <w:rFonts w:ascii="Cambria Math" w:hAnsi="Cambria Math"/>
              </w:rPr>
              <m:t>hilbert</m:t>
            </m:r>
          </m:sub>
        </m:sSub>
      </m:oMath>
      <w:r w:rsidRPr="00341DB0">
        <w:t xml:space="preserve">) is defined as the percentile of the amplitude distribution of all the peaks in the pre-selected walking bouts. The horizontal and vertical dashed lines correspond to 95% true positive rate and 4% false positive rate respectively.  </w:t>
      </w:r>
    </w:p>
    <w:sectPr w:rsidR="00F372FE" w:rsidSect="00DD67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65B07"/>
    <w:multiLevelType w:val="multilevel"/>
    <w:tmpl w:val="447A69FA"/>
    <w:styleLink w:val="Headings"/>
    <w:lvl w:ilvl="0">
      <w:start w:val="1"/>
      <w:numFmt w:val="decimal"/>
      <w:pStyle w:val="MDPI21heading1"/>
      <w:lvlText w:val="%1"/>
      <w:lvlJc w:val="left"/>
      <w:pPr>
        <w:ind w:left="2910" w:hanging="360"/>
      </w:pPr>
      <w:rPr>
        <w:rFonts w:hint="default"/>
      </w:rPr>
    </w:lvl>
    <w:lvl w:ilvl="1">
      <w:start w:val="1"/>
      <w:numFmt w:val="decimal"/>
      <w:pStyle w:val="MDPI22heading2"/>
      <w:lvlText w:val="%1.%2"/>
      <w:lvlJc w:val="left"/>
      <w:pPr>
        <w:ind w:left="3270" w:hanging="360"/>
      </w:pPr>
      <w:rPr>
        <w:rFonts w:hint="default"/>
      </w:rPr>
    </w:lvl>
    <w:lvl w:ilvl="2">
      <w:start w:val="1"/>
      <w:numFmt w:val="decimal"/>
      <w:pStyle w:val="MDPI23heading3"/>
      <w:lvlText w:val="%1.%2.%3"/>
      <w:lvlJc w:val="left"/>
      <w:pPr>
        <w:ind w:left="3630" w:hanging="360"/>
      </w:pPr>
      <w:rPr>
        <w:rFonts w:hint="default"/>
      </w:rPr>
    </w:lvl>
    <w:lvl w:ilvl="3">
      <w:start w:val="1"/>
      <w:numFmt w:val="decimal"/>
      <w:lvlText w:val="(%4)"/>
      <w:lvlJc w:val="left"/>
      <w:pPr>
        <w:ind w:left="3990" w:hanging="360"/>
      </w:pPr>
      <w:rPr>
        <w:rFonts w:hint="default"/>
      </w:rPr>
    </w:lvl>
    <w:lvl w:ilvl="4">
      <w:start w:val="1"/>
      <w:numFmt w:val="lowerLetter"/>
      <w:lvlText w:val="(%5)"/>
      <w:lvlJc w:val="left"/>
      <w:pPr>
        <w:ind w:left="4350" w:hanging="360"/>
      </w:pPr>
      <w:rPr>
        <w:rFonts w:hint="default"/>
      </w:rPr>
    </w:lvl>
    <w:lvl w:ilvl="5">
      <w:start w:val="1"/>
      <w:numFmt w:val="lowerRoman"/>
      <w:lvlText w:val="(%6)"/>
      <w:lvlJc w:val="left"/>
      <w:pPr>
        <w:ind w:left="4710" w:hanging="360"/>
      </w:pPr>
      <w:rPr>
        <w:rFonts w:hint="default"/>
      </w:rPr>
    </w:lvl>
    <w:lvl w:ilvl="6">
      <w:start w:val="1"/>
      <w:numFmt w:val="decimal"/>
      <w:lvlText w:val="%7."/>
      <w:lvlJc w:val="left"/>
      <w:pPr>
        <w:ind w:left="5070" w:hanging="360"/>
      </w:pPr>
      <w:rPr>
        <w:rFonts w:hint="default"/>
      </w:rPr>
    </w:lvl>
    <w:lvl w:ilvl="7">
      <w:start w:val="1"/>
      <w:numFmt w:val="lowerLetter"/>
      <w:lvlText w:val="%8."/>
      <w:lvlJc w:val="left"/>
      <w:pPr>
        <w:ind w:left="5430" w:hanging="360"/>
      </w:pPr>
      <w:rPr>
        <w:rFonts w:hint="default"/>
      </w:rPr>
    </w:lvl>
    <w:lvl w:ilvl="8">
      <w:start w:val="1"/>
      <w:numFmt w:val="lowerRoman"/>
      <w:lvlText w:val="%9."/>
      <w:lvlJc w:val="left"/>
      <w:pPr>
        <w:ind w:left="579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034"/>
    <w:rsid w:val="000A5EFB"/>
    <w:rsid w:val="000E0034"/>
    <w:rsid w:val="002D641D"/>
    <w:rsid w:val="0030000B"/>
    <w:rsid w:val="003F4885"/>
    <w:rsid w:val="006017CA"/>
    <w:rsid w:val="006529CE"/>
    <w:rsid w:val="00687F84"/>
    <w:rsid w:val="00797C35"/>
    <w:rsid w:val="007A0E68"/>
    <w:rsid w:val="008A0413"/>
    <w:rsid w:val="008B23E8"/>
    <w:rsid w:val="008D43FA"/>
    <w:rsid w:val="008E7C32"/>
    <w:rsid w:val="00973006"/>
    <w:rsid w:val="009E4C7E"/>
    <w:rsid w:val="00B75813"/>
    <w:rsid w:val="00CC50F9"/>
    <w:rsid w:val="00CF43C4"/>
    <w:rsid w:val="00DD67BC"/>
    <w:rsid w:val="00F372FE"/>
  </w:rsids>
  <m:mathPr>
    <m:mathFont m:val="Cambria Math"/>
    <m:brkBin m:val="before"/>
    <m:brkBinSub m:val="--"/>
    <m:smallFrac m:val="0"/>
    <m:dispDef/>
    <m:lMargin m:val="0"/>
    <m:rMargin m:val="0"/>
    <m:defJc m:val="centerGroup"/>
    <m:wrapIndent m:val="1440"/>
    <m:intLim m:val="subSup"/>
    <m:naryLim m:val="undOvr"/>
  </m:mathPr>
  <w:themeFontLang w:val="en-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35BC"/>
  <w15:chartTrackingRefBased/>
  <w15:docId w15:val="{0834EBD5-6BAC-415E-A8D9-367B6411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7CA"/>
    <w:pPr>
      <w:spacing w:after="0" w:line="260" w:lineRule="atLeast"/>
      <w:jc w:val="both"/>
    </w:pPr>
    <w:rPr>
      <w:rFonts w:ascii="Palatino Linotype" w:eastAsia="SimSun" w:hAnsi="Palatino Linotype" w:cs="Times New Roman"/>
      <w:noProof/>
      <w:color w:val="000000"/>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rsid w:val="006017CA"/>
    <w:pPr>
      <w:adjustRightInd w:val="0"/>
      <w:snapToGrid w:val="0"/>
      <w:spacing w:after="0" w:line="228" w:lineRule="auto"/>
      <w:ind w:firstLine="425"/>
      <w:jc w:val="both"/>
    </w:pPr>
    <w:rPr>
      <w:rFonts w:ascii="Times New Roman" w:eastAsia="Times New Roman" w:hAnsi="Times New Roman" w:cs="Times New Roman"/>
      <w:snapToGrid w:val="0"/>
      <w:color w:val="000000"/>
      <w:lang w:val="en-US" w:eastAsia="de-DE" w:bidi="en-US"/>
    </w:rPr>
  </w:style>
  <w:style w:type="paragraph" w:customStyle="1" w:styleId="MDPI23heading3">
    <w:name w:val="MDPI_2.3_heading3"/>
    <w:basedOn w:val="MDPI22heading2"/>
    <w:qFormat/>
    <w:rsid w:val="006017CA"/>
    <w:pPr>
      <w:numPr>
        <w:ilvl w:val="2"/>
      </w:numPr>
      <w:ind w:left="360"/>
      <w:outlineLvl w:val="2"/>
    </w:pPr>
    <w:rPr>
      <w:snapToGrid/>
      <w:sz w:val="22"/>
    </w:rPr>
  </w:style>
  <w:style w:type="paragraph" w:customStyle="1" w:styleId="MDPI21heading1">
    <w:name w:val="MDPI_2.1_heading1"/>
    <w:next w:val="MDPI22heading2"/>
    <w:qFormat/>
    <w:rsid w:val="006017CA"/>
    <w:pPr>
      <w:numPr>
        <w:numId w:val="1"/>
      </w:numPr>
      <w:spacing w:before="240" w:after="0" w:line="240" w:lineRule="auto"/>
      <w:ind w:left="360"/>
      <w:outlineLvl w:val="0"/>
    </w:pPr>
    <w:rPr>
      <w:rFonts w:ascii="Times New Roman" w:eastAsia="SimSun" w:hAnsi="Times New Roman" w:cs="Times New Roman"/>
      <w:b/>
      <w:color w:val="000000"/>
      <w:sz w:val="28"/>
      <w:szCs w:val="20"/>
      <w:lang w:val="en-US" w:eastAsia="de-DE"/>
    </w:rPr>
  </w:style>
  <w:style w:type="paragraph" w:customStyle="1" w:styleId="MDPI22heading2">
    <w:name w:val="MDPI_2.2_heading2"/>
    <w:basedOn w:val="MDPI21heading1"/>
    <w:qFormat/>
    <w:rsid w:val="006017CA"/>
    <w:pPr>
      <w:numPr>
        <w:ilvl w:val="1"/>
      </w:numPr>
      <w:adjustRightInd w:val="0"/>
      <w:snapToGrid w:val="0"/>
      <w:spacing w:before="60" w:after="60" w:line="228" w:lineRule="auto"/>
      <w:ind w:left="360"/>
      <w:outlineLvl w:val="1"/>
    </w:pPr>
    <w:rPr>
      <w:rFonts w:eastAsia="Times New Roman"/>
      <w:noProof/>
      <w:snapToGrid w:val="0"/>
      <w:sz w:val="24"/>
      <w:szCs w:val="22"/>
      <w:lang w:bidi="en-US"/>
    </w:rPr>
  </w:style>
  <w:style w:type="paragraph" w:styleId="Caption">
    <w:name w:val="caption"/>
    <w:basedOn w:val="Normal"/>
    <w:next w:val="Normal"/>
    <w:unhideWhenUsed/>
    <w:qFormat/>
    <w:rsid w:val="006017CA"/>
    <w:pPr>
      <w:spacing w:after="200" w:line="240" w:lineRule="auto"/>
    </w:pPr>
    <w:rPr>
      <w:i/>
      <w:iCs/>
      <w:color w:val="44546A" w:themeColor="text2"/>
      <w:sz w:val="18"/>
      <w:szCs w:val="18"/>
    </w:rPr>
  </w:style>
  <w:style w:type="numbering" w:customStyle="1" w:styleId="Headings">
    <w:name w:val="Headings"/>
    <w:uiPriority w:val="99"/>
    <w:rsid w:val="006017CA"/>
    <w:pPr>
      <w:numPr>
        <w:numId w:val="1"/>
      </w:numPr>
    </w:pPr>
  </w:style>
  <w:style w:type="paragraph" w:customStyle="1" w:styleId="MDPI51figurecaption">
    <w:name w:val="MDPI_5.1_figure_caption"/>
    <w:qFormat/>
    <w:rsid w:val="008E7C32"/>
    <w:pPr>
      <w:adjustRightInd w:val="0"/>
      <w:snapToGrid w:val="0"/>
      <w:spacing w:before="120" w:after="240" w:line="228" w:lineRule="auto"/>
      <w:ind w:left="2608"/>
      <w:jc w:val="both"/>
    </w:pPr>
    <w:rPr>
      <w:rFonts w:ascii="Times New Roman" w:eastAsia="Times New Roman" w:hAnsi="Times New Roman" w:cs="Times New Roman"/>
      <w:color w:val="000000"/>
      <w:sz w:val="18"/>
      <w:szCs w:val="20"/>
      <w:lang w:val="en-US" w:eastAsia="de-DE" w:bidi="en-US"/>
    </w:rPr>
  </w:style>
  <w:style w:type="paragraph" w:customStyle="1" w:styleId="MDPI41tablecaption">
    <w:name w:val="MDPI_4.1_table_caption"/>
    <w:qFormat/>
    <w:rsid w:val="000A5EFB"/>
    <w:pPr>
      <w:adjustRightInd w:val="0"/>
      <w:snapToGrid w:val="0"/>
      <w:spacing w:before="240" w:after="120" w:line="228" w:lineRule="auto"/>
      <w:ind w:left="2608"/>
      <w:jc w:val="both"/>
    </w:pPr>
    <w:rPr>
      <w:rFonts w:ascii="Times New Roman" w:eastAsia="Times New Roman" w:hAnsi="Times New Roman" w:cs="Cordia New"/>
      <w:color w:val="000000"/>
      <w:sz w:val="18"/>
      <w:lang w:val="en-US" w:eastAsia="de-DE" w:bidi="en-US"/>
    </w:rPr>
  </w:style>
  <w:style w:type="paragraph" w:customStyle="1" w:styleId="MDPI42tablebody">
    <w:name w:val="MDPI_4.2_table_body"/>
    <w:qFormat/>
    <w:rsid w:val="000A5EFB"/>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538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Prigent Gaëlle</dc:creator>
  <cp:keywords/>
  <dc:description/>
  <cp:lastModifiedBy>Prigent Gaëlle</cp:lastModifiedBy>
  <cp:revision>15</cp:revision>
  <dcterms:created xsi:type="dcterms:W3CDTF">2022-09-23T15:39:00Z</dcterms:created>
  <dcterms:modified xsi:type="dcterms:W3CDTF">2022-12-30T11:49:00Z</dcterms:modified>
</cp:coreProperties>
</file>