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5D743" w14:textId="7C75B871" w:rsidR="001F3E1A" w:rsidRPr="00D50A8B" w:rsidRDefault="00EF30E8" w:rsidP="00D50A8B">
      <w:pPr>
        <w:jc w:val="center"/>
        <w:rPr>
          <w:rFonts w:ascii="Arial" w:hAnsi="Arial" w:cs="Arial"/>
          <w:sz w:val="24"/>
          <w:szCs w:val="24"/>
          <w:lang w:val="en-GB"/>
        </w:rPr>
      </w:pPr>
      <w:r w:rsidRPr="00A7665A">
        <w:rPr>
          <w:rFonts w:ascii="Arial" w:hAnsi="Arial" w:cs="Arial"/>
          <w:sz w:val="24"/>
          <w:szCs w:val="24"/>
          <w:lang w:val="en-GB"/>
        </w:rPr>
        <w:t>S</w:t>
      </w:r>
      <w:r w:rsidR="007D7061" w:rsidRPr="00A7665A">
        <w:rPr>
          <w:rFonts w:ascii="Arial" w:hAnsi="Arial" w:cs="Arial"/>
          <w:sz w:val="24"/>
          <w:szCs w:val="24"/>
          <w:lang w:val="en-GB"/>
        </w:rPr>
        <w:t>upplementary</w:t>
      </w:r>
      <w:r w:rsidRPr="00A7665A">
        <w:rPr>
          <w:rFonts w:ascii="Arial" w:hAnsi="Arial" w:cs="Arial"/>
          <w:sz w:val="24"/>
          <w:szCs w:val="24"/>
          <w:lang w:val="en-GB"/>
        </w:rPr>
        <w:t xml:space="preserve"> M</w:t>
      </w:r>
      <w:r w:rsidR="007D7061" w:rsidRPr="00A7665A">
        <w:rPr>
          <w:rFonts w:ascii="Arial" w:hAnsi="Arial" w:cs="Arial"/>
          <w:sz w:val="24"/>
          <w:szCs w:val="24"/>
          <w:lang w:val="en-GB"/>
        </w:rPr>
        <w:t>aterial</w:t>
      </w:r>
      <w:r w:rsidR="00E01E65" w:rsidRPr="00A7665A">
        <w:rPr>
          <w:rFonts w:ascii="Arial" w:hAnsi="Arial" w:cs="Arial"/>
          <w:sz w:val="24"/>
          <w:szCs w:val="24"/>
          <w:lang w:val="en-GB"/>
        </w:rPr>
        <w:t xml:space="preserve"> </w:t>
      </w:r>
    </w:p>
    <w:p w14:paraId="345D6D54" w14:textId="7BE98628" w:rsidR="002B1808" w:rsidRPr="00891F9C" w:rsidRDefault="00EF30E8" w:rsidP="00891F9C">
      <w:pPr>
        <w:spacing w:line="360" w:lineRule="auto"/>
        <w:jc w:val="both"/>
        <w:rPr>
          <w:rFonts w:ascii="Arial" w:hAnsi="Arial" w:cs="Arial"/>
          <w:b/>
          <w:bCs/>
          <w:sz w:val="20"/>
          <w:szCs w:val="20"/>
          <w:lang w:val="en-GB"/>
        </w:rPr>
      </w:pPr>
      <w:r w:rsidRPr="00891F9C">
        <w:rPr>
          <w:rFonts w:ascii="Arial" w:hAnsi="Arial" w:cs="Arial"/>
          <w:b/>
          <w:bCs/>
          <w:sz w:val="20"/>
          <w:szCs w:val="20"/>
          <w:lang w:val="en-GB"/>
        </w:rPr>
        <w:t xml:space="preserve">S1 </w:t>
      </w:r>
      <w:r w:rsidRPr="00891F9C">
        <w:rPr>
          <w:rFonts w:ascii="Arial" w:hAnsi="Arial" w:cs="Arial"/>
          <w:b/>
          <w:bCs/>
          <w:sz w:val="20"/>
          <w:szCs w:val="20"/>
          <w:lang w:val="en-GB"/>
        </w:rPr>
        <w:tab/>
      </w:r>
      <w:r w:rsidR="00480766" w:rsidRPr="00891F9C">
        <w:rPr>
          <w:rFonts w:ascii="Arial" w:hAnsi="Arial" w:cs="Arial"/>
          <w:b/>
          <w:bCs/>
          <w:sz w:val="20"/>
          <w:szCs w:val="20"/>
          <w:lang w:val="en-GB"/>
        </w:rPr>
        <w:t>Initial approach to validation</w:t>
      </w:r>
    </w:p>
    <w:p w14:paraId="1211A2FC" w14:textId="242A34BC" w:rsidR="00BE0C50" w:rsidRPr="00891F9C" w:rsidRDefault="00BE0C50" w:rsidP="00891F9C">
      <w:pPr>
        <w:spacing w:line="360" w:lineRule="auto"/>
        <w:jc w:val="both"/>
        <w:rPr>
          <w:rFonts w:ascii="Arial" w:hAnsi="Arial" w:cs="Arial"/>
          <w:kern w:val="0"/>
          <w:sz w:val="20"/>
          <w:szCs w:val="20"/>
          <w:lang w:val="en-US"/>
        </w:rPr>
      </w:pPr>
      <w:r w:rsidRPr="00891F9C">
        <w:rPr>
          <w:rFonts w:ascii="Arial" w:hAnsi="Arial" w:cs="Arial"/>
          <w:kern w:val="0"/>
          <w:sz w:val="20"/>
          <w:szCs w:val="20"/>
          <w:lang w:val="en-US"/>
        </w:rPr>
        <w:t>The initial validation approach for a literature-based 3-channel conditional GAN (cGAN) [</w:t>
      </w:r>
      <w:r w:rsidR="000512DE" w:rsidRPr="00891F9C">
        <w:rPr>
          <w:rFonts w:ascii="Arial" w:hAnsi="Arial" w:cs="Arial"/>
          <w:kern w:val="0"/>
          <w:sz w:val="20"/>
          <w:szCs w:val="20"/>
          <w:lang w:val="en-US"/>
        </w:rPr>
        <w:t>36</w:t>
      </w:r>
      <w:r w:rsidRPr="00891F9C">
        <w:rPr>
          <w:rFonts w:ascii="Arial" w:hAnsi="Arial" w:cs="Arial"/>
          <w:kern w:val="0"/>
          <w:sz w:val="20"/>
          <w:szCs w:val="20"/>
          <w:lang w:val="en-US"/>
        </w:rPr>
        <w:t>], designed to generate synthetic CT (sCT) images from abdominal MRI for radiotherapy applications, utilized original CT/MRI phantoms. Specifically, the CT XCAT phantoms [</w:t>
      </w:r>
      <w:r w:rsidR="00891F9C">
        <w:rPr>
          <w:rFonts w:ascii="Arial" w:hAnsi="Arial" w:cs="Arial"/>
          <w:kern w:val="0"/>
          <w:sz w:val="20"/>
          <w:szCs w:val="20"/>
          <w:lang w:val="en-US"/>
        </w:rPr>
        <w:t>12</w:t>
      </w:r>
      <w:r w:rsidRPr="00891F9C">
        <w:rPr>
          <w:rFonts w:ascii="Arial" w:hAnsi="Arial" w:cs="Arial"/>
          <w:kern w:val="0"/>
          <w:sz w:val="20"/>
          <w:szCs w:val="20"/>
          <w:lang w:val="en-US"/>
        </w:rPr>
        <w:t>] and their corresponding MRI versions, generated using the CoMBAT framework [</w:t>
      </w:r>
      <w:r w:rsidR="000512DE" w:rsidRPr="00891F9C">
        <w:rPr>
          <w:rFonts w:ascii="Arial" w:hAnsi="Arial" w:cs="Arial"/>
          <w:kern w:val="0"/>
          <w:sz w:val="20"/>
          <w:szCs w:val="20"/>
          <w:lang w:val="en-US"/>
        </w:rPr>
        <w:t>20</w:t>
      </w:r>
      <w:r w:rsidRPr="00891F9C">
        <w:rPr>
          <w:rFonts w:ascii="Arial" w:hAnsi="Arial" w:cs="Arial"/>
          <w:kern w:val="0"/>
          <w:sz w:val="20"/>
          <w:szCs w:val="20"/>
          <w:lang w:val="en-US"/>
        </w:rPr>
        <w:t>], served as ground truth data for validation purposes.</w:t>
      </w:r>
    </w:p>
    <w:p w14:paraId="31E8AE18" w14:textId="1993483B" w:rsidR="00BE0C50" w:rsidRPr="00891F9C" w:rsidRDefault="00BE0C50" w:rsidP="00891F9C">
      <w:pPr>
        <w:spacing w:line="360" w:lineRule="auto"/>
        <w:jc w:val="both"/>
        <w:rPr>
          <w:rFonts w:ascii="Arial" w:hAnsi="Arial" w:cs="Arial"/>
          <w:kern w:val="0"/>
          <w:sz w:val="20"/>
          <w:szCs w:val="20"/>
          <w:lang w:val="en-US"/>
        </w:rPr>
      </w:pPr>
      <w:r w:rsidRPr="00891F9C">
        <w:rPr>
          <w:rFonts w:ascii="Arial" w:hAnsi="Arial" w:cs="Arial"/>
          <w:kern w:val="0"/>
          <w:sz w:val="20"/>
          <w:szCs w:val="20"/>
          <w:lang w:val="en-US"/>
        </w:rPr>
        <w:t>Prior to testing the cGAN on phantom data, the MRI phantoms underwent preprocessing to match the format of the 3-channel cGAN training input. This included denoising, contrast enhancement, background removal, and histogram matching. Bias field correction was deliberately excluded, as synthetic MRIs do not exhibit magnetic field inhomogeneities.</w:t>
      </w:r>
      <w:r w:rsidR="00D50A8B">
        <w:rPr>
          <w:rFonts w:ascii="Arial" w:hAnsi="Arial" w:cs="Arial"/>
          <w:kern w:val="0"/>
          <w:sz w:val="20"/>
          <w:szCs w:val="20"/>
          <w:lang w:val="en-US"/>
        </w:rPr>
        <w:t xml:space="preserve"> </w:t>
      </w:r>
      <w:r w:rsidRPr="00891F9C">
        <w:rPr>
          <w:rFonts w:ascii="Arial" w:hAnsi="Arial" w:cs="Arial"/>
          <w:kern w:val="0"/>
          <w:sz w:val="20"/>
          <w:szCs w:val="20"/>
          <w:lang w:val="en-US"/>
        </w:rPr>
        <w:t>The cGAN then generated sCT images, which were compared against the original XCAT CT phantoms serving as ground truth. However, the results showed a notable discrepancy from those obtained using real patient data (see Figure S1). In particular, the Mean Absolute Error (MAE) in bone regions was significantly higher (549.95 HU), primarily due to the limited intensity range of bone structures in the XCAT CT phantoms, which feature only two discrete values. This contrasts with the broader and more continuous intensity distribution present in actual patient data.</w:t>
      </w:r>
      <w:r w:rsidR="00D50A8B">
        <w:rPr>
          <w:rFonts w:ascii="Arial" w:hAnsi="Arial" w:cs="Arial"/>
          <w:kern w:val="0"/>
          <w:sz w:val="20"/>
          <w:szCs w:val="20"/>
          <w:lang w:val="en-US"/>
        </w:rPr>
        <w:t xml:space="preserve"> </w:t>
      </w:r>
      <w:r w:rsidRPr="00891F9C">
        <w:rPr>
          <w:rFonts w:ascii="Arial" w:hAnsi="Arial" w:cs="Arial"/>
          <w:kern w:val="0"/>
          <w:sz w:val="20"/>
          <w:szCs w:val="20"/>
          <w:lang w:val="en-US"/>
        </w:rPr>
        <w:t>As illustrated in Figure S1, the sCT histogram exhibits a continuous intensity distribution, whereas the XCAT CT histogram retains a discretized profile with only a few distinct values. This observation is further supported by the quantitative analysis in Table S1. For methodological and metric details, refer to Section 3 of the manuscript.</w:t>
      </w:r>
    </w:p>
    <w:p w14:paraId="4E2D60AA" w14:textId="5DC6A231" w:rsidR="00655DBB" w:rsidRPr="00D50A8B" w:rsidRDefault="009B2DF6" w:rsidP="00480766">
      <w:pPr>
        <w:autoSpaceDE w:val="0"/>
        <w:autoSpaceDN w:val="0"/>
        <w:adjustRightInd w:val="0"/>
        <w:spacing w:after="0" w:line="360" w:lineRule="auto"/>
        <w:rPr>
          <w:rFonts w:ascii="Arial" w:hAnsi="Arial" w:cs="Arial"/>
          <w:kern w:val="0"/>
          <w:sz w:val="20"/>
          <w:szCs w:val="20"/>
          <w:lang w:val="en-US"/>
        </w:rPr>
      </w:pPr>
      <w:r w:rsidRPr="00A7665A">
        <w:rPr>
          <w:rFonts w:ascii="Arial" w:hAnsi="Arial" w:cs="Arial"/>
          <w:noProof/>
          <w:kern w:val="0"/>
          <w:lang w:val="en-GB"/>
        </w:rPr>
        <w:drawing>
          <wp:anchor distT="0" distB="0" distL="114300" distR="114300" simplePos="0" relativeHeight="251663360" behindDoc="0" locked="0" layoutInCell="1" allowOverlap="1" wp14:anchorId="4AC103B8" wp14:editId="70BA5AC9">
            <wp:simplePos x="0" y="0"/>
            <wp:positionH relativeFrom="margin">
              <wp:posOffset>-1270</wp:posOffset>
            </wp:positionH>
            <wp:positionV relativeFrom="paragraph">
              <wp:posOffset>979170</wp:posOffset>
            </wp:positionV>
            <wp:extent cx="6121400" cy="2350135"/>
            <wp:effectExtent l="0" t="0" r="0" b="0"/>
            <wp:wrapTopAndBottom/>
            <wp:docPr id="1389360034" name="Immagine 1" descr="Immagine che contiene schermata, testo, lastra dei raggi X&#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60034" name="Immagine 1" descr="Immagine che contiene schermata, testo, lastra dei raggi X&#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1400" cy="2350135"/>
                    </a:xfrm>
                    <a:prstGeom prst="rect">
                      <a:avLst/>
                    </a:prstGeom>
                  </pic:spPr>
                </pic:pic>
              </a:graphicData>
            </a:graphic>
            <wp14:sizeRelH relativeFrom="margin">
              <wp14:pctWidth>0</wp14:pctWidth>
            </wp14:sizeRelH>
            <wp14:sizeRelV relativeFrom="margin">
              <wp14:pctHeight>0</wp14:pctHeight>
            </wp14:sizeRelV>
          </wp:anchor>
        </w:drawing>
      </w:r>
      <w:r w:rsidR="00BE0C50" w:rsidRPr="00891F9C">
        <w:rPr>
          <w:rFonts w:ascii="Arial" w:hAnsi="Arial" w:cs="Arial"/>
          <w:kern w:val="0"/>
          <w:sz w:val="20"/>
          <w:szCs w:val="20"/>
          <w:lang w:val="en-US"/>
        </w:rPr>
        <w:t>These findings highlight the importance of aligning the test data’s intensity distribution with that of the training data for valid evaluation. Consequently, to preserve the ground truth benefits of using phantoms while ensuring meaningful performance assessment, it became necessary to enhance the phantoms with more realistic imaging characteristics.</w:t>
      </w:r>
    </w:p>
    <w:p w14:paraId="11E5F5C2" w14:textId="1EB340B8" w:rsidR="00DE41C2" w:rsidRPr="00D50A8B" w:rsidRDefault="00655DBB" w:rsidP="00D50A8B">
      <w:pPr>
        <w:pStyle w:val="Didascalia"/>
        <w:rPr>
          <w:rFonts w:ascii="Arial" w:hAnsi="Arial" w:cs="Arial"/>
          <w:noProof/>
          <w:color w:val="auto"/>
          <w:kern w:val="0"/>
          <w:lang w:val="en-GB"/>
        </w:rPr>
      </w:pPr>
      <w:r w:rsidRPr="00A7665A">
        <w:rPr>
          <w:rFonts w:ascii="Arial" w:hAnsi="Arial" w:cs="Arial"/>
          <w:b/>
          <w:bCs/>
          <w:color w:val="auto"/>
          <w:lang w:val="en-GB"/>
        </w:rPr>
        <w:t xml:space="preserve">Figure </w:t>
      </w:r>
      <w:r w:rsidR="000072D0" w:rsidRPr="00A7665A">
        <w:rPr>
          <w:rFonts w:ascii="Arial" w:hAnsi="Arial" w:cs="Arial"/>
          <w:b/>
          <w:bCs/>
          <w:color w:val="auto"/>
          <w:lang w:val="en-GB"/>
        </w:rPr>
        <w:t>S</w:t>
      </w:r>
      <w:r w:rsidRPr="00A7665A">
        <w:rPr>
          <w:rFonts w:ascii="Arial" w:hAnsi="Arial" w:cs="Arial"/>
          <w:b/>
          <w:bCs/>
          <w:color w:val="auto"/>
        </w:rPr>
        <w:fldChar w:fldCharType="begin"/>
      </w:r>
      <w:r w:rsidRPr="00A7665A">
        <w:rPr>
          <w:rFonts w:ascii="Arial" w:hAnsi="Arial" w:cs="Arial"/>
          <w:b/>
          <w:bCs/>
          <w:color w:val="auto"/>
          <w:lang w:val="en-GB"/>
        </w:rPr>
        <w:instrText xml:space="preserve"> SEQ Figure \* ARABIC </w:instrText>
      </w:r>
      <w:r w:rsidRPr="00A7665A">
        <w:rPr>
          <w:rFonts w:ascii="Arial" w:hAnsi="Arial" w:cs="Arial"/>
          <w:b/>
          <w:bCs/>
          <w:color w:val="auto"/>
        </w:rPr>
        <w:fldChar w:fldCharType="separate"/>
      </w:r>
      <w:r w:rsidRPr="00A7665A">
        <w:rPr>
          <w:rFonts w:ascii="Arial" w:hAnsi="Arial" w:cs="Arial"/>
          <w:b/>
          <w:bCs/>
          <w:noProof/>
          <w:color w:val="auto"/>
          <w:lang w:val="en-GB"/>
        </w:rPr>
        <w:t>1</w:t>
      </w:r>
      <w:r w:rsidRPr="00A7665A">
        <w:rPr>
          <w:rFonts w:ascii="Arial" w:hAnsi="Arial" w:cs="Arial"/>
          <w:b/>
          <w:bCs/>
          <w:color w:val="auto"/>
        </w:rPr>
        <w:fldChar w:fldCharType="end"/>
      </w:r>
      <w:r w:rsidRPr="00A7665A">
        <w:rPr>
          <w:rFonts w:ascii="Arial" w:hAnsi="Arial" w:cs="Arial"/>
          <w:color w:val="auto"/>
          <w:lang w:val="en-GB"/>
        </w:rPr>
        <w:t xml:space="preserve"> – initial approach to validation. </w:t>
      </w:r>
    </w:p>
    <w:p w14:paraId="4CD8DB43" w14:textId="77777777" w:rsidR="00D50A8B" w:rsidRPr="00A7665A" w:rsidRDefault="00D50A8B" w:rsidP="004A4D19">
      <w:pPr>
        <w:autoSpaceDE w:val="0"/>
        <w:autoSpaceDN w:val="0"/>
        <w:adjustRightInd w:val="0"/>
        <w:spacing w:after="0" w:line="276" w:lineRule="auto"/>
        <w:rPr>
          <w:rFonts w:ascii="Arial" w:hAnsi="Arial" w:cs="Arial"/>
          <w:kern w:val="0"/>
          <w:sz w:val="18"/>
          <w:szCs w:val="18"/>
          <w:lang w:val="en-GB"/>
        </w:rPr>
      </w:pPr>
    </w:p>
    <w:tbl>
      <w:tblPr>
        <w:tblStyle w:val="Grigliatabella"/>
        <w:tblW w:w="10207" w:type="dxa"/>
        <w:tblInd w:w="-292" w:type="dxa"/>
        <w:tblLook w:val="04A0" w:firstRow="1" w:lastRow="0" w:firstColumn="1" w:lastColumn="0" w:noHBand="0" w:noVBand="1"/>
      </w:tblPr>
      <w:tblGrid>
        <w:gridCol w:w="993"/>
        <w:gridCol w:w="993"/>
        <w:gridCol w:w="1134"/>
        <w:gridCol w:w="992"/>
        <w:gridCol w:w="1559"/>
        <w:gridCol w:w="1276"/>
        <w:gridCol w:w="850"/>
        <w:gridCol w:w="1192"/>
        <w:gridCol w:w="1218"/>
      </w:tblGrid>
      <w:tr w:rsidR="00B54329" w:rsidRPr="00A7665A" w14:paraId="00B42F60" w14:textId="77777777" w:rsidTr="00DE41C2">
        <w:tc>
          <w:tcPr>
            <w:tcW w:w="993" w:type="dxa"/>
          </w:tcPr>
          <w:p w14:paraId="0F27A04D" w14:textId="77777777"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p>
        </w:tc>
        <w:tc>
          <w:tcPr>
            <w:tcW w:w="993" w:type="dxa"/>
          </w:tcPr>
          <w:p w14:paraId="7E3D622A" w14:textId="37DB66C1" w:rsidR="00B54329" w:rsidRPr="00A7665A" w:rsidRDefault="00B54329" w:rsidP="00DE41C2">
            <w:pPr>
              <w:autoSpaceDE w:val="0"/>
              <w:autoSpaceDN w:val="0"/>
              <w:adjustRightInd w:val="0"/>
              <w:spacing w:line="276" w:lineRule="auto"/>
              <w:jc w:val="center"/>
              <w:rPr>
                <w:rFonts w:ascii="Arial" w:hAnsi="Arial" w:cs="Arial"/>
                <w:b/>
                <w:bCs/>
                <w:kern w:val="0"/>
                <w:sz w:val="18"/>
                <w:szCs w:val="18"/>
                <w:lang w:val="en-GB"/>
              </w:rPr>
            </w:pPr>
            <w:r w:rsidRPr="00A7665A">
              <w:rPr>
                <w:rFonts w:ascii="Arial" w:hAnsi="Arial" w:cs="Arial"/>
                <w:b/>
                <w:bCs/>
                <w:kern w:val="0"/>
                <w:sz w:val="18"/>
                <w:szCs w:val="18"/>
                <w:lang w:val="en-GB"/>
              </w:rPr>
              <w:t>MAE tot</w:t>
            </w:r>
          </w:p>
        </w:tc>
        <w:tc>
          <w:tcPr>
            <w:tcW w:w="1134" w:type="dxa"/>
          </w:tcPr>
          <w:p w14:paraId="13EBEE4E" w14:textId="1340E6AD" w:rsidR="00B54329" w:rsidRPr="00A7665A" w:rsidRDefault="00B54329" w:rsidP="00DE41C2">
            <w:pPr>
              <w:autoSpaceDE w:val="0"/>
              <w:autoSpaceDN w:val="0"/>
              <w:adjustRightInd w:val="0"/>
              <w:spacing w:line="276" w:lineRule="auto"/>
              <w:jc w:val="center"/>
              <w:rPr>
                <w:rFonts w:ascii="Arial" w:hAnsi="Arial" w:cs="Arial"/>
                <w:b/>
                <w:bCs/>
                <w:kern w:val="0"/>
                <w:sz w:val="18"/>
                <w:szCs w:val="18"/>
                <w:lang w:val="en-GB"/>
              </w:rPr>
            </w:pPr>
            <w:r w:rsidRPr="00A7665A">
              <w:rPr>
                <w:rFonts w:ascii="Arial" w:hAnsi="Arial" w:cs="Arial"/>
                <w:b/>
                <w:bCs/>
                <w:kern w:val="0"/>
                <w:sz w:val="18"/>
                <w:szCs w:val="18"/>
                <w:lang w:val="en-GB"/>
              </w:rPr>
              <w:t>MAE bone</w:t>
            </w:r>
          </w:p>
        </w:tc>
        <w:tc>
          <w:tcPr>
            <w:tcW w:w="992" w:type="dxa"/>
          </w:tcPr>
          <w:p w14:paraId="5D21E25A" w14:textId="3200D4BA" w:rsidR="00B54329" w:rsidRPr="00A7665A" w:rsidRDefault="00B54329" w:rsidP="00DE41C2">
            <w:pPr>
              <w:autoSpaceDE w:val="0"/>
              <w:autoSpaceDN w:val="0"/>
              <w:adjustRightInd w:val="0"/>
              <w:spacing w:line="276" w:lineRule="auto"/>
              <w:jc w:val="center"/>
              <w:rPr>
                <w:rFonts w:ascii="Arial" w:hAnsi="Arial" w:cs="Arial"/>
                <w:b/>
                <w:bCs/>
                <w:kern w:val="0"/>
                <w:sz w:val="18"/>
                <w:szCs w:val="18"/>
                <w:lang w:val="en-GB"/>
              </w:rPr>
            </w:pPr>
            <w:r w:rsidRPr="00A7665A">
              <w:rPr>
                <w:rFonts w:ascii="Arial" w:hAnsi="Arial" w:cs="Arial"/>
                <w:b/>
                <w:bCs/>
                <w:kern w:val="0"/>
                <w:sz w:val="18"/>
                <w:szCs w:val="18"/>
                <w:lang w:val="en-GB"/>
              </w:rPr>
              <w:t>MAE air</w:t>
            </w:r>
          </w:p>
        </w:tc>
        <w:tc>
          <w:tcPr>
            <w:tcW w:w="1559" w:type="dxa"/>
          </w:tcPr>
          <w:p w14:paraId="77F5837D" w14:textId="70B48FE3" w:rsidR="00B54329" w:rsidRPr="00A7665A" w:rsidRDefault="00B54329" w:rsidP="00DE41C2">
            <w:pPr>
              <w:autoSpaceDE w:val="0"/>
              <w:autoSpaceDN w:val="0"/>
              <w:adjustRightInd w:val="0"/>
              <w:spacing w:line="276" w:lineRule="auto"/>
              <w:jc w:val="center"/>
              <w:rPr>
                <w:rFonts w:ascii="Arial" w:hAnsi="Arial" w:cs="Arial"/>
                <w:b/>
                <w:bCs/>
                <w:kern w:val="0"/>
                <w:sz w:val="18"/>
                <w:szCs w:val="18"/>
                <w:lang w:val="en-GB"/>
              </w:rPr>
            </w:pPr>
            <w:r w:rsidRPr="00A7665A">
              <w:rPr>
                <w:rFonts w:ascii="Arial" w:hAnsi="Arial" w:cs="Arial"/>
                <w:b/>
                <w:bCs/>
                <w:kern w:val="0"/>
                <w:sz w:val="18"/>
                <w:szCs w:val="18"/>
                <w:lang w:val="en-GB"/>
              </w:rPr>
              <w:t>MAE soft [H.U.]</w:t>
            </w:r>
          </w:p>
        </w:tc>
        <w:tc>
          <w:tcPr>
            <w:tcW w:w="1276" w:type="dxa"/>
          </w:tcPr>
          <w:p w14:paraId="20C248B9" w14:textId="582295AF" w:rsidR="00B54329" w:rsidRPr="00A7665A" w:rsidRDefault="00B54329" w:rsidP="00DE41C2">
            <w:pPr>
              <w:autoSpaceDE w:val="0"/>
              <w:autoSpaceDN w:val="0"/>
              <w:adjustRightInd w:val="0"/>
              <w:spacing w:line="276" w:lineRule="auto"/>
              <w:jc w:val="center"/>
              <w:rPr>
                <w:rFonts w:ascii="Arial" w:hAnsi="Arial" w:cs="Arial"/>
                <w:b/>
                <w:bCs/>
                <w:kern w:val="0"/>
                <w:sz w:val="18"/>
                <w:szCs w:val="18"/>
                <w:lang w:val="en-GB"/>
              </w:rPr>
            </w:pPr>
            <w:r w:rsidRPr="00A7665A">
              <w:rPr>
                <w:rFonts w:ascii="Arial" w:hAnsi="Arial" w:cs="Arial"/>
                <w:b/>
                <w:bCs/>
                <w:kern w:val="0"/>
                <w:sz w:val="18"/>
                <w:szCs w:val="18"/>
                <w:lang w:val="en-GB"/>
              </w:rPr>
              <w:t>RMSE</w:t>
            </w:r>
            <w:r w:rsidR="00DE41C2" w:rsidRPr="00A7665A">
              <w:rPr>
                <w:rFonts w:ascii="Arial" w:hAnsi="Arial" w:cs="Arial"/>
                <w:b/>
                <w:bCs/>
                <w:kern w:val="0"/>
                <w:sz w:val="18"/>
                <w:szCs w:val="18"/>
                <w:lang w:val="en-GB"/>
              </w:rPr>
              <w:t xml:space="preserve"> </w:t>
            </w:r>
            <w:r w:rsidRPr="00A7665A">
              <w:rPr>
                <w:rFonts w:ascii="Arial" w:hAnsi="Arial" w:cs="Arial"/>
                <w:b/>
                <w:bCs/>
                <w:kern w:val="0"/>
                <w:sz w:val="18"/>
                <w:szCs w:val="18"/>
                <w:lang w:val="en-GB"/>
              </w:rPr>
              <w:t>[H.U.]</w:t>
            </w:r>
          </w:p>
        </w:tc>
        <w:tc>
          <w:tcPr>
            <w:tcW w:w="850" w:type="dxa"/>
          </w:tcPr>
          <w:p w14:paraId="586CB3DA" w14:textId="714388F5" w:rsidR="00B54329" w:rsidRPr="00A7665A" w:rsidRDefault="00B54329" w:rsidP="00DE41C2">
            <w:pPr>
              <w:autoSpaceDE w:val="0"/>
              <w:autoSpaceDN w:val="0"/>
              <w:adjustRightInd w:val="0"/>
              <w:spacing w:line="276" w:lineRule="auto"/>
              <w:jc w:val="center"/>
              <w:rPr>
                <w:rFonts w:ascii="Arial" w:hAnsi="Arial" w:cs="Arial"/>
                <w:b/>
                <w:bCs/>
                <w:kern w:val="0"/>
                <w:sz w:val="18"/>
                <w:szCs w:val="18"/>
                <w:lang w:val="en-GB"/>
              </w:rPr>
            </w:pPr>
            <w:r w:rsidRPr="00A7665A">
              <w:rPr>
                <w:rFonts w:ascii="Arial" w:hAnsi="Arial" w:cs="Arial"/>
                <w:b/>
                <w:bCs/>
                <w:kern w:val="0"/>
                <w:sz w:val="18"/>
                <w:szCs w:val="18"/>
                <w:lang w:val="en-GB"/>
              </w:rPr>
              <w:t>SSIM</w:t>
            </w:r>
          </w:p>
        </w:tc>
        <w:tc>
          <w:tcPr>
            <w:tcW w:w="1192" w:type="dxa"/>
          </w:tcPr>
          <w:p w14:paraId="5D3C9972" w14:textId="105988DA" w:rsidR="00B54329" w:rsidRPr="00A7665A" w:rsidRDefault="00B54329" w:rsidP="00DE41C2">
            <w:pPr>
              <w:autoSpaceDE w:val="0"/>
              <w:autoSpaceDN w:val="0"/>
              <w:adjustRightInd w:val="0"/>
              <w:spacing w:line="276" w:lineRule="auto"/>
              <w:jc w:val="center"/>
              <w:rPr>
                <w:rFonts w:ascii="Arial" w:hAnsi="Arial" w:cs="Arial"/>
                <w:b/>
                <w:bCs/>
                <w:kern w:val="0"/>
                <w:sz w:val="18"/>
                <w:szCs w:val="18"/>
                <w:lang w:val="en-GB"/>
              </w:rPr>
            </w:pPr>
            <w:r w:rsidRPr="00A7665A">
              <w:rPr>
                <w:rFonts w:ascii="Arial" w:hAnsi="Arial" w:cs="Arial"/>
                <w:b/>
                <w:bCs/>
                <w:kern w:val="0"/>
                <w:sz w:val="18"/>
                <w:szCs w:val="18"/>
                <w:lang w:val="en-GB"/>
              </w:rPr>
              <w:t>PSNR</w:t>
            </w:r>
            <w:r w:rsidR="00DE41C2" w:rsidRPr="00A7665A">
              <w:rPr>
                <w:rFonts w:ascii="Arial" w:hAnsi="Arial" w:cs="Arial"/>
                <w:b/>
                <w:bCs/>
                <w:kern w:val="0"/>
                <w:sz w:val="18"/>
                <w:szCs w:val="18"/>
                <w:lang w:val="en-GB"/>
              </w:rPr>
              <w:t xml:space="preserve"> </w:t>
            </w:r>
            <w:r w:rsidRPr="00A7665A">
              <w:rPr>
                <w:rFonts w:ascii="Arial" w:hAnsi="Arial" w:cs="Arial"/>
                <w:b/>
                <w:bCs/>
                <w:kern w:val="0"/>
                <w:sz w:val="18"/>
                <w:szCs w:val="18"/>
                <w:lang w:val="en-GB"/>
              </w:rPr>
              <w:t>[dB]</w:t>
            </w:r>
          </w:p>
        </w:tc>
        <w:tc>
          <w:tcPr>
            <w:tcW w:w="1218" w:type="dxa"/>
          </w:tcPr>
          <w:p w14:paraId="78D78FCA" w14:textId="5973D944" w:rsidR="00B54329" w:rsidRPr="00A7665A" w:rsidRDefault="00B54329" w:rsidP="00DE41C2">
            <w:pPr>
              <w:autoSpaceDE w:val="0"/>
              <w:autoSpaceDN w:val="0"/>
              <w:adjustRightInd w:val="0"/>
              <w:spacing w:line="276" w:lineRule="auto"/>
              <w:jc w:val="center"/>
              <w:rPr>
                <w:rFonts w:ascii="Arial" w:hAnsi="Arial" w:cs="Arial"/>
                <w:b/>
                <w:bCs/>
                <w:kern w:val="0"/>
                <w:sz w:val="18"/>
                <w:szCs w:val="18"/>
                <w:lang w:val="en-GB"/>
              </w:rPr>
            </w:pPr>
            <w:r w:rsidRPr="00A7665A">
              <w:rPr>
                <w:rFonts w:ascii="Arial" w:hAnsi="Arial" w:cs="Arial"/>
                <w:b/>
                <w:bCs/>
                <w:kern w:val="0"/>
                <w:sz w:val="18"/>
                <w:szCs w:val="18"/>
                <w:lang w:val="en-GB"/>
              </w:rPr>
              <w:t>NCC</w:t>
            </w:r>
          </w:p>
        </w:tc>
      </w:tr>
      <w:tr w:rsidR="00B54329" w:rsidRPr="00A7665A" w14:paraId="535C2CD9" w14:textId="77777777" w:rsidTr="00DE41C2">
        <w:tc>
          <w:tcPr>
            <w:tcW w:w="993" w:type="dxa"/>
          </w:tcPr>
          <w:p w14:paraId="1B8A1413" w14:textId="552517F1"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Results</w:t>
            </w:r>
          </w:p>
        </w:tc>
        <w:tc>
          <w:tcPr>
            <w:tcW w:w="993" w:type="dxa"/>
          </w:tcPr>
          <w:p w14:paraId="1B30D819" w14:textId="3E8E9659"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110.20</w:t>
            </w:r>
          </w:p>
        </w:tc>
        <w:tc>
          <w:tcPr>
            <w:tcW w:w="1134" w:type="dxa"/>
          </w:tcPr>
          <w:p w14:paraId="3BDF0917" w14:textId="2EA30FC0"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549.95</w:t>
            </w:r>
          </w:p>
        </w:tc>
        <w:tc>
          <w:tcPr>
            <w:tcW w:w="992" w:type="dxa"/>
          </w:tcPr>
          <w:p w14:paraId="766C9CEB" w14:textId="543749DC"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279.49</w:t>
            </w:r>
          </w:p>
        </w:tc>
        <w:tc>
          <w:tcPr>
            <w:tcW w:w="1559" w:type="dxa"/>
          </w:tcPr>
          <w:p w14:paraId="3FCCD88F" w14:textId="01428079"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88.60</w:t>
            </w:r>
          </w:p>
        </w:tc>
        <w:tc>
          <w:tcPr>
            <w:tcW w:w="1276" w:type="dxa"/>
          </w:tcPr>
          <w:p w14:paraId="309CC316" w14:textId="2DF75D40"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179.63</w:t>
            </w:r>
          </w:p>
        </w:tc>
        <w:tc>
          <w:tcPr>
            <w:tcW w:w="850" w:type="dxa"/>
          </w:tcPr>
          <w:p w14:paraId="08F4F45E" w14:textId="53BBD6C4"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0.68</w:t>
            </w:r>
          </w:p>
        </w:tc>
        <w:tc>
          <w:tcPr>
            <w:tcW w:w="1192" w:type="dxa"/>
          </w:tcPr>
          <w:p w14:paraId="384F77AA" w14:textId="5AAFB9F0"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24.78</w:t>
            </w:r>
          </w:p>
        </w:tc>
        <w:tc>
          <w:tcPr>
            <w:tcW w:w="1218" w:type="dxa"/>
          </w:tcPr>
          <w:p w14:paraId="5BAE9377" w14:textId="02F1E1F6"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0.78</w:t>
            </w:r>
          </w:p>
        </w:tc>
      </w:tr>
      <w:tr w:rsidR="00B54329" w:rsidRPr="00A7665A" w14:paraId="7C052015" w14:textId="77777777" w:rsidTr="00DE41C2">
        <w:tc>
          <w:tcPr>
            <w:tcW w:w="993" w:type="dxa"/>
          </w:tcPr>
          <w:p w14:paraId="12315AE6" w14:textId="01A69202"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Testing</w:t>
            </w:r>
          </w:p>
        </w:tc>
        <w:tc>
          <w:tcPr>
            <w:tcW w:w="993" w:type="dxa"/>
          </w:tcPr>
          <w:p w14:paraId="0A78E9C6" w14:textId="68A94316"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57.08</w:t>
            </w:r>
          </w:p>
        </w:tc>
        <w:tc>
          <w:tcPr>
            <w:tcW w:w="1134" w:type="dxa"/>
          </w:tcPr>
          <w:p w14:paraId="5BACF797" w14:textId="7B440CC4"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86.03</w:t>
            </w:r>
          </w:p>
        </w:tc>
        <w:tc>
          <w:tcPr>
            <w:tcW w:w="992" w:type="dxa"/>
          </w:tcPr>
          <w:p w14:paraId="15A35192" w14:textId="67FF8886"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54.42</w:t>
            </w:r>
          </w:p>
        </w:tc>
        <w:tc>
          <w:tcPr>
            <w:tcW w:w="1559" w:type="dxa"/>
          </w:tcPr>
          <w:p w14:paraId="357D0F3A" w14:textId="1FB87B22"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55.39</w:t>
            </w:r>
          </w:p>
        </w:tc>
        <w:tc>
          <w:tcPr>
            <w:tcW w:w="1276" w:type="dxa"/>
          </w:tcPr>
          <w:p w14:paraId="19BDFEF6" w14:textId="0003CFF2"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99.69</w:t>
            </w:r>
          </w:p>
        </w:tc>
        <w:tc>
          <w:tcPr>
            <w:tcW w:w="850" w:type="dxa"/>
          </w:tcPr>
          <w:p w14:paraId="28EAE382" w14:textId="3A4C81F6"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0.67</w:t>
            </w:r>
          </w:p>
        </w:tc>
        <w:tc>
          <w:tcPr>
            <w:tcW w:w="1192" w:type="dxa"/>
          </w:tcPr>
          <w:p w14:paraId="5626B849" w14:textId="55D68C9A"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27.64</w:t>
            </w:r>
          </w:p>
        </w:tc>
        <w:tc>
          <w:tcPr>
            <w:tcW w:w="1218" w:type="dxa"/>
          </w:tcPr>
          <w:p w14:paraId="26789BFE" w14:textId="59A4B564" w:rsidR="00B54329" w:rsidRPr="00A7665A" w:rsidRDefault="00B54329" w:rsidP="00DE41C2">
            <w:pPr>
              <w:autoSpaceDE w:val="0"/>
              <w:autoSpaceDN w:val="0"/>
              <w:adjustRightInd w:val="0"/>
              <w:spacing w:line="276" w:lineRule="auto"/>
              <w:jc w:val="center"/>
              <w:rPr>
                <w:rFonts w:ascii="Arial" w:hAnsi="Arial" w:cs="Arial"/>
                <w:kern w:val="0"/>
                <w:sz w:val="18"/>
                <w:szCs w:val="18"/>
                <w:lang w:val="en-GB"/>
              </w:rPr>
            </w:pPr>
            <w:r w:rsidRPr="00A7665A">
              <w:rPr>
                <w:rFonts w:ascii="Arial" w:hAnsi="Arial" w:cs="Arial"/>
                <w:kern w:val="0"/>
                <w:sz w:val="18"/>
                <w:szCs w:val="18"/>
                <w:lang w:val="en-GB"/>
              </w:rPr>
              <w:t>0.92</w:t>
            </w:r>
          </w:p>
        </w:tc>
      </w:tr>
    </w:tbl>
    <w:p w14:paraId="2F60042A" w14:textId="77777777" w:rsidR="00D50A8B" w:rsidRPr="009E149E" w:rsidRDefault="00D50A8B" w:rsidP="00D50A8B">
      <w:pPr>
        <w:pStyle w:val="Didascalia"/>
        <w:rPr>
          <w:rFonts w:ascii="Arial" w:hAnsi="Arial" w:cs="Arial"/>
          <w:b/>
          <w:bCs/>
          <w:color w:val="auto"/>
          <w:sz w:val="2"/>
          <w:szCs w:val="2"/>
          <w:lang w:val="en-GB"/>
        </w:rPr>
      </w:pPr>
    </w:p>
    <w:p w14:paraId="0526BDB8" w14:textId="366081CA" w:rsidR="00D50A8B" w:rsidRPr="00D50A8B" w:rsidRDefault="00655DBB" w:rsidP="00D50A8B">
      <w:pPr>
        <w:pStyle w:val="Didascalia"/>
        <w:rPr>
          <w:rFonts w:ascii="Arial" w:hAnsi="Arial" w:cs="Arial"/>
          <w:noProof/>
          <w:color w:val="auto"/>
          <w:kern w:val="0"/>
          <w:lang w:val="en-GB"/>
        </w:rPr>
      </w:pPr>
      <w:r w:rsidRPr="00A7665A">
        <w:rPr>
          <w:rFonts w:ascii="Arial" w:hAnsi="Arial" w:cs="Arial"/>
          <w:b/>
          <w:bCs/>
          <w:color w:val="auto"/>
          <w:lang w:val="en-GB"/>
        </w:rPr>
        <w:t xml:space="preserve">Table </w:t>
      </w:r>
      <w:r w:rsidR="000072D0" w:rsidRPr="00A7665A">
        <w:rPr>
          <w:rFonts w:ascii="Arial" w:hAnsi="Arial" w:cs="Arial"/>
          <w:b/>
          <w:bCs/>
          <w:color w:val="auto"/>
          <w:lang w:val="en-GB"/>
        </w:rPr>
        <w:t>S</w:t>
      </w:r>
      <w:r w:rsidRPr="00A7665A">
        <w:rPr>
          <w:rFonts w:ascii="Arial" w:hAnsi="Arial" w:cs="Arial"/>
          <w:b/>
          <w:bCs/>
          <w:color w:val="auto"/>
        </w:rPr>
        <w:fldChar w:fldCharType="begin"/>
      </w:r>
      <w:r w:rsidRPr="00A7665A">
        <w:rPr>
          <w:rFonts w:ascii="Arial" w:hAnsi="Arial" w:cs="Arial"/>
          <w:b/>
          <w:bCs/>
          <w:color w:val="auto"/>
          <w:lang w:val="en-GB"/>
        </w:rPr>
        <w:instrText xml:space="preserve"> SEQ Figure \* ARABIC </w:instrText>
      </w:r>
      <w:r w:rsidRPr="00A7665A">
        <w:rPr>
          <w:rFonts w:ascii="Arial" w:hAnsi="Arial" w:cs="Arial"/>
          <w:b/>
          <w:bCs/>
          <w:color w:val="auto"/>
        </w:rPr>
        <w:fldChar w:fldCharType="separate"/>
      </w:r>
      <w:r w:rsidRPr="00A7665A">
        <w:rPr>
          <w:rFonts w:ascii="Arial" w:hAnsi="Arial" w:cs="Arial"/>
          <w:b/>
          <w:bCs/>
          <w:noProof/>
          <w:color w:val="auto"/>
          <w:lang w:val="en-GB"/>
        </w:rPr>
        <w:t>1</w:t>
      </w:r>
      <w:r w:rsidRPr="00A7665A">
        <w:rPr>
          <w:rFonts w:ascii="Arial" w:hAnsi="Arial" w:cs="Arial"/>
          <w:b/>
          <w:bCs/>
          <w:color w:val="auto"/>
        </w:rPr>
        <w:fldChar w:fldCharType="end"/>
      </w:r>
      <w:r w:rsidRPr="00A7665A">
        <w:rPr>
          <w:rFonts w:ascii="Arial" w:hAnsi="Arial" w:cs="Arial"/>
          <w:color w:val="auto"/>
          <w:lang w:val="en-GB"/>
        </w:rPr>
        <w:t xml:space="preserve"> – </w:t>
      </w:r>
      <w:r w:rsidR="000072D0" w:rsidRPr="00A7665A">
        <w:rPr>
          <w:rFonts w:ascii="Arial" w:hAnsi="Arial" w:cs="Arial"/>
          <w:color w:val="auto"/>
          <w:lang w:val="en-GB"/>
        </w:rPr>
        <w:t xml:space="preserve">Similarity </w:t>
      </w:r>
      <w:r w:rsidR="00D359EB" w:rsidRPr="00A7665A">
        <w:rPr>
          <w:rFonts w:ascii="Arial" w:hAnsi="Arial" w:cs="Arial"/>
          <w:color w:val="auto"/>
          <w:lang w:val="en-GB"/>
        </w:rPr>
        <w:t>metrics from</w:t>
      </w:r>
      <w:r w:rsidRPr="00A7665A">
        <w:rPr>
          <w:rFonts w:ascii="Arial" w:hAnsi="Arial" w:cs="Arial"/>
          <w:color w:val="auto"/>
          <w:lang w:val="en-GB"/>
        </w:rPr>
        <w:t xml:space="preserve"> initial approach to validation. </w:t>
      </w:r>
      <w:r w:rsidR="00E96553">
        <w:rPr>
          <w:rFonts w:ascii="Arial" w:hAnsi="Arial" w:cs="Arial"/>
          <w:color w:val="auto"/>
          <w:lang w:val="en-GB"/>
        </w:rPr>
        <w:t xml:space="preserve">The quantitative metrics reported in this Table are describe in detail in Section 3.4 of the manuscript. </w:t>
      </w:r>
    </w:p>
    <w:sectPr w:rsidR="00D50A8B" w:rsidRPr="00D50A8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469CE" w14:textId="77777777" w:rsidR="00724538" w:rsidRDefault="00724538" w:rsidP="00544473">
      <w:pPr>
        <w:spacing w:after="0" w:line="240" w:lineRule="auto"/>
      </w:pPr>
      <w:r>
        <w:separator/>
      </w:r>
    </w:p>
  </w:endnote>
  <w:endnote w:type="continuationSeparator" w:id="0">
    <w:p w14:paraId="4537AE7D" w14:textId="77777777" w:rsidR="00724538" w:rsidRDefault="00724538" w:rsidP="00544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C970" w14:textId="77777777" w:rsidR="00724538" w:rsidRDefault="00724538" w:rsidP="00544473">
      <w:pPr>
        <w:spacing w:after="0" w:line="240" w:lineRule="auto"/>
      </w:pPr>
      <w:r>
        <w:separator/>
      </w:r>
    </w:p>
  </w:footnote>
  <w:footnote w:type="continuationSeparator" w:id="0">
    <w:p w14:paraId="542C2BC2" w14:textId="77777777" w:rsidR="00724538" w:rsidRDefault="00724538" w:rsidP="00544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E66BC"/>
    <w:multiLevelType w:val="hybridMultilevel"/>
    <w:tmpl w:val="41863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77291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FF"/>
    <w:rsid w:val="000072D0"/>
    <w:rsid w:val="00025546"/>
    <w:rsid w:val="00043573"/>
    <w:rsid w:val="000512DE"/>
    <w:rsid w:val="001B5210"/>
    <w:rsid w:val="001F3E1A"/>
    <w:rsid w:val="00240437"/>
    <w:rsid w:val="002912FD"/>
    <w:rsid w:val="002A6747"/>
    <w:rsid w:val="002B1808"/>
    <w:rsid w:val="003240EF"/>
    <w:rsid w:val="004003F1"/>
    <w:rsid w:val="004037B2"/>
    <w:rsid w:val="00473460"/>
    <w:rsid w:val="00480766"/>
    <w:rsid w:val="00485430"/>
    <w:rsid w:val="004A4D19"/>
    <w:rsid w:val="00544473"/>
    <w:rsid w:val="005458A1"/>
    <w:rsid w:val="005D0C86"/>
    <w:rsid w:val="006504D3"/>
    <w:rsid w:val="00655DBB"/>
    <w:rsid w:val="0068773E"/>
    <w:rsid w:val="006A4417"/>
    <w:rsid w:val="006C6C4D"/>
    <w:rsid w:val="006D6F06"/>
    <w:rsid w:val="006E0D18"/>
    <w:rsid w:val="006F1132"/>
    <w:rsid w:val="00723089"/>
    <w:rsid w:val="00724538"/>
    <w:rsid w:val="00792121"/>
    <w:rsid w:val="00797EF7"/>
    <w:rsid w:val="007D7061"/>
    <w:rsid w:val="00822230"/>
    <w:rsid w:val="0084397A"/>
    <w:rsid w:val="00891F9C"/>
    <w:rsid w:val="008C2778"/>
    <w:rsid w:val="009326ED"/>
    <w:rsid w:val="009B2DF6"/>
    <w:rsid w:val="009E149E"/>
    <w:rsid w:val="00A15D8C"/>
    <w:rsid w:val="00A5204A"/>
    <w:rsid w:val="00A7665A"/>
    <w:rsid w:val="00B12B04"/>
    <w:rsid w:val="00B44C53"/>
    <w:rsid w:val="00B50984"/>
    <w:rsid w:val="00B50B0E"/>
    <w:rsid w:val="00B54329"/>
    <w:rsid w:val="00B82D30"/>
    <w:rsid w:val="00BB0241"/>
    <w:rsid w:val="00BE0C50"/>
    <w:rsid w:val="00CC2C01"/>
    <w:rsid w:val="00CF00B8"/>
    <w:rsid w:val="00CF32EE"/>
    <w:rsid w:val="00D10689"/>
    <w:rsid w:val="00D359EB"/>
    <w:rsid w:val="00D50A8B"/>
    <w:rsid w:val="00D72E36"/>
    <w:rsid w:val="00DA3FBF"/>
    <w:rsid w:val="00DE41C2"/>
    <w:rsid w:val="00E01E65"/>
    <w:rsid w:val="00E96553"/>
    <w:rsid w:val="00EA3B9F"/>
    <w:rsid w:val="00EF30E8"/>
    <w:rsid w:val="00F32F94"/>
    <w:rsid w:val="00F35F66"/>
    <w:rsid w:val="00F95099"/>
    <w:rsid w:val="00F95E89"/>
    <w:rsid w:val="00FA2844"/>
    <w:rsid w:val="00FA77FF"/>
    <w:rsid w:val="00FA7C7B"/>
    <w:rsid w:val="00FB74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78C3"/>
  <w15:chartTrackingRefBased/>
  <w15:docId w15:val="{90F17CD7-8EF4-48AB-815D-0D4FF0A3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444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44473"/>
  </w:style>
  <w:style w:type="paragraph" w:styleId="Pidipagina">
    <w:name w:val="footer"/>
    <w:basedOn w:val="Normale"/>
    <w:link w:val="PidipaginaCarattere"/>
    <w:uiPriority w:val="99"/>
    <w:unhideWhenUsed/>
    <w:rsid w:val="005444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44473"/>
  </w:style>
  <w:style w:type="paragraph" w:styleId="Paragrafoelenco">
    <w:name w:val="List Paragraph"/>
    <w:basedOn w:val="Normale"/>
    <w:uiPriority w:val="34"/>
    <w:qFormat/>
    <w:rsid w:val="002B1808"/>
    <w:pPr>
      <w:ind w:left="720"/>
      <w:contextualSpacing/>
    </w:pPr>
  </w:style>
  <w:style w:type="paragraph" w:styleId="Didascalia">
    <w:name w:val="caption"/>
    <w:basedOn w:val="Normale"/>
    <w:next w:val="Normale"/>
    <w:uiPriority w:val="35"/>
    <w:unhideWhenUsed/>
    <w:qFormat/>
    <w:rsid w:val="007D7061"/>
    <w:pPr>
      <w:spacing w:after="200" w:line="240" w:lineRule="auto"/>
    </w:pPr>
    <w:rPr>
      <w:i/>
      <w:iCs/>
      <w:color w:val="44546A" w:themeColor="text2"/>
      <w:sz w:val="18"/>
      <w:szCs w:val="18"/>
    </w:rPr>
  </w:style>
  <w:style w:type="table" w:styleId="Grigliatabella">
    <w:name w:val="Table Grid"/>
    <w:basedOn w:val="Tabellanormale"/>
    <w:uiPriority w:val="39"/>
    <w:rsid w:val="00B54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A5204A"/>
    <w:rPr>
      <w:sz w:val="16"/>
      <w:szCs w:val="16"/>
    </w:rPr>
  </w:style>
  <w:style w:type="paragraph" w:styleId="Testocommento">
    <w:name w:val="annotation text"/>
    <w:basedOn w:val="Normale"/>
    <w:link w:val="TestocommentoCarattere"/>
    <w:uiPriority w:val="99"/>
    <w:unhideWhenUsed/>
    <w:rsid w:val="00A5204A"/>
    <w:pPr>
      <w:spacing w:line="240" w:lineRule="auto"/>
    </w:pPr>
    <w:rPr>
      <w:sz w:val="20"/>
      <w:szCs w:val="20"/>
    </w:rPr>
  </w:style>
  <w:style w:type="character" w:customStyle="1" w:styleId="TestocommentoCarattere">
    <w:name w:val="Testo commento Carattere"/>
    <w:basedOn w:val="Carpredefinitoparagrafo"/>
    <w:link w:val="Testocommento"/>
    <w:uiPriority w:val="99"/>
    <w:rsid w:val="00A5204A"/>
    <w:rPr>
      <w:sz w:val="20"/>
      <w:szCs w:val="20"/>
    </w:rPr>
  </w:style>
  <w:style w:type="paragraph" w:styleId="Soggettocommento">
    <w:name w:val="annotation subject"/>
    <w:basedOn w:val="Testocommento"/>
    <w:next w:val="Testocommento"/>
    <w:link w:val="SoggettocommentoCarattere"/>
    <w:uiPriority w:val="99"/>
    <w:semiHidden/>
    <w:unhideWhenUsed/>
    <w:rsid w:val="00A5204A"/>
    <w:rPr>
      <w:b/>
      <w:bCs/>
    </w:rPr>
  </w:style>
  <w:style w:type="character" w:customStyle="1" w:styleId="SoggettocommentoCarattere">
    <w:name w:val="Soggetto commento Carattere"/>
    <w:basedOn w:val="TestocommentoCarattere"/>
    <w:link w:val="Soggettocommento"/>
    <w:uiPriority w:val="99"/>
    <w:semiHidden/>
    <w:rsid w:val="00A5204A"/>
    <w:rPr>
      <w:b/>
      <w:bCs/>
      <w:sz w:val="20"/>
      <w:szCs w:val="20"/>
    </w:rPr>
  </w:style>
  <w:style w:type="paragraph" w:styleId="Revisione">
    <w:name w:val="Revision"/>
    <w:hidden/>
    <w:uiPriority w:val="99"/>
    <w:semiHidden/>
    <w:rsid w:val="00A520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45604">
      <w:bodyDiv w:val="1"/>
      <w:marLeft w:val="0"/>
      <w:marRight w:val="0"/>
      <w:marTop w:val="0"/>
      <w:marBottom w:val="0"/>
      <w:divBdr>
        <w:top w:val="none" w:sz="0" w:space="0" w:color="auto"/>
        <w:left w:val="none" w:sz="0" w:space="0" w:color="auto"/>
        <w:bottom w:val="none" w:sz="0" w:space="0" w:color="auto"/>
        <w:right w:val="none" w:sz="0" w:space="0" w:color="auto"/>
      </w:divBdr>
    </w:div>
    <w:div w:id="988555992">
      <w:bodyDiv w:val="1"/>
      <w:marLeft w:val="0"/>
      <w:marRight w:val="0"/>
      <w:marTop w:val="0"/>
      <w:marBottom w:val="0"/>
      <w:divBdr>
        <w:top w:val="none" w:sz="0" w:space="0" w:color="auto"/>
        <w:left w:val="none" w:sz="0" w:space="0" w:color="auto"/>
        <w:bottom w:val="none" w:sz="0" w:space="0" w:color="auto"/>
        <w:right w:val="none" w:sz="0" w:space="0" w:color="auto"/>
      </w:divBdr>
    </w:div>
    <w:div w:id="1679304277">
      <w:bodyDiv w:val="1"/>
      <w:marLeft w:val="0"/>
      <w:marRight w:val="0"/>
      <w:marTop w:val="0"/>
      <w:marBottom w:val="0"/>
      <w:divBdr>
        <w:top w:val="none" w:sz="0" w:space="0" w:color="auto"/>
        <w:left w:val="none" w:sz="0" w:space="0" w:color="auto"/>
        <w:bottom w:val="none" w:sz="0" w:space="0" w:color="auto"/>
        <w:right w:val="none" w:sz="0" w:space="0" w:color="auto"/>
      </w:divBdr>
    </w:div>
    <w:div w:id="1708023339">
      <w:bodyDiv w:val="1"/>
      <w:marLeft w:val="0"/>
      <w:marRight w:val="0"/>
      <w:marTop w:val="0"/>
      <w:marBottom w:val="0"/>
      <w:divBdr>
        <w:top w:val="none" w:sz="0" w:space="0" w:color="auto"/>
        <w:left w:val="none" w:sz="0" w:space="0" w:color="auto"/>
        <w:bottom w:val="none" w:sz="0" w:space="0" w:color="auto"/>
        <w:right w:val="none" w:sz="0" w:space="0" w:color="auto"/>
      </w:divBdr>
    </w:div>
    <w:div w:id="1736195030">
      <w:bodyDiv w:val="1"/>
      <w:marLeft w:val="0"/>
      <w:marRight w:val="0"/>
      <w:marTop w:val="0"/>
      <w:marBottom w:val="0"/>
      <w:divBdr>
        <w:top w:val="none" w:sz="0" w:space="0" w:color="auto"/>
        <w:left w:val="none" w:sz="0" w:space="0" w:color="auto"/>
        <w:bottom w:val="none" w:sz="0" w:space="0" w:color="auto"/>
        <w:right w:val="none" w:sz="0" w:space="0" w:color="auto"/>
      </w:divBdr>
    </w:div>
    <w:div w:id="178541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377</Words>
  <Characters>2149</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Camagni</dc:creator>
  <cp:keywords/>
  <dc:description/>
  <cp:lastModifiedBy>Francesca Camagni</cp:lastModifiedBy>
  <cp:revision>28</cp:revision>
  <dcterms:created xsi:type="dcterms:W3CDTF">2023-10-17T13:11:00Z</dcterms:created>
  <dcterms:modified xsi:type="dcterms:W3CDTF">2025-05-21T09:23:00Z</dcterms:modified>
</cp:coreProperties>
</file>