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9E88C" w14:textId="77777777" w:rsidR="006436AD" w:rsidRPr="006436AD" w:rsidRDefault="006436AD" w:rsidP="006436AD">
      <w:pPr>
        <w:spacing w:after="120" w:line="480" w:lineRule="auto"/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lang w:val="en-US" w:eastAsia="en-US"/>
        </w:rPr>
        <w:t>SUPPLEMENTARY MATERIALS</w:t>
      </w:r>
    </w:p>
    <w:p w14:paraId="040DBDA1" w14:textId="77777777" w:rsidR="004244FC" w:rsidRPr="004244FC" w:rsidRDefault="004244FC" w:rsidP="004244FC">
      <w:pPr>
        <w:spacing w:after="200" w:line="480" w:lineRule="auto"/>
        <w:rPr>
          <w:rFonts w:ascii="Times New Roman" w:eastAsia="Calibri" w:hAnsi="Times New Roman" w:cs="Times New Roman"/>
          <w:b/>
          <w:i/>
          <w:iCs/>
          <w:sz w:val="28"/>
          <w:szCs w:val="28"/>
          <w:lang w:eastAsia="en-US"/>
        </w:rPr>
      </w:pPr>
      <w:r w:rsidRPr="004244FC">
        <w:rPr>
          <w:rFonts w:ascii="Times New Roman" w:eastAsia="Calibri" w:hAnsi="Times New Roman" w:cs="Times New Roman"/>
          <w:b/>
          <w:i/>
          <w:iCs/>
          <w:sz w:val="28"/>
          <w:szCs w:val="28"/>
          <w:lang w:eastAsia="en-US"/>
        </w:rPr>
        <w:t>Targeted Oncology</w:t>
      </w:r>
    </w:p>
    <w:p w14:paraId="1E306BE2" w14:textId="77777777" w:rsidR="004244FC" w:rsidRPr="004244FC" w:rsidRDefault="004244FC" w:rsidP="004244FC">
      <w:pPr>
        <w:spacing w:after="200" w:line="48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244FC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Savolitinib ± Osimertinib in Japanese Patients with Advanced Solid Malignancies or EGFRm NSCLC: Ph1b TATTON Part C</w:t>
      </w:r>
    </w:p>
    <w:p w14:paraId="42A77EE4" w14:textId="77777777" w:rsidR="004244FC" w:rsidRPr="004244FC" w:rsidRDefault="004244FC" w:rsidP="004244FC">
      <w:pPr>
        <w:spacing w:after="120" w:line="480" w:lineRule="auto"/>
        <w:rPr>
          <w:rFonts w:ascii="Times New Roman" w:eastAsia="Yu Mincho" w:hAnsi="Times New Roman" w:cs="Times New Roman"/>
          <w:lang w:val="en-US" w:eastAsia="en-US"/>
        </w:rPr>
      </w:pP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Kiyotaka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 Yoh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 xml:space="preserve">1 </w:t>
      </w:r>
      <w:r w:rsidRPr="004244FC">
        <w:rPr>
          <w:rFonts w:ascii="Times New Roman" w:eastAsia="Yu Mincho" w:hAnsi="Times New Roman" w:cs="Times New Roman"/>
          <w:lang w:val="en-US" w:eastAsia="en-US"/>
        </w:rPr>
        <w:t>•</w:t>
      </w:r>
      <w:r w:rsidRPr="004244FC" w:rsidDel="00CF3B76">
        <w:rPr>
          <w:rFonts w:ascii="Times New Roman" w:eastAsia="Yu Mincho" w:hAnsi="Times New Roman" w:cs="Times New Roman"/>
          <w:lang w:val="en-US" w:eastAsia="en-US"/>
        </w:rPr>
        <w:t xml:space="preserve"> </w:t>
      </w:r>
      <w:r w:rsidRPr="004244FC">
        <w:rPr>
          <w:rFonts w:ascii="Times New Roman" w:eastAsia="Yu Mincho" w:hAnsi="Times New Roman" w:cs="Times New Roman"/>
          <w:lang w:val="en-US" w:eastAsia="en-US"/>
        </w:rPr>
        <w:t>Tomonori Hirashima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2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Hideo Saka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3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Takayasu Kurata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4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</w:t>
      </w: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Yuichiro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 Ohe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5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</w:t>
      </w: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Toyoaki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 Hida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6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Anders Mellemgaard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7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Remy B Verheijen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 xml:space="preserve">8 </w:t>
      </w:r>
      <w:r w:rsidRPr="004244FC">
        <w:rPr>
          <w:rFonts w:ascii="Times New Roman" w:eastAsia="Yu Mincho" w:hAnsi="Times New Roman" w:cs="Times New Roman"/>
          <w:lang w:val="en-US" w:eastAsia="en-US"/>
        </w:rPr>
        <w:t>• Xiaoling Ou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7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Ghada F. Ahmed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9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Manabu Hayama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10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Ko Sugibayashi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10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• Geoffrey R. Oxnard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 xml:space="preserve">11 </w:t>
      </w:r>
    </w:p>
    <w:p w14:paraId="2EBBB6BD" w14:textId="77777777" w:rsidR="004244FC" w:rsidRPr="004244FC" w:rsidRDefault="004244FC" w:rsidP="004244FC">
      <w:pPr>
        <w:spacing w:after="120" w:line="480" w:lineRule="auto"/>
        <w:rPr>
          <w:rFonts w:ascii="Times New Roman" w:eastAsia="Yu Mincho" w:hAnsi="Times New Roman" w:cs="Times New Roman"/>
          <w:lang w:val="en-US" w:eastAsia="en-US"/>
        </w:rPr>
      </w:pPr>
    </w:p>
    <w:p w14:paraId="725E3631" w14:textId="77777777" w:rsidR="004244FC" w:rsidRPr="004244FC" w:rsidRDefault="004244FC" w:rsidP="004244FC">
      <w:pPr>
        <w:spacing w:after="120" w:line="480" w:lineRule="auto"/>
        <w:rPr>
          <w:rFonts w:ascii="Times New Roman" w:eastAsia="Yu Mincho" w:hAnsi="Times New Roman" w:cs="Times New Roman"/>
          <w:lang w:val="en-US" w:eastAsia="en-US"/>
        </w:rPr>
      </w:pP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1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National Cancer Center Hospital East, Kashiwa,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2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Osaka </w:t>
      </w: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Habikino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 Medical Center, </w:t>
      </w: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Habikino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3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National Hospital Organization Nagoya Medical Center, Nagoya,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4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Kansai Medical University Hospital, Hirakata,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5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National Cancer Center Hospital, Tokyo,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6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Aichi Cancer Center Hospital, Nagoya,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7</w:t>
      </w:r>
      <w:r w:rsidRPr="004244FC">
        <w:rPr>
          <w:rFonts w:ascii="Times New Roman" w:eastAsia="Yu Mincho" w:hAnsi="Times New Roman" w:cs="Times New Roman"/>
          <w:lang w:val="en-US" w:eastAsia="en-US"/>
        </w:rPr>
        <w:t>AstraZeneca, Oncology R&amp;D, Cambridge, UK;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 xml:space="preserve"> 8</w:t>
      </w:r>
      <w:r w:rsidRPr="004244FC">
        <w:rPr>
          <w:rFonts w:ascii="Times New Roman" w:eastAsia="Yu Mincho" w:hAnsi="Times New Roman" w:cs="Times New Roman"/>
          <w:lang w:val="en-US" w:eastAsia="en-US"/>
        </w:rPr>
        <w:t>Formerly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 xml:space="preserve"> 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AstraZeneca, Oncology R&amp;D, Cambridge, UK;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9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Formerly Clinical Pharmacology and Safety Sciences, </w:t>
      </w: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BioPharmaceuticals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 R&amp;D, AstraZeneca, Cambridge, UK;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10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AstraZeneca K.K., Osaka, Japan; </w:t>
      </w:r>
      <w:r w:rsidRPr="004244FC">
        <w:rPr>
          <w:rFonts w:ascii="Times New Roman" w:eastAsia="Yu Mincho" w:hAnsi="Times New Roman" w:cs="Times New Roman"/>
          <w:vertAlign w:val="superscript"/>
          <w:lang w:val="en-US" w:eastAsia="en-US"/>
        </w:rPr>
        <w:t>11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Dana-Farber Cancer Institute, Boston, MA, USA </w:t>
      </w:r>
    </w:p>
    <w:p w14:paraId="2351E539" w14:textId="77777777" w:rsidR="004244FC" w:rsidRPr="004244FC" w:rsidRDefault="004244FC" w:rsidP="004244FC">
      <w:pPr>
        <w:spacing w:after="120" w:line="480" w:lineRule="auto"/>
        <w:rPr>
          <w:rFonts w:ascii="Times New Roman" w:eastAsia="Yu Mincho" w:hAnsi="Times New Roman" w:cs="Times New Roman"/>
          <w:lang w:val="en-US" w:eastAsia="en-US"/>
        </w:rPr>
      </w:pPr>
    </w:p>
    <w:p w14:paraId="17D37315" w14:textId="77777777" w:rsidR="004244FC" w:rsidRPr="004244FC" w:rsidRDefault="004244FC" w:rsidP="004244FC">
      <w:pPr>
        <w:spacing w:after="120" w:line="480" w:lineRule="auto"/>
        <w:rPr>
          <w:rFonts w:ascii="Times New Roman" w:eastAsia="Yu Mincho" w:hAnsi="Times New Roman" w:cs="Times New Roman"/>
          <w:lang w:eastAsia="en-US"/>
        </w:rPr>
      </w:pPr>
      <w:r w:rsidRPr="004244FC">
        <w:rPr>
          <w:rFonts w:ascii="Times New Roman" w:eastAsia="Yu Mincho" w:hAnsi="Times New Roman" w:cs="Times New Roman"/>
          <w:b/>
          <w:lang w:val="en-US" w:eastAsia="en-US"/>
        </w:rPr>
        <w:t>Corresponding author:</w:t>
      </w:r>
      <w:r w:rsidRPr="004244FC">
        <w:rPr>
          <w:rFonts w:ascii="Times New Roman" w:eastAsia="Yu Mincho" w:hAnsi="Times New Roman" w:cs="Times New Roman"/>
          <w:lang w:val="en-US" w:eastAsia="en-US"/>
        </w:rPr>
        <w:t xml:space="preserve"> </w:t>
      </w:r>
      <w:proofErr w:type="spellStart"/>
      <w:r w:rsidRPr="004244FC">
        <w:rPr>
          <w:rFonts w:ascii="Times New Roman" w:eastAsia="Yu Mincho" w:hAnsi="Times New Roman" w:cs="Times New Roman"/>
          <w:lang w:val="en-US" w:eastAsia="en-US"/>
        </w:rPr>
        <w:t>Kiyotaka</w:t>
      </w:r>
      <w:proofErr w:type="spellEnd"/>
      <w:r w:rsidRPr="004244FC">
        <w:rPr>
          <w:rFonts w:ascii="Times New Roman" w:eastAsia="Yu Mincho" w:hAnsi="Times New Roman" w:cs="Times New Roman"/>
          <w:lang w:val="en-US" w:eastAsia="en-US"/>
        </w:rPr>
        <w:t xml:space="preserve"> Yoh, MD; </w:t>
      </w:r>
      <w:hyperlink r:id="rId7" w:history="1">
        <w:r w:rsidRPr="004244FC">
          <w:rPr>
            <w:rFonts w:ascii="Times New Roman" w:eastAsia="Yu Mincho" w:hAnsi="Times New Roman" w:cs="Times New Roman"/>
            <w:color w:val="0563C1"/>
            <w:u w:val="single"/>
            <w:lang w:eastAsia="en-US"/>
          </w:rPr>
          <w:t>kyoh@east.ncc.go.jp</w:t>
        </w:r>
      </w:hyperlink>
    </w:p>
    <w:p w14:paraId="63B9BC41" w14:textId="77777777" w:rsidR="004244FC" w:rsidRDefault="004244FC">
      <w:pPr>
        <w:rPr>
          <w:rFonts w:ascii="Times New Roman" w:eastAsia="Yu Mincho" w:hAnsi="Times New Roman" w:cs="Times New Roman"/>
          <w:b/>
          <w:lang w:eastAsia="en-US"/>
        </w:rPr>
      </w:pPr>
      <w:r>
        <w:rPr>
          <w:rFonts w:ascii="Times New Roman" w:eastAsia="Yu Mincho" w:hAnsi="Times New Roman" w:cs="Times New Roman"/>
          <w:b/>
          <w:lang w:eastAsia="en-US"/>
        </w:rPr>
        <w:br w:type="page"/>
      </w:r>
    </w:p>
    <w:p w14:paraId="075B2013" w14:textId="7F686A0F" w:rsidR="006436AD" w:rsidRPr="006436AD" w:rsidRDefault="006436AD" w:rsidP="006436AD">
      <w:pPr>
        <w:rPr>
          <w:rFonts w:ascii="Times New Roman" w:eastAsia="Yu Mincho" w:hAnsi="Times New Roman" w:cs="Times New Roman"/>
          <w:b/>
          <w:lang w:val="en-US" w:eastAsia="en-US"/>
        </w:rPr>
      </w:pPr>
      <w:bookmarkStart w:id="0" w:name="_GoBack"/>
      <w:bookmarkEnd w:id="0"/>
      <w:r w:rsidRPr="006436AD">
        <w:rPr>
          <w:rFonts w:ascii="Times New Roman" w:eastAsia="Yu Mincho" w:hAnsi="Times New Roman" w:cs="Times New Roman"/>
          <w:b/>
          <w:lang w:val="en-US" w:eastAsia="en-US"/>
        </w:rPr>
        <w:lastRenderedPageBreak/>
        <w:t>METHODS</w:t>
      </w:r>
    </w:p>
    <w:p w14:paraId="4DEA2AE1" w14:textId="77777777" w:rsidR="006436AD" w:rsidRPr="006436AD" w:rsidRDefault="006436AD" w:rsidP="006436AD">
      <w:pPr>
        <w:rPr>
          <w:rFonts w:ascii="Times New Roman" w:eastAsia="Yu Mincho" w:hAnsi="Times New Roman" w:cs="Times New Roman"/>
          <w:b/>
          <w:lang w:val="en-US" w:eastAsia="en-US"/>
        </w:rPr>
      </w:pPr>
      <w:r w:rsidRPr="006436AD">
        <w:rPr>
          <w:rFonts w:ascii="Times New Roman" w:eastAsia="Yu Mincho" w:hAnsi="Times New Roman" w:cs="Times New Roman"/>
          <w:b/>
          <w:lang w:val="en-US" w:eastAsia="en-US"/>
        </w:rPr>
        <w:t>Dose-limiting toxicity criteria:</w:t>
      </w:r>
    </w:p>
    <w:p w14:paraId="2B7BD980" w14:textId="77777777" w:rsidR="006436AD" w:rsidRPr="006436AD" w:rsidRDefault="006436AD" w:rsidP="006436AD">
      <w:pPr>
        <w:numPr>
          <w:ilvl w:val="0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Hematological toxicity that is:</w:t>
      </w:r>
    </w:p>
    <w:p w14:paraId="4953BC38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At least CTCAE grade 4 present for more than 4 days</w:t>
      </w:r>
    </w:p>
    <w:p w14:paraId="2C689D71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CTCAE grade 3 thrombocytopenia with bleeding</w:t>
      </w:r>
    </w:p>
    <w:p w14:paraId="446CBD82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b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Febrile neutropenia</w:t>
      </w:r>
    </w:p>
    <w:p w14:paraId="1AAF0CAE" w14:textId="77777777" w:rsidR="006436AD" w:rsidRPr="006436AD" w:rsidRDefault="006436AD" w:rsidP="006436AD">
      <w:pPr>
        <w:numPr>
          <w:ilvl w:val="0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Non-hematological toxicity of at least CTCAE grade 3 including:</w:t>
      </w:r>
    </w:p>
    <w:p w14:paraId="48862AA1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 xml:space="preserve">Confirmed QTc prolongation (&gt;500 </w:t>
      </w:r>
      <w:proofErr w:type="spellStart"/>
      <w:r w:rsidRPr="006436AD">
        <w:rPr>
          <w:rFonts w:ascii="Times New Roman" w:eastAsia="Yu Mincho" w:hAnsi="Times New Roman" w:cs="Times New Roman"/>
          <w:lang w:val="en-US" w:eastAsia="en-GB"/>
        </w:rPr>
        <w:t>msec</w:t>
      </w:r>
      <w:proofErr w:type="spellEnd"/>
      <w:r w:rsidRPr="006436AD">
        <w:rPr>
          <w:rFonts w:ascii="Times New Roman" w:eastAsia="Yu Mincho" w:hAnsi="Times New Roman" w:cs="Times New Roman"/>
          <w:lang w:val="en-US" w:eastAsia="en-GB"/>
        </w:rPr>
        <w:t xml:space="preserve"> or 60 </w:t>
      </w:r>
      <w:proofErr w:type="spellStart"/>
      <w:r w:rsidRPr="006436AD">
        <w:rPr>
          <w:rFonts w:ascii="Times New Roman" w:eastAsia="Yu Mincho" w:hAnsi="Times New Roman" w:cs="Times New Roman"/>
          <w:lang w:val="en-US" w:eastAsia="en-GB"/>
        </w:rPr>
        <w:t>msec</w:t>
      </w:r>
      <w:proofErr w:type="spellEnd"/>
      <w:r w:rsidRPr="006436AD">
        <w:rPr>
          <w:rFonts w:ascii="Times New Roman" w:eastAsia="Yu Mincho" w:hAnsi="Times New Roman" w:cs="Times New Roman"/>
          <w:lang w:val="en-US" w:eastAsia="en-GB"/>
        </w:rPr>
        <w:t xml:space="preserve"> above baseline)</w:t>
      </w:r>
    </w:p>
    <w:p w14:paraId="5E1E3DE6" w14:textId="77777777" w:rsidR="006436AD" w:rsidRPr="006436AD" w:rsidRDefault="006436AD" w:rsidP="006436AD">
      <w:pPr>
        <w:numPr>
          <w:ilvl w:val="0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Any other toxicity that:</w:t>
      </w:r>
    </w:p>
    <w:p w14:paraId="49399179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Is greater than that at baseline, is clinically significant and/or unacceptable and is judged to be a DLT by the safety review committee</w:t>
      </w:r>
    </w:p>
    <w:p w14:paraId="408E9E88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Is a protocol defined stopping criteria</w:t>
      </w:r>
    </w:p>
    <w:p w14:paraId="3A649D80" w14:textId="77777777" w:rsidR="006436AD" w:rsidRPr="006436AD" w:rsidRDefault="006436AD" w:rsidP="006436AD">
      <w:pPr>
        <w:numPr>
          <w:ilvl w:val="1"/>
          <w:numId w:val="1"/>
        </w:numPr>
        <w:spacing w:after="200" w:line="360" w:lineRule="auto"/>
        <w:ind w:hanging="357"/>
        <w:contextualSpacing/>
        <w:rPr>
          <w:rFonts w:ascii="Times New Roman" w:eastAsia="Yu Mincho" w:hAnsi="Times New Roman" w:cs="Times New Roman"/>
          <w:lang w:val="en-US" w:eastAsia="en-GB"/>
        </w:rPr>
      </w:pPr>
      <w:r w:rsidRPr="006436AD">
        <w:rPr>
          <w:rFonts w:ascii="Times New Roman" w:eastAsia="Yu Mincho" w:hAnsi="Times New Roman" w:cs="Times New Roman"/>
          <w:lang w:val="en-US" w:eastAsia="en-GB"/>
        </w:rPr>
        <w:t>Results in a disruption of dosing schedule of more than 7 days</w:t>
      </w:r>
    </w:p>
    <w:p w14:paraId="40FB0606" w14:textId="77777777" w:rsidR="006436AD" w:rsidRPr="006436AD" w:rsidRDefault="006436AD" w:rsidP="006436AD">
      <w:pPr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lang w:val="en-US" w:eastAsia="en-US"/>
        </w:rPr>
        <w:br w:type="page"/>
      </w:r>
    </w:p>
    <w:p w14:paraId="7922FBCD" w14:textId="77777777" w:rsidR="006436AD" w:rsidRPr="006436AD" w:rsidRDefault="006436AD" w:rsidP="006436AD">
      <w:pPr>
        <w:spacing w:after="0" w:line="360" w:lineRule="auto"/>
        <w:rPr>
          <w:rFonts w:ascii="Times New Roman" w:eastAsia="Yu Mincho" w:hAnsi="Times New Roman" w:cs="Times New Roman"/>
          <w:b/>
          <w:lang w:val="en-US" w:eastAsia="en-US"/>
        </w:rPr>
      </w:pPr>
      <w:r w:rsidRPr="006436AD">
        <w:rPr>
          <w:rFonts w:ascii="Times New Roman" w:eastAsia="Yu Mincho" w:hAnsi="Times New Roman" w:cs="Times New Roman"/>
          <w:b/>
          <w:lang w:val="en-US" w:eastAsia="en-US"/>
        </w:rPr>
        <w:lastRenderedPageBreak/>
        <w:t>RESULTS</w:t>
      </w:r>
    </w:p>
    <w:p w14:paraId="4E22EFB1" w14:textId="77777777" w:rsidR="006436AD" w:rsidRPr="006436AD" w:rsidRDefault="006436AD" w:rsidP="006436AD">
      <w:pPr>
        <w:spacing w:after="0" w:line="360" w:lineRule="auto"/>
        <w:rPr>
          <w:rFonts w:ascii="Times New Roman" w:eastAsia="Yu Mincho" w:hAnsi="Times New Roman" w:cs="Times New Roman"/>
          <w:b/>
          <w:lang w:val="en-US" w:eastAsia="en-US"/>
        </w:rPr>
      </w:pPr>
      <w:r w:rsidRPr="006436AD">
        <w:rPr>
          <w:rFonts w:ascii="Times New Roman" w:eastAsia="Yu Mincho" w:hAnsi="Times New Roman" w:cs="Times New Roman"/>
          <w:b/>
          <w:lang w:val="en-US" w:eastAsia="en-US"/>
        </w:rPr>
        <w:t>Pharmacokinetic results</w:t>
      </w:r>
    </w:p>
    <w:p w14:paraId="2D523BD5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lang w:val="en-US" w:eastAsia="en-US"/>
        </w:rPr>
        <w:t xml:space="preserve">The pharmacokinetic (PK) analysis set included a total of 29 patients. Key PK parameters are summarized in Table S1. </w:t>
      </w:r>
    </w:p>
    <w:p w14:paraId="46CE2EC0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lang w:val="en-US" w:eastAsia="en-US"/>
        </w:rPr>
        <w:t>Following single and multiple dose administration, savolitinib was rapidly absorbed with time to maximum concentration (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T</w:t>
      </w:r>
      <w:r w:rsidRPr="006436AD">
        <w:rPr>
          <w:rFonts w:ascii="Times New Roman" w:eastAsia="Yu Mincho" w:hAnsi="Times New Roman" w:cs="Times New Roman"/>
          <w:vertAlign w:val="subscript"/>
          <w:lang w:val="en-US" w:eastAsia="en-US"/>
        </w:rPr>
        <w:t>max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>) ranging from 0.95 to 3.47 h and rapidly eliminated with mean half</w:t>
      </w:r>
      <w:r w:rsidRPr="006436AD">
        <w:rPr>
          <w:rFonts w:ascii="Times New Roman" w:eastAsia="Yu Mincho" w:hAnsi="Times New Roman" w:cs="Times New Roman"/>
          <w:lang w:val="en-US" w:eastAsia="en-US"/>
        </w:rPr>
        <w:noBreakHyphen/>
        <w:t xml:space="preserve">life estimates of 3.30 to 4.93 h. Due to the short half-life of savolitinib, there was no accumulation following multiple once-daily dosing. Mean metabolite exposure relative to parent savolitinib for metabolites, M2 and M3, were ~16.2 to 38.2% and ~5.41 to 11.0%, respectively. For a given savolitinib dose, the PK parameters appeared consistent across monotherapy and combination treatment. Thus, co-administration of savolitinib with osimertinib had minimal impact on the PK of savolitinib and its metabolites based on the limited patients evaluated. </w:t>
      </w:r>
    </w:p>
    <w:p w14:paraId="6EE44374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lang w:val="en-US" w:eastAsia="en-US"/>
        </w:rPr>
        <w:t>Multiple dose plasma osimertinib concentration-time profiles were relatively flat over the 24</w:t>
      </w:r>
      <w:r w:rsidRPr="006436AD">
        <w:rPr>
          <w:rFonts w:ascii="Times New Roman" w:eastAsia="Yu Mincho" w:hAnsi="Times New Roman" w:cs="Times New Roman"/>
          <w:lang w:val="en-US" w:eastAsia="en-US"/>
        </w:rPr>
        <w:noBreakHyphen/>
        <w:t>h dosing interval with minimal fluctuation between maximum and minimum steady-state concentrations. Osimertinib accumulated in plasma after multiple 80 mg once daily (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qd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>) dosing in combination with savolitinib, with accumulation ratio (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R</w:t>
      </w:r>
      <w:r w:rsidRPr="006436AD">
        <w:rPr>
          <w:rFonts w:ascii="Times New Roman" w:eastAsia="Times New Roman" w:hAnsi="Times New Roman" w:cs="Times New Roman"/>
          <w:sz w:val="24"/>
          <w:szCs w:val="24"/>
          <w:vertAlign w:val="subscript"/>
          <w:lang w:val="en-US" w:eastAsia="en-US"/>
        </w:rPr>
        <w:t>ac</w:t>
      </w:r>
      <w:proofErr w:type="spellEnd"/>
      <w:r w:rsidRPr="006436AD">
        <w:rPr>
          <w:rFonts w:ascii="Times New Roman" w:eastAsia="Times New Roman" w:hAnsi="Times New Roman" w:cs="Times New Roman"/>
          <w:sz w:val="24"/>
          <w:szCs w:val="24"/>
          <w:lang w:eastAsia="en-US"/>
        </w:rPr>
        <w:t>)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estimates ranging from 1.26- to 7.59-fold. Osimertinib PK parameters following 80 mg 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qd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dosing appeared consistent regardless of combination savolitinib dose. Osimertinib metabolite AZ5104 showed 2.9- to 29.9-fold accumulation, higher than parent osimertinib but no clear trend with respect to savolitinib dose. Following multiple 80 mg doses of osimertinib, AZ5104 exposure was approximately 4.8% to 17.3% that of osimertinib based on area under the curve (AUC) and maximum plasma concentration (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C</w:t>
      </w:r>
      <w:r w:rsidRPr="006436AD">
        <w:rPr>
          <w:rFonts w:ascii="Times New Roman" w:eastAsia="Yu Mincho" w:hAnsi="Times New Roman" w:cs="Times New Roman"/>
          <w:vertAlign w:val="subscript"/>
          <w:lang w:val="en-US" w:eastAsia="en-US"/>
        </w:rPr>
        <w:t>max</w:t>
      </w:r>
      <w:proofErr w:type="spellEnd"/>
      <w:r w:rsidRPr="006436AD">
        <w:rPr>
          <w:rFonts w:ascii="Times New Roman" w:eastAsia="Yu Mincho" w:hAnsi="Times New Roman" w:cs="Times New Roman"/>
          <w:lang w:eastAsia="en-US"/>
        </w:rPr>
        <w:t>)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ratios. The metabolite AZ7550 showed 10.0- to 51.7</w:t>
      </w:r>
      <w:r w:rsidRPr="006436AD">
        <w:rPr>
          <w:rFonts w:ascii="Times New Roman" w:eastAsia="Yu Mincho" w:hAnsi="Times New Roman" w:cs="Times New Roman"/>
          <w:lang w:val="en-US" w:eastAsia="en-US"/>
        </w:rPr>
        <w:noBreakHyphen/>
        <w:t xml:space="preserve">fold accumulation, higher than parent osimertinib and metabolite AZ5104. Following multiple 80 mg doses of osimertinib, AZ7550 exposure was approximately 6.32% to 26.3% that of osimertinib based on AUC and 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C</w:t>
      </w:r>
      <w:r w:rsidRPr="006436AD">
        <w:rPr>
          <w:rFonts w:ascii="Times New Roman" w:eastAsia="Yu Mincho" w:hAnsi="Times New Roman" w:cs="Times New Roman"/>
          <w:vertAlign w:val="subscript"/>
          <w:lang w:val="en-US" w:eastAsia="en-US"/>
        </w:rPr>
        <w:t>max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ratios. Overall, combination of osimertinib with increasing doses of savolitinib had minimal impact on the PK of osimertinib and its metabolites based on the limited patients evaluated.</w:t>
      </w:r>
    </w:p>
    <w:p w14:paraId="45FCB2D3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</w:p>
    <w:p w14:paraId="0A6521E5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</w:p>
    <w:p w14:paraId="64D20E7A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  <w:sectPr w:rsidR="006436AD" w:rsidRPr="006436AD" w:rsidSect="00B07F8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698258AD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b/>
          <w:lang w:val="en-US" w:eastAsia="en-US"/>
        </w:rPr>
        <w:lastRenderedPageBreak/>
        <w:t xml:space="preserve">Supplementary Table S1. </w:t>
      </w:r>
      <w:r w:rsidRPr="006436AD">
        <w:rPr>
          <w:rFonts w:ascii="Times New Roman" w:eastAsia="Yu Mincho" w:hAnsi="Times New Roman" w:cs="Times New Roman"/>
          <w:lang w:val="en-US" w:eastAsia="en-US"/>
        </w:rPr>
        <w:t>Summary of key savolitinib and osimertinib pharmacokinetic parameters (pharmacokinetic analysis set)</w:t>
      </w:r>
    </w:p>
    <w:tbl>
      <w:tblPr>
        <w:tblStyle w:val="ListTable6Colorful1"/>
        <w:tblW w:w="13977" w:type="dxa"/>
        <w:tblLayout w:type="fixed"/>
        <w:tblLook w:val="0600" w:firstRow="0" w:lastRow="0" w:firstColumn="0" w:lastColumn="0" w:noHBand="1" w:noVBand="1"/>
      </w:tblPr>
      <w:tblGrid>
        <w:gridCol w:w="1270"/>
        <w:gridCol w:w="1270"/>
        <w:gridCol w:w="1270"/>
        <w:gridCol w:w="1270"/>
        <w:gridCol w:w="1270"/>
        <w:gridCol w:w="1272"/>
        <w:gridCol w:w="1271"/>
        <w:gridCol w:w="1271"/>
        <w:gridCol w:w="1271"/>
        <w:gridCol w:w="1271"/>
        <w:gridCol w:w="1271"/>
      </w:tblGrid>
      <w:tr w:rsidR="006436AD" w:rsidRPr="006436AD" w14:paraId="7E693C2B" w14:textId="77777777" w:rsidTr="006436AD">
        <w:trPr>
          <w:trHeight w:val="144"/>
        </w:trPr>
        <w:tc>
          <w:tcPr>
            <w:tcW w:w="1270" w:type="dxa"/>
            <w:vMerge w:val="restart"/>
            <w:tcBorders>
              <w:top w:val="single" w:sz="4" w:space="0" w:color="000000"/>
            </w:tcBorders>
            <w:noWrap/>
          </w:tcPr>
          <w:p w14:paraId="4890D67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Compound </w:t>
            </w:r>
          </w:p>
        </w:tc>
        <w:tc>
          <w:tcPr>
            <w:tcW w:w="1270" w:type="dxa"/>
            <w:tcBorders>
              <w:top w:val="single" w:sz="4" w:space="0" w:color="000000"/>
              <w:bottom w:val="nil"/>
            </w:tcBorders>
            <w:noWrap/>
          </w:tcPr>
          <w:p w14:paraId="777F6E9C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5082" w:type="dxa"/>
            <w:gridSpan w:val="4"/>
            <w:tcBorders>
              <w:top w:val="single" w:sz="4" w:space="0" w:color="000000"/>
              <w:bottom w:val="single" w:sz="4" w:space="0" w:color="auto"/>
            </w:tcBorders>
            <w:noWrap/>
          </w:tcPr>
          <w:p w14:paraId="6EC35466" w14:textId="77777777" w:rsidR="006436AD" w:rsidRPr="006436AD" w:rsidRDefault="006436AD" w:rsidP="006436AD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Single dose (cycle 1 day 1)</w:t>
            </w:r>
          </w:p>
        </w:tc>
        <w:tc>
          <w:tcPr>
            <w:tcW w:w="6355" w:type="dxa"/>
            <w:gridSpan w:val="5"/>
            <w:tcBorders>
              <w:top w:val="single" w:sz="4" w:space="0" w:color="000000"/>
              <w:bottom w:val="single" w:sz="4" w:space="0" w:color="auto"/>
            </w:tcBorders>
            <w:noWrap/>
          </w:tcPr>
          <w:p w14:paraId="5689C577" w14:textId="77777777" w:rsidR="006436AD" w:rsidRPr="006436AD" w:rsidRDefault="006436AD" w:rsidP="006436AD">
            <w:pPr>
              <w:spacing w:after="2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Multiple dose (cycle 1 day 15 or cycle 2 day 1)</w:t>
            </w:r>
          </w:p>
        </w:tc>
      </w:tr>
      <w:tr w:rsidR="006436AD" w:rsidRPr="006436AD" w14:paraId="1C67F1B2" w14:textId="77777777" w:rsidTr="00093BAB">
        <w:trPr>
          <w:trHeight w:val="282"/>
        </w:trPr>
        <w:tc>
          <w:tcPr>
            <w:tcW w:w="1270" w:type="dxa"/>
            <w:vMerge/>
            <w:tcBorders>
              <w:bottom w:val="single" w:sz="12" w:space="0" w:color="auto"/>
            </w:tcBorders>
            <w:noWrap/>
          </w:tcPr>
          <w:p w14:paraId="26364AF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1270" w:type="dxa"/>
            <w:tcBorders>
              <w:top w:val="nil"/>
              <w:bottom w:val="single" w:sz="12" w:space="0" w:color="auto"/>
            </w:tcBorders>
            <w:noWrap/>
          </w:tcPr>
          <w:p w14:paraId="0BE5A2D8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03A50127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C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max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geometric mean, ng/mL (%CV)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6C29EFFC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T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max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, </w:t>
            </w:r>
          </w:p>
          <w:p w14:paraId="1FE886F1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median, h</w:t>
            </w:r>
          </w:p>
          <w:p w14:paraId="368D90B6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(range)</w:t>
            </w:r>
          </w:p>
        </w:tc>
        <w:tc>
          <w:tcPr>
            <w:tcW w:w="1270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6FF562B1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AUC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0–24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geometric mean, ng/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mL.h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(%CV)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33D81291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T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1/2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arithmetic mean, h (SD)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 xml:space="preserve"> 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034D1EAB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C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ss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 xml:space="preserve"> max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geometric mean, ng/mL (%CV)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409E3F5E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T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ss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 xml:space="preserve"> max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, </w:t>
            </w:r>
          </w:p>
          <w:p w14:paraId="11F1CA4D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median, h (range)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03EAAB97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C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ss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 xml:space="preserve"> min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geometric mean, ng/mL (%CV)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5CC57B7F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AUC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τ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geometric mean, ng/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mL.h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(%CV)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12" w:space="0" w:color="auto"/>
            </w:tcBorders>
            <w:noWrap/>
          </w:tcPr>
          <w:p w14:paraId="1F1FA775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R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bscript"/>
                <w:lang w:val="en-US" w:eastAsia="en-GB"/>
              </w:rPr>
              <w:t>ac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, arithmetic mean (SD)</w:t>
            </w:r>
          </w:p>
        </w:tc>
      </w:tr>
      <w:tr w:rsidR="006436AD" w:rsidRPr="006436AD" w14:paraId="4682FABA" w14:textId="77777777" w:rsidTr="00093BAB">
        <w:trPr>
          <w:trHeight w:val="268"/>
        </w:trPr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5AB00A5C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Savolitinib 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2E8A5D5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400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– monotherapy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0D2AA38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2937 (34.88)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37CF2C62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2.92</w:t>
            </w:r>
          </w:p>
          <w:p w14:paraId="21E67F0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(2.00–3.90)</w:t>
            </w:r>
          </w:p>
        </w:tc>
        <w:tc>
          <w:tcPr>
            <w:tcW w:w="1270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22A2DCD9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15770</w:t>
            </w:r>
          </w:p>
          <w:p w14:paraId="5CFF2CFF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(27.91)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446E2D5F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4.158</w:t>
            </w:r>
          </w:p>
          <w:p w14:paraId="51CF5D38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(1.132)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1B3800AB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2684</w:t>
            </w:r>
          </w:p>
          <w:p w14:paraId="4E7E52FF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(45.83)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5F42E749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3.47</w:t>
            </w:r>
          </w:p>
          <w:p w14:paraId="24AFD5E1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(1.00–7.88)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08ACE3F8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37.22</w:t>
            </w:r>
          </w:p>
          <w:p w14:paraId="6BB262A7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(62.99)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357F9E66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16070</w:t>
            </w:r>
          </w:p>
          <w:p w14:paraId="7BEC8119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(12.19)</w:t>
            </w:r>
          </w:p>
        </w:tc>
        <w:tc>
          <w:tcPr>
            <w:tcW w:w="1271" w:type="dxa"/>
            <w:tcBorders>
              <w:top w:val="single" w:sz="12" w:space="0" w:color="auto"/>
            </w:tcBorders>
            <w:shd w:val="clear" w:color="auto" w:fill="auto"/>
            <w:noWrap/>
          </w:tcPr>
          <w:p w14:paraId="3B219850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1.121</w:t>
            </w:r>
          </w:p>
          <w:p w14:paraId="12DD153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(0.1549)</w:t>
            </w:r>
          </w:p>
        </w:tc>
      </w:tr>
      <w:tr w:rsidR="006436AD" w:rsidRPr="006436AD" w14:paraId="07ED6302" w14:textId="77777777" w:rsidTr="00093BAB">
        <w:trPr>
          <w:trHeight w:val="268"/>
        </w:trPr>
        <w:tc>
          <w:tcPr>
            <w:tcW w:w="1270" w:type="dxa"/>
            <w:shd w:val="clear" w:color="auto" w:fill="auto"/>
            <w:noWrap/>
          </w:tcPr>
          <w:p w14:paraId="29D98A1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1270" w:type="dxa"/>
            <w:shd w:val="clear" w:color="auto" w:fill="auto"/>
            <w:noWrap/>
          </w:tcPr>
          <w:p w14:paraId="19924F26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600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– monotherapy</w:t>
            </w:r>
          </w:p>
        </w:tc>
        <w:tc>
          <w:tcPr>
            <w:tcW w:w="1270" w:type="dxa"/>
            <w:shd w:val="clear" w:color="auto" w:fill="auto"/>
            <w:noWrap/>
          </w:tcPr>
          <w:p w14:paraId="1CF31549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4417 (36.64)</w:t>
            </w:r>
          </w:p>
        </w:tc>
        <w:tc>
          <w:tcPr>
            <w:tcW w:w="1270" w:type="dxa"/>
            <w:shd w:val="clear" w:color="auto" w:fill="auto"/>
            <w:noWrap/>
          </w:tcPr>
          <w:p w14:paraId="34845901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3.01</w:t>
            </w:r>
          </w:p>
          <w:p w14:paraId="545739C7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(2.00–5.90)</w:t>
            </w:r>
          </w:p>
        </w:tc>
        <w:tc>
          <w:tcPr>
            <w:tcW w:w="1270" w:type="dxa"/>
            <w:shd w:val="clear" w:color="auto" w:fill="auto"/>
            <w:noWrap/>
          </w:tcPr>
          <w:p w14:paraId="31506CE6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29360</w:t>
            </w:r>
          </w:p>
          <w:p w14:paraId="756E72B7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(38.21)</w:t>
            </w:r>
          </w:p>
        </w:tc>
        <w:tc>
          <w:tcPr>
            <w:tcW w:w="1271" w:type="dxa"/>
            <w:shd w:val="clear" w:color="auto" w:fill="auto"/>
            <w:noWrap/>
          </w:tcPr>
          <w:p w14:paraId="2933DB68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4.907</w:t>
            </w:r>
          </w:p>
          <w:p w14:paraId="4574E14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(3.022)</w:t>
            </w:r>
          </w:p>
        </w:tc>
        <w:tc>
          <w:tcPr>
            <w:tcW w:w="1271" w:type="dxa"/>
            <w:shd w:val="clear" w:color="auto" w:fill="auto"/>
            <w:noWrap/>
          </w:tcPr>
          <w:p w14:paraId="2FF21E21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4805</w:t>
            </w:r>
          </w:p>
          <w:p w14:paraId="767AB592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(43.45)</w:t>
            </w:r>
          </w:p>
        </w:tc>
        <w:tc>
          <w:tcPr>
            <w:tcW w:w="1271" w:type="dxa"/>
            <w:shd w:val="clear" w:color="auto" w:fill="auto"/>
            <w:noWrap/>
          </w:tcPr>
          <w:p w14:paraId="5C949D38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3.00</w:t>
            </w:r>
          </w:p>
          <w:p w14:paraId="4C605EDC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(1.95–8.02)</w:t>
            </w:r>
          </w:p>
        </w:tc>
        <w:tc>
          <w:tcPr>
            <w:tcW w:w="1271" w:type="dxa"/>
            <w:shd w:val="clear" w:color="auto" w:fill="auto"/>
            <w:noWrap/>
          </w:tcPr>
          <w:p w14:paraId="2823FEE2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130.6</w:t>
            </w:r>
          </w:p>
          <w:p w14:paraId="07F5D93B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(130.0)</w:t>
            </w:r>
          </w:p>
        </w:tc>
        <w:tc>
          <w:tcPr>
            <w:tcW w:w="1271" w:type="dxa"/>
            <w:shd w:val="clear" w:color="auto" w:fill="auto"/>
            <w:noWrap/>
          </w:tcPr>
          <w:p w14:paraId="7D9B5797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34380</w:t>
            </w:r>
          </w:p>
          <w:p w14:paraId="4B7C2DAC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(14.99)</w:t>
            </w:r>
          </w:p>
        </w:tc>
        <w:tc>
          <w:tcPr>
            <w:tcW w:w="1271" w:type="dxa"/>
            <w:shd w:val="clear" w:color="auto" w:fill="auto"/>
            <w:noWrap/>
          </w:tcPr>
          <w:p w14:paraId="75F0F606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1.098</w:t>
            </w:r>
          </w:p>
          <w:p w14:paraId="381B3C84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(0.2767)</w:t>
            </w:r>
          </w:p>
        </w:tc>
      </w:tr>
      <w:tr w:rsidR="006436AD" w:rsidRPr="006436AD" w14:paraId="0EBF2DDB" w14:textId="77777777" w:rsidTr="00093BAB">
        <w:trPr>
          <w:trHeight w:val="268"/>
        </w:trPr>
        <w:tc>
          <w:tcPr>
            <w:tcW w:w="1270" w:type="dxa"/>
            <w:shd w:val="clear" w:color="auto" w:fill="auto"/>
            <w:noWrap/>
          </w:tcPr>
          <w:p w14:paraId="38FBE90B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1270" w:type="dxa"/>
            <w:shd w:val="clear" w:color="auto" w:fill="auto"/>
            <w:noWrap/>
          </w:tcPr>
          <w:p w14:paraId="33281002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400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+ osimertinib 80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</w:tcPr>
          <w:p w14:paraId="22FADB5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2492 (34.45)</w:t>
            </w:r>
          </w:p>
        </w:tc>
        <w:tc>
          <w:tcPr>
            <w:tcW w:w="1270" w:type="dxa"/>
            <w:shd w:val="clear" w:color="auto" w:fill="auto"/>
            <w:noWrap/>
          </w:tcPr>
          <w:p w14:paraId="0CBE794C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2.96</w:t>
            </w:r>
          </w:p>
          <w:p w14:paraId="02400B6A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(0.98–3.92)</w:t>
            </w:r>
          </w:p>
        </w:tc>
        <w:tc>
          <w:tcPr>
            <w:tcW w:w="1270" w:type="dxa"/>
            <w:shd w:val="clear" w:color="auto" w:fill="auto"/>
            <w:noWrap/>
          </w:tcPr>
          <w:p w14:paraId="6E029AD3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18780</w:t>
            </w:r>
          </w:p>
          <w:p w14:paraId="74FA8F21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(58.03)</w:t>
            </w:r>
          </w:p>
        </w:tc>
        <w:tc>
          <w:tcPr>
            <w:tcW w:w="1271" w:type="dxa"/>
            <w:shd w:val="clear" w:color="auto" w:fill="auto"/>
            <w:noWrap/>
          </w:tcPr>
          <w:p w14:paraId="4B51ED48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3.967</w:t>
            </w:r>
          </w:p>
          <w:p w14:paraId="2108CC95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(1.190)</w:t>
            </w:r>
          </w:p>
        </w:tc>
        <w:tc>
          <w:tcPr>
            <w:tcW w:w="1271" w:type="dxa"/>
            <w:shd w:val="clear" w:color="auto" w:fill="auto"/>
            <w:noWrap/>
          </w:tcPr>
          <w:p w14:paraId="699D3968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2656</w:t>
            </w:r>
          </w:p>
          <w:p w14:paraId="4FB03D59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(34.90)</w:t>
            </w:r>
          </w:p>
        </w:tc>
        <w:tc>
          <w:tcPr>
            <w:tcW w:w="1271" w:type="dxa"/>
            <w:shd w:val="clear" w:color="auto" w:fill="auto"/>
            <w:noWrap/>
          </w:tcPr>
          <w:p w14:paraId="372E4EC2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2.93</w:t>
            </w:r>
          </w:p>
          <w:p w14:paraId="069030A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(1.85–4.02)</w:t>
            </w:r>
          </w:p>
        </w:tc>
        <w:tc>
          <w:tcPr>
            <w:tcW w:w="1271" w:type="dxa"/>
            <w:shd w:val="clear" w:color="auto" w:fill="auto"/>
            <w:noWrap/>
          </w:tcPr>
          <w:p w14:paraId="64A68D9E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18.98</w:t>
            </w:r>
          </w:p>
          <w:p w14:paraId="6493CD46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(125.1)</w:t>
            </w:r>
          </w:p>
        </w:tc>
        <w:tc>
          <w:tcPr>
            <w:tcW w:w="1271" w:type="dxa"/>
            <w:shd w:val="clear" w:color="auto" w:fill="auto"/>
            <w:noWrap/>
          </w:tcPr>
          <w:p w14:paraId="1536DF55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15740</w:t>
            </w:r>
          </w:p>
          <w:p w14:paraId="75227EB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(28.92)</w:t>
            </w:r>
          </w:p>
        </w:tc>
        <w:tc>
          <w:tcPr>
            <w:tcW w:w="1271" w:type="dxa"/>
            <w:shd w:val="clear" w:color="auto" w:fill="auto"/>
            <w:noWrap/>
          </w:tcPr>
          <w:p w14:paraId="4765281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0.9612 (0.2553)</w:t>
            </w:r>
          </w:p>
        </w:tc>
      </w:tr>
      <w:tr w:rsidR="006436AD" w:rsidRPr="006436AD" w14:paraId="7C4BDF3F" w14:textId="77777777" w:rsidTr="00093BAB">
        <w:trPr>
          <w:trHeight w:val="268"/>
        </w:trPr>
        <w:tc>
          <w:tcPr>
            <w:tcW w:w="1270" w:type="dxa"/>
            <w:shd w:val="clear" w:color="auto" w:fill="auto"/>
            <w:noWrap/>
          </w:tcPr>
          <w:p w14:paraId="574EF2F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1270" w:type="dxa"/>
            <w:shd w:val="clear" w:color="auto" w:fill="auto"/>
            <w:noWrap/>
          </w:tcPr>
          <w:p w14:paraId="0ACACCDD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600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 + osimertinib 80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</w:tcPr>
          <w:p w14:paraId="2121EE7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3247 (44.62)</w:t>
            </w:r>
          </w:p>
        </w:tc>
        <w:tc>
          <w:tcPr>
            <w:tcW w:w="1270" w:type="dxa"/>
            <w:shd w:val="clear" w:color="auto" w:fill="auto"/>
            <w:noWrap/>
          </w:tcPr>
          <w:p w14:paraId="2DC50259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0.95</w:t>
            </w:r>
          </w:p>
          <w:p w14:paraId="79F7EAF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(0.92–1.95)</w:t>
            </w:r>
          </w:p>
        </w:tc>
        <w:tc>
          <w:tcPr>
            <w:tcW w:w="1270" w:type="dxa"/>
            <w:shd w:val="clear" w:color="auto" w:fill="auto"/>
            <w:noWrap/>
          </w:tcPr>
          <w:p w14:paraId="36FF0A3C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16650</w:t>
            </w:r>
          </w:p>
          <w:p w14:paraId="7138724A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(62.24)</w:t>
            </w:r>
          </w:p>
        </w:tc>
        <w:tc>
          <w:tcPr>
            <w:tcW w:w="1271" w:type="dxa"/>
            <w:shd w:val="clear" w:color="auto" w:fill="auto"/>
            <w:noWrap/>
          </w:tcPr>
          <w:p w14:paraId="1D858090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3.995</w:t>
            </w:r>
          </w:p>
          <w:p w14:paraId="25A1DB92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(1.080)</w:t>
            </w:r>
          </w:p>
        </w:tc>
        <w:tc>
          <w:tcPr>
            <w:tcW w:w="1271" w:type="dxa"/>
            <w:shd w:val="clear" w:color="auto" w:fill="auto"/>
            <w:noWrap/>
          </w:tcPr>
          <w:p w14:paraId="4D713FEA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0CADBF9D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009CA814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14E8CA08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419B4250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</w:tr>
      <w:tr w:rsidR="006436AD" w:rsidRPr="006436AD" w14:paraId="44F81521" w14:textId="77777777" w:rsidTr="00093BAB">
        <w:trPr>
          <w:trHeight w:val="268"/>
        </w:trPr>
        <w:tc>
          <w:tcPr>
            <w:tcW w:w="1270" w:type="dxa"/>
            <w:shd w:val="clear" w:color="auto" w:fill="auto"/>
            <w:noWrap/>
          </w:tcPr>
          <w:p w14:paraId="05C076D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Osimertinib</w:t>
            </w: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val="en-US" w:eastAsia="en-GB"/>
              </w:rPr>
              <w:t>a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</w:tcPr>
          <w:p w14:paraId="439CC33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+ savolitinib 400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</w:tcPr>
          <w:p w14:paraId="6FFAFBE2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145.2 (30.94)</w:t>
            </w:r>
          </w:p>
        </w:tc>
        <w:tc>
          <w:tcPr>
            <w:tcW w:w="1270" w:type="dxa"/>
            <w:shd w:val="clear" w:color="auto" w:fill="auto"/>
            <w:noWrap/>
          </w:tcPr>
          <w:p w14:paraId="0A9E0F8E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5.88</w:t>
            </w:r>
          </w:p>
          <w:p w14:paraId="6CC7773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(3.87–8.02)</w:t>
            </w:r>
          </w:p>
        </w:tc>
        <w:tc>
          <w:tcPr>
            <w:tcW w:w="1270" w:type="dxa"/>
            <w:shd w:val="clear" w:color="auto" w:fill="auto"/>
            <w:noWrap/>
          </w:tcPr>
          <w:p w14:paraId="3B34DDB5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2354</w:t>
            </w:r>
          </w:p>
          <w:p w14:paraId="762A3E18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(31.07)</w:t>
            </w:r>
          </w:p>
        </w:tc>
        <w:tc>
          <w:tcPr>
            <w:tcW w:w="1271" w:type="dxa"/>
            <w:shd w:val="clear" w:color="auto" w:fill="auto"/>
            <w:noWrap/>
          </w:tcPr>
          <w:p w14:paraId="4D9D1AA6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NC</w:t>
            </w:r>
          </w:p>
        </w:tc>
        <w:tc>
          <w:tcPr>
            <w:tcW w:w="1271" w:type="dxa"/>
            <w:shd w:val="clear" w:color="auto" w:fill="auto"/>
            <w:noWrap/>
          </w:tcPr>
          <w:p w14:paraId="1F143CEE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523.4</w:t>
            </w:r>
          </w:p>
          <w:p w14:paraId="66723C24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(83.68)</w:t>
            </w:r>
          </w:p>
        </w:tc>
        <w:tc>
          <w:tcPr>
            <w:tcW w:w="1271" w:type="dxa"/>
            <w:shd w:val="clear" w:color="auto" w:fill="auto"/>
            <w:noWrap/>
          </w:tcPr>
          <w:p w14:paraId="477A2E6F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4.03</w:t>
            </w:r>
          </w:p>
          <w:p w14:paraId="35542DB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(3.98–7.90)</w:t>
            </w:r>
          </w:p>
        </w:tc>
        <w:tc>
          <w:tcPr>
            <w:tcW w:w="1271" w:type="dxa"/>
            <w:shd w:val="clear" w:color="auto" w:fill="auto"/>
            <w:noWrap/>
          </w:tcPr>
          <w:p w14:paraId="796BAE8F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353.6</w:t>
            </w:r>
          </w:p>
          <w:p w14:paraId="33148A4D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(93.84)</w:t>
            </w:r>
          </w:p>
        </w:tc>
        <w:tc>
          <w:tcPr>
            <w:tcW w:w="1271" w:type="dxa"/>
            <w:shd w:val="clear" w:color="auto" w:fill="auto"/>
            <w:noWrap/>
          </w:tcPr>
          <w:p w14:paraId="360A8A9C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10970</w:t>
            </w:r>
          </w:p>
          <w:p w14:paraId="4D7445F5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(87.23)</w:t>
            </w:r>
          </w:p>
        </w:tc>
        <w:tc>
          <w:tcPr>
            <w:tcW w:w="1271" w:type="dxa"/>
            <w:shd w:val="clear" w:color="auto" w:fill="auto"/>
            <w:noWrap/>
          </w:tcPr>
          <w:p w14:paraId="00ACA631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5.649</w:t>
            </w:r>
          </w:p>
          <w:p w14:paraId="7A7065A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(2.318)</w:t>
            </w:r>
          </w:p>
        </w:tc>
      </w:tr>
      <w:tr w:rsidR="006436AD" w:rsidRPr="006436AD" w14:paraId="73B83AD9" w14:textId="77777777" w:rsidTr="00093BAB">
        <w:trPr>
          <w:trHeight w:val="268"/>
        </w:trPr>
        <w:tc>
          <w:tcPr>
            <w:tcW w:w="1270" w:type="dxa"/>
            <w:shd w:val="clear" w:color="auto" w:fill="auto"/>
            <w:noWrap/>
          </w:tcPr>
          <w:p w14:paraId="7C4F5C31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</w:p>
        </w:tc>
        <w:tc>
          <w:tcPr>
            <w:tcW w:w="1270" w:type="dxa"/>
            <w:shd w:val="clear" w:color="auto" w:fill="auto"/>
            <w:noWrap/>
          </w:tcPr>
          <w:p w14:paraId="0B90AF67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 xml:space="preserve">+ savolitinib 600 mg </w:t>
            </w:r>
            <w:proofErr w:type="spellStart"/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qd</w:t>
            </w:r>
            <w:proofErr w:type="spellEnd"/>
          </w:p>
        </w:tc>
        <w:tc>
          <w:tcPr>
            <w:tcW w:w="1270" w:type="dxa"/>
            <w:shd w:val="clear" w:color="auto" w:fill="auto"/>
            <w:noWrap/>
          </w:tcPr>
          <w:p w14:paraId="48A5AF99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196.2 (47.76)</w:t>
            </w:r>
          </w:p>
        </w:tc>
        <w:tc>
          <w:tcPr>
            <w:tcW w:w="1270" w:type="dxa"/>
            <w:shd w:val="clear" w:color="auto" w:fill="auto"/>
            <w:noWrap/>
          </w:tcPr>
          <w:p w14:paraId="174E6EBB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4.90</w:t>
            </w:r>
          </w:p>
          <w:p w14:paraId="36FAAFDC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(1.95–5.92)</w:t>
            </w:r>
          </w:p>
        </w:tc>
        <w:tc>
          <w:tcPr>
            <w:tcW w:w="1270" w:type="dxa"/>
            <w:shd w:val="clear" w:color="auto" w:fill="auto"/>
            <w:noWrap/>
          </w:tcPr>
          <w:p w14:paraId="4A39600A" w14:textId="77777777" w:rsidR="006436AD" w:rsidRPr="006436AD" w:rsidRDefault="006436AD" w:rsidP="006436A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3088</w:t>
            </w:r>
          </w:p>
          <w:p w14:paraId="162646A9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(42.68)</w:t>
            </w:r>
          </w:p>
        </w:tc>
        <w:tc>
          <w:tcPr>
            <w:tcW w:w="1271" w:type="dxa"/>
            <w:shd w:val="clear" w:color="auto" w:fill="auto"/>
            <w:noWrap/>
          </w:tcPr>
          <w:p w14:paraId="557191DE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NC</w:t>
            </w:r>
          </w:p>
        </w:tc>
        <w:tc>
          <w:tcPr>
            <w:tcW w:w="1271" w:type="dxa"/>
            <w:shd w:val="clear" w:color="auto" w:fill="auto"/>
            <w:noWrap/>
          </w:tcPr>
          <w:p w14:paraId="00F5CEA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710506A6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68DCFA6D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0080112D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  <w:tc>
          <w:tcPr>
            <w:tcW w:w="1271" w:type="dxa"/>
            <w:shd w:val="clear" w:color="auto" w:fill="auto"/>
            <w:noWrap/>
          </w:tcPr>
          <w:p w14:paraId="4C1F9C33" w14:textId="77777777" w:rsidR="006436AD" w:rsidRPr="006436AD" w:rsidRDefault="006436AD" w:rsidP="006436AD">
            <w:pPr>
              <w:spacing w:after="200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</w:pPr>
            <w:r w:rsidRPr="006436AD">
              <w:rPr>
                <w:rFonts w:ascii="Times New Roman" w:eastAsia="Times New Roman" w:hAnsi="Times New Roman" w:cs="Times New Roman"/>
                <w:sz w:val="18"/>
                <w:szCs w:val="18"/>
                <w:lang w:val="en-US" w:eastAsia="en-GB"/>
              </w:rPr>
              <w:t>ND</w:t>
            </w:r>
          </w:p>
        </w:tc>
      </w:tr>
    </w:tbl>
    <w:p w14:paraId="7DB698D4" w14:textId="77777777" w:rsidR="006436AD" w:rsidRPr="006436AD" w:rsidRDefault="006436AD" w:rsidP="006436AD">
      <w:pPr>
        <w:spacing w:after="0" w:line="360" w:lineRule="auto"/>
        <w:rPr>
          <w:rFonts w:ascii="Times New Roman" w:eastAsia="Yu Mincho" w:hAnsi="Times New Roman" w:cs="Times New Roman"/>
          <w:lang w:val="en-US" w:eastAsia="en-US"/>
        </w:rPr>
      </w:pPr>
      <w:r w:rsidRPr="006436AD">
        <w:rPr>
          <w:rFonts w:ascii="Times New Roman" w:eastAsia="Yu Mincho" w:hAnsi="Times New Roman" w:cs="Times New Roman"/>
          <w:i/>
          <w:iCs/>
          <w:lang w:eastAsia="en-US"/>
        </w:rPr>
        <w:t>AUC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eastAsia="en-US"/>
        </w:rPr>
        <w:t>0–24</w:t>
      </w:r>
      <w:r w:rsidRPr="006436AD">
        <w:rPr>
          <w:rFonts w:ascii="Times New Roman" w:eastAsia="Yu Mincho" w:hAnsi="Times New Roman" w:cs="Times New Roman"/>
          <w:lang w:eastAsia="en-US"/>
        </w:rPr>
        <w:t xml:space="preserve"> area under the plasma concentration-time curve from zero to 24 h, </w:t>
      </w:r>
      <w:r w:rsidRPr="006436AD">
        <w:rPr>
          <w:rFonts w:ascii="Times New Roman" w:eastAsia="Yu Mincho" w:hAnsi="Times New Roman" w:cs="Times New Roman"/>
          <w:i/>
          <w:iCs/>
          <w:lang w:eastAsia="en-US"/>
        </w:rPr>
        <w:t>AUC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eastAsia="en-US"/>
        </w:rPr>
        <w:t>T</w:t>
      </w:r>
      <w:r w:rsidRPr="006436AD">
        <w:rPr>
          <w:rFonts w:ascii="Times New Roman" w:eastAsia="Yu Mincho" w:hAnsi="Times New Roman" w:cs="Times New Roman"/>
          <w:lang w:eastAsia="en-US"/>
        </w:rPr>
        <w:t xml:space="preserve"> area under the plasma concentration-time curve over the dosing interval,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C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max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maximum plasma concentration,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C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ss</w:t>
      </w:r>
      <w:proofErr w:type="spellEnd"/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 xml:space="preserve"> max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maximum plasma concentration at steady state,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C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ss</w:t>
      </w:r>
      <w:proofErr w:type="spellEnd"/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 xml:space="preserve"> min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minimum plasma concentration at steady state, </w:t>
      </w:r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CV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coefficient of variation, </w:t>
      </w:r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h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hours, </w:t>
      </w:r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ND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not determined, </w:t>
      </w:r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NC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not calculable,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qd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once daily,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R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ac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accumulation ratio, </w:t>
      </w:r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SD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standard deviation, </w:t>
      </w:r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T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1/2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terminal half-life,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T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max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time to maximum concentration, </w:t>
      </w:r>
      <w:proofErr w:type="spellStart"/>
      <w:r w:rsidRPr="006436AD">
        <w:rPr>
          <w:rFonts w:ascii="Times New Roman" w:eastAsia="Yu Mincho" w:hAnsi="Times New Roman" w:cs="Times New Roman"/>
          <w:i/>
          <w:iCs/>
          <w:lang w:val="en-US" w:eastAsia="en-US"/>
        </w:rPr>
        <w:t>T</w:t>
      </w:r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>ss</w:t>
      </w:r>
      <w:proofErr w:type="spellEnd"/>
      <w:r w:rsidRPr="006436AD">
        <w:rPr>
          <w:rFonts w:ascii="Times New Roman" w:eastAsia="Yu Mincho" w:hAnsi="Times New Roman" w:cs="Times New Roman"/>
          <w:i/>
          <w:iCs/>
          <w:vertAlign w:val="subscript"/>
          <w:lang w:val="en-US" w:eastAsia="en-US"/>
        </w:rPr>
        <w:t xml:space="preserve"> max</w:t>
      </w:r>
      <w:r w:rsidRPr="006436AD">
        <w:rPr>
          <w:rFonts w:ascii="Times New Roman" w:eastAsia="Yu Mincho" w:hAnsi="Times New Roman" w:cs="Times New Roman"/>
          <w:lang w:val="en-US" w:eastAsia="en-US"/>
        </w:rPr>
        <w:t xml:space="preserve"> time to maximum plasma concentration at steady state</w:t>
      </w:r>
    </w:p>
    <w:p w14:paraId="611202E9" w14:textId="77777777" w:rsidR="006436AD" w:rsidRPr="006436AD" w:rsidRDefault="006436AD" w:rsidP="006436AD">
      <w:pPr>
        <w:spacing w:after="200" w:line="360" w:lineRule="auto"/>
        <w:rPr>
          <w:rFonts w:ascii="Times New Roman" w:eastAsia="Yu Mincho" w:hAnsi="Times New Roman" w:cs="Times New Roman"/>
          <w:lang w:val="en-US" w:eastAsia="en-US"/>
        </w:rPr>
      </w:pPr>
      <w:proofErr w:type="spellStart"/>
      <w:r w:rsidRPr="006436AD">
        <w:rPr>
          <w:rFonts w:ascii="Times New Roman" w:eastAsia="Yu Mincho" w:hAnsi="Times New Roman" w:cs="Times New Roman"/>
          <w:vertAlign w:val="superscript"/>
          <w:lang w:val="en-US" w:eastAsia="en-US"/>
        </w:rPr>
        <w:t>a</w:t>
      </w:r>
      <w:r w:rsidRPr="006436AD">
        <w:rPr>
          <w:rFonts w:ascii="Times New Roman" w:eastAsia="Yu Mincho" w:hAnsi="Times New Roman" w:cs="Times New Roman"/>
          <w:lang w:val="en-US" w:eastAsia="en-US"/>
        </w:rPr>
        <w:t>For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osimertinib, 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C</w:t>
      </w:r>
      <w:r w:rsidRPr="006436AD">
        <w:rPr>
          <w:rFonts w:ascii="Times New Roman" w:eastAsia="Yu Mincho" w:hAnsi="Times New Roman" w:cs="Times New Roman"/>
          <w:vertAlign w:val="subscript"/>
          <w:lang w:val="en-US" w:eastAsia="en-US"/>
        </w:rPr>
        <w:t>max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and AUC are reported in 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nM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 and </w:t>
      </w:r>
      <w:proofErr w:type="spellStart"/>
      <w:r w:rsidRPr="006436AD">
        <w:rPr>
          <w:rFonts w:ascii="Times New Roman" w:eastAsia="Yu Mincho" w:hAnsi="Times New Roman" w:cs="Times New Roman"/>
          <w:lang w:val="en-US" w:eastAsia="en-US"/>
        </w:rPr>
        <w:t>nM.h</w:t>
      </w:r>
      <w:proofErr w:type="spellEnd"/>
      <w:r w:rsidRPr="006436AD">
        <w:rPr>
          <w:rFonts w:ascii="Times New Roman" w:eastAsia="Yu Mincho" w:hAnsi="Times New Roman" w:cs="Times New Roman"/>
          <w:lang w:val="en-US" w:eastAsia="en-US"/>
        </w:rPr>
        <w:t xml:space="preserve">, respectively. </w:t>
      </w:r>
    </w:p>
    <w:p w14:paraId="5C505422" w14:textId="77777777" w:rsidR="00712D9C" w:rsidRPr="006436AD" w:rsidRDefault="00712D9C">
      <w:pPr>
        <w:rPr>
          <w:lang w:val="en-US"/>
        </w:rPr>
      </w:pPr>
    </w:p>
    <w:sectPr w:rsidR="00712D9C" w:rsidRPr="006436AD" w:rsidSect="00B07F8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01748" w14:textId="77777777" w:rsidR="00EA3259" w:rsidRDefault="00EA3259" w:rsidP="004244FC">
      <w:pPr>
        <w:spacing w:after="0" w:line="240" w:lineRule="auto"/>
      </w:pPr>
      <w:r>
        <w:separator/>
      </w:r>
    </w:p>
  </w:endnote>
  <w:endnote w:type="continuationSeparator" w:id="0">
    <w:p w14:paraId="475B7F0C" w14:textId="77777777" w:rsidR="00EA3259" w:rsidRDefault="00EA3259" w:rsidP="00424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310012" w14:textId="77777777" w:rsidR="00EA3259" w:rsidRDefault="00EA3259" w:rsidP="004244FC">
      <w:pPr>
        <w:spacing w:after="0" w:line="240" w:lineRule="auto"/>
      </w:pPr>
      <w:r>
        <w:separator/>
      </w:r>
    </w:p>
  </w:footnote>
  <w:footnote w:type="continuationSeparator" w:id="0">
    <w:p w14:paraId="61E6263E" w14:textId="77777777" w:rsidR="00EA3259" w:rsidRDefault="00EA3259" w:rsidP="004244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74DB3"/>
    <w:multiLevelType w:val="hybridMultilevel"/>
    <w:tmpl w:val="3AE61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AD"/>
    <w:rsid w:val="004244FC"/>
    <w:rsid w:val="006436AD"/>
    <w:rsid w:val="00712D9C"/>
    <w:rsid w:val="00EA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389DD5"/>
  <w15:chartTrackingRefBased/>
  <w15:docId w15:val="{9B2067A0-F4A2-4396-9025-BA6FF89E3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36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436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36AD"/>
    <w:pPr>
      <w:spacing w:after="200" w:line="240" w:lineRule="auto"/>
    </w:pPr>
    <w:rPr>
      <w:rFonts w:ascii="Arial" w:hAnsi="Arial" w:cs="Calibr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36AD"/>
    <w:rPr>
      <w:rFonts w:ascii="Arial" w:hAnsi="Arial" w:cs="Calibri"/>
      <w:sz w:val="20"/>
      <w:szCs w:val="20"/>
      <w:lang w:eastAsia="en-US"/>
    </w:rPr>
  </w:style>
  <w:style w:type="table" w:customStyle="1" w:styleId="ListTable6Colorful1">
    <w:name w:val="List Table 6 Colorful1"/>
    <w:basedOn w:val="TableNormal"/>
    <w:next w:val="ListTable6Colorful"/>
    <w:uiPriority w:val="51"/>
    <w:rsid w:val="006436AD"/>
    <w:pPr>
      <w:spacing w:after="0" w:line="240" w:lineRule="auto"/>
    </w:pPr>
    <w:rPr>
      <w:color w:val="000000"/>
      <w:lang w:eastAsia="en-US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6Colorful">
    <w:name w:val="List Table 6 Colorful"/>
    <w:basedOn w:val="TableNormal"/>
    <w:uiPriority w:val="51"/>
    <w:rsid w:val="006436A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436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6A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4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4FC"/>
  </w:style>
  <w:style w:type="paragraph" w:styleId="Footer">
    <w:name w:val="footer"/>
    <w:basedOn w:val="Normal"/>
    <w:link w:val="FooterChar"/>
    <w:uiPriority w:val="99"/>
    <w:unhideWhenUsed/>
    <w:rsid w:val="004244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yoh@east.ncc.g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4991</Characters>
  <Application>Microsoft Office Word</Application>
  <DocSecurity>0</DocSecurity>
  <Lines>41</Lines>
  <Paragraphs>11</Paragraphs>
  <ScaleCrop>false</ScaleCrop>
  <Company/>
  <LinksUpToDate>false</LinksUpToDate>
  <CharactersWithSpaces>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Tynan</dc:creator>
  <cp:keywords/>
  <dc:description/>
  <cp:lastModifiedBy>Bernadette Tynan</cp:lastModifiedBy>
  <cp:revision>2</cp:revision>
  <dcterms:created xsi:type="dcterms:W3CDTF">2021-01-04T11:26:00Z</dcterms:created>
  <dcterms:modified xsi:type="dcterms:W3CDTF">2021-01-04T11:29:00Z</dcterms:modified>
</cp:coreProperties>
</file>