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52AA0" w14:textId="74AE87C4" w:rsidR="0073279C" w:rsidRDefault="00967A85">
      <w:pPr>
        <w:rPr>
          <w:b/>
          <w:bCs/>
        </w:rPr>
      </w:pPr>
      <w:bookmarkStart w:id="0" w:name="_GoBack"/>
      <w:bookmarkEnd w:id="0"/>
      <w:proofErr w:type="spellStart"/>
      <w:r w:rsidRPr="00967A85">
        <w:rPr>
          <w:b/>
          <w:bCs/>
        </w:rPr>
        <w:t>Supplementary</w:t>
      </w:r>
      <w:proofErr w:type="spellEnd"/>
      <w:r w:rsidRPr="00967A85">
        <w:rPr>
          <w:b/>
          <w:bCs/>
        </w:rPr>
        <w:t xml:space="preserve"> </w:t>
      </w:r>
      <w:proofErr w:type="spellStart"/>
      <w:r>
        <w:rPr>
          <w:b/>
          <w:bCs/>
        </w:rPr>
        <w:t>material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methodology</w:t>
      </w:r>
      <w:proofErr w:type="spellEnd"/>
    </w:p>
    <w:p w14:paraId="742E1F70" w14:textId="77777777" w:rsidR="00967A85" w:rsidRDefault="00967A85">
      <w:pPr>
        <w:rPr>
          <w:b/>
          <w:bCs/>
        </w:rPr>
      </w:pPr>
    </w:p>
    <w:p w14:paraId="346326CB" w14:textId="77777777" w:rsidR="00967A85" w:rsidRPr="00967A85" w:rsidRDefault="00967A85" w:rsidP="00967A85">
      <w:pPr>
        <w:spacing w:line="480" w:lineRule="auto"/>
        <w:rPr>
          <w:rFonts w:ascii="Times New Roman" w:hAnsi="Times New Roman" w:cs="Times New Roman"/>
          <w:b/>
          <w:i/>
          <w:lang w:val="en-US"/>
        </w:rPr>
      </w:pPr>
      <w:r w:rsidRPr="00967A85">
        <w:rPr>
          <w:rFonts w:ascii="Times New Roman" w:hAnsi="Times New Roman" w:cs="Times New Roman"/>
          <w:b/>
          <w:bCs/>
          <w:i/>
          <w:iCs/>
          <w:lang w:val="en-US"/>
        </w:rPr>
        <w:t>IHC and NGS</w:t>
      </w:r>
    </w:p>
    <w:p w14:paraId="5AD3F9E2" w14:textId="77777777" w:rsidR="00967A85" w:rsidRPr="00967A85" w:rsidRDefault="00967A85" w:rsidP="00967A85">
      <w:pPr>
        <w:spacing w:line="480" w:lineRule="auto"/>
        <w:rPr>
          <w:rFonts w:ascii="Times New Roman" w:hAnsi="Times New Roman" w:cs="Times New Roman"/>
          <w:lang w:val="en-US"/>
        </w:rPr>
      </w:pPr>
      <w:r w:rsidRPr="00967A85">
        <w:rPr>
          <w:rFonts w:ascii="Times New Roman" w:hAnsi="Times New Roman" w:cs="Times New Roman"/>
          <w:lang w:val="en-US"/>
        </w:rPr>
        <w:t xml:space="preserve">Histopathologic data </w:t>
      </w:r>
      <w:proofErr w:type="gramStart"/>
      <w:r w:rsidRPr="00967A85">
        <w:rPr>
          <w:rFonts w:ascii="Times New Roman" w:hAnsi="Times New Roman" w:cs="Times New Roman"/>
          <w:lang w:val="en-US"/>
        </w:rPr>
        <w:t>were obtained</w:t>
      </w:r>
      <w:proofErr w:type="gramEnd"/>
      <w:r w:rsidRPr="00967A85">
        <w:rPr>
          <w:rFonts w:ascii="Times New Roman" w:hAnsi="Times New Roman" w:cs="Times New Roman"/>
          <w:lang w:val="en-US"/>
        </w:rPr>
        <w:t xml:space="preserve"> from standardized pathology reports. MMR status </w:t>
      </w:r>
      <w:proofErr w:type="gramStart"/>
      <w:r w:rsidRPr="00967A85">
        <w:rPr>
          <w:rFonts w:ascii="Times New Roman" w:hAnsi="Times New Roman" w:cs="Times New Roman"/>
          <w:lang w:val="en-US"/>
        </w:rPr>
        <w:t>was assessed</w:t>
      </w:r>
      <w:proofErr w:type="gramEnd"/>
      <w:r w:rsidRPr="00967A85">
        <w:rPr>
          <w:rFonts w:ascii="Times New Roman" w:hAnsi="Times New Roman" w:cs="Times New Roman"/>
          <w:lang w:val="en-US"/>
        </w:rPr>
        <w:t xml:space="preserve"> using IHC (</w:t>
      </w:r>
      <w:hyperlink r:id="rId4">
        <w:r w:rsidRPr="00967A85">
          <w:rPr>
            <w:rStyle w:val="Collegamentoipertestuale"/>
            <w:rFonts w:ascii="Times New Roman" w:eastAsia="Times New Roman" w:hAnsi="Times New Roman" w:cs="Times New Roman"/>
            <w:lang w:val="en-US"/>
          </w:rPr>
          <w:t>https://www.mayocliniclabs.com/test-catalog/overview/35466</w:t>
        </w:r>
      </w:hyperlink>
      <w:r w:rsidRPr="00967A85">
        <w:rPr>
          <w:rFonts w:ascii="Times New Roman" w:eastAsia="Times New Roman" w:hAnsi="Times New Roman" w:cs="Times New Roman"/>
          <w:lang w:val="en-US"/>
        </w:rPr>
        <w:t xml:space="preserve">) </w:t>
      </w:r>
      <w:r w:rsidRPr="00967A85">
        <w:rPr>
          <w:rFonts w:ascii="Times New Roman" w:hAnsi="Times New Roman" w:cs="Times New Roman"/>
          <w:lang w:val="en-US"/>
        </w:rPr>
        <w:t xml:space="preserve">while MSI through NGS. </w:t>
      </w:r>
    </w:p>
    <w:p w14:paraId="719467D4" w14:textId="0FB22267" w:rsidR="00967A85" w:rsidRPr="00967A85" w:rsidRDefault="47B606E4" w:rsidP="3F25AF32">
      <w:pPr>
        <w:spacing w:line="480" w:lineRule="auto"/>
        <w:rPr>
          <w:rFonts w:ascii="Times New Roman" w:eastAsia="Times New Roman" w:hAnsi="Times New Roman" w:cs="Times New Roman"/>
          <w:lang w:val="en-US"/>
        </w:rPr>
      </w:pPr>
      <w:r w:rsidRPr="2496F345">
        <w:rPr>
          <w:rFonts w:ascii="Times New Roman" w:hAnsi="Times New Roman" w:cs="Times New Roman"/>
          <w:lang w:val="en-US"/>
        </w:rPr>
        <w:t xml:space="preserve">IHC </w:t>
      </w:r>
      <w:proofErr w:type="gramStart"/>
      <w:r w:rsidRPr="2496F345">
        <w:rPr>
          <w:rFonts w:ascii="Times New Roman" w:hAnsi="Times New Roman" w:cs="Times New Roman"/>
          <w:lang w:val="en-US"/>
        </w:rPr>
        <w:t>was conducted</w:t>
      </w:r>
      <w:proofErr w:type="gramEnd"/>
      <w:r w:rsidRPr="2496F345">
        <w:rPr>
          <w:rFonts w:ascii="Times New Roman" w:hAnsi="Times New Roman" w:cs="Times New Roman"/>
          <w:lang w:val="en-US"/>
        </w:rPr>
        <w:t xml:space="preserve"> on </w:t>
      </w:r>
      <w:r w:rsidR="6A7091A9" w:rsidRPr="2496F345">
        <w:rPr>
          <w:rFonts w:ascii="Times New Roman" w:hAnsi="Times New Roman" w:cs="Times New Roman"/>
          <w:lang w:val="en-US"/>
        </w:rPr>
        <w:t>3</w:t>
      </w:r>
      <w:r w:rsidRPr="2496F345">
        <w:rPr>
          <w:rFonts w:ascii="Times New Roman" w:hAnsi="Times New Roman" w:cs="Times New Roman"/>
          <w:lang w:val="en-US"/>
        </w:rPr>
        <w:t xml:space="preserve">-µm thick FFPE tumor sections, employing specific clones: MSH2 (clone G219–1129; </w:t>
      </w:r>
      <w:proofErr w:type="spellStart"/>
      <w:r w:rsidRPr="2496F345">
        <w:rPr>
          <w:rFonts w:ascii="Times New Roman" w:hAnsi="Times New Roman" w:cs="Times New Roman"/>
          <w:lang w:val="en-US"/>
        </w:rPr>
        <w:t>Ventana</w:t>
      </w:r>
      <w:proofErr w:type="spellEnd"/>
      <w:r w:rsidRPr="2496F345">
        <w:rPr>
          <w:rFonts w:ascii="Times New Roman" w:hAnsi="Times New Roman" w:cs="Times New Roman"/>
          <w:lang w:val="en-US"/>
        </w:rPr>
        <w:t xml:space="preserve">), MSH6 (clone SP93; </w:t>
      </w:r>
      <w:proofErr w:type="spellStart"/>
      <w:r w:rsidRPr="2496F345">
        <w:rPr>
          <w:rFonts w:ascii="Times New Roman" w:hAnsi="Times New Roman" w:cs="Times New Roman"/>
          <w:lang w:val="en-US"/>
        </w:rPr>
        <w:t>Ventana</w:t>
      </w:r>
      <w:proofErr w:type="spellEnd"/>
      <w:r w:rsidRPr="2496F345">
        <w:rPr>
          <w:rFonts w:ascii="Times New Roman" w:hAnsi="Times New Roman" w:cs="Times New Roman"/>
          <w:lang w:val="en-US"/>
        </w:rPr>
        <w:t xml:space="preserve">), MLH1 (clone M1; </w:t>
      </w:r>
      <w:proofErr w:type="spellStart"/>
      <w:r w:rsidRPr="2496F345">
        <w:rPr>
          <w:rFonts w:ascii="Times New Roman" w:hAnsi="Times New Roman" w:cs="Times New Roman"/>
          <w:lang w:val="en-US"/>
        </w:rPr>
        <w:t>Ventana</w:t>
      </w:r>
      <w:proofErr w:type="spellEnd"/>
      <w:r w:rsidRPr="2496F345">
        <w:rPr>
          <w:rFonts w:ascii="Times New Roman" w:hAnsi="Times New Roman" w:cs="Times New Roman"/>
          <w:lang w:val="en-US"/>
        </w:rPr>
        <w:t xml:space="preserve">), and PMS2 (clone A16–4; </w:t>
      </w:r>
      <w:proofErr w:type="spellStart"/>
      <w:r w:rsidRPr="2496F345">
        <w:rPr>
          <w:rFonts w:ascii="Times New Roman" w:hAnsi="Times New Roman" w:cs="Times New Roman"/>
          <w:lang w:val="en-US"/>
        </w:rPr>
        <w:t>Ventana</w:t>
      </w:r>
      <w:proofErr w:type="spellEnd"/>
      <w:r w:rsidRPr="2496F345">
        <w:rPr>
          <w:rFonts w:ascii="Times New Roman" w:hAnsi="Times New Roman" w:cs="Times New Roman"/>
          <w:lang w:val="en-US"/>
        </w:rPr>
        <w:t xml:space="preserve">). The </w:t>
      </w:r>
      <w:proofErr w:type="spellStart"/>
      <w:r w:rsidRPr="2496F345">
        <w:rPr>
          <w:rFonts w:ascii="Times New Roman" w:hAnsi="Times New Roman" w:cs="Times New Roman"/>
          <w:lang w:val="en-US"/>
        </w:rPr>
        <w:t>Ventana</w:t>
      </w:r>
      <w:proofErr w:type="spellEnd"/>
      <w:r w:rsidRPr="2496F3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2496F345">
        <w:rPr>
          <w:rFonts w:ascii="Times New Roman" w:hAnsi="Times New Roman" w:cs="Times New Roman"/>
          <w:lang w:val="en-US"/>
        </w:rPr>
        <w:t>BenchMark</w:t>
      </w:r>
      <w:proofErr w:type="spellEnd"/>
      <w:r w:rsidRPr="2496F345">
        <w:rPr>
          <w:rFonts w:ascii="Times New Roman" w:hAnsi="Times New Roman" w:cs="Times New Roman"/>
          <w:lang w:val="en-US"/>
        </w:rPr>
        <w:t xml:space="preserve"> ULTRA </w:t>
      </w:r>
      <w:proofErr w:type="spellStart"/>
      <w:r w:rsidRPr="2496F345">
        <w:rPr>
          <w:rFonts w:ascii="Times New Roman" w:hAnsi="Times New Roman" w:cs="Times New Roman"/>
          <w:lang w:val="en-US"/>
        </w:rPr>
        <w:t>autostainer</w:t>
      </w:r>
      <w:proofErr w:type="spellEnd"/>
      <w:r w:rsidRPr="2496F345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2496F345">
        <w:rPr>
          <w:rFonts w:ascii="Times New Roman" w:hAnsi="Times New Roman" w:cs="Times New Roman"/>
          <w:lang w:val="en-US"/>
        </w:rPr>
        <w:t>was used</w:t>
      </w:r>
      <w:proofErr w:type="gramEnd"/>
      <w:r w:rsidRPr="2496F345">
        <w:rPr>
          <w:rFonts w:ascii="Times New Roman" w:hAnsi="Times New Roman" w:cs="Times New Roman"/>
          <w:lang w:val="en-US"/>
        </w:rPr>
        <w:t xml:space="preserve"> with the </w:t>
      </w:r>
      <w:proofErr w:type="spellStart"/>
      <w:r w:rsidRPr="2496F345">
        <w:rPr>
          <w:rFonts w:ascii="Times New Roman" w:hAnsi="Times New Roman" w:cs="Times New Roman"/>
          <w:lang w:val="en-US"/>
        </w:rPr>
        <w:t>OptiView</w:t>
      </w:r>
      <w:proofErr w:type="spellEnd"/>
      <w:r w:rsidRPr="2496F345">
        <w:rPr>
          <w:rFonts w:ascii="Times New Roman" w:hAnsi="Times New Roman" w:cs="Times New Roman"/>
          <w:lang w:val="en-US"/>
        </w:rPr>
        <w:t xml:space="preserve"> DAB</w:t>
      </w:r>
      <w:r w:rsidR="104A03BE" w:rsidRPr="2496F345">
        <w:rPr>
          <w:rFonts w:ascii="Times New Roman" w:hAnsi="Times New Roman" w:cs="Times New Roman"/>
          <w:lang w:val="en-US"/>
        </w:rPr>
        <w:t xml:space="preserve"> </w:t>
      </w:r>
      <w:r w:rsidR="104A03BE" w:rsidRPr="2496F345">
        <w:rPr>
          <w:rFonts w:eastAsiaTheme="minorEastAsia"/>
          <w:lang w:val="en-US"/>
        </w:rPr>
        <w:t xml:space="preserve">IHC Detection Kit, </w:t>
      </w:r>
      <w:proofErr w:type="spellStart"/>
      <w:r w:rsidR="104A03BE" w:rsidRPr="2496F345">
        <w:rPr>
          <w:rFonts w:eastAsiaTheme="minorEastAsia"/>
          <w:lang w:val="en-US"/>
        </w:rPr>
        <w:t>OptiView</w:t>
      </w:r>
      <w:proofErr w:type="spellEnd"/>
      <w:r w:rsidR="104A03BE" w:rsidRPr="2496F345">
        <w:rPr>
          <w:rFonts w:eastAsiaTheme="minorEastAsia"/>
          <w:lang w:val="en-US"/>
        </w:rPr>
        <w:t xml:space="preserve"> Amplification Kit, and ancillary </w:t>
      </w:r>
      <w:proofErr w:type="spellStart"/>
      <w:r w:rsidR="104A03BE" w:rsidRPr="2496F345">
        <w:rPr>
          <w:rFonts w:eastAsiaTheme="minorEastAsia"/>
          <w:lang w:val="en-US"/>
        </w:rPr>
        <w:t>reagents.</w:t>
      </w:r>
      <w:r w:rsidR="776F509C" w:rsidRPr="2496F345">
        <w:rPr>
          <w:rFonts w:eastAsiaTheme="minorEastAsia"/>
          <w:lang w:val="en-US"/>
        </w:rPr>
        <w:t>The</w:t>
      </w:r>
      <w:proofErr w:type="spellEnd"/>
      <w:r w:rsidR="776F509C" w:rsidRPr="2496F345">
        <w:rPr>
          <w:rFonts w:eastAsiaTheme="minorEastAsia"/>
          <w:lang w:val="en-US"/>
        </w:rPr>
        <w:t xml:space="preserve"> protein expression was considered positive when positive nuclei with mild to strong intensities were counted; negative, if internal controls (stromal cells and lymphocytic infiltrates) were positive and </w:t>
      </w:r>
      <w:proofErr w:type="spellStart"/>
      <w:r w:rsidR="776F509C" w:rsidRPr="2496F345">
        <w:rPr>
          <w:rFonts w:eastAsiaTheme="minorEastAsia"/>
          <w:lang w:val="en-US"/>
        </w:rPr>
        <w:t>tumour</w:t>
      </w:r>
      <w:proofErr w:type="spellEnd"/>
      <w:r w:rsidR="776F509C" w:rsidRPr="2496F345">
        <w:rPr>
          <w:rFonts w:eastAsiaTheme="minorEastAsia"/>
          <w:lang w:val="en-US"/>
        </w:rPr>
        <w:t xml:space="preserve"> cells were completely negative.  </w:t>
      </w:r>
      <w:r w:rsidRPr="2496F345">
        <w:rPr>
          <w:rFonts w:eastAsiaTheme="minorEastAsia"/>
          <w:lang w:val="en-US"/>
        </w:rPr>
        <w:t>Tumors lacking one or more M</w:t>
      </w:r>
      <w:r w:rsidRPr="2496F345">
        <w:rPr>
          <w:rFonts w:ascii="Times New Roman" w:hAnsi="Times New Roman" w:cs="Times New Roman"/>
          <w:lang w:val="en-US"/>
        </w:rPr>
        <w:t xml:space="preserve">MR proteins </w:t>
      </w:r>
      <w:proofErr w:type="gramStart"/>
      <w:r w:rsidRPr="2496F345">
        <w:rPr>
          <w:rFonts w:ascii="Times New Roman" w:hAnsi="Times New Roman" w:cs="Times New Roman"/>
          <w:lang w:val="en-US"/>
        </w:rPr>
        <w:t>were classified</w:t>
      </w:r>
      <w:proofErr w:type="gramEnd"/>
      <w:r w:rsidRPr="2496F345">
        <w:rPr>
          <w:rFonts w:ascii="Times New Roman" w:hAnsi="Times New Roman" w:cs="Times New Roman"/>
          <w:lang w:val="en-US"/>
        </w:rPr>
        <w:t xml:space="preserve"> as MMR-deficient (</w:t>
      </w:r>
      <w:proofErr w:type="spellStart"/>
      <w:r w:rsidRPr="2496F345">
        <w:rPr>
          <w:rFonts w:ascii="Times New Roman" w:hAnsi="Times New Roman" w:cs="Times New Roman"/>
          <w:lang w:val="en-US"/>
        </w:rPr>
        <w:t>dMMR</w:t>
      </w:r>
      <w:proofErr w:type="spellEnd"/>
      <w:r w:rsidRPr="2496F345">
        <w:rPr>
          <w:rFonts w:ascii="Times New Roman" w:hAnsi="Times New Roman" w:cs="Times New Roman"/>
          <w:lang w:val="en-US"/>
        </w:rPr>
        <w:t>), while those showing moderate to strong nuclear expression were categorized as proficient (</w:t>
      </w:r>
      <w:proofErr w:type="spellStart"/>
      <w:r w:rsidRPr="2496F345">
        <w:rPr>
          <w:rFonts w:ascii="Times New Roman" w:hAnsi="Times New Roman" w:cs="Times New Roman"/>
          <w:lang w:val="en-US"/>
        </w:rPr>
        <w:t>pMMR</w:t>
      </w:r>
      <w:proofErr w:type="spellEnd"/>
      <w:r w:rsidRPr="2496F345">
        <w:rPr>
          <w:rFonts w:ascii="Times New Roman" w:hAnsi="Times New Roman" w:cs="Times New Roman"/>
          <w:lang w:val="en-US"/>
        </w:rPr>
        <w:t>)</w:t>
      </w:r>
      <w:r w:rsidR="3E236174" w:rsidRPr="2496F345">
        <w:rPr>
          <w:rFonts w:ascii="Times New Roman" w:hAnsi="Times New Roman" w:cs="Times New Roman"/>
          <w:lang w:val="en-US"/>
        </w:rPr>
        <w:t xml:space="preserve"> according to</w:t>
      </w:r>
      <w:r w:rsidR="72929412"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the College of American Pathologists (CAP) guidelines. </w:t>
      </w:r>
    </w:p>
    <w:p w14:paraId="425715F5" w14:textId="0BA5FCC8" w:rsidR="00967A85" w:rsidRPr="00967A85" w:rsidRDefault="1C685BDA" w:rsidP="656181A2">
      <w:pPr>
        <w:spacing w:line="480" w:lineRule="auto"/>
        <w:rPr>
          <w:rFonts w:ascii="Times New Roman" w:eastAsia="Times New Roman" w:hAnsi="Times New Roman" w:cs="Times New Roman"/>
          <w:lang w:val="en-US"/>
        </w:rPr>
      </w:pPr>
      <w:r w:rsidRPr="2496F345">
        <w:rPr>
          <w:rFonts w:ascii="Times New Roman" w:eastAsia="Times New Roman" w:hAnsi="Times New Roman" w:cs="Times New Roman"/>
          <w:lang w:val="en-US"/>
        </w:rPr>
        <w:t xml:space="preserve">MLH1 </w:t>
      </w:r>
      <w:r w:rsidR="47B843A4" w:rsidRPr="2496F345">
        <w:rPr>
          <w:rFonts w:ascii="Times New Roman" w:eastAsia="Times New Roman" w:hAnsi="Times New Roman" w:cs="Times New Roman"/>
          <w:lang w:val="en-US"/>
        </w:rPr>
        <w:t xml:space="preserve">promoter </w:t>
      </w:r>
      <w:r w:rsidRPr="2496F345">
        <w:rPr>
          <w:rFonts w:ascii="Times New Roman" w:eastAsia="Times New Roman" w:hAnsi="Times New Roman" w:cs="Times New Roman"/>
          <w:lang w:val="en-US"/>
        </w:rPr>
        <w:t xml:space="preserve">methylation testing via methylation-specific </w:t>
      </w:r>
      <w:r w:rsidR="6163FB95" w:rsidRPr="2496F345">
        <w:rPr>
          <w:rFonts w:ascii="Times New Roman" w:eastAsia="Times New Roman" w:hAnsi="Times New Roman" w:cs="Times New Roman"/>
          <w:lang w:val="en-US"/>
        </w:rPr>
        <w:t>MLPA</w:t>
      </w:r>
      <w:r w:rsidR="79D0138D" w:rsidRPr="2496F345">
        <w:rPr>
          <w:rFonts w:ascii="Times New Roman" w:eastAsia="Times New Roman" w:hAnsi="Times New Roman" w:cs="Times New Roman"/>
          <w:lang w:val="en-US"/>
        </w:rPr>
        <w:t xml:space="preserve"> </w:t>
      </w:r>
      <w:r w:rsidR="46E69DBF" w:rsidRPr="2496F345">
        <w:rPr>
          <w:rFonts w:ascii="Times New Roman" w:eastAsia="Times New Roman" w:hAnsi="Times New Roman" w:cs="Times New Roman"/>
          <w:lang w:val="en-US"/>
        </w:rPr>
        <w:t>(MS-MLPA)</w:t>
      </w:r>
      <w:r w:rsidR="17DFA327" w:rsidRPr="2496F345">
        <w:rPr>
          <w:rFonts w:ascii="Times New Roman" w:eastAsia="Times New Roman" w:hAnsi="Times New Roman" w:cs="Times New Roman"/>
          <w:lang w:val="en-US"/>
        </w:rPr>
        <w:t xml:space="preserve"> with SALSA® MLPA® ME011-D1 MMR genes </w:t>
      </w:r>
      <w:proofErr w:type="spellStart"/>
      <w:r w:rsidR="17DFA327" w:rsidRPr="2496F345">
        <w:rPr>
          <w:rFonts w:ascii="Times New Roman" w:eastAsia="Times New Roman" w:hAnsi="Times New Roman" w:cs="Times New Roman"/>
          <w:lang w:val="en-US"/>
        </w:rPr>
        <w:t>probemix</w:t>
      </w:r>
      <w:proofErr w:type="spellEnd"/>
      <w:r w:rsidR="17DFA327" w:rsidRPr="2496F345">
        <w:rPr>
          <w:rFonts w:ascii="Times New Roman" w:eastAsia="Times New Roman" w:hAnsi="Times New Roman" w:cs="Times New Roman"/>
          <w:lang w:val="en-US"/>
        </w:rPr>
        <w:t xml:space="preserve"> (MRC-Holland)</w:t>
      </w:r>
      <w:r w:rsidR="46E69DBF" w:rsidRPr="2496F345">
        <w:rPr>
          <w:rFonts w:ascii="Times New Roman" w:eastAsia="Times New Roman" w:hAnsi="Times New Roman" w:cs="Times New Roman"/>
          <w:lang w:val="en-US"/>
        </w:rPr>
        <w:t xml:space="preserve"> </w:t>
      </w:r>
      <w:proofErr w:type="gramStart"/>
      <w:r w:rsidR="79D0138D" w:rsidRPr="2496F345">
        <w:rPr>
          <w:rFonts w:ascii="Times New Roman" w:eastAsia="Times New Roman" w:hAnsi="Times New Roman" w:cs="Times New Roman"/>
          <w:lang w:val="en-US"/>
        </w:rPr>
        <w:t>was conducted</w:t>
      </w:r>
      <w:proofErr w:type="gramEnd"/>
      <w:r w:rsidR="79D0138D" w:rsidRPr="2496F345">
        <w:rPr>
          <w:rFonts w:ascii="Times New Roman" w:eastAsia="Times New Roman" w:hAnsi="Times New Roman" w:cs="Times New Roman"/>
          <w:lang w:val="en-US"/>
        </w:rPr>
        <w:t xml:space="preserve"> on samples with MLH1/PMS2 loss on IHC</w:t>
      </w:r>
      <w:r w:rsidRPr="2496F345">
        <w:rPr>
          <w:rFonts w:ascii="Times New Roman" w:eastAsia="Times New Roman" w:hAnsi="Times New Roman" w:cs="Times New Roman"/>
          <w:lang w:val="en-US"/>
        </w:rPr>
        <w:t xml:space="preserve">. Genomic DNA </w:t>
      </w:r>
      <w:proofErr w:type="gramStart"/>
      <w:r w:rsidRPr="2496F345">
        <w:rPr>
          <w:rFonts w:ascii="Times New Roman" w:eastAsia="Times New Roman" w:hAnsi="Times New Roman" w:cs="Times New Roman"/>
          <w:lang w:val="en-US"/>
        </w:rPr>
        <w:t>was extracted</w:t>
      </w:r>
      <w:proofErr w:type="gramEnd"/>
      <w:r w:rsidRPr="2496F345">
        <w:rPr>
          <w:rFonts w:ascii="Times New Roman" w:eastAsia="Times New Roman" w:hAnsi="Times New Roman" w:cs="Times New Roman"/>
          <w:lang w:val="en-US"/>
        </w:rPr>
        <w:t xml:space="preserve"> from FFPE tumor sections with at least </w:t>
      </w:r>
      <w:r w:rsidR="3DC6E16C" w:rsidRPr="2496F345">
        <w:rPr>
          <w:rFonts w:ascii="Times New Roman" w:eastAsia="Times New Roman" w:hAnsi="Times New Roman" w:cs="Times New Roman"/>
          <w:lang w:val="en-US"/>
        </w:rPr>
        <w:t>5</w:t>
      </w:r>
      <w:r w:rsidRPr="2496F345">
        <w:rPr>
          <w:rFonts w:ascii="Times New Roman" w:eastAsia="Times New Roman" w:hAnsi="Times New Roman" w:cs="Times New Roman"/>
          <w:lang w:val="en-US"/>
        </w:rPr>
        <w:t xml:space="preserve">0% </w:t>
      </w:r>
      <w:proofErr w:type="spellStart"/>
      <w:r w:rsidR="0ABF58EB" w:rsidRPr="2496F345">
        <w:rPr>
          <w:rFonts w:ascii="Times New Roman" w:eastAsia="Times New Roman" w:hAnsi="Times New Roman" w:cs="Times New Roman"/>
          <w:lang w:val="en-US"/>
        </w:rPr>
        <w:t>tumour</w:t>
      </w:r>
      <w:proofErr w:type="spellEnd"/>
      <w:r w:rsidR="0ABF58EB" w:rsidRPr="2496F345">
        <w:rPr>
          <w:rFonts w:ascii="Times New Roman" w:eastAsia="Times New Roman" w:hAnsi="Times New Roman" w:cs="Times New Roman"/>
          <w:lang w:val="en-US"/>
        </w:rPr>
        <w:t xml:space="preserve"> </w:t>
      </w:r>
      <w:r w:rsidRPr="2496F345">
        <w:rPr>
          <w:rFonts w:ascii="Times New Roman" w:eastAsia="Times New Roman" w:hAnsi="Times New Roman" w:cs="Times New Roman"/>
          <w:lang w:val="en-US"/>
        </w:rPr>
        <w:t>cellularity</w:t>
      </w:r>
      <w:r w:rsidR="00055DA0" w:rsidRPr="2496F345">
        <w:rPr>
          <w:rFonts w:ascii="Times New Roman" w:eastAsia="Times New Roman" w:hAnsi="Times New Roman" w:cs="Times New Roman"/>
          <w:lang w:val="en-US"/>
        </w:rPr>
        <w:t xml:space="preserve"> and </w:t>
      </w:r>
      <w:proofErr w:type="spellStart"/>
      <w:r w:rsidR="00055DA0" w:rsidRPr="2496F345">
        <w:rPr>
          <w:rFonts w:ascii="Times New Roman" w:eastAsia="Times New Roman" w:hAnsi="Times New Roman" w:cs="Times New Roman"/>
          <w:lang w:val="en-US"/>
        </w:rPr>
        <w:t>tumour</w:t>
      </w:r>
      <w:proofErr w:type="spellEnd"/>
      <w:r w:rsidR="00055DA0" w:rsidRPr="2496F345">
        <w:rPr>
          <w:rFonts w:ascii="Times New Roman" w:eastAsia="Times New Roman" w:hAnsi="Times New Roman" w:cs="Times New Roman"/>
          <w:lang w:val="en-US"/>
        </w:rPr>
        <w:t>-free somatic DNA was used as a control</w:t>
      </w:r>
      <w:r w:rsidRPr="2496F345">
        <w:rPr>
          <w:rFonts w:ascii="Times New Roman" w:eastAsia="Times New Roman" w:hAnsi="Times New Roman" w:cs="Times New Roman"/>
          <w:lang w:val="en-US"/>
        </w:rPr>
        <w:t xml:space="preserve">. Methylation levels </w:t>
      </w:r>
      <w:r w:rsidR="3D0B84DE" w:rsidRPr="2496F345">
        <w:rPr>
          <w:rFonts w:ascii="Times New Roman" w:eastAsia="Times New Roman" w:hAnsi="Times New Roman" w:cs="Times New Roman"/>
          <w:lang w:val="en-US"/>
        </w:rPr>
        <w:t xml:space="preserve">at specific </w:t>
      </w:r>
      <w:proofErr w:type="spellStart"/>
      <w:r w:rsidR="3D0B84DE" w:rsidRPr="2496F345">
        <w:rPr>
          <w:rFonts w:ascii="Times New Roman" w:eastAsia="Times New Roman" w:hAnsi="Times New Roman" w:cs="Times New Roman"/>
          <w:lang w:val="en-US"/>
        </w:rPr>
        <w:t>CpG</w:t>
      </w:r>
      <w:proofErr w:type="spellEnd"/>
      <w:r w:rsidR="3D0B84DE" w:rsidRPr="2496F345">
        <w:rPr>
          <w:rFonts w:ascii="Times New Roman" w:eastAsia="Times New Roman" w:hAnsi="Times New Roman" w:cs="Times New Roman"/>
          <w:lang w:val="en-US"/>
        </w:rPr>
        <w:t xml:space="preserve"> sites in </w:t>
      </w:r>
      <w:r w:rsidR="3D0B84DE" w:rsidRPr="2496F345">
        <w:rPr>
          <w:rFonts w:ascii="Times New Roman" w:eastAsia="Times New Roman" w:hAnsi="Times New Roman" w:cs="Times New Roman"/>
          <w:i/>
          <w:iCs/>
          <w:lang w:val="en-US"/>
        </w:rPr>
        <w:t>MLH1</w:t>
      </w:r>
      <w:r w:rsidR="3D0B84DE" w:rsidRPr="2496F345">
        <w:rPr>
          <w:rFonts w:ascii="Times New Roman" w:eastAsia="Times New Roman" w:hAnsi="Times New Roman" w:cs="Times New Roman"/>
          <w:lang w:val="en-US"/>
        </w:rPr>
        <w:t xml:space="preserve"> gene </w:t>
      </w:r>
      <w:r w:rsidRPr="2496F345">
        <w:rPr>
          <w:rFonts w:ascii="Times New Roman" w:eastAsia="Times New Roman" w:hAnsi="Times New Roman" w:cs="Times New Roman"/>
          <w:lang w:val="en-US"/>
        </w:rPr>
        <w:t xml:space="preserve">were </w:t>
      </w:r>
      <w:r w:rsidR="317F92B7" w:rsidRPr="2496F345">
        <w:rPr>
          <w:rFonts w:ascii="Times New Roman" w:eastAsia="Times New Roman" w:hAnsi="Times New Roman" w:cs="Times New Roman"/>
          <w:lang w:val="en-US"/>
        </w:rPr>
        <w:t xml:space="preserve">determined according to the </w:t>
      </w:r>
      <w:proofErr w:type="spellStart"/>
      <w:r w:rsidR="0722AA0E" w:rsidRPr="2496F345">
        <w:rPr>
          <w:rFonts w:ascii="Times New Roman" w:eastAsia="Times New Roman" w:hAnsi="Times New Roman" w:cs="Times New Roman"/>
          <w:lang w:val="en-US"/>
        </w:rPr>
        <w:t>manifacturer’s</w:t>
      </w:r>
      <w:proofErr w:type="spellEnd"/>
      <w:r w:rsidR="0722AA0E" w:rsidRPr="2496F345">
        <w:rPr>
          <w:rFonts w:ascii="Times New Roman" w:eastAsia="Times New Roman" w:hAnsi="Times New Roman" w:cs="Times New Roman"/>
          <w:lang w:val="en-US"/>
        </w:rPr>
        <w:t xml:space="preserve"> </w:t>
      </w:r>
      <w:r w:rsidR="317F92B7" w:rsidRPr="2496F345">
        <w:rPr>
          <w:rFonts w:ascii="Times New Roman" w:eastAsia="Times New Roman" w:hAnsi="Times New Roman" w:cs="Times New Roman"/>
          <w:lang w:val="en-US"/>
        </w:rPr>
        <w:t xml:space="preserve">protocol </w:t>
      </w:r>
      <w:r w:rsidRPr="2496F345">
        <w:rPr>
          <w:rFonts w:ascii="Times New Roman" w:eastAsia="Times New Roman" w:hAnsi="Times New Roman" w:cs="Times New Roman"/>
          <w:lang w:val="en-US"/>
        </w:rPr>
        <w:t>and a 1</w:t>
      </w:r>
      <w:r w:rsidR="3C2296F8" w:rsidRPr="2496F345">
        <w:rPr>
          <w:rFonts w:ascii="Times New Roman" w:eastAsia="Times New Roman" w:hAnsi="Times New Roman" w:cs="Times New Roman"/>
          <w:lang w:val="en-US"/>
        </w:rPr>
        <w:t>5</w:t>
      </w:r>
      <w:r w:rsidRPr="2496F345">
        <w:rPr>
          <w:rFonts w:ascii="Times New Roman" w:eastAsia="Times New Roman" w:hAnsi="Times New Roman" w:cs="Times New Roman"/>
          <w:lang w:val="en-US"/>
        </w:rPr>
        <w:t xml:space="preserve">% cutoff </w:t>
      </w:r>
      <w:proofErr w:type="gramStart"/>
      <w:r w:rsidRPr="2496F345">
        <w:rPr>
          <w:rFonts w:ascii="Times New Roman" w:eastAsia="Times New Roman" w:hAnsi="Times New Roman" w:cs="Times New Roman"/>
          <w:lang w:val="en-US"/>
        </w:rPr>
        <w:t>was used</w:t>
      </w:r>
      <w:proofErr w:type="gramEnd"/>
      <w:r w:rsidRPr="2496F345">
        <w:rPr>
          <w:rFonts w:ascii="Times New Roman" w:eastAsia="Times New Roman" w:hAnsi="Times New Roman" w:cs="Times New Roman"/>
          <w:lang w:val="en-US"/>
        </w:rPr>
        <w:t xml:space="preserve"> to classify </w:t>
      </w:r>
      <w:proofErr w:type="spellStart"/>
      <w:r w:rsidRPr="2496F345">
        <w:rPr>
          <w:rFonts w:ascii="Times New Roman" w:eastAsia="Times New Roman" w:hAnsi="Times New Roman" w:cs="Times New Roman"/>
          <w:lang w:val="en-US"/>
        </w:rPr>
        <w:t>hypermethylation</w:t>
      </w:r>
      <w:proofErr w:type="spellEnd"/>
      <w:r w:rsidRPr="2496F345">
        <w:rPr>
          <w:rFonts w:ascii="Times New Roman" w:eastAsia="Times New Roman" w:hAnsi="Times New Roman" w:cs="Times New Roman"/>
          <w:lang w:val="en-US"/>
        </w:rPr>
        <w:t xml:space="preserve"> status.</w:t>
      </w:r>
    </w:p>
    <w:p w14:paraId="38DD3F57" w14:textId="4CB949F3" w:rsidR="00967A85" w:rsidRPr="00967A85" w:rsidRDefault="6560FD98" w:rsidP="27795E8B">
      <w:pPr>
        <w:spacing w:line="480" w:lineRule="auto"/>
        <w:rPr>
          <w:rStyle w:val="normaltextrun"/>
          <w:rFonts w:ascii="Times New Roman" w:hAnsi="Times New Roman" w:cs="Times New Roman"/>
          <w:color w:val="000000" w:themeColor="text1"/>
          <w:lang w:val="en-US"/>
        </w:rPr>
      </w:pPr>
      <w:r w:rsidRPr="27795E8B">
        <w:rPr>
          <w:rFonts w:ascii="Times New Roman" w:eastAsia="Times New Roman" w:hAnsi="Times New Roman" w:cs="Times New Roman"/>
          <w:lang w:val="en-US"/>
        </w:rPr>
        <w:t xml:space="preserve">In discordant cases, MMR-IHC staining patterns </w:t>
      </w:r>
      <w:proofErr w:type="gramStart"/>
      <w:r w:rsidRPr="27795E8B">
        <w:rPr>
          <w:rFonts w:ascii="Times New Roman" w:eastAsia="Times New Roman" w:hAnsi="Times New Roman" w:cs="Times New Roman"/>
          <w:lang w:val="en-US"/>
        </w:rPr>
        <w:t>were reviewed</w:t>
      </w:r>
      <w:proofErr w:type="gramEnd"/>
      <w:r w:rsidRPr="27795E8B">
        <w:rPr>
          <w:rFonts w:ascii="Times New Roman" w:eastAsia="Times New Roman" w:hAnsi="Times New Roman" w:cs="Times New Roman"/>
          <w:lang w:val="en-US"/>
        </w:rPr>
        <w:t xml:space="preserve"> by two expert gynecologic pathologists (GFZ, AS), who reached a consensus on interpretations without access to molecular data.</w:t>
      </w:r>
      <w:r w:rsidR="05591E2A" w:rsidRPr="27795E8B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035FCB27" w14:textId="0DAD732A" w:rsidR="00967A85" w:rsidRPr="00967A85" w:rsidRDefault="57A2D185" w:rsidP="656181A2">
      <w:pPr>
        <w:spacing w:line="480" w:lineRule="auto"/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</w:pPr>
      <w:r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A tumor</w:t>
      </w:r>
      <w:r w:rsidR="5B0CF430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r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only multi gene panel </w:t>
      </w:r>
      <w:proofErr w:type="gramStart"/>
      <w:r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was adopted</w:t>
      </w:r>
      <w:proofErr w:type="gramEnd"/>
      <w:r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to assess MSI by NGS as well as comprehensive mutational profile. </w:t>
      </w:r>
      <w:r w:rsidR="186D68FD" w:rsidRPr="656181A2">
        <w:rPr>
          <w:rFonts w:ascii="Times New Roman" w:eastAsia="Times New Roman" w:hAnsi="Times New Roman" w:cs="Times New Roman"/>
          <w:lang w:val="en-US"/>
        </w:rPr>
        <w:t>A</w:t>
      </w:r>
      <w:r w:rsidR="2CF386D0" w:rsidRPr="656181A2">
        <w:rPr>
          <w:rFonts w:ascii="Times New Roman" w:eastAsia="Times New Roman" w:hAnsi="Times New Roman" w:cs="Times New Roman"/>
          <w:lang w:val="en-US"/>
        </w:rPr>
        <w:t>t least 30% cellularity</w:t>
      </w:r>
      <w:r w:rsidR="33384599" w:rsidRPr="656181A2">
        <w:rPr>
          <w:rFonts w:ascii="Times New Roman" w:eastAsia="Times New Roman" w:hAnsi="Times New Roman" w:cs="Times New Roman"/>
          <w:lang w:val="en-US"/>
        </w:rPr>
        <w:t xml:space="preserve"> was required to extract genomic DNA/RNA from FFPE </w:t>
      </w:r>
      <w:r w:rsidR="33384599" w:rsidRPr="656181A2">
        <w:rPr>
          <w:rFonts w:ascii="Times New Roman" w:eastAsia="Times New Roman" w:hAnsi="Times New Roman" w:cs="Times New Roman"/>
          <w:lang w:val="en-US"/>
        </w:rPr>
        <w:lastRenderedPageBreak/>
        <w:t>specimens</w:t>
      </w:r>
      <w:r w:rsidR="2CF386D0" w:rsidRPr="656181A2">
        <w:rPr>
          <w:rFonts w:ascii="Times New Roman" w:eastAsia="Times New Roman" w:hAnsi="Times New Roman" w:cs="Times New Roman"/>
          <w:lang w:val="en-US"/>
        </w:rPr>
        <w:t>.</w:t>
      </w:r>
      <w:r w:rsidR="2CF386D0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TruSight</w:t>
      </w:r>
      <w:proofErr w:type="spellEnd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Oncology 500 (TSO500) (Illumina, San Diego, CA) solution identifies</w:t>
      </w:r>
      <w:r w:rsidR="00967A85" w:rsidRPr="656181A2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single nucleotide variants, insertions/deletions, gene copy number variations in coding and exon/intron junction regions (+/-2 </w:t>
      </w:r>
      <w:proofErr w:type="spellStart"/>
      <w:r w:rsidR="00967A85" w:rsidRPr="656181A2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bp</w:t>
      </w:r>
      <w:proofErr w:type="spellEnd"/>
      <w:r w:rsidR="00967A85" w:rsidRPr="656181A2">
        <w:rPr>
          <w:rStyle w:val="contentcontrolboundarysink"/>
          <w:rFonts w:ascii="Times New Roman" w:hAnsi="Times New Roman" w:cs="Times New Roman"/>
          <w:color w:val="000000"/>
          <w:shd w:val="clear" w:color="auto" w:fill="FFFFFF"/>
          <w:lang w:val="en-US"/>
        </w:rPr>
        <w:t>​</w:t>
      </w:r>
      <w:r w:rsidR="00967A85" w:rsidRPr="656181A2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￼</w:t>
      </w:r>
      <w:r w:rsidR="00967A85" w:rsidRPr="656181A2">
        <w:rPr>
          <w:rStyle w:val="contentcontrolboundarysink"/>
          <w:rFonts w:ascii="Times New Roman" w:hAnsi="Times New Roman" w:cs="Times New Roman"/>
          <w:color w:val="000000"/>
          <w:shd w:val="clear" w:color="auto" w:fill="FFFFFF"/>
          <w:lang w:val="en-US"/>
        </w:rPr>
        <w:t>​</w:t>
      </w:r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) of 523 genes and fusions and splicing variants in 55 genes. The assay employs a hybridization capture–based target enrichment strategy combined with bridge PCR-based template preparation. Sequencing reactions are image-intensive and utilize fluorescence-labelled oligonucleotides. </w:t>
      </w:r>
      <w:proofErr w:type="spellStart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Tumour</w:t>
      </w:r>
      <w:proofErr w:type="spellEnd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mutational burden (TMB), estimated by covering 1.28 Mb </w:t>
      </w:r>
      <w:proofErr w:type="spellStart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exonic</w:t>
      </w:r>
      <w:proofErr w:type="spellEnd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regions and MSI evaluations </w:t>
      </w:r>
      <w:proofErr w:type="gramStart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were also provided</w:t>
      </w:r>
      <w:proofErr w:type="gramEnd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. For the former, the threshold for high TMB was ≥10 mutations (</w:t>
      </w:r>
      <w:proofErr w:type="spellStart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mut</w:t>
      </w:r>
      <w:proofErr w:type="spellEnd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)/Mb. For the latter, </w:t>
      </w:r>
      <w:proofErr w:type="gramStart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a total of 130</w:t>
      </w:r>
      <w:proofErr w:type="gramEnd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noncoding </w:t>
      </w:r>
      <w:proofErr w:type="spellStart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>homopolymer</w:t>
      </w:r>
      <w:proofErr w:type="spellEnd"/>
      <w:r w:rsidR="00967A85" w:rsidRPr="00967A85">
        <w:rPr>
          <w:rStyle w:val="normaltextrun"/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regions (microsatellite loci) are used and at least 40 sites must be assessed to determine</w:t>
      </w:r>
      <w:r w:rsidR="00967A85" w:rsidRPr="656181A2">
        <w:rPr>
          <w:rStyle w:val="normaltextrun"/>
          <w:rFonts w:ascii="Times New Roman" w:hAnsi="Times New Roman" w:cs="Times New Roman"/>
          <w:color w:val="000000" w:themeColor="text1"/>
          <w:lang w:val="en-US"/>
        </w:rPr>
        <w:t xml:space="preserve"> the score. </w:t>
      </w:r>
    </w:p>
    <w:p w14:paraId="53A7812E" w14:textId="49CD1E0A" w:rsidR="0EFDFBF4" w:rsidRDefault="0EFDFBF4" w:rsidP="2CF993D3">
      <w:pPr>
        <w:spacing w:after="160" w:line="480" w:lineRule="auto"/>
      </w:pPr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To determine MSI status, 130 </w:t>
      </w:r>
      <w:proofErr w:type="spell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intronic</w:t>
      </w:r>
      <w:proofErr w:type="spell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homopolymer</w:t>
      </w:r>
      <w:proofErr w:type="spell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repeat loci (10–20 </w:t>
      </w:r>
      <w:proofErr w:type="spell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bp</w:t>
      </w:r>
      <w:proofErr w:type="spell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long in the human reference genome) with adequate coverage (60 full-spanning reads) </w:t>
      </w:r>
      <w:proofErr w:type="gram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were analyzed</w:t>
      </w:r>
      <w:proofErr w:type="gram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to calculate a quantitative score. At least 40 sites </w:t>
      </w:r>
      <w:proofErr w:type="gram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must be assessed</w:t>
      </w:r>
      <w:proofErr w:type="gram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to determine the score. Unstable MSI sites </w:t>
      </w:r>
      <w:proofErr w:type="gram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are identified</w:t>
      </w:r>
      <w:proofErr w:type="gram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by comparing the length shift of a microsatellite site in a </w:t>
      </w:r>
      <w:proofErr w:type="spell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tumour</w:t>
      </w:r>
      <w:proofErr w:type="spell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sample to a set of normal baseline samples. The MSI score </w:t>
      </w:r>
      <w:proofErr w:type="gram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is determined</w:t>
      </w:r>
      <w:proofErr w:type="gram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by the ratio of unstable sites to the total number of assessed MSI sites. The process involves first calculating the Jensen-Shannon distance for each pair of baseline samples. Then, the Jensen-Shannon distance </w:t>
      </w:r>
      <w:proofErr w:type="gram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is computed</w:t>
      </w:r>
      <w:proofErr w:type="gram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between the </w:t>
      </w:r>
      <w:proofErr w:type="spell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tumour</w:t>
      </w:r>
      <w:proofErr w:type="spell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sample and each baseline sample. A t-test </w:t>
      </w:r>
      <w:proofErr w:type="gram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is used</w:t>
      </w:r>
      <w:proofErr w:type="gram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to compare these two distributions. Sites with p-value &lt; 0.01 and distance &gt; 0.1 are reported as </w:t>
      </w:r>
      <w:proofErr w:type="gram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unstable</w:t>
      </w:r>
      <w:r w:rsidRPr="2496F345">
        <w:rPr>
          <w:rFonts w:ascii="Calibri" w:eastAsia="Calibri" w:hAnsi="Calibri" w:cs="Calibri"/>
          <w:sz w:val="22"/>
          <w:szCs w:val="22"/>
          <w:lang w:val="en-GB"/>
        </w:rPr>
        <w:t xml:space="preserve"> </w:t>
      </w:r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.</w:t>
      </w:r>
      <w:proofErr w:type="gram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Patients with a MSI score </w:t>
      </w:r>
      <w:r w:rsidRPr="2496F345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>&gt;</w:t>
      </w:r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20% are classified as MSI as reported by Illumina TSO500HT manufacturer guidelines (</w:t>
      </w:r>
      <w:hyperlink r:id="rId5">
        <w:r w:rsidRPr="2496F345">
          <w:rPr>
            <w:rStyle w:val="Collegamentoipertestuale"/>
            <w:rFonts w:ascii="Times New Roman" w:eastAsia="Times New Roman" w:hAnsi="Times New Roman" w:cs="Times New Roman"/>
            <w:color w:val="0563C1"/>
            <w:lang w:val="en-US"/>
          </w:rPr>
          <w:t>https://www.illumina.com/content/dam/illumina-marketing/documents/products/appnotes/trusight-oncology-500-tmb-analysis-1170-2018-009.pdf</w:t>
        </w:r>
      </w:hyperlink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). MSI status </w:t>
      </w:r>
      <w:proofErr w:type="gramStart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>was reported but not used for clinical purposes</w:t>
      </w:r>
      <w:proofErr w:type="gramEnd"/>
      <w:r w:rsidRPr="2496F34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</w:t>
      </w:r>
      <w:r w:rsidRPr="2496F345">
        <w:rPr>
          <w:rFonts w:ascii="Calibri" w:eastAsia="Calibri" w:hAnsi="Calibri" w:cs="Calibri"/>
          <w:sz w:val="22"/>
          <w:szCs w:val="22"/>
          <w:lang w:val="en-GB"/>
        </w:rPr>
        <w:t xml:space="preserve">  </w:t>
      </w:r>
    </w:p>
    <w:p w14:paraId="28DA8334" w14:textId="70809528" w:rsidR="2CF993D3" w:rsidRDefault="2CF993D3" w:rsidP="2CF993D3"/>
    <w:p w14:paraId="4F98C877" w14:textId="31F30DBE" w:rsidR="2CF993D3" w:rsidRDefault="2CF993D3" w:rsidP="2CF993D3">
      <w:pPr>
        <w:rPr>
          <w:b/>
          <w:bCs/>
          <w:lang w:val="en-US"/>
        </w:rPr>
      </w:pPr>
    </w:p>
    <w:sectPr w:rsidR="2CF993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A85"/>
    <w:rsid w:val="00054997"/>
    <w:rsid w:val="00055DA0"/>
    <w:rsid w:val="0021223F"/>
    <w:rsid w:val="00292888"/>
    <w:rsid w:val="00483C5E"/>
    <w:rsid w:val="0073279C"/>
    <w:rsid w:val="00853EE8"/>
    <w:rsid w:val="00861457"/>
    <w:rsid w:val="00967A85"/>
    <w:rsid w:val="009D49F0"/>
    <w:rsid w:val="00BC682D"/>
    <w:rsid w:val="00C5385A"/>
    <w:rsid w:val="00CD7731"/>
    <w:rsid w:val="00E14120"/>
    <w:rsid w:val="00FB2271"/>
    <w:rsid w:val="00FD05F0"/>
    <w:rsid w:val="038A2E16"/>
    <w:rsid w:val="05591E2A"/>
    <w:rsid w:val="064535F2"/>
    <w:rsid w:val="0722AA0E"/>
    <w:rsid w:val="0727649D"/>
    <w:rsid w:val="088B751B"/>
    <w:rsid w:val="0ABF58EB"/>
    <w:rsid w:val="0C6505C1"/>
    <w:rsid w:val="0CF82961"/>
    <w:rsid w:val="0DF04850"/>
    <w:rsid w:val="0E23C272"/>
    <w:rsid w:val="0E7D8449"/>
    <w:rsid w:val="0EFDFBF4"/>
    <w:rsid w:val="104A03BE"/>
    <w:rsid w:val="132F3CF1"/>
    <w:rsid w:val="13E12B3A"/>
    <w:rsid w:val="13E19B43"/>
    <w:rsid w:val="142E51B7"/>
    <w:rsid w:val="147EAB26"/>
    <w:rsid w:val="17DFA327"/>
    <w:rsid w:val="182F66EB"/>
    <w:rsid w:val="18641B97"/>
    <w:rsid w:val="186D68FD"/>
    <w:rsid w:val="19DDB27B"/>
    <w:rsid w:val="1A030EE5"/>
    <w:rsid w:val="1C685BDA"/>
    <w:rsid w:val="1CB84B21"/>
    <w:rsid w:val="200C2C83"/>
    <w:rsid w:val="213CD778"/>
    <w:rsid w:val="241AE75B"/>
    <w:rsid w:val="2496F345"/>
    <w:rsid w:val="249EC70F"/>
    <w:rsid w:val="264DACB9"/>
    <w:rsid w:val="26928935"/>
    <w:rsid w:val="27795E8B"/>
    <w:rsid w:val="27FE1978"/>
    <w:rsid w:val="28B776F9"/>
    <w:rsid w:val="29B484D0"/>
    <w:rsid w:val="29EEE4C8"/>
    <w:rsid w:val="2CF386D0"/>
    <w:rsid w:val="2CF993D3"/>
    <w:rsid w:val="317F92B7"/>
    <w:rsid w:val="3272B39B"/>
    <w:rsid w:val="33384599"/>
    <w:rsid w:val="34DC3A92"/>
    <w:rsid w:val="38E133AF"/>
    <w:rsid w:val="391696F7"/>
    <w:rsid w:val="3A74503F"/>
    <w:rsid w:val="3C2296F8"/>
    <w:rsid w:val="3D0B84DE"/>
    <w:rsid w:val="3DC6E16C"/>
    <w:rsid w:val="3E236174"/>
    <w:rsid w:val="3EFCFFBA"/>
    <w:rsid w:val="3F25AF32"/>
    <w:rsid w:val="424012FA"/>
    <w:rsid w:val="42CC06A1"/>
    <w:rsid w:val="45D2BF9B"/>
    <w:rsid w:val="46E69DBF"/>
    <w:rsid w:val="47B606E4"/>
    <w:rsid w:val="47B843A4"/>
    <w:rsid w:val="53851572"/>
    <w:rsid w:val="56C6C688"/>
    <w:rsid w:val="576CEBCD"/>
    <w:rsid w:val="57A2D185"/>
    <w:rsid w:val="591C3A17"/>
    <w:rsid w:val="5B0CF430"/>
    <w:rsid w:val="5F86138C"/>
    <w:rsid w:val="608C326B"/>
    <w:rsid w:val="6163FB95"/>
    <w:rsid w:val="6210D6F4"/>
    <w:rsid w:val="6389967C"/>
    <w:rsid w:val="64E36D80"/>
    <w:rsid w:val="65585334"/>
    <w:rsid w:val="6560FD98"/>
    <w:rsid w:val="656181A2"/>
    <w:rsid w:val="665F8462"/>
    <w:rsid w:val="68C917E3"/>
    <w:rsid w:val="6960E7C7"/>
    <w:rsid w:val="6A7091A9"/>
    <w:rsid w:val="6C1CDFB5"/>
    <w:rsid w:val="6CED545C"/>
    <w:rsid w:val="6D0908A7"/>
    <w:rsid w:val="6E9E4C72"/>
    <w:rsid w:val="6FE76F1C"/>
    <w:rsid w:val="72929412"/>
    <w:rsid w:val="74068BE9"/>
    <w:rsid w:val="75C87B23"/>
    <w:rsid w:val="776F509C"/>
    <w:rsid w:val="780078B7"/>
    <w:rsid w:val="79D0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96D25"/>
  <w15:chartTrackingRefBased/>
  <w15:docId w15:val="{74F873A5-1796-3944-A6EB-36B24E8D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ormaltextrun">
    <w:name w:val="normaltextrun"/>
    <w:basedOn w:val="Carpredefinitoparagrafo"/>
    <w:rsid w:val="00967A85"/>
  </w:style>
  <w:style w:type="character" w:customStyle="1" w:styleId="eop">
    <w:name w:val="eop"/>
    <w:basedOn w:val="Carpredefinitoparagrafo"/>
    <w:rsid w:val="00967A85"/>
  </w:style>
  <w:style w:type="character" w:customStyle="1" w:styleId="contentcontrolboundarysink">
    <w:name w:val="contentcontrolboundarysink"/>
    <w:basedOn w:val="Carpredefinitoparagrafo"/>
    <w:rsid w:val="00967A85"/>
  </w:style>
  <w:style w:type="character" w:styleId="Collegamentoipertestuale">
    <w:name w:val="Hyperlink"/>
    <w:basedOn w:val="Carpredefinitoparagrafo"/>
    <w:uiPriority w:val="99"/>
    <w:unhideWhenUsed/>
    <w:rsid w:val="00967A85"/>
    <w:rPr>
      <w:color w:val="0563C1" w:themeColor="hyperlink"/>
      <w:u w:val="single"/>
    </w:rPr>
  </w:style>
  <w:style w:type="character" w:customStyle="1" w:styleId="Mention">
    <w:name w:val="Mention"/>
    <w:basedOn w:val="Carpredefinitoparagrafo"/>
    <w:uiPriority w:val="99"/>
    <w:unhideWhenUsed/>
    <w:rPr>
      <w:color w:val="2B579A"/>
      <w:shd w:val="clear" w:color="auto" w:fill="E6E6E6"/>
    </w:rPr>
  </w:style>
  <w:style w:type="paragraph" w:styleId="Testocommento">
    <w:name w:val="annotation text"/>
    <w:basedOn w:val="Normale"/>
    <w:link w:val="TestocommentoCarattere"/>
    <w:uiPriority w:val="99"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49F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49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llumina.com/content/dam/illumina-marketing/documents/products/appnotes/trusight-oncology-500-tmb-analysis-1170-2018-009.pdf" TargetMode="External"/><Relationship Id="rId4" Type="http://schemas.openxmlformats.org/officeDocument/2006/relationships/hyperlink" Target="https://www.mayocliniclabs.com/test-catalog/overview/3546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Nero</dc:creator>
  <cp:keywords/>
  <dc:description/>
  <cp:lastModifiedBy>Ilenia Marino</cp:lastModifiedBy>
  <cp:revision>2</cp:revision>
  <dcterms:created xsi:type="dcterms:W3CDTF">2025-05-05T16:52:00Z</dcterms:created>
  <dcterms:modified xsi:type="dcterms:W3CDTF">2025-05-05T16:52:00Z</dcterms:modified>
</cp:coreProperties>
</file>