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FB2F" w14:textId="376CF7FF" w:rsidR="000A3988" w:rsidRPr="00113A2E" w:rsidRDefault="000A3988" w:rsidP="00136C51">
      <w:pPr>
        <w:pStyle w:val="Heading1"/>
        <w:rPr>
          <w:rFonts w:ascii="Arial" w:hAnsi="Arial" w:cs="Arial"/>
          <w:b/>
          <w:bCs/>
          <w:color w:val="000000" w:themeColor="text1"/>
        </w:rPr>
      </w:pPr>
      <w:r w:rsidRPr="00113A2E">
        <w:rPr>
          <w:rFonts w:ascii="Arial" w:hAnsi="Arial" w:cs="Arial"/>
          <w:b/>
          <w:bCs/>
          <w:color w:val="000000" w:themeColor="text1"/>
          <w:sz w:val="24"/>
          <w:szCs w:val="24"/>
        </w:rPr>
        <w:t>Appendices</w:t>
      </w:r>
    </w:p>
    <w:p w14:paraId="2DF42CA2" w14:textId="0A706A2B" w:rsidR="000A3988" w:rsidRPr="00113A2E" w:rsidRDefault="000A3988" w:rsidP="000A3988">
      <w:pPr>
        <w:pStyle w:val="Heading2"/>
        <w:rPr>
          <w:rFonts w:ascii="Arial" w:hAnsi="Arial" w:cs="Arial"/>
          <w:color w:val="000000" w:themeColor="text1"/>
          <w:sz w:val="24"/>
          <w:szCs w:val="24"/>
        </w:rPr>
      </w:pPr>
      <w:r w:rsidRPr="00113A2E">
        <w:rPr>
          <w:rFonts w:ascii="Arial" w:hAnsi="Arial" w:cs="Arial"/>
          <w:color w:val="000000" w:themeColor="text1"/>
          <w:sz w:val="24"/>
          <w:szCs w:val="24"/>
        </w:rPr>
        <w:t xml:space="preserve">Appendix </w:t>
      </w:r>
      <w:r w:rsidR="00CD1E47" w:rsidRPr="00113A2E">
        <w:rPr>
          <w:rFonts w:ascii="Arial" w:hAnsi="Arial" w:cs="Arial"/>
          <w:color w:val="000000" w:themeColor="text1"/>
          <w:sz w:val="24"/>
          <w:szCs w:val="24"/>
        </w:rPr>
        <w:t>A</w:t>
      </w:r>
      <w:r w:rsidRPr="00113A2E">
        <w:rPr>
          <w:rFonts w:ascii="Arial" w:hAnsi="Arial" w:cs="Arial"/>
          <w:color w:val="000000" w:themeColor="text1"/>
          <w:sz w:val="24"/>
          <w:szCs w:val="24"/>
        </w:rPr>
        <w:t>: Final search strings</w:t>
      </w:r>
    </w:p>
    <w:p w14:paraId="0B6107F0" w14:textId="77777777" w:rsidR="000A3988" w:rsidRPr="00113A2E" w:rsidRDefault="000A3988" w:rsidP="000A3988">
      <w:pPr>
        <w:pStyle w:val="ListParagraph"/>
        <w:numPr>
          <w:ilvl w:val="0"/>
          <w:numId w:val="4"/>
        </w:numPr>
        <w:rPr>
          <w:rFonts w:ascii="Arial" w:hAnsi="Arial" w:cs="Arial"/>
          <w:b/>
          <w:bCs/>
          <w:color w:val="000000" w:themeColor="text1"/>
        </w:rPr>
      </w:pPr>
      <w:r w:rsidRPr="00113A2E">
        <w:rPr>
          <w:rFonts w:ascii="Arial" w:hAnsi="Arial" w:cs="Arial"/>
          <w:b/>
          <w:bCs/>
          <w:color w:val="000000" w:themeColor="text1"/>
        </w:rPr>
        <w:t>PubMed</w:t>
      </w:r>
    </w:p>
    <w:p w14:paraId="247A47CC" w14:textId="77777777" w:rsidR="000A3988" w:rsidRPr="00113A2E" w:rsidRDefault="000A3988" w:rsidP="000A3988">
      <w:pPr>
        <w:pStyle w:val="ListParagraph"/>
        <w:rPr>
          <w:rFonts w:ascii="Arial" w:hAnsi="Arial" w:cs="Arial"/>
        </w:rPr>
      </w:pPr>
      <w:r w:rsidRPr="00113A2E">
        <w:rPr>
          <w:rFonts w:ascii="Arial" w:hAnsi="Arial" w:cs="Arial"/>
        </w:rPr>
        <w:t>("urban health"[</w:t>
      </w:r>
      <w:proofErr w:type="spellStart"/>
      <w:r w:rsidRPr="00113A2E">
        <w:rPr>
          <w:rFonts w:ascii="Arial" w:hAnsi="Arial" w:cs="Arial"/>
        </w:rPr>
        <w:t>MeSH</w:t>
      </w:r>
      <w:proofErr w:type="spellEnd"/>
      <w:r w:rsidRPr="00113A2E">
        <w:rPr>
          <w:rFonts w:ascii="Arial" w:hAnsi="Arial" w:cs="Arial"/>
        </w:rPr>
        <w:t xml:space="preserve"> Terms] OR "urban population"[</w:t>
      </w:r>
      <w:proofErr w:type="spellStart"/>
      <w:r w:rsidRPr="00113A2E">
        <w:rPr>
          <w:rFonts w:ascii="Arial" w:hAnsi="Arial" w:cs="Arial"/>
        </w:rPr>
        <w:t>MeSH</w:t>
      </w:r>
      <w:proofErr w:type="spellEnd"/>
      <w:r w:rsidRPr="00113A2E">
        <w:rPr>
          <w:rFonts w:ascii="Arial" w:hAnsi="Arial" w:cs="Arial"/>
        </w:rPr>
        <w:t xml:space="preserve"> Terms] OR "rural population"[</w:t>
      </w:r>
      <w:proofErr w:type="spellStart"/>
      <w:r w:rsidRPr="00113A2E">
        <w:rPr>
          <w:rFonts w:ascii="Arial" w:hAnsi="Arial" w:cs="Arial"/>
        </w:rPr>
        <w:t>MeSH</w:t>
      </w:r>
      <w:proofErr w:type="spellEnd"/>
      <w:r w:rsidRPr="00113A2E">
        <w:rPr>
          <w:rFonts w:ascii="Arial" w:hAnsi="Arial" w:cs="Arial"/>
        </w:rPr>
        <w:t xml:space="preserve"> Terms] OR "rural health"[</w:t>
      </w:r>
      <w:proofErr w:type="spellStart"/>
      <w:r w:rsidRPr="00113A2E">
        <w:rPr>
          <w:rFonts w:ascii="Arial" w:hAnsi="Arial" w:cs="Arial"/>
        </w:rPr>
        <w:t>MeSH</w:t>
      </w:r>
      <w:proofErr w:type="spellEnd"/>
      <w:r w:rsidRPr="00113A2E">
        <w:rPr>
          <w:rFonts w:ascii="Arial" w:hAnsi="Arial" w:cs="Arial"/>
        </w:rPr>
        <w:t xml:space="preserve"> Terms] OR "rural health services"[</w:t>
      </w:r>
      <w:proofErr w:type="spellStart"/>
      <w:r w:rsidRPr="00113A2E">
        <w:rPr>
          <w:rFonts w:ascii="Arial" w:hAnsi="Arial" w:cs="Arial"/>
        </w:rPr>
        <w:t>MeSH</w:t>
      </w:r>
      <w:proofErr w:type="spellEnd"/>
      <w:r w:rsidRPr="00113A2E">
        <w:rPr>
          <w:rFonts w:ascii="Arial" w:hAnsi="Arial" w:cs="Arial"/>
        </w:rPr>
        <w:t xml:space="preserve"> Terms] OR "Urban Health Services"[</w:t>
      </w:r>
      <w:proofErr w:type="spellStart"/>
      <w:r w:rsidRPr="00113A2E">
        <w:rPr>
          <w:rFonts w:ascii="Arial" w:hAnsi="Arial" w:cs="Arial"/>
        </w:rPr>
        <w:t>MeSH</w:t>
      </w:r>
      <w:proofErr w:type="spellEnd"/>
      <w:r w:rsidRPr="00113A2E">
        <w:rPr>
          <w:rFonts w:ascii="Arial" w:hAnsi="Arial" w:cs="Arial"/>
        </w:rPr>
        <w:t xml:space="preserve"> Terms] OR "suburban Health Services"[</w:t>
      </w:r>
      <w:proofErr w:type="spellStart"/>
      <w:r w:rsidRPr="00113A2E">
        <w:rPr>
          <w:rFonts w:ascii="Arial" w:hAnsi="Arial" w:cs="Arial"/>
        </w:rPr>
        <w:t>MeSH</w:t>
      </w:r>
      <w:proofErr w:type="spellEnd"/>
      <w:r w:rsidRPr="00113A2E">
        <w:rPr>
          <w:rFonts w:ascii="Arial" w:hAnsi="Arial" w:cs="Arial"/>
        </w:rPr>
        <w:t xml:space="preserve"> Terms] OR "urban*"[Title/Abstract] OR "rural"[Title/Abstract]) AND ("health status disparities"[</w:t>
      </w:r>
      <w:proofErr w:type="spellStart"/>
      <w:r w:rsidRPr="00113A2E">
        <w:rPr>
          <w:rFonts w:ascii="Arial" w:hAnsi="Arial" w:cs="Arial"/>
        </w:rPr>
        <w:t>MeSH</w:t>
      </w:r>
      <w:proofErr w:type="spellEnd"/>
      <w:r w:rsidRPr="00113A2E">
        <w:rPr>
          <w:rFonts w:ascii="Arial" w:hAnsi="Arial" w:cs="Arial"/>
        </w:rPr>
        <w:t xml:space="preserve"> Terms] OR "inequality*"[Title/Abstract] OR "</w:t>
      </w:r>
      <w:proofErr w:type="spellStart"/>
      <w:r w:rsidRPr="00113A2E">
        <w:rPr>
          <w:rFonts w:ascii="Arial" w:hAnsi="Arial" w:cs="Arial"/>
        </w:rPr>
        <w:t>disparit</w:t>
      </w:r>
      <w:proofErr w:type="spellEnd"/>
      <w:r w:rsidRPr="00113A2E">
        <w:rPr>
          <w:rFonts w:ascii="Arial" w:hAnsi="Arial" w:cs="Arial"/>
        </w:rPr>
        <w:t>*"[Title/Abstract] OR "advantage*"[Title/Abstract] OR "disadvantage*"[Title/Abstract] OR "slum*"[Title/Abstract]) AND ("Africa South of the Sahara"[</w:t>
      </w:r>
      <w:proofErr w:type="spellStart"/>
      <w:r w:rsidRPr="00113A2E">
        <w:rPr>
          <w:rFonts w:ascii="Arial" w:hAnsi="Arial" w:cs="Arial"/>
        </w:rPr>
        <w:t>MeSH</w:t>
      </w:r>
      <w:proofErr w:type="spellEnd"/>
      <w:r w:rsidRPr="00113A2E">
        <w:rPr>
          <w:rFonts w:ascii="Arial" w:hAnsi="Arial" w:cs="Arial"/>
        </w:rPr>
        <w:t xml:space="preserve"> Terms] OR "Nigeria"[Title/Abstract] OR "Ghana"[Title/Abstract] OR "Tanzania"[Title/Abstract] OR "Kenya"[Title/Abstract] OR "Malawi"[Title/Abstract] OR "SSA"[Title/Abstract] OR "Sub-Saharan Africa"[Title/Abstract] OR "Liberia"[Title/Abstract] OR "Burundi"[Title/Abstract] OR "Ethiopia"[Title/Abstract] OR "Democratic Republic of the Congo"[Title/Abstract] OR "Niger"[Title/Abstract] OR "Eritrea"[Title/Abstract] OR "Guinea"[Title/Abstract] OR "Namibia"[Title/Abstract] OR "Togo"[Title/Abstract] OR "Sao Tome and Principe"[Title/Abstract] OR "Benin"[Title/Abstract] OR "Comoros"[Title/Abstract] OR "Eswatini"[Title/Abstract] OR "South Sudan"[Title/Abstract] OR "Republic of the Congo"[Title/Abstract] OR "Angola"[Title/Abstract] OR "Uganda"[Title/Abstract] OR "Rwanda"[Title/Abstract] OR "Guinea-Bissau"[Title/Abstract] OR "Zimbabwe"[Title/Abstract] OR "Equatorial Guinea"[Title/Abstract] OR "Mali"[Title/Abstract] OR "Madagascar"[Title/Abstract] OR "Mauritania"[Title/Abstract] OR "Sierra Leone"[Title/Abstract] OR "Zambia"[Title/Abstract] OR "Somalia"[Title/Abstract] OR "Botswana"[Title/Abstract] OR "Cabo Verde"[Title/Abstract] OR "Cote d'Ivoire"[Title/Abstract] OR "Seychelles"[Title/Abstract] OR "Cameroon"[Title/Abstract] OR "South Africa"[Title/Abstract] OR "Lesotho"[Title/Abstract] OR "Sudan"[Title/Abstract] OR "Mozambique"[Title/Abstract] OR "Senegal"[Title/Abstract] OR "The Gambia"[Title/Abstract] OR "Chad"[Title/Abstract] OR "Burkina Faso"[Title/Abstract] OR "Central Africa Republic"[Title/Abstract] OR "Mauritius"[Title/Abstract] OR "Djibouti"[Title/Abstract]) AND ("Child Mortality"[</w:t>
      </w:r>
      <w:proofErr w:type="spellStart"/>
      <w:r w:rsidRPr="00113A2E">
        <w:rPr>
          <w:rFonts w:ascii="Arial" w:hAnsi="Arial" w:cs="Arial"/>
        </w:rPr>
        <w:t>MeSH</w:t>
      </w:r>
      <w:proofErr w:type="spellEnd"/>
      <w:r w:rsidRPr="00113A2E">
        <w:rPr>
          <w:rFonts w:ascii="Arial" w:hAnsi="Arial" w:cs="Arial"/>
        </w:rPr>
        <w:t xml:space="preserve"> Terms] OR "infant mortality"[</w:t>
      </w:r>
      <w:proofErr w:type="spellStart"/>
      <w:r w:rsidRPr="00113A2E">
        <w:rPr>
          <w:rFonts w:ascii="Arial" w:hAnsi="Arial" w:cs="Arial"/>
        </w:rPr>
        <w:t>MeSH</w:t>
      </w:r>
      <w:proofErr w:type="spellEnd"/>
      <w:r w:rsidRPr="00113A2E">
        <w:rPr>
          <w:rFonts w:ascii="Arial" w:hAnsi="Arial" w:cs="Arial"/>
        </w:rPr>
        <w:t xml:space="preserve"> Terms] OR ("child"[</w:t>
      </w:r>
      <w:proofErr w:type="spellStart"/>
      <w:r w:rsidRPr="00113A2E">
        <w:rPr>
          <w:rFonts w:ascii="Arial" w:hAnsi="Arial" w:cs="Arial"/>
        </w:rPr>
        <w:t>MeSH</w:t>
      </w:r>
      <w:proofErr w:type="spellEnd"/>
      <w:r w:rsidRPr="00113A2E">
        <w:rPr>
          <w:rFonts w:ascii="Arial" w:hAnsi="Arial" w:cs="Arial"/>
        </w:rPr>
        <w:t xml:space="preserve"> Terms] OR "child*"[Title/Abstract] OR "infant*"[Title/Abstract] OR "</w:t>
      </w:r>
      <w:proofErr w:type="spellStart"/>
      <w:r w:rsidRPr="00113A2E">
        <w:rPr>
          <w:rFonts w:ascii="Arial" w:hAnsi="Arial" w:cs="Arial"/>
        </w:rPr>
        <w:t>neonat</w:t>
      </w:r>
      <w:proofErr w:type="spellEnd"/>
      <w:r w:rsidRPr="00113A2E">
        <w:rPr>
          <w:rFonts w:ascii="Arial" w:hAnsi="Arial" w:cs="Arial"/>
        </w:rPr>
        <w:t>*"[Title/Abstract] OR "under-five"[Title/Abstract])) AND ("mortality"[Title/Abstract] OR "death*"[Title/Abstract])</w:t>
      </w:r>
    </w:p>
    <w:p w14:paraId="02212D23" w14:textId="77777777" w:rsidR="000A3988" w:rsidRPr="00113A2E" w:rsidRDefault="000A3988" w:rsidP="000A3988">
      <w:pPr>
        <w:rPr>
          <w:rFonts w:ascii="Arial" w:hAnsi="Arial" w:cs="Arial"/>
        </w:rPr>
      </w:pPr>
    </w:p>
    <w:p w14:paraId="4DCD4AE4" w14:textId="77777777" w:rsidR="000A3988" w:rsidRPr="00113A2E" w:rsidRDefault="000A3988" w:rsidP="000A3988">
      <w:pPr>
        <w:pStyle w:val="ListParagraph"/>
        <w:numPr>
          <w:ilvl w:val="0"/>
          <w:numId w:val="4"/>
        </w:numPr>
        <w:rPr>
          <w:rFonts w:ascii="Arial" w:hAnsi="Arial" w:cs="Arial"/>
          <w:b/>
          <w:bCs/>
        </w:rPr>
      </w:pPr>
      <w:r w:rsidRPr="00113A2E">
        <w:rPr>
          <w:rFonts w:ascii="Arial" w:hAnsi="Arial" w:cs="Arial"/>
          <w:b/>
          <w:bCs/>
        </w:rPr>
        <w:t>Embase</w:t>
      </w:r>
    </w:p>
    <w:p w14:paraId="57BEE8FE" w14:textId="77777777" w:rsidR="000A3988" w:rsidRPr="00113A2E" w:rsidRDefault="000A3988" w:rsidP="000A3988">
      <w:pPr>
        <w:ind w:left="720"/>
        <w:rPr>
          <w:rFonts w:ascii="Arial" w:hAnsi="Arial" w:cs="Arial"/>
        </w:rPr>
      </w:pPr>
      <w:r w:rsidRPr="00113A2E">
        <w:rPr>
          <w:rFonts w:ascii="Arial" w:hAnsi="Arial" w:cs="Arial"/>
        </w:rPr>
        <w:t>(exp urban area/ or urban health/ or urban population/ or rural population/ or rural health care/ or rural health/ or (rural* or urban*).</w:t>
      </w:r>
      <w:proofErr w:type="spellStart"/>
      <w:r w:rsidRPr="00113A2E">
        <w:rPr>
          <w:rFonts w:ascii="Arial" w:hAnsi="Arial" w:cs="Arial"/>
        </w:rPr>
        <w:t>ti,ab,kf</w:t>
      </w:r>
      <w:proofErr w:type="spellEnd"/>
      <w:r w:rsidRPr="00113A2E">
        <w:rPr>
          <w:rFonts w:ascii="Arial" w:hAnsi="Arial" w:cs="Arial"/>
        </w:rPr>
        <w:t>) and (</w:t>
      </w:r>
      <w:proofErr w:type="spellStart"/>
      <w:r w:rsidRPr="00113A2E">
        <w:rPr>
          <w:rFonts w:ascii="Arial" w:hAnsi="Arial" w:cs="Arial"/>
        </w:rPr>
        <w:t>exp</w:t>
      </w:r>
      <w:proofErr w:type="spellEnd"/>
      <w:r w:rsidRPr="00113A2E">
        <w:rPr>
          <w:rFonts w:ascii="Arial" w:hAnsi="Arial" w:cs="Arial"/>
        </w:rPr>
        <w:t xml:space="preserve"> health disparity/ or (inequality* or </w:t>
      </w:r>
      <w:proofErr w:type="spellStart"/>
      <w:r w:rsidRPr="00113A2E">
        <w:rPr>
          <w:rFonts w:ascii="Arial" w:hAnsi="Arial" w:cs="Arial"/>
        </w:rPr>
        <w:t>disparit</w:t>
      </w:r>
      <w:proofErr w:type="spellEnd"/>
      <w:r w:rsidRPr="00113A2E">
        <w:rPr>
          <w:rFonts w:ascii="Arial" w:hAnsi="Arial" w:cs="Arial"/>
        </w:rPr>
        <w:t>* or advantage* or disadvantage* or slum*).</w:t>
      </w:r>
      <w:proofErr w:type="spellStart"/>
      <w:r w:rsidRPr="00113A2E">
        <w:rPr>
          <w:rFonts w:ascii="Arial" w:hAnsi="Arial" w:cs="Arial"/>
        </w:rPr>
        <w:t>ti,ab,kf</w:t>
      </w:r>
      <w:proofErr w:type="spellEnd"/>
      <w:r w:rsidRPr="00113A2E">
        <w:rPr>
          <w:rFonts w:ascii="Arial" w:hAnsi="Arial" w:cs="Arial"/>
        </w:rPr>
        <w:t xml:space="preserve">) AND </w:t>
      </w:r>
      <w:r w:rsidRPr="00113A2E">
        <w:rPr>
          <w:rFonts w:ascii="Arial" w:hAnsi="Arial" w:cs="Arial"/>
          <w:color w:val="000000" w:themeColor="text1"/>
        </w:rPr>
        <w:t>(</w:t>
      </w:r>
      <w:proofErr w:type="spellStart"/>
      <w:r w:rsidRPr="00113A2E">
        <w:rPr>
          <w:rFonts w:ascii="Arial" w:hAnsi="Arial" w:cs="Arial"/>
          <w:color w:val="000000" w:themeColor="text1"/>
        </w:rPr>
        <w:t>exp</w:t>
      </w:r>
      <w:proofErr w:type="spellEnd"/>
      <w:r w:rsidRPr="00113A2E">
        <w:rPr>
          <w:rFonts w:ascii="Arial" w:hAnsi="Arial" w:cs="Arial"/>
          <w:color w:val="000000" w:themeColor="text1"/>
        </w:rPr>
        <w:t xml:space="preserve"> childhood mortality/ or infant mortality/ or child death/ or child health/ or (exp child/ or (child* or infant* or </w:t>
      </w:r>
      <w:proofErr w:type="spellStart"/>
      <w:r w:rsidRPr="00113A2E">
        <w:rPr>
          <w:rFonts w:ascii="Arial" w:hAnsi="Arial" w:cs="Arial"/>
          <w:color w:val="000000" w:themeColor="text1"/>
        </w:rPr>
        <w:t>neonat</w:t>
      </w:r>
      <w:proofErr w:type="spellEnd"/>
      <w:r w:rsidRPr="00113A2E">
        <w:rPr>
          <w:rFonts w:ascii="Arial" w:hAnsi="Arial" w:cs="Arial"/>
          <w:color w:val="000000" w:themeColor="text1"/>
        </w:rPr>
        <w:t>* or under-five).</w:t>
      </w:r>
      <w:proofErr w:type="spellStart"/>
      <w:r w:rsidRPr="00113A2E">
        <w:rPr>
          <w:rFonts w:ascii="Arial" w:hAnsi="Arial" w:cs="Arial"/>
          <w:color w:val="000000" w:themeColor="text1"/>
        </w:rPr>
        <w:t>ti,ab,kf</w:t>
      </w:r>
      <w:proofErr w:type="spellEnd"/>
      <w:r w:rsidRPr="00113A2E">
        <w:rPr>
          <w:rFonts w:ascii="Arial" w:hAnsi="Arial" w:cs="Arial"/>
          <w:color w:val="000000" w:themeColor="text1"/>
        </w:rPr>
        <w:t>) and (mortality or death*).</w:t>
      </w:r>
      <w:proofErr w:type="spellStart"/>
      <w:r w:rsidRPr="00113A2E">
        <w:rPr>
          <w:rFonts w:ascii="Arial" w:hAnsi="Arial" w:cs="Arial"/>
          <w:color w:val="000000" w:themeColor="text1"/>
        </w:rPr>
        <w:t>ti,ab,kf</w:t>
      </w:r>
      <w:proofErr w:type="spellEnd"/>
      <w:r w:rsidRPr="00113A2E">
        <w:rPr>
          <w:rFonts w:ascii="Arial" w:hAnsi="Arial" w:cs="Arial"/>
          <w:color w:val="000000" w:themeColor="text1"/>
        </w:rPr>
        <w:t>) AND (</w:t>
      </w:r>
      <w:proofErr w:type="spellStart"/>
      <w:r w:rsidRPr="00113A2E">
        <w:rPr>
          <w:rFonts w:ascii="Arial" w:hAnsi="Arial" w:cs="Arial"/>
          <w:color w:val="000000" w:themeColor="text1"/>
        </w:rPr>
        <w:t>exp</w:t>
      </w:r>
      <w:proofErr w:type="spellEnd"/>
      <w:r w:rsidRPr="00113A2E">
        <w:rPr>
          <w:rFonts w:ascii="Arial" w:hAnsi="Arial" w:cs="Arial"/>
          <w:color w:val="000000" w:themeColor="text1"/>
        </w:rPr>
        <w:t xml:space="preserve"> 'Africa south of the Sahara'/ or (Nigeria or Ghana or Tanzania </w:t>
      </w:r>
      <w:r w:rsidRPr="00113A2E">
        <w:rPr>
          <w:rFonts w:ascii="Arial" w:hAnsi="Arial" w:cs="Arial"/>
          <w:color w:val="000000" w:themeColor="text1"/>
        </w:rPr>
        <w:lastRenderedPageBreak/>
        <w:t xml:space="preserve">or Kenya or Malawi or SSA or 'Sub-Saharan Africa' or Liberia or Burundi or Niger or Eritrea or Guinea or Namibia or Togo or 'Sao Tome and Principe' or Benin or Comoros or Eswatini or South Sudan or 'republic of the </w:t>
      </w:r>
      <w:proofErr w:type="spellStart"/>
      <w:r w:rsidRPr="00113A2E">
        <w:rPr>
          <w:rFonts w:ascii="Arial" w:hAnsi="Arial" w:cs="Arial"/>
          <w:color w:val="000000" w:themeColor="text1"/>
        </w:rPr>
        <w:t>congo</w:t>
      </w:r>
      <w:proofErr w:type="spellEnd"/>
      <w:r w:rsidRPr="00113A2E">
        <w:rPr>
          <w:rFonts w:ascii="Arial" w:hAnsi="Arial" w:cs="Arial"/>
          <w:color w:val="000000" w:themeColor="text1"/>
        </w:rPr>
        <w:t xml:space="preserve">' or </w:t>
      </w:r>
      <w:proofErr w:type="spellStart"/>
      <w:r w:rsidRPr="00113A2E">
        <w:rPr>
          <w:rFonts w:ascii="Arial" w:hAnsi="Arial" w:cs="Arial"/>
          <w:color w:val="000000" w:themeColor="text1"/>
        </w:rPr>
        <w:t>angola</w:t>
      </w:r>
      <w:proofErr w:type="spellEnd"/>
      <w:r w:rsidRPr="00113A2E">
        <w:rPr>
          <w:rFonts w:ascii="Arial" w:hAnsi="Arial" w:cs="Arial"/>
          <w:color w:val="000000" w:themeColor="text1"/>
        </w:rPr>
        <w:t xml:space="preserve"> or Uganda or Rwanda or </w:t>
      </w:r>
      <w:proofErr w:type="spellStart"/>
      <w:r w:rsidRPr="00113A2E">
        <w:rPr>
          <w:rFonts w:ascii="Arial" w:hAnsi="Arial" w:cs="Arial"/>
          <w:color w:val="000000" w:themeColor="text1"/>
        </w:rPr>
        <w:t>Guinnea</w:t>
      </w:r>
      <w:proofErr w:type="spellEnd"/>
      <w:r w:rsidRPr="00113A2E">
        <w:rPr>
          <w:rFonts w:ascii="Arial" w:hAnsi="Arial" w:cs="Arial"/>
          <w:color w:val="000000" w:themeColor="text1"/>
        </w:rPr>
        <w:t>-Bissau or Zimbabwe or 'Equatorial Guinea' or Mali or Madagascar or Mauritania or 'Sierra Leone' or Zambia or Somalia or Botswana or 'Cabo Verde' or 'Cote d'Ivoire' or Seychelles or Cameroon or 'South Africa' or Lesotho or Sudan or Mozambique or Senegal or 'The Gambia' or Chad or 'Burkina Faso' or 'Central Africa Republic' or Mauritius or Djibouti).</w:t>
      </w:r>
      <w:proofErr w:type="spellStart"/>
      <w:r w:rsidRPr="00113A2E">
        <w:rPr>
          <w:rFonts w:ascii="Arial" w:hAnsi="Arial" w:cs="Arial"/>
          <w:color w:val="000000" w:themeColor="text1"/>
        </w:rPr>
        <w:t>ti,ab,kf</w:t>
      </w:r>
      <w:proofErr w:type="spellEnd"/>
      <w:r w:rsidRPr="00113A2E">
        <w:rPr>
          <w:rFonts w:ascii="Arial" w:hAnsi="Arial" w:cs="Arial"/>
          <w:color w:val="000000" w:themeColor="text1"/>
        </w:rPr>
        <w:t>)</w:t>
      </w:r>
    </w:p>
    <w:p w14:paraId="51FD32C9" w14:textId="77777777" w:rsidR="000A3988" w:rsidRPr="00113A2E" w:rsidRDefault="000A3988" w:rsidP="000A3988">
      <w:pPr>
        <w:rPr>
          <w:rFonts w:ascii="Arial" w:hAnsi="Arial" w:cs="Arial"/>
        </w:rPr>
      </w:pPr>
    </w:p>
    <w:p w14:paraId="7992330A" w14:textId="77777777" w:rsidR="000A3988" w:rsidRPr="00113A2E" w:rsidRDefault="000A3988" w:rsidP="000A3988">
      <w:pPr>
        <w:pStyle w:val="ListParagraph"/>
        <w:numPr>
          <w:ilvl w:val="0"/>
          <w:numId w:val="4"/>
        </w:numPr>
        <w:rPr>
          <w:rFonts w:ascii="Arial" w:hAnsi="Arial" w:cs="Arial"/>
          <w:b/>
          <w:bCs/>
        </w:rPr>
      </w:pPr>
      <w:r w:rsidRPr="00113A2E">
        <w:rPr>
          <w:rFonts w:ascii="Arial" w:hAnsi="Arial" w:cs="Arial"/>
          <w:b/>
          <w:bCs/>
        </w:rPr>
        <w:t>WOS</w:t>
      </w:r>
    </w:p>
    <w:p w14:paraId="78BD07A8" w14:textId="77777777" w:rsidR="000A3988" w:rsidRPr="00113A2E" w:rsidRDefault="000A3988" w:rsidP="000A3988">
      <w:pPr>
        <w:pStyle w:val="ListParagraph"/>
        <w:rPr>
          <w:rFonts w:ascii="Arial" w:hAnsi="Arial" w:cs="Arial"/>
        </w:rPr>
      </w:pPr>
      <w:r w:rsidRPr="00113A2E">
        <w:rPr>
          <w:rFonts w:ascii="Arial" w:hAnsi="Arial" w:cs="Arial"/>
        </w:rPr>
        <w:t xml:space="preserve">TS=((urban* OR rural*) AND (inequality* OR </w:t>
      </w:r>
      <w:proofErr w:type="spellStart"/>
      <w:r w:rsidRPr="00113A2E">
        <w:rPr>
          <w:rFonts w:ascii="Arial" w:hAnsi="Arial" w:cs="Arial"/>
        </w:rPr>
        <w:t>disparit</w:t>
      </w:r>
      <w:proofErr w:type="spellEnd"/>
      <w:r w:rsidRPr="00113A2E">
        <w:rPr>
          <w:rFonts w:ascii="Arial" w:hAnsi="Arial" w:cs="Arial"/>
        </w:rPr>
        <w:t xml:space="preserve">* OR advantage* OR disadvantage* OR slum*) AND (child* OR infant* OR </w:t>
      </w:r>
      <w:proofErr w:type="spellStart"/>
      <w:r w:rsidRPr="00113A2E">
        <w:rPr>
          <w:rFonts w:ascii="Arial" w:hAnsi="Arial" w:cs="Arial"/>
        </w:rPr>
        <w:t>neonat</w:t>
      </w:r>
      <w:proofErr w:type="spellEnd"/>
      <w:r w:rsidRPr="00113A2E">
        <w:rPr>
          <w:rFonts w:ascii="Arial" w:hAnsi="Arial" w:cs="Arial"/>
        </w:rPr>
        <w:t xml:space="preserve">* OR "under-five") AND (mortality OR death) AND ("Africa south of the </w:t>
      </w:r>
      <w:proofErr w:type="spellStart"/>
      <w:r w:rsidRPr="00113A2E">
        <w:rPr>
          <w:rFonts w:ascii="Arial" w:hAnsi="Arial" w:cs="Arial"/>
        </w:rPr>
        <w:t>sahara</w:t>
      </w:r>
      <w:proofErr w:type="spellEnd"/>
      <w:r w:rsidRPr="00113A2E">
        <w:rPr>
          <w:rFonts w:ascii="Arial" w:hAnsi="Arial" w:cs="Arial"/>
        </w:rPr>
        <w:t>" OR Nigeria OR Ghana OR Tanzania OR Kenya OR Malawi OR "Sub-Saharan Africa" OR Liberia OR Burundi OR Niger OR Eritrea OR Guinea OR Namibia OR Togo OR "Sao Tome and Principe" OR Benin OR Comoros OR Eswatini OR "South Sudan" OR "Republic of the Congo" OR Angola OR Uganda OR Rwanda OR "Guinea-Bissau" OR Zimbabwe OR "Equatorial Guinea" OR Mali OR Madagascar OR Mauritania OR "Sierra Leone" OR Zambia OR Somalia OR "Botswana" OR "Cabo Verde" OR "Cote d’Ivoire" OR Seychelles OR Cameroon OR "South Africa" OR Lesotho OR Sudan OR Mozambique OR Senegal OR "The Gambia" OR Chad OR "Burkina Faso" OR "Central African Republic" OR Mauritius OR Djibouti))</w:t>
      </w:r>
    </w:p>
    <w:p w14:paraId="06DBB025" w14:textId="77777777" w:rsidR="000A3988" w:rsidRPr="00113A2E" w:rsidRDefault="000A3988" w:rsidP="000A3988">
      <w:pPr>
        <w:pStyle w:val="ListParagraph"/>
        <w:rPr>
          <w:rFonts w:ascii="Arial" w:hAnsi="Arial" w:cs="Arial"/>
        </w:rPr>
      </w:pPr>
    </w:p>
    <w:p w14:paraId="13FD9BCF" w14:textId="77777777" w:rsidR="000A3988" w:rsidRPr="00113A2E" w:rsidRDefault="000A3988" w:rsidP="000A3988">
      <w:pPr>
        <w:keepNext/>
        <w:keepLines/>
        <w:outlineLvl w:val="0"/>
        <w:rPr>
          <w:rFonts w:ascii="Arial" w:hAnsi="Arial" w:cs="Arial"/>
        </w:rPr>
      </w:pPr>
    </w:p>
    <w:p w14:paraId="362BD1C8" w14:textId="77777777" w:rsidR="000A3988" w:rsidRPr="00113A2E" w:rsidRDefault="000A3988" w:rsidP="000A3988">
      <w:pPr>
        <w:keepNext/>
        <w:keepLines/>
        <w:outlineLvl w:val="0"/>
        <w:rPr>
          <w:rFonts w:ascii="Arial" w:hAnsi="Arial" w:cs="Arial"/>
        </w:rPr>
      </w:pPr>
    </w:p>
    <w:p w14:paraId="130E3129" w14:textId="77777777" w:rsidR="000A3988" w:rsidRPr="00113A2E" w:rsidRDefault="000A3988" w:rsidP="000A3988">
      <w:pPr>
        <w:keepNext/>
        <w:keepLines/>
        <w:outlineLvl w:val="0"/>
        <w:rPr>
          <w:rFonts w:ascii="Arial" w:hAnsi="Arial" w:cs="Arial"/>
        </w:rPr>
      </w:pPr>
    </w:p>
    <w:p w14:paraId="77A50BC5" w14:textId="15A59BB6" w:rsidR="000A3988" w:rsidRPr="00113A2E" w:rsidRDefault="000A3988" w:rsidP="000A3988">
      <w:pPr>
        <w:keepNext/>
        <w:keepLines/>
        <w:outlineLvl w:val="0"/>
        <w:rPr>
          <w:rFonts w:ascii="Arial" w:eastAsiaTheme="majorEastAsia" w:hAnsi="Arial" w:cs="Arial"/>
          <w:b/>
          <w:bCs/>
          <w:szCs w:val="20"/>
        </w:rPr>
      </w:pPr>
      <w:r w:rsidRPr="00113A2E">
        <w:rPr>
          <w:rFonts w:ascii="Arial" w:hAnsi="Arial" w:cs="Arial"/>
        </w:rPr>
        <w:t xml:space="preserve">Appendix </w:t>
      </w:r>
      <w:r w:rsidR="00CD1E47" w:rsidRPr="00113A2E">
        <w:rPr>
          <w:rFonts w:ascii="Arial" w:hAnsi="Arial" w:cs="Arial"/>
        </w:rPr>
        <w:t>B</w:t>
      </w:r>
      <w:r w:rsidRPr="00113A2E">
        <w:rPr>
          <w:rFonts w:ascii="Arial" w:hAnsi="Arial" w:cs="Arial"/>
        </w:rPr>
        <w:t xml:space="preserve">: </w:t>
      </w:r>
      <w:r w:rsidRPr="00113A2E">
        <w:rPr>
          <w:rFonts w:ascii="Arial" w:eastAsiaTheme="majorEastAsia" w:hAnsi="Arial" w:cs="Arial"/>
          <w:szCs w:val="20"/>
        </w:rPr>
        <w:t>PRISMA-</w:t>
      </w:r>
      <w:proofErr w:type="spellStart"/>
      <w:r w:rsidRPr="00113A2E">
        <w:rPr>
          <w:rFonts w:ascii="Arial" w:eastAsiaTheme="majorEastAsia" w:hAnsi="Arial" w:cs="Arial"/>
          <w:szCs w:val="20"/>
        </w:rPr>
        <w:t>ScR</w:t>
      </w:r>
      <w:proofErr w:type="spellEnd"/>
      <w:r w:rsidRPr="00113A2E">
        <w:rPr>
          <w:rFonts w:ascii="Arial" w:eastAsiaTheme="majorEastAsia" w:hAnsi="Arial" w:cs="Arial"/>
          <w:szCs w:val="20"/>
        </w:rPr>
        <w:t xml:space="preserve"> (Preferred Reporting Items for Systematic Reviews and Meta-Analyses extension for Scoping Reviews) checklist.</w:t>
      </w:r>
    </w:p>
    <w:tbl>
      <w:tblPr>
        <w:tblStyle w:val="TableGridLight1"/>
        <w:tblW w:w="0" w:type="auto"/>
        <w:tblLook w:val="04A0" w:firstRow="1" w:lastRow="0" w:firstColumn="1" w:lastColumn="0" w:noHBand="0" w:noVBand="1"/>
      </w:tblPr>
      <w:tblGrid>
        <w:gridCol w:w="2596"/>
        <w:gridCol w:w="694"/>
        <w:gridCol w:w="9008"/>
        <w:gridCol w:w="1652"/>
      </w:tblGrid>
      <w:tr w:rsidR="000A3988" w:rsidRPr="00113A2E" w14:paraId="1BE812EB" w14:textId="77777777" w:rsidTr="009A6E01">
        <w:trPr>
          <w:tblHeader/>
        </w:trPr>
        <w:tc>
          <w:tcPr>
            <w:tcW w:w="0" w:type="auto"/>
            <w:shd w:val="clear" w:color="auto" w:fill="156082" w:themeFill="accent1"/>
            <w:vAlign w:val="center"/>
          </w:tcPr>
          <w:p w14:paraId="7C456786" w14:textId="77777777" w:rsidR="000A3988" w:rsidRPr="00113A2E" w:rsidRDefault="000A3988" w:rsidP="009A6E01">
            <w:pPr>
              <w:rPr>
                <w:rFonts w:ascii="Arial" w:hAnsi="Arial" w:cs="Arial"/>
                <w:b/>
                <w:color w:val="F2F2F2" w:themeColor="background1" w:themeShade="F2"/>
                <w:sz w:val="20"/>
                <w:szCs w:val="20"/>
              </w:rPr>
            </w:pPr>
            <w:r w:rsidRPr="00113A2E">
              <w:rPr>
                <w:rFonts w:ascii="Arial" w:hAnsi="Arial" w:cs="Arial"/>
                <w:b/>
                <w:bCs/>
                <w:color w:val="F2F2F2" w:themeColor="background1" w:themeShade="F2"/>
                <w:sz w:val="20"/>
                <w:szCs w:val="20"/>
              </w:rPr>
              <w:t>SECTION</w:t>
            </w:r>
          </w:p>
        </w:tc>
        <w:tc>
          <w:tcPr>
            <w:tcW w:w="0" w:type="auto"/>
            <w:shd w:val="clear" w:color="auto" w:fill="156082" w:themeFill="accent1"/>
            <w:vAlign w:val="center"/>
          </w:tcPr>
          <w:p w14:paraId="0DA18AFA" w14:textId="77777777" w:rsidR="000A3988" w:rsidRPr="00113A2E" w:rsidRDefault="000A3988" w:rsidP="009A6E01">
            <w:pPr>
              <w:autoSpaceDE w:val="0"/>
              <w:autoSpaceDN w:val="0"/>
              <w:adjustRightInd w:val="0"/>
              <w:jc w:val="center"/>
              <w:rPr>
                <w:rFonts w:ascii="Arial" w:hAnsi="Arial" w:cs="Arial"/>
                <w:b/>
                <w:color w:val="F2F2F2" w:themeColor="background1" w:themeShade="F2"/>
                <w:sz w:val="20"/>
                <w:szCs w:val="20"/>
              </w:rPr>
            </w:pPr>
            <w:r w:rsidRPr="00113A2E">
              <w:rPr>
                <w:rFonts w:ascii="Arial" w:hAnsi="Arial" w:cs="Arial"/>
                <w:b/>
                <w:bCs/>
                <w:color w:val="F2F2F2" w:themeColor="background1" w:themeShade="F2"/>
                <w:sz w:val="20"/>
                <w:szCs w:val="20"/>
              </w:rPr>
              <w:t>ITEM</w:t>
            </w:r>
          </w:p>
        </w:tc>
        <w:tc>
          <w:tcPr>
            <w:tcW w:w="0" w:type="auto"/>
            <w:shd w:val="clear" w:color="auto" w:fill="156082" w:themeFill="accent1"/>
            <w:vAlign w:val="center"/>
          </w:tcPr>
          <w:p w14:paraId="095D3FB6" w14:textId="77777777" w:rsidR="000A3988" w:rsidRPr="00113A2E" w:rsidRDefault="000A3988" w:rsidP="009A6E01">
            <w:pPr>
              <w:rPr>
                <w:rFonts w:ascii="Arial" w:hAnsi="Arial" w:cs="Arial"/>
                <w:b/>
                <w:color w:val="F2F2F2" w:themeColor="background1" w:themeShade="F2"/>
                <w:sz w:val="20"/>
                <w:szCs w:val="20"/>
              </w:rPr>
            </w:pPr>
            <w:r w:rsidRPr="00113A2E">
              <w:rPr>
                <w:rFonts w:ascii="Arial" w:hAnsi="Arial" w:cs="Arial"/>
                <w:b/>
                <w:color w:val="F2F2F2" w:themeColor="background1" w:themeShade="F2"/>
                <w:sz w:val="20"/>
                <w:szCs w:val="20"/>
              </w:rPr>
              <w:t>PRISMA-</w:t>
            </w:r>
            <w:proofErr w:type="spellStart"/>
            <w:r w:rsidRPr="00113A2E">
              <w:rPr>
                <w:rFonts w:ascii="Arial" w:hAnsi="Arial" w:cs="Arial"/>
                <w:b/>
                <w:color w:val="F2F2F2" w:themeColor="background1" w:themeShade="F2"/>
                <w:sz w:val="20"/>
                <w:szCs w:val="20"/>
              </w:rPr>
              <w:t>ScR</w:t>
            </w:r>
            <w:proofErr w:type="spellEnd"/>
            <w:r w:rsidRPr="00113A2E">
              <w:rPr>
                <w:rFonts w:ascii="Arial" w:hAnsi="Arial" w:cs="Arial"/>
                <w:b/>
                <w:color w:val="F2F2F2" w:themeColor="background1" w:themeShade="F2"/>
                <w:sz w:val="20"/>
                <w:szCs w:val="20"/>
              </w:rPr>
              <w:t xml:space="preserve"> CHECKLIST ITEM</w:t>
            </w:r>
          </w:p>
        </w:tc>
        <w:tc>
          <w:tcPr>
            <w:tcW w:w="0" w:type="auto"/>
            <w:shd w:val="clear" w:color="auto" w:fill="156082" w:themeFill="accent1"/>
            <w:vAlign w:val="center"/>
          </w:tcPr>
          <w:p w14:paraId="5961E702" w14:textId="77777777" w:rsidR="000A3988" w:rsidRPr="00113A2E" w:rsidRDefault="000A3988" w:rsidP="009A6E01">
            <w:pPr>
              <w:rPr>
                <w:rFonts w:ascii="Arial" w:hAnsi="Arial" w:cs="Arial"/>
                <w:b/>
                <w:color w:val="F2F2F2" w:themeColor="background1" w:themeShade="F2"/>
                <w:sz w:val="20"/>
                <w:szCs w:val="20"/>
              </w:rPr>
            </w:pPr>
            <w:r w:rsidRPr="00113A2E">
              <w:rPr>
                <w:rFonts w:ascii="Arial" w:hAnsi="Arial" w:cs="Arial"/>
                <w:b/>
                <w:color w:val="F2F2F2" w:themeColor="background1" w:themeShade="F2"/>
                <w:sz w:val="20"/>
                <w:szCs w:val="20"/>
              </w:rPr>
              <w:t>REPORTED ON PAGE #</w:t>
            </w:r>
          </w:p>
        </w:tc>
      </w:tr>
      <w:tr w:rsidR="000A3988" w:rsidRPr="00113A2E" w14:paraId="4524D6C1" w14:textId="77777777" w:rsidTr="009A6E01">
        <w:tc>
          <w:tcPr>
            <w:tcW w:w="0" w:type="auto"/>
            <w:gridSpan w:val="4"/>
            <w:shd w:val="clear" w:color="auto" w:fill="C1E4F5" w:themeFill="accent1" w:themeFillTint="33"/>
            <w:vAlign w:val="center"/>
          </w:tcPr>
          <w:p w14:paraId="312A7705" w14:textId="77777777" w:rsidR="000A3988" w:rsidRPr="00113A2E" w:rsidRDefault="000A3988" w:rsidP="009A6E01">
            <w:pPr>
              <w:rPr>
                <w:rFonts w:ascii="Arial" w:hAnsi="Arial" w:cs="Arial"/>
                <w:b/>
                <w:sz w:val="20"/>
                <w:szCs w:val="20"/>
              </w:rPr>
            </w:pPr>
            <w:r w:rsidRPr="00113A2E">
              <w:rPr>
                <w:rFonts w:ascii="Arial" w:hAnsi="Arial" w:cs="Arial"/>
                <w:b/>
                <w:sz w:val="20"/>
                <w:szCs w:val="20"/>
              </w:rPr>
              <w:t>TITLE</w:t>
            </w:r>
          </w:p>
        </w:tc>
      </w:tr>
      <w:tr w:rsidR="000A3988" w:rsidRPr="00113A2E" w14:paraId="09FF85FF" w14:textId="77777777" w:rsidTr="009A6E01">
        <w:tc>
          <w:tcPr>
            <w:tcW w:w="0" w:type="auto"/>
            <w:vAlign w:val="center"/>
          </w:tcPr>
          <w:p w14:paraId="314F7F15"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Title</w:t>
            </w:r>
          </w:p>
        </w:tc>
        <w:tc>
          <w:tcPr>
            <w:tcW w:w="0" w:type="auto"/>
            <w:vAlign w:val="center"/>
          </w:tcPr>
          <w:p w14:paraId="51CB21B8"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w:t>
            </w:r>
          </w:p>
        </w:tc>
        <w:tc>
          <w:tcPr>
            <w:tcW w:w="0" w:type="auto"/>
            <w:vAlign w:val="center"/>
          </w:tcPr>
          <w:p w14:paraId="78D9688E" w14:textId="77777777" w:rsidR="000A3988" w:rsidRPr="00113A2E" w:rsidRDefault="000A3988" w:rsidP="009A6E01">
            <w:pPr>
              <w:rPr>
                <w:rFonts w:ascii="Arial" w:hAnsi="Arial" w:cs="Arial"/>
                <w:sz w:val="20"/>
                <w:szCs w:val="20"/>
              </w:rPr>
            </w:pPr>
            <w:r w:rsidRPr="00113A2E">
              <w:rPr>
                <w:rFonts w:ascii="Arial" w:hAnsi="Arial" w:cs="Arial"/>
                <w:sz w:val="20"/>
                <w:szCs w:val="20"/>
              </w:rPr>
              <w:t>Identify the report as a scoping review.</w:t>
            </w:r>
          </w:p>
        </w:tc>
        <w:sdt>
          <w:sdtPr>
            <w:rPr>
              <w:rFonts w:ascii="Arial" w:hAnsi="Arial" w:cs="Arial"/>
              <w:sz w:val="20"/>
              <w:szCs w:val="20"/>
            </w:rPr>
            <w:id w:val="-1886790070"/>
            <w:placeholder>
              <w:docPart w:val="86C1523A5DC6E641897AA4150548C742"/>
            </w:placeholder>
          </w:sdtPr>
          <w:sdtEndPr/>
          <w:sdtContent>
            <w:tc>
              <w:tcPr>
                <w:tcW w:w="0" w:type="auto"/>
                <w:vAlign w:val="center"/>
              </w:tcPr>
              <w:p w14:paraId="478D1230" w14:textId="77777777" w:rsidR="000A3988" w:rsidRPr="00113A2E" w:rsidRDefault="000A3988" w:rsidP="009A6E01">
                <w:pPr>
                  <w:rPr>
                    <w:rFonts w:ascii="Arial" w:hAnsi="Arial" w:cs="Arial"/>
                    <w:sz w:val="20"/>
                    <w:szCs w:val="20"/>
                  </w:rPr>
                </w:pPr>
                <w:r w:rsidRPr="00113A2E">
                  <w:rPr>
                    <w:rFonts w:ascii="Arial" w:hAnsi="Arial" w:cs="Arial"/>
                    <w:sz w:val="20"/>
                    <w:szCs w:val="20"/>
                  </w:rPr>
                  <w:t>1</w:t>
                </w:r>
              </w:p>
            </w:tc>
          </w:sdtContent>
        </w:sdt>
      </w:tr>
      <w:tr w:rsidR="000A3988" w:rsidRPr="00113A2E" w14:paraId="4392CAED" w14:textId="77777777" w:rsidTr="009A6E01">
        <w:tc>
          <w:tcPr>
            <w:tcW w:w="0" w:type="auto"/>
            <w:gridSpan w:val="4"/>
            <w:shd w:val="clear" w:color="auto" w:fill="C1E4F5" w:themeFill="accent1" w:themeFillTint="33"/>
            <w:vAlign w:val="center"/>
          </w:tcPr>
          <w:p w14:paraId="2AC430D9" w14:textId="77777777" w:rsidR="000A3988" w:rsidRPr="00113A2E" w:rsidRDefault="000A3988" w:rsidP="009A6E01">
            <w:pPr>
              <w:rPr>
                <w:rFonts w:ascii="Arial" w:hAnsi="Arial" w:cs="Arial"/>
                <w:b/>
                <w:sz w:val="20"/>
                <w:szCs w:val="20"/>
              </w:rPr>
            </w:pPr>
            <w:r w:rsidRPr="00113A2E">
              <w:rPr>
                <w:rFonts w:ascii="Arial" w:hAnsi="Arial" w:cs="Arial"/>
                <w:b/>
                <w:sz w:val="20"/>
                <w:szCs w:val="20"/>
              </w:rPr>
              <w:t>ABSTRACT</w:t>
            </w:r>
          </w:p>
        </w:tc>
      </w:tr>
      <w:tr w:rsidR="000A3988" w:rsidRPr="00113A2E" w14:paraId="2B40F2CF" w14:textId="77777777" w:rsidTr="009A6E01">
        <w:tc>
          <w:tcPr>
            <w:tcW w:w="0" w:type="auto"/>
            <w:vAlign w:val="center"/>
          </w:tcPr>
          <w:p w14:paraId="717FB49F"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Structured summary</w:t>
            </w:r>
          </w:p>
        </w:tc>
        <w:tc>
          <w:tcPr>
            <w:tcW w:w="0" w:type="auto"/>
            <w:vAlign w:val="center"/>
          </w:tcPr>
          <w:p w14:paraId="4B411F63"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2</w:t>
            </w:r>
          </w:p>
        </w:tc>
        <w:tc>
          <w:tcPr>
            <w:tcW w:w="0" w:type="auto"/>
            <w:vAlign w:val="center"/>
          </w:tcPr>
          <w:p w14:paraId="1C5DFAE6" w14:textId="77777777" w:rsidR="000A3988" w:rsidRPr="00113A2E" w:rsidRDefault="000A3988" w:rsidP="009A6E01">
            <w:pPr>
              <w:rPr>
                <w:rFonts w:ascii="Arial" w:hAnsi="Arial" w:cs="Arial"/>
                <w:sz w:val="20"/>
                <w:szCs w:val="20"/>
              </w:rPr>
            </w:pPr>
            <w:r w:rsidRPr="00113A2E">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86C1523A5DC6E641897AA4150548C742"/>
            </w:placeholder>
          </w:sdtPr>
          <w:sdtEndPr/>
          <w:sdtContent>
            <w:tc>
              <w:tcPr>
                <w:tcW w:w="0" w:type="auto"/>
                <w:vAlign w:val="center"/>
              </w:tcPr>
              <w:p w14:paraId="5C6F0C8A" w14:textId="77777777" w:rsidR="000A3988" w:rsidRPr="00113A2E" w:rsidRDefault="000A3988" w:rsidP="009A6E01">
                <w:pPr>
                  <w:rPr>
                    <w:rFonts w:ascii="Arial" w:hAnsi="Arial" w:cs="Arial"/>
                    <w:sz w:val="20"/>
                    <w:szCs w:val="20"/>
                  </w:rPr>
                </w:pPr>
                <w:r w:rsidRPr="00113A2E">
                  <w:rPr>
                    <w:rFonts w:ascii="Arial" w:hAnsi="Arial" w:cs="Arial"/>
                    <w:sz w:val="20"/>
                    <w:szCs w:val="20"/>
                  </w:rPr>
                  <w:t>1</w:t>
                </w:r>
              </w:p>
            </w:tc>
          </w:sdtContent>
        </w:sdt>
      </w:tr>
      <w:tr w:rsidR="000A3988" w:rsidRPr="00113A2E" w14:paraId="725346BA" w14:textId="77777777" w:rsidTr="009A6E01">
        <w:tc>
          <w:tcPr>
            <w:tcW w:w="0" w:type="auto"/>
            <w:gridSpan w:val="4"/>
            <w:shd w:val="clear" w:color="auto" w:fill="C1E4F5" w:themeFill="accent1" w:themeFillTint="33"/>
            <w:vAlign w:val="center"/>
          </w:tcPr>
          <w:p w14:paraId="75AFBF85" w14:textId="77777777" w:rsidR="000A3988" w:rsidRPr="00113A2E" w:rsidRDefault="000A3988" w:rsidP="009A6E01">
            <w:pPr>
              <w:tabs>
                <w:tab w:val="left" w:pos="1774"/>
              </w:tabs>
              <w:rPr>
                <w:rFonts w:ascii="Arial" w:hAnsi="Arial" w:cs="Arial"/>
                <w:b/>
                <w:sz w:val="20"/>
                <w:szCs w:val="20"/>
              </w:rPr>
            </w:pPr>
            <w:r w:rsidRPr="00113A2E">
              <w:rPr>
                <w:rFonts w:ascii="Arial" w:hAnsi="Arial" w:cs="Arial"/>
                <w:b/>
                <w:sz w:val="20"/>
                <w:szCs w:val="20"/>
              </w:rPr>
              <w:t>INTRODUCTION</w:t>
            </w:r>
          </w:p>
        </w:tc>
      </w:tr>
      <w:tr w:rsidR="000A3988" w:rsidRPr="00113A2E" w14:paraId="507015B4" w14:textId="77777777" w:rsidTr="009A6E01">
        <w:trPr>
          <w:trHeight w:val="530"/>
        </w:trPr>
        <w:tc>
          <w:tcPr>
            <w:tcW w:w="0" w:type="auto"/>
            <w:vAlign w:val="center"/>
          </w:tcPr>
          <w:p w14:paraId="7FCD3FAF"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Rationale</w:t>
            </w:r>
          </w:p>
        </w:tc>
        <w:tc>
          <w:tcPr>
            <w:tcW w:w="0" w:type="auto"/>
            <w:vAlign w:val="center"/>
          </w:tcPr>
          <w:p w14:paraId="00110EFE"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3</w:t>
            </w:r>
          </w:p>
        </w:tc>
        <w:tc>
          <w:tcPr>
            <w:tcW w:w="0" w:type="auto"/>
            <w:vAlign w:val="center"/>
          </w:tcPr>
          <w:p w14:paraId="2978E7D6" w14:textId="77777777" w:rsidR="000A3988" w:rsidRPr="00113A2E" w:rsidRDefault="000A3988" w:rsidP="009A6E01">
            <w:pPr>
              <w:rPr>
                <w:rFonts w:ascii="Arial" w:hAnsi="Arial" w:cs="Arial"/>
                <w:sz w:val="20"/>
                <w:szCs w:val="20"/>
              </w:rPr>
            </w:pPr>
            <w:r w:rsidRPr="00113A2E">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86C1523A5DC6E641897AA4150548C742"/>
            </w:placeholder>
          </w:sdtPr>
          <w:sdtEndPr/>
          <w:sdtContent>
            <w:tc>
              <w:tcPr>
                <w:tcW w:w="0" w:type="auto"/>
                <w:vAlign w:val="center"/>
              </w:tcPr>
              <w:p w14:paraId="1E62D41D" w14:textId="77777777" w:rsidR="000A3988" w:rsidRPr="00113A2E" w:rsidRDefault="000A3988" w:rsidP="009A6E01">
                <w:pPr>
                  <w:rPr>
                    <w:rFonts w:ascii="Arial" w:hAnsi="Arial" w:cs="Arial"/>
                    <w:sz w:val="20"/>
                    <w:szCs w:val="20"/>
                  </w:rPr>
                </w:pPr>
                <w:r w:rsidRPr="00113A2E">
                  <w:rPr>
                    <w:rFonts w:ascii="Arial" w:hAnsi="Arial" w:cs="Arial"/>
                    <w:sz w:val="20"/>
                    <w:szCs w:val="20"/>
                  </w:rPr>
                  <w:t>2</w:t>
                </w:r>
              </w:p>
            </w:tc>
          </w:sdtContent>
        </w:sdt>
      </w:tr>
      <w:tr w:rsidR="000A3988" w:rsidRPr="00113A2E" w14:paraId="328C226F" w14:textId="77777777" w:rsidTr="009A6E01">
        <w:trPr>
          <w:trHeight w:val="800"/>
        </w:trPr>
        <w:tc>
          <w:tcPr>
            <w:tcW w:w="0" w:type="auto"/>
            <w:vAlign w:val="center"/>
          </w:tcPr>
          <w:p w14:paraId="76FD8AEE"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lastRenderedPageBreak/>
              <w:t>Objectives</w:t>
            </w:r>
          </w:p>
        </w:tc>
        <w:tc>
          <w:tcPr>
            <w:tcW w:w="0" w:type="auto"/>
            <w:vAlign w:val="center"/>
          </w:tcPr>
          <w:p w14:paraId="77C7C5EB"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4</w:t>
            </w:r>
          </w:p>
        </w:tc>
        <w:tc>
          <w:tcPr>
            <w:tcW w:w="0" w:type="auto"/>
            <w:vAlign w:val="center"/>
          </w:tcPr>
          <w:p w14:paraId="4600B325" w14:textId="77777777" w:rsidR="000A3988" w:rsidRPr="00113A2E" w:rsidRDefault="000A3988" w:rsidP="009A6E01">
            <w:pPr>
              <w:rPr>
                <w:rFonts w:ascii="Arial" w:hAnsi="Arial" w:cs="Arial"/>
                <w:sz w:val="20"/>
                <w:szCs w:val="20"/>
              </w:rPr>
            </w:pPr>
            <w:r w:rsidRPr="00113A2E">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86C1523A5DC6E641897AA4150548C742"/>
            </w:placeholder>
          </w:sdtPr>
          <w:sdtEndPr/>
          <w:sdtContent>
            <w:tc>
              <w:tcPr>
                <w:tcW w:w="0" w:type="auto"/>
                <w:vAlign w:val="center"/>
              </w:tcPr>
              <w:p w14:paraId="23E56623" w14:textId="53863CA2" w:rsidR="000A3988" w:rsidRPr="00113A2E" w:rsidRDefault="001C4CFB" w:rsidP="009A6E01">
                <w:pPr>
                  <w:rPr>
                    <w:rFonts w:ascii="Arial" w:hAnsi="Arial" w:cs="Arial"/>
                    <w:sz w:val="20"/>
                    <w:szCs w:val="20"/>
                  </w:rPr>
                </w:pPr>
                <w:r w:rsidRPr="00113A2E">
                  <w:rPr>
                    <w:rFonts w:ascii="Arial" w:hAnsi="Arial" w:cs="Arial"/>
                    <w:sz w:val="20"/>
                    <w:szCs w:val="20"/>
                  </w:rPr>
                  <w:t>2-</w:t>
                </w:r>
                <w:r w:rsidR="00BC0690" w:rsidRPr="00113A2E">
                  <w:rPr>
                    <w:rFonts w:ascii="Arial" w:hAnsi="Arial" w:cs="Arial"/>
                    <w:sz w:val="20"/>
                    <w:szCs w:val="20"/>
                  </w:rPr>
                  <w:t>3</w:t>
                </w:r>
              </w:p>
            </w:tc>
          </w:sdtContent>
        </w:sdt>
      </w:tr>
      <w:tr w:rsidR="000A3988" w:rsidRPr="00113A2E" w14:paraId="5726E861" w14:textId="77777777" w:rsidTr="009A6E01">
        <w:tc>
          <w:tcPr>
            <w:tcW w:w="0" w:type="auto"/>
            <w:gridSpan w:val="4"/>
            <w:shd w:val="clear" w:color="auto" w:fill="C1E4F5" w:themeFill="accent1" w:themeFillTint="33"/>
            <w:vAlign w:val="center"/>
          </w:tcPr>
          <w:p w14:paraId="4511CE5F" w14:textId="77777777" w:rsidR="000A3988" w:rsidRPr="00113A2E" w:rsidRDefault="000A3988" w:rsidP="009A6E01">
            <w:pPr>
              <w:rPr>
                <w:rFonts w:ascii="Arial" w:hAnsi="Arial" w:cs="Arial"/>
                <w:b/>
                <w:sz w:val="20"/>
                <w:szCs w:val="20"/>
              </w:rPr>
            </w:pPr>
            <w:r w:rsidRPr="00113A2E">
              <w:rPr>
                <w:rFonts w:ascii="Arial" w:hAnsi="Arial" w:cs="Arial"/>
                <w:b/>
                <w:sz w:val="20"/>
                <w:szCs w:val="20"/>
              </w:rPr>
              <w:t>METHODS</w:t>
            </w:r>
          </w:p>
        </w:tc>
      </w:tr>
      <w:tr w:rsidR="000A3988" w:rsidRPr="00113A2E" w14:paraId="23F70249" w14:textId="77777777" w:rsidTr="009A6E01">
        <w:tc>
          <w:tcPr>
            <w:tcW w:w="0" w:type="auto"/>
            <w:vAlign w:val="center"/>
          </w:tcPr>
          <w:p w14:paraId="0AADB13A"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Protocol and registration</w:t>
            </w:r>
          </w:p>
        </w:tc>
        <w:tc>
          <w:tcPr>
            <w:tcW w:w="0" w:type="auto"/>
            <w:vAlign w:val="center"/>
          </w:tcPr>
          <w:p w14:paraId="4474A555"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5</w:t>
            </w:r>
          </w:p>
        </w:tc>
        <w:tc>
          <w:tcPr>
            <w:tcW w:w="0" w:type="auto"/>
            <w:vAlign w:val="center"/>
          </w:tcPr>
          <w:p w14:paraId="49F78E9C" w14:textId="77777777" w:rsidR="000A3988" w:rsidRPr="00113A2E" w:rsidRDefault="000A3988" w:rsidP="009A6E01">
            <w:pPr>
              <w:rPr>
                <w:rFonts w:ascii="Arial" w:hAnsi="Arial" w:cs="Arial"/>
                <w:sz w:val="20"/>
                <w:szCs w:val="20"/>
              </w:rPr>
            </w:pPr>
            <w:r w:rsidRPr="00113A2E">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86C1523A5DC6E641897AA4150548C742"/>
            </w:placeholder>
          </w:sdtPr>
          <w:sdtEndPr/>
          <w:sdtContent>
            <w:tc>
              <w:tcPr>
                <w:tcW w:w="0" w:type="auto"/>
                <w:vAlign w:val="center"/>
              </w:tcPr>
              <w:p w14:paraId="3926E39E" w14:textId="2DB0866F" w:rsidR="000A3988" w:rsidRPr="00113A2E" w:rsidRDefault="00BC0690" w:rsidP="009A6E01">
                <w:pPr>
                  <w:rPr>
                    <w:rFonts w:ascii="Arial" w:hAnsi="Arial" w:cs="Arial"/>
                    <w:sz w:val="20"/>
                    <w:szCs w:val="20"/>
                  </w:rPr>
                </w:pPr>
                <w:r w:rsidRPr="00113A2E">
                  <w:rPr>
                    <w:rFonts w:ascii="Arial" w:hAnsi="Arial" w:cs="Arial"/>
                    <w:sz w:val="20"/>
                    <w:szCs w:val="20"/>
                  </w:rPr>
                  <w:t>Not Applicable</w:t>
                </w:r>
              </w:p>
            </w:tc>
          </w:sdtContent>
        </w:sdt>
      </w:tr>
      <w:tr w:rsidR="000A3988" w:rsidRPr="00113A2E" w14:paraId="1BC23C6D" w14:textId="77777777" w:rsidTr="009A6E01">
        <w:tc>
          <w:tcPr>
            <w:tcW w:w="0" w:type="auto"/>
            <w:vAlign w:val="center"/>
          </w:tcPr>
          <w:p w14:paraId="561F74D9"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Eligibility criteria</w:t>
            </w:r>
          </w:p>
        </w:tc>
        <w:tc>
          <w:tcPr>
            <w:tcW w:w="0" w:type="auto"/>
            <w:vAlign w:val="center"/>
          </w:tcPr>
          <w:p w14:paraId="0FD289DE"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6</w:t>
            </w:r>
          </w:p>
        </w:tc>
        <w:tc>
          <w:tcPr>
            <w:tcW w:w="0" w:type="auto"/>
            <w:vAlign w:val="center"/>
          </w:tcPr>
          <w:p w14:paraId="1AFFC5BE" w14:textId="77777777" w:rsidR="000A3988" w:rsidRPr="00113A2E" w:rsidRDefault="000A3988" w:rsidP="009A6E01">
            <w:pPr>
              <w:rPr>
                <w:rFonts w:ascii="Arial" w:hAnsi="Arial" w:cs="Arial"/>
                <w:sz w:val="20"/>
                <w:szCs w:val="20"/>
              </w:rPr>
            </w:pPr>
            <w:r w:rsidRPr="00113A2E">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86C1523A5DC6E641897AA4150548C742"/>
            </w:placeholder>
          </w:sdtPr>
          <w:sdtEndPr/>
          <w:sdtContent>
            <w:tc>
              <w:tcPr>
                <w:tcW w:w="0" w:type="auto"/>
                <w:vAlign w:val="center"/>
              </w:tcPr>
              <w:p w14:paraId="6151D76C" w14:textId="2DACFBAC" w:rsidR="000A3988" w:rsidRPr="00113A2E" w:rsidRDefault="00BC0690" w:rsidP="009A6E01">
                <w:pPr>
                  <w:rPr>
                    <w:rFonts w:ascii="Arial" w:hAnsi="Arial" w:cs="Arial"/>
                    <w:sz w:val="20"/>
                    <w:szCs w:val="20"/>
                  </w:rPr>
                </w:pPr>
                <w:r w:rsidRPr="00113A2E">
                  <w:rPr>
                    <w:rFonts w:ascii="Arial" w:hAnsi="Arial" w:cs="Arial"/>
                    <w:sz w:val="20"/>
                    <w:szCs w:val="20"/>
                  </w:rPr>
                  <w:t>4-5</w:t>
                </w:r>
              </w:p>
            </w:tc>
          </w:sdtContent>
        </w:sdt>
      </w:tr>
      <w:tr w:rsidR="000A3988" w:rsidRPr="00113A2E" w14:paraId="64523F30" w14:textId="77777777" w:rsidTr="009A6E01">
        <w:trPr>
          <w:trHeight w:val="260"/>
        </w:trPr>
        <w:tc>
          <w:tcPr>
            <w:tcW w:w="0" w:type="auto"/>
            <w:vAlign w:val="center"/>
          </w:tcPr>
          <w:p w14:paraId="0594F48C"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Information sources*</w:t>
            </w:r>
          </w:p>
        </w:tc>
        <w:tc>
          <w:tcPr>
            <w:tcW w:w="0" w:type="auto"/>
            <w:vAlign w:val="center"/>
          </w:tcPr>
          <w:p w14:paraId="3E765542"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7</w:t>
            </w:r>
          </w:p>
        </w:tc>
        <w:tc>
          <w:tcPr>
            <w:tcW w:w="0" w:type="auto"/>
            <w:vAlign w:val="center"/>
          </w:tcPr>
          <w:p w14:paraId="5CB199DE" w14:textId="77777777" w:rsidR="000A3988" w:rsidRPr="00113A2E" w:rsidRDefault="000A3988" w:rsidP="009A6E01">
            <w:pPr>
              <w:rPr>
                <w:rFonts w:ascii="Arial" w:hAnsi="Arial" w:cs="Arial"/>
                <w:sz w:val="20"/>
                <w:szCs w:val="20"/>
              </w:rPr>
            </w:pPr>
            <w:r w:rsidRPr="00113A2E">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86C1523A5DC6E641897AA4150548C742"/>
            </w:placeholder>
          </w:sdtPr>
          <w:sdtEndPr/>
          <w:sdtContent>
            <w:sdt>
              <w:sdtPr>
                <w:rPr>
                  <w:rFonts w:ascii="Arial" w:hAnsi="Arial" w:cs="Arial"/>
                  <w:sz w:val="20"/>
                  <w:szCs w:val="20"/>
                </w:rPr>
                <w:id w:val="615879230"/>
                <w:placeholder>
                  <w:docPart w:val="49540E9743522842B5944B4EFBCF89E2"/>
                </w:placeholder>
              </w:sdtPr>
              <w:sdtEndPr/>
              <w:sdtContent>
                <w:tc>
                  <w:tcPr>
                    <w:tcW w:w="0" w:type="auto"/>
                    <w:vAlign w:val="center"/>
                  </w:tcPr>
                  <w:p w14:paraId="2468D223" w14:textId="09410901" w:rsidR="000A3988" w:rsidRPr="00113A2E" w:rsidRDefault="00BC0690" w:rsidP="009A6E01">
                    <w:pPr>
                      <w:rPr>
                        <w:rFonts w:ascii="Arial" w:hAnsi="Arial" w:cs="Arial"/>
                        <w:sz w:val="20"/>
                        <w:szCs w:val="20"/>
                      </w:rPr>
                    </w:pPr>
                    <w:r w:rsidRPr="00113A2E">
                      <w:rPr>
                        <w:rFonts w:ascii="Arial" w:hAnsi="Arial" w:cs="Arial"/>
                        <w:sz w:val="20"/>
                        <w:szCs w:val="20"/>
                      </w:rPr>
                      <w:t>4</w:t>
                    </w:r>
                  </w:p>
                </w:tc>
              </w:sdtContent>
            </w:sdt>
          </w:sdtContent>
        </w:sdt>
      </w:tr>
      <w:tr w:rsidR="000A3988" w:rsidRPr="00113A2E" w14:paraId="4BFA1EB3" w14:textId="77777777" w:rsidTr="009A6E01">
        <w:tc>
          <w:tcPr>
            <w:tcW w:w="0" w:type="auto"/>
            <w:vAlign w:val="center"/>
          </w:tcPr>
          <w:p w14:paraId="424EF04D"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Search</w:t>
            </w:r>
          </w:p>
        </w:tc>
        <w:tc>
          <w:tcPr>
            <w:tcW w:w="0" w:type="auto"/>
            <w:vAlign w:val="center"/>
          </w:tcPr>
          <w:p w14:paraId="696587F9"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8</w:t>
            </w:r>
          </w:p>
        </w:tc>
        <w:tc>
          <w:tcPr>
            <w:tcW w:w="0" w:type="auto"/>
            <w:vAlign w:val="center"/>
          </w:tcPr>
          <w:p w14:paraId="771E38AA" w14:textId="77777777" w:rsidR="000A3988" w:rsidRPr="00113A2E" w:rsidRDefault="000A3988" w:rsidP="009A6E01">
            <w:pPr>
              <w:rPr>
                <w:rFonts w:ascii="Arial" w:hAnsi="Arial" w:cs="Arial"/>
                <w:sz w:val="20"/>
                <w:szCs w:val="20"/>
              </w:rPr>
            </w:pPr>
            <w:r w:rsidRPr="00113A2E">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86C1523A5DC6E641897AA4150548C742"/>
            </w:placeholder>
          </w:sdtPr>
          <w:sdtEndPr/>
          <w:sdtContent>
            <w:sdt>
              <w:sdtPr>
                <w:rPr>
                  <w:rFonts w:ascii="Arial" w:hAnsi="Arial" w:cs="Arial"/>
                  <w:sz w:val="20"/>
                  <w:szCs w:val="20"/>
                </w:rPr>
                <w:id w:val="-2063317105"/>
                <w:placeholder>
                  <w:docPart w:val="B68D81CB34AD664D8C6496C590EB1514"/>
                </w:placeholder>
              </w:sdtPr>
              <w:sdtEndPr/>
              <w:sdtContent>
                <w:tc>
                  <w:tcPr>
                    <w:tcW w:w="0" w:type="auto"/>
                    <w:vAlign w:val="center"/>
                  </w:tcPr>
                  <w:p w14:paraId="5D70D076" w14:textId="544D4097" w:rsidR="000A3988" w:rsidRPr="00113A2E" w:rsidRDefault="005B4323" w:rsidP="009A6E01">
                    <w:pPr>
                      <w:rPr>
                        <w:rFonts w:ascii="Arial" w:hAnsi="Arial" w:cs="Arial"/>
                        <w:sz w:val="20"/>
                        <w:szCs w:val="20"/>
                      </w:rPr>
                    </w:pPr>
                    <w:r w:rsidRPr="00113A2E">
                      <w:rPr>
                        <w:rFonts w:ascii="Arial" w:hAnsi="Arial" w:cs="Arial"/>
                        <w:sz w:val="20"/>
                        <w:szCs w:val="20"/>
                      </w:rPr>
                      <w:t>A</w:t>
                    </w:r>
                    <w:r w:rsidR="000A3988" w:rsidRPr="00113A2E">
                      <w:rPr>
                        <w:rFonts w:ascii="Arial" w:hAnsi="Arial" w:cs="Arial"/>
                        <w:sz w:val="20"/>
                        <w:szCs w:val="20"/>
                      </w:rPr>
                      <w:t xml:space="preserve">ppendix </w:t>
                    </w:r>
                    <w:r w:rsidR="00BC0690" w:rsidRPr="00113A2E">
                      <w:rPr>
                        <w:rFonts w:ascii="Arial" w:hAnsi="Arial" w:cs="Arial"/>
                        <w:sz w:val="20"/>
                        <w:szCs w:val="20"/>
                      </w:rPr>
                      <w:t>A</w:t>
                    </w:r>
                  </w:p>
                </w:tc>
              </w:sdtContent>
            </w:sdt>
          </w:sdtContent>
        </w:sdt>
      </w:tr>
      <w:tr w:rsidR="000A3988" w:rsidRPr="00113A2E" w14:paraId="3E04A916" w14:textId="77777777" w:rsidTr="009A6E01">
        <w:tc>
          <w:tcPr>
            <w:tcW w:w="0" w:type="auto"/>
            <w:vAlign w:val="center"/>
          </w:tcPr>
          <w:p w14:paraId="55789F14"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Selection of sources of evidence†</w:t>
            </w:r>
          </w:p>
        </w:tc>
        <w:tc>
          <w:tcPr>
            <w:tcW w:w="0" w:type="auto"/>
            <w:vAlign w:val="center"/>
          </w:tcPr>
          <w:p w14:paraId="0F7BAB3E"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9</w:t>
            </w:r>
          </w:p>
        </w:tc>
        <w:tc>
          <w:tcPr>
            <w:tcW w:w="0" w:type="auto"/>
            <w:vAlign w:val="center"/>
          </w:tcPr>
          <w:p w14:paraId="16652F5C" w14:textId="77777777" w:rsidR="000A3988" w:rsidRPr="00113A2E" w:rsidRDefault="000A3988" w:rsidP="009A6E01">
            <w:pPr>
              <w:rPr>
                <w:rFonts w:ascii="Arial" w:hAnsi="Arial" w:cs="Arial"/>
                <w:sz w:val="20"/>
                <w:szCs w:val="20"/>
              </w:rPr>
            </w:pPr>
            <w:r w:rsidRPr="00113A2E">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86C1523A5DC6E641897AA4150548C742"/>
            </w:placeholder>
          </w:sdtPr>
          <w:sdtEndPr/>
          <w:sdtContent>
            <w:tc>
              <w:tcPr>
                <w:tcW w:w="0" w:type="auto"/>
                <w:vAlign w:val="center"/>
              </w:tcPr>
              <w:p w14:paraId="42D69AFD" w14:textId="66B21129" w:rsidR="000A3988" w:rsidRPr="00113A2E" w:rsidRDefault="00BC0690" w:rsidP="009A6E01">
                <w:pPr>
                  <w:rPr>
                    <w:rFonts w:ascii="Arial" w:hAnsi="Arial" w:cs="Arial"/>
                    <w:sz w:val="20"/>
                    <w:szCs w:val="20"/>
                  </w:rPr>
                </w:pPr>
                <w:r w:rsidRPr="00113A2E">
                  <w:rPr>
                    <w:rFonts w:ascii="Arial" w:hAnsi="Arial" w:cs="Arial"/>
                    <w:sz w:val="20"/>
                    <w:szCs w:val="20"/>
                  </w:rPr>
                  <w:t>4-5</w:t>
                </w:r>
              </w:p>
            </w:tc>
          </w:sdtContent>
        </w:sdt>
      </w:tr>
      <w:tr w:rsidR="000A3988" w:rsidRPr="00113A2E" w14:paraId="3A2F0C91" w14:textId="77777777" w:rsidTr="009A6E01">
        <w:tc>
          <w:tcPr>
            <w:tcW w:w="0" w:type="auto"/>
            <w:vAlign w:val="center"/>
          </w:tcPr>
          <w:p w14:paraId="53D78E47"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Data charting process‡</w:t>
            </w:r>
          </w:p>
        </w:tc>
        <w:tc>
          <w:tcPr>
            <w:tcW w:w="0" w:type="auto"/>
            <w:vAlign w:val="center"/>
          </w:tcPr>
          <w:p w14:paraId="0F7A191B"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10</w:t>
            </w:r>
          </w:p>
        </w:tc>
        <w:tc>
          <w:tcPr>
            <w:tcW w:w="0" w:type="auto"/>
            <w:vAlign w:val="center"/>
          </w:tcPr>
          <w:p w14:paraId="5A21D615" w14:textId="77777777" w:rsidR="000A3988" w:rsidRPr="00113A2E" w:rsidRDefault="000A3988" w:rsidP="009A6E01">
            <w:pPr>
              <w:rPr>
                <w:rFonts w:ascii="Arial" w:hAnsi="Arial" w:cs="Arial"/>
                <w:sz w:val="20"/>
                <w:szCs w:val="20"/>
              </w:rPr>
            </w:pPr>
            <w:r w:rsidRPr="00113A2E">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86C1523A5DC6E641897AA4150548C742"/>
            </w:placeholder>
          </w:sdtPr>
          <w:sdtEndPr/>
          <w:sdtContent>
            <w:sdt>
              <w:sdtPr>
                <w:rPr>
                  <w:rFonts w:ascii="Arial" w:hAnsi="Arial" w:cs="Arial"/>
                  <w:sz w:val="20"/>
                  <w:szCs w:val="20"/>
                </w:rPr>
                <w:id w:val="1498771093"/>
                <w:placeholder>
                  <w:docPart w:val="DD245D39A9FAC242B3F64F2CA3E5C27F"/>
                </w:placeholder>
              </w:sdtPr>
              <w:sdtEndPr/>
              <w:sdtContent>
                <w:tc>
                  <w:tcPr>
                    <w:tcW w:w="0" w:type="auto"/>
                    <w:vAlign w:val="center"/>
                  </w:tcPr>
                  <w:p w14:paraId="5F1EC316" w14:textId="084CE1D6" w:rsidR="000A3988" w:rsidRPr="00113A2E" w:rsidRDefault="00BC0690" w:rsidP="009A6E01">
                    <w:pPr>
                      <w:rPr>
                        <w:rFonts w:ascii="Arial" w:hAnsi="Arial" w:cs="Arial"/>
                        <w:sz w:val="20"/>
                        <w:szCs w:val="20"/>
                      </w:rPr>
                    </w:pPr>
                    <w:r w:rsidRPr="00113A2E">
                      <w:rPr>
                        <w:rFonts w:ascii="Arial" w:hAnsi="Arial" w:cs="Arial"/>
                        <w:sz w:val="20"/>
                        <w:szCs w:val="20"/>
                      </w:rPr>
                      <w:t>5</w:t>
                    </w:r>
                  </w:p>
                </w:tc>
              </w:sdtContent>
            </w:sdt>
          </w:sdtContent>
        </w:sdt>
      </w:tr>
      <w:tr w:rsidR="000A3988" w:rsidRPr="00113A2E" w14:paraId="0E37144B" w14:textId="77777777" w:rsidTr="009A6E01">
        <w:trPr>
          <w:trHeight w:val="260"/>
        </w:trPr>
        <w:tc>
          <w:tcPr>
            <w:tcW w:w="0" w:type="auto"/>
            <w:vAlign w:val="center"/>
          </w:tcPr>
          <w:p w14:paraId="3A01EDE5"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Data items</w:t>
            </w:r>
          </w:p>
        </w:tc>
        <w:tc>
          <w:tcPr>
            <w:tcW w:w="0" w:type="auto"/>
            <w:vAlign w:val="center"/>
          </w:tcPr>
          <w:p w14:paraId="77102E26"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11</w:t>
            </w:r>
          </w:p>
        </w:tc>
        <w:tc>
          <w:tcPr>
            <w:tcW w:w="0" w:type="auto"/>
            <w:vAlign w:val="center"/>
          </w:tcPr>
          <w:p w14:paraId="42C75E57" w14:textId="77777777" w:rsidR="000A3988" w:rsidRPr="00113A2E" w:rsidRDefault="000A3988" w:rsidP="009A6E01">
            <w:pPr>
              <w:rPr>
                <w:rFonts w:ascii="Arial" w:hAnsi="Arial" w:cs="Arial"/>
                <w:sz w:val="20"/>
                <w:szCs w:val="20"/>
              </w:rPr>
            </w:pPr>
            <w:r w:rsidRPr="00113A2E">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86C1523A5DC6E641897AA4150548C742"/>
            </w:placeholder>
          </w:sdtPr>
          <w:sdtEndPr/>
          <w:sdtContent>
            <w:sdt>
              <w:sdtPr>
                <w:rPr>
                  <w:rFonts w:ascii="Arial" w:hAnsi="Arial" w:cs="Arial"/>
                  <w:sz w:val="20"/>
                  <w:szCs w:val="20"/>
                </w:rPr>
                <w:id w:val="-1796292429"/>
                <w:placeholder>
                  <w:docPart w:val="813443541B8AD544B03D265F58E52092"/>
                </w:placeholder>
              </w:sdtPr>
              <w:sdtEndPr/>
              <w:sdtContent>
                <w:tc>
                  <w:tcPr>
                    <w:tcW w:w="0" w:type="auto"/>
                    <w:vAlign w:val="center"/>
                  </w:tcPr>
                  <w:p w14:paraId="757B173A" w14:textId="69D3D6B5" w:rsidR="000A3988" w:rsidRPr="00113A2E" w:rsidRDefault="005B4323" w:rsidP="009A6E01">
                    <w:pPr>
                      <w:rPr>
                        <w:rFonts w:ascii="Arial" w:hAnsi="Arial" w:cs="Arial"/>
                        <w:sz w:val="20"/>
                        <w:szCs w:val="20"/>
                      </w:rPr>
                    </w:pPr>
                    <w:r w:rsidRPr="00113A2E">
                      <w:rPr>
                        <w:rFonts w:ascii="Arial" w:hAnsi="Arial" w:cs="Arial"/>
                        <w:sz w:val="20"/>
                        <w:szCs w:val="20"/>
                      </w:rPr>
                      <w:t>5</w:t>
                    </w:r>
                  </w:p>
                </w:tc>
              </w:sdtContent>
            </w:sdt>
          </w:sdtContent>
        </w:sdt>
      </w:tr>
      <w:tr w:rsidR="000A3988" w:rsidRPr="00113A2E" w14:paraId="3D763351" w14:textId="77777777" w:rsidTr="009A6E01">
        <w:tc>
          <w:tcPr>
            <w:tcW w:w="0" w:type="auto"/>
            <w:vAlign w:val="center"/>
          </w:tcPr>
          <w:p w14:paraId="72123D69" w14:textId="2B4F2893" w:rsidR="000A3988" w:rsidRPr="00113A2E" w:rsidRDefault="000A3988" w:rsidP="009A6E01">
            <w:pPr>
              <w:ind w:left="180"/>
              <w:rPr>
                <w:rFonts w:ascii="Arial" w:hAnsi="Arial" w:cs="Arial"/>
                <w:sz w:val="20"/>
                <w:szCs w:val="20"/>
              </w:rPr>
            </w:pPr>
            <w:r w:rsidRPr="00113A2E">
              <w:rPr>
                <w:rFonts w:ascii="Arial" w:hAnsi="Arial" w:cs="Arial"/>
                <w:sz w:val="20"/>
                <w:szCs w:val="20"/>
              </w:rPr>
              <w:t>Critical appraisal of individual sources of evidence</w:t>
            </w:r>
          </w:p>
        </w:tc>
        <w:tc>
          <w:tcPr>
            <w:tcW w:w="0" w:type="auto"/>
            <w:vAlign w:val="center"/>
          </w:tcPr>
          <w:p w14:paraId="40CADFE1"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12</w:t>
            </w:r>
          </w:p>
        </w:tc>
        <w:tc>
          <w:tcPr>
            <w:tcW w:w="0" w:type="auto"/>
            <w:vAlign w:val="center"/>
          </w:tcPr>
          <w:p w14:paraId="41FB8298" w14:textId="77777777" w:rsidR="000A3988" w:rsidRPr="00113A2E" w:rsidRDefault="000A3988" w:rsidP="009A6E01">
            <w:pPr>
              <w:rPr>
                <w:rFonts w:ascii="Arial" w:hAnsi="Arial" w:cs="Arial"/>
                <w:sz w:val="20"/>
                <w:szCs w:val="20"/>
              </w:rPr>
            </w:pPr>
            <w:r w:rsidRPr="00113A2E">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0" w:type="auto"/>
            <w:vAlign w:val="center"/>
          </w:tcPr>
          <w:p w14:paraId="68CDE279" w14:textId="579C07E2" w:rsidR="000A3988" w:rsidRPr="00113A2E" w:rsidRDefault="00BC0690" w:rsidP="009A6E01">
            <w:pPr>
              <w:rPr>
                <w:rFonts w:ascii="Arial" w:hAnsi="Arial" w:cs="Arial"/>
                <w:sz w:val="20"/>
                <w:szCs w:val="20"/>
              </w:rPr>
            </w:pPr>
            <w:r w:rsidRPr="00113A2E">
              <w:rPr>
                <w:rFonts w:ascii="Arial" w:hAnsi="Arial" w:cs="Arial"/>
                <w:sz w:val="20"/>
                <w:szCs w:val="20"/>
              </w:rPr>
              <w:t>Not preformed</w:t>
            </w:r>
          </w:p>
        </w:tc>
      </w:tr>
      <w:tr w:rsidR="000A3988" w:rsidRPr="00113A2E" w14:paraId="740155E4" w14:textId="77777777" w:rsidTr="009A6E01">
        <w:tc>
          <w:tcPr>
            <w:tcW w:w="0" w:type="auto"/>
            <w:vAlign w:val="center"/>
          </w:tcPr>
          <w:p w14:paraId="7A9B91D3"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Synthesis of results</w:t>
            </w:r>
          </w:p>
        </w:tc>
        <w:tc>
          <w:tcPr>
            <w:tcW w:w="0" w:type="auto"/>
            <w:vAlign w:val="center"/>
          </w:tcPr>
          <w:p w14:paraId="3D363EF8"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13</w:t>
            </w:r>
          </w:p>
        </w:tc>
        <w:tc>
          <w:tcPr>
            <w:tcW w:w="0" w:type="auto"/>
            <w:vAlign w:val="center"/>
          </w:tcPr>
          <w:p w14:paraId="651A788C" w14:textId="77777777" w:rsidR="000A3988" w:rsidRPr="00113A2E" w:rsidRDefault="000A3988" w:rsidP="009A6E01">
            <w:pPr>
              <w:rPr>
                <w:rFonts w:ascii="Arial" w:hAnsi="Arial" w:cs="Arial"/>
                <w:sz w:val="20"/>
                <w:szCs w:val="20"/>
              </w:rPr>
            </w:pPr>
            <w:r w:rsidRPr="00113A2E">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86C1523A5DC6E641897AA4150548C742"/>
            </w:placeholder>
          </w:sdtPr>
          <w:sdtEndPr/>
          <w:sdtContent>
            <w:sdt>
              <w:sdtPr>
                <w:rPr>
                  <w:rFonts w:ascii="Arial" w:hAnsi="Arial" w:cs="Arial"/>
                  <w:sz w:val="20"/>
                  <w:szCs w:val="20"/>
                </w:rPr>
                <w:id w:val="1516805422"/>
                <w:placeholder>
                  <w:docPart w:val="F9ACB85847D98D4FAEDA133FFE40CBEB"/>
                </w:placeholder>
              </w:sdtPr>
              <w:sdtEndPr/>
              <w:sdtContent>
                <w:tc>
                  <w:tcPr>
                    <w:tcW w:w="0" w:type="auto"/>
                    <w:vAlign w:val="center"/>
                  </w:tcPr>
                  <w:p w14:paraId="438F8580" w14:textId="0023112B" w:rsidR="000A3988" w:rsidRPr="00113A2E" w:rsidRDefault="00BC0690" w:rsidP="009A6E01">
                    <w:pPr>
                      <w:rPr>
                        <w:rFonts w:ascii="Arial" w:hAnsi="Arial" w:cs="Arial"/>
                        <w:sz w:val="20"/>
                        <w:szCs w:val="20"/>
                      </w:rPr>
                    </w:pPr>
                    <w:r w:rsidRPr="00113A2E">
                      <w:rPr>
                        <w:rFonts w:ascii="Arial" w:hAnsi="Arial" w:cs="Arial"/>
                        <w:sz w:val="20"/>
                        <w:szCs w:val="20"/>
                      </w:rPr>
                      <w:t>5</w:t>
                    </w:r>
                  </w:p>
                </w:tc>
              </w:sdtContent>
            </w:sdt>
          </w:sdtContent>
        </w:sdt>
      </w:tr>
      <w:tr w:rsidR="000A3988" w:rsidRPr="00113A2E" w14:paraId="741AE636" w14:textId="77777777" w:rsidTr="009A6E01">
        <w:tc>
          <w:tcPr>
            <w:tcW w:w="0" w:type="auto"/>
            <w:gridSpan w:val="4"/>
            <w:shd w:val="clear" w:color="auto" w:fill="C1E4F5" w:themeFill="accent1" w:themeFillTint="33"/>
            <w:vAlign w:val="center"/>
          </w:tcPr>
          <w:p w14:paraId="7248F639" w14:textId="77777777" w:rsidR="000A3988" w:rsidRPr="00113A2E" w:rsidRDefault="000A3988" w:rsidP="009A6E01">
            <w:pPr>
              <w:rPr>
                <w:rFonts w:ascii="Arial" w:hAnsi="Arial" w:cs="Arial"/>
                <w:b/>
                <w:sz w:val="20"/>
                <w:szCs w:val="20"/>
              </w:rPr>
            </w:pPr>
            <w:r w:rsidRPr="00113A2E">
              <w:rPr>
                <w:rFonts w:ascii="Arial" w:hAnsi="Arial" w:cs="Arial"/>
                <w:b/>
                <w:sz w:val="20"/>
                <w:szCs w:val="20"/>
              </w:rPr>
              <w:t>RESULTS</w:t>
            </w:r>
          </w:p>
        </w:tc>
      </w:tr>
      <w:tr w:rsidR="000A3988" w:rsidRPr="00113A2E" w14:paraId="703A6FB9" w14:textId="77777777" w:rsidTr="009A6E01">
        <w:tc>
          <w:tcPr>
            <w:tcW w:w="0" w:type="auto"/>
            <w:vAlign w:val="center"/>
          </w:tcPr>
          <w:p w14:paraId="46FE890C"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Selection of sources of evidence</w:t>
            </w:r>
          </w:p>
        </w:tc>
        <w:tc>
          <w:tcPr>
            <w:tcW w:w="0" w:type="auto"/>
            <w:vAlign w:val="center"/>
          </w:tcPr>
          <w:p w14:paraId="2DDC6CB3"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14</w:t>
            </w:r>
          </w:p>
        </w:tc>
        <w:tc>
          <w:tcPr>
            <w:tcW w:w="0" w:type="auto"/>
            <w:vAlign w:val="center"/>
          </w:tcPr>
          <w:p w14:paraId="7C42D29C" w14:textId="77777777" w:rsidR="000A3988" w:rsidRPr="00113A2E" w:rsidRDefault="000A3988" w:rsidP="009A6E01">
            <w:pPr>
              <w:rPr>
                <w:rFonts w:ascii="Arial" w:hAnsi="Arial" w:cs="Arial"/>
                <w:sz w:val="20"/>
                <w:szCs w:val="20"/>
              </w:rPr>
            </w:pPr>
            <w:r w:rsidRPr="00113A2E">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86C1523A5DC6E641897AA4150548C742"/>
            </w:placeholder>
          </w:sdtPr>
          <w:sdtEndPr/>
          <w:sdtContent>
            <w:tc>
              <w:tcPr>
                <w:tcW w:w="0" w:type="auto"/>
                <w:vAlign w:val="center"/>
              </w:tcPr>
              <w:p w14:paraId="2A96A4BB" w14:textId="5F534AC3" w:rsidR="000A3988" w:rsidRPr="00113A2E" w:rsidRDefault="00BC0690" w:rsidP="009A6E01">
                <w:pPr>
                  <w:rPr>
                    <w:rFonts w:ascii="Arial" w:hAnsi="Arial" w:cs="Arial"/>
                    <w:sz w:val="20"/>
                    <w:szCs w:val="20"/>
                  </w:rPr>
                </w:pPr>
                <w:r w:rsidRPr="00113A2E">
                  <w:rPr>
                    <w:rFonts w:ascii="Arial" w:hAnsi="Arial" w:cs="Arial"/>
                    <w:sz w:val="20"/>
                    <w:szCs w:val="20"/>
                  </w:rPr>
                  <w:t>5-6</w:t>
                </w:r>
              </w:p>
            </w:tc>
          </w:sdtContent>
        </w:sdt>
      </w:tr>
      <w:tr w:rsidR="000A3988" w:rsidRPr="00113A2E" w14:paraId="61806E5C" w14:textId="77777777" w:rsidTr="009A6E01">
        <w:tc>
          <w:tcPr>
            <w:tcW w:w="0" w:type="auto"/>
            <w:vAlign w:val="center"/>
          </w:tcPr>
          <w:p w14:paraId="0CDD0B97"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Characteristics of sources of evidence</w:t>
            </w:r>
          </w:p>
        </w:tc>
        <w:tc>
          <w:tcPr>
            <w:tcW w:w="0" w:type="auto"/>
            <w:vAlign w:val="center"/>
          </w:tcPr>
          <w:p w14:paraId="17124B3E"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15</w:t>
            </w:r>
          </w:p>
        </w:tc>
        <w:tc>
          <w:tcPr>
            <w:tcW w:w="0" w:type="auto"/>
            <w:vAlign w:val="center"/>
          </w:tcPr>
          <w:p w14:paraId="33DD4385" w14:textId="77777777" w:rsidR="000A3988" w:rsidRPr="00113A2E" w:rsidRDefault="000A3988" w:rsidP="009A6E01">
            <w:pPr>
              <w:rPr>
                <w:rFonts w:ascii="Arial" w:hAnsi="Arial" w:cs="Arial"/>
                <w:sz w:val="20"/>
                <w:szCs w:val="20"/>
              </w:rPr>
            </w:pPr>
            <w:r w:rsidRPr="00113A2E">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86C1523A5DC6E641897AA4150548C742"/>
            </w:placeholder>
          </w:sdtPr>
          <w:sdtEndPr/>
          <w:sdtContent>
            <w:tc>
              <w:tcPr>
                <w:tcW w:w="0" w:type="auto"/>
                <w:vAlign w:val="center"/>
              </w:tcPr>
              <w:p w14:paraId="4A740F6C" w14:textId="1CA5032A" w:rsidR="000A3988" w:rsidRPr="00113A2E" w:rsidRDefault="00BC0690" w:rsidP="009A6E01">
                <w:pPr>
                  <w:rPr>
                    <w:rFonts w:ascii="Arial" w:hAnsi="Arial" w:cs="Arial"/>
                    <w:sz w:val="20"/>
                    <w:szCs w:val="20"/>
                  </w:rPr>
                </w:pPr>
                <w:r w:rsidRPr="00113A2E">
                  <w:rPr>
                    <w:rFonts w:ascii="Arial" w:hAnsi="Arial" w:cs="Arial"/>
                    <w:sz w:val="20"/>
                    <w:szCs w:val="20"/>
                  </w:rPr>
                  <w:t>6-7</w:t>
                </w:r>
                <w:r w:rsidR="005B4323" w:rsidRPr="00113A2E">
                  <w:rPr>
                    <w:rFonts w:ascii="Arial" w:hAnsi="Arial" w:cs="Arial"/>
                    <w:sz w:val="20"/>
                    <w:szCs w:val="20"/>
                  </w:rPr>
                  <w:t xml:space="preserve"> + appendix D</w:t>
                </w:r>
              </w:p>
            </w:tc>
          </w:sdtContent>
        </w:sdt>
      </w:tr>
      <w:tr w:rsidR="000A3988" w:rsidRPr="00113A2E" w14:paraId="633CF2B7" w14:textId="77777777" w:rsidTr="009A6E01">
        <w:tc>
          <w:tcPr>
            <w:tcW w:w="0" w:type="auto"/>
            <w:vAlign w:val="center"/>
          </w:tcPr>
          <w:p w14:paraId="1716AE3E"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Critical appraisal within sources of evidence</w:t>
            </w:r>
          </w:p>
        </w:tc>
        <w:tc>
          <w:tcPr>
            <w:tcW w:w="0" w:type="auto"/>
            <w:vAlign w:val="center"/>
          </w:tcPr>
          <w:p w14:paraId="5C274CCD"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16</w:t>
            </w:r>
          </w:p>
        </w:tc>
        <w:tc>
          <w:tcPr>
            <w:tcW w:w="0" w:type="auto"/>
            <w:vAlign w:val="center"/>
          </w:tcPr>
          <w:p w14:paraId="6ABA2ADD" w14:textId="77777777" w:rsidR="000A3988" w:rsidRPr="00113A2E" w:rsidRDefault="000A3988" w:rsidP="009A6E01">
            <w:pPr>
              <w:rPr>
                <w:rFonts w:ascii="Arial" w:hAnsi="Arial" w:cs="Arial"/>
                <w:sz w:val="20"/>
                <w:szCs w:val="20"/>
              </w:rPr>
            </w:pPr>
            <w:r w:rsidRPr="00113A2E">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86C1523A5DC6E641897AA4150548C742"/>
            </w:placeholder>
          </w:sdtPr>
          <w:sdtEndPr/>
          <w:sdtContent>
            <w:tc>
              <w:tcPr>
                <w:tcW w:w="0" w:type="auto"/>
                <w:vAlign w:val="center"/>
              </w:tcPr>
              <w:p w14:paraId="030B4AB0" w14:textId="26359E67" w:rsidR="000A3988" w:rsidRPr="00113A2E" w:rsidRDefault="00BC0690" w:rsidP="009A6E01">
                <w:pPr>
                  <w:rPr>
                    <w:rFonts w:ascii="Arial" w:hAnsi="Arial" w:cs="Arial"/>
                    <w:sz w:val="20"/>
                    <w:szCs w:val="20"/>
                  </w:rPr>
                </w:pPr>
                <w:r w:rsidRPr="00113A2E">
                  <w:rPr>
                    <w:rFonts w:ascii="Arial" w:hAnsi="Arial" w:cs="Arial"/>
                    <w:sz w:val="20"/>
                    <w:szCs w:val="20"/>
                  </w:rPr>
                  <w:t>Not preformed</w:t>
                </w:r>
              </w:p>
            </w:tc>
          </w:sdtContent>
        </w:sdt>
      </w:tr>
      <w:tr w:rsidR="000A3988" w:rsidRPr="00113A2E" w14:paraId="7F36A59F" w14:textId="77777777" w:rsidTr="009A6E01">
        <w:tc>
          <w:tcPr>
            <w:tcW w:w="0" w:type="auto"/>
            <w:vAlign w:val="center"/>
          </w:tcPr>
          <w:p w14:paraId="343839D7"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Results of individual sources of evidence</w:t>
            </w:r>
          </w:p>
        </w:tc>
        <w:tc>
          <w:tcPr>
            <w:tcW w:w="0" w:type="auto"/>
            <w:vAlign w:val="center"/>
          </w:tcPr>
          <w:p w14:paraId="6C0FB20A"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17</w:t>
            </w:r>
          </w:p>
        </w:tc>
        <w:tc>
          <w:tcPr>
            <w:tcW w:w="0" w:type="auto"/>
            <w:vAlign w:val="center"/>
          </w:tcPr>
          <w:p w14:paraId="312E07AB" w14:textId="77777777" w:rsidR="000A3988" w:rsidRPr="00113A2E" w:rsidRDefault="000A3988" w:rsidP="009A6E01">
            <w:pPr>
              <w:rPr>
                <w:rFonts w:ascii="Arial" w:hAnsi="Arial" w:cs="Arial"/>
                <w:sz w:val="20"/>
                <w:szCs w:val="20"/>
              </w:rPr>
            </w:pPr>
            <w:r w:rsidRPr="00113A2E">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86C1523A5DC6E641897AA4150548C742"/>
            </w:placeholder>
          </w:sdtPr>
          <w:sdtEndPr/>
          <w:sdtContent>
            <w:tc>
              <w:tcPr>
                <w:tcW w:w="0" w:type="auto"/>
                <w:vAlign w:val="center"/>
              </w:tcPr>
              <w:p w14:paraId="4DE90376" w14:textId="26EA03EE" w:rsidR="000A3988" w:rsidRPr="00113A2E" w:rsidRDefault="00BC0690" w:rsidP="009A6E01">
                <w:pPr>
                  <w:rPr>
                    <w:rFonts w:ascii="Arial" w:hAnsi="Arial" w:cs="Arial"/>
                    <w:sz w:val="20"/>
                    <w:szCs w:val="20"/>
                  </w:rPr>
                </w:pPr>
                <w:r w:rsidRPr="00113A2E">
                  <w:rPr>
                    <w:rFonts w:ascii="Arial" w:hAnsi="Arial" w:cs="Arial"/>
                    <w:sz w:val="20"/>
                    <w:szCs w:val="20"/>
                  </w:rPr>
                  <w:t xml:space="preserve">7-13 </w:t>
                </w:r>
                <w:r w:rsidR="00E86762" w:rsidRPr="00113A2E">
                  <w:rPr>
                    <w:rFonts w:ascii="Arial" w:hAnsi="Arial" w:cs="Arial"/>
                    <w:sz w:val="20"/>
                    <w:szCs w:val="20"/>
                  </w:rPr>
                  <w:t xml:space="preserve">+ appendix </w:t>
                </w:r>
                <w:r w:rsidRPr="00113A2E">
                  <w:rPr>
                    <w:rFonts w:ascii="Arial" w:hAnsi="Arial" w:cs="Arial"/>
                    <w:sz w:val="20"/>
                    <w:szCs w:val="20"/>
                  </w:rPr>
                  <w:t>D</w:t>
                </w:r>
                <w:r w:rsidR="00E86762" w:rsidRPr="00113A2E">
                  <w:rPr>
                    <w:rFonts w:ascii="Arial" w:hAnsi="Arial" w:cs="Arial"/>
                    <w:sz w:val="20"/>
                    <w:szCs w:val="20"/>
                  </w:rPr>
                  <w:t>-</w:t>
                </w:r>
                <w:r w:rsidRPr="00113A2E">
                  <w:rPr>
                    <w:rFonts w:ascii="Arial" w:hAnsi="Arial" w:cs="Arial"/>
                    <w:sz w:val="20"/>
                    <w:szCs w:val="20"/>
                  </w:rPr>
                  <w:t>E</w:t>
                </w:r>
              </w:p>
            </w:tc>
          </w:sdtContent>
        </w:sdt>
      </w:tr>
      <w:tr w:rsidR="00BC0690" w:rsidRPr="00113A2E" w14:paraId="0B5E1B47" w14:textId="77777777" w:rsidTr="009A6E01">
        <w:tc>
          <w:tcPr>
            <w:tcW w:w="0" w:type="auto"/>
            <w:vAlign w:val="center"/>
          </w:tcPr>
          <w:p w14:paraId="6E7CCA35" w14:textId="77777777" w:rsidR="00BC0690" w:rsidRPr="00113A2E" w:rsidRDefault="00BC0690" w:rsidP="00BC0690">
            <w:pPr>
              <w:ind w:left="180"/>
              <w:rPr>
                <w:rFonts w:ascii="Arial" w:hAnsi="Arial" w:cs="Arial"/>
                <w:sz w:val="20"/>
                <w:szCs w:val="20"/>
              </w:rPr>
            </w:pPr>
            <w:r w:rsidRPr="00113A2E">
              <w:rPr>
                <w:rFonts w:ascii="Arial" w:hAnsi="Arial" w:cs="Arial"/>
                <w:sz w:val="20"/>
                <w:szCs w:val="20"/>
              </w:rPr>
              <w:lastRenderedPageBreak/>
              <w:t>Synthesis of results</w:t>
            </w:r>
          </w:p>
        </w:tc>
        <w:tc>
          <w:tcPr>
            <w:tcW w:w="0" w:type="auto"/>
            <w:vAlign w:val="center"/>
          </w:tcPr>
          <w:p w14:paraId="4466406D" w14:textId="77777777" w:rsidR="00BC0690" w:rsidRPr="00113A2E" w:rsidRDefault="00BC0690" w:rsidP="00BC0690">
            <w:pPr>
              <w:jc w:val="center"/>
              <w:rPr>
                <w:rFonts w:ascii="Arial" w:hAnsi="Arial" w:cs="Arial"/>
                <w:sz w:val="20"/>
                <w:szCs w:val="20"/>
              </w:rPr>
            </w:pPr>
            <w:r w:rsidRPr="00113A2E">
              <w:rPr>
                <w:rFonts w:ascii="Arial" w:hAnsi="Arial" w:cs="Arial"/>
                <w:sz w:val="20"/>
                <w:szCs w:val="20"/>
              </w:rPr>
              <w:t>18</w:t>
            </w:r>
          </w:p>
        </w:tc>
        <w:tc>
          <w:tcPr>
            <w:tcW w:w="0" w:type="auto"/>
            <w:vAlign w:val="center"/>
          </w:tcPr>
          <w:p w14:paraId="21C2621A" w14:textId="77777777" w:rsidR="00BC0690" w:rsidRPr="00113A2E" w:rsidRDefault="00BC0690" w:rsidP="00BC0690">
            <w:pPr>
              <w:rPr>
                <w:rFonts w:ascii="Arial" w:hAnsi="Arial" w:cs="Arial"/>
                <w:sz w:val="20"/>
                <w:szCs w:val="20"/>
              </w:rPr>
            </w:pPr>
            <w:r w:rsidRPr="00113A2E">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1979370831"/>
            <w:placeholder>
              <w:docPart w:val="128AE316FD1F3246A7A923BA33ECD183"/>
            </w:placeholder>
          </w:sdtPr>
          <w:sdtEndPr/>
          <w:sdtContent>
            <w:tc>
              <w:tcPr>
                <w:tcW w:w="0" w:type="auto"/>
                <w:vAlign w:val="center"/>
              </w:tcPr>
              <w:p w14:paraId="393A4461" w14:textId="7C3F62B1" w:rsidR="00BC0690" w:rsidRPr="00113A2E" w:rsidRDefault="00BC0690" w:rsidP="00BC0690">
                <w:pPr>
                  <w:rPr>
                    <w:rFonts w:ascii="Arial" w:hAnsi="Arial" w:cs="Arial"/>
                    <w:sz w:val="20"/>
                    <w:szCs w:val="20"/>
                  </w:rPr>
                </w:pPr>
                <w:r w:rsidRPr="00113A2E">
                  <w:rPr>
                    <w:rFonts w:ascii="Arial" w:hAnsi="Arial" w:cs="Arial"/>
                    <w:sz w:val="20"/>
                    <w:szCs w:val="20"/>
                  </w:rPr>
                  <w:t>7-13 + appendix D-E</w:t>
                </w:r>
              </w:p>
            </w:tc>
          </w:sdtContent>
        </w:sdt>
      </w:tr>
      <w:tr w:rsidR="000A3988" w:rsidRPr="00113A2E" w14:paraId="75119974" w14:textId="77777777" w:rsidTr="009A6E01">
        <w:tc>
          <w:tcPr>
            <w:tcW w:w="0" w:type="auto"/>
            <w:gridSpan w:val="4"/>
            <w:shd w:val="clear" w:color="auto" w:fill="C1E4F5" w:themeFill="accent1" w:themeFillTint="33"/>
            <w:vAlign w:val="center"/>
          </w:tcPr>
          <w:p w14:paraId="344924B2" w14:textId="77777777" w:rsidR="000A3988" w:rsidRPr="00113A2E" w:rsidRDefault="000A3988" w:rsidP="009A6E01">
            <w:pPr>
              <w:rPr>
                <w:rFonts w:ascii="Arial" w:hAnsi="Arial" w:cs="Arial"/>
                <w:b/>
                <w:sz w:val="20"/>
                <w:szCs w:val="20"/>
              </w:rPr>
            </w:pPr>
            <w:r w:rsidRPr="00113A2E">
              <w:rPr>
                <w:rFonts w:ascii="Arial" w:hAnsi="Arial" w:cs="Arial"/>
                <w:b/>
                <w:sz w:val="20"/>
                <w:szCs w:val="20"/>
              </w:rPr>
              <w:t>DISCUSSION</w:t>
            </w:r>
          </w:p>
        </w:tc>
      </w:tr>
      <w:tr w:rsidR="000A3988" w:rsidRPr="00113A2E" w14:paraId="7B3528BD" w14:textId="77777777" w:rsidTr="009A6E01">
        <w:tc>
          <w:tcPr>
            <w:tcW w:w="0" w:type="auto"/>
            <w:vAlign w:val="center"/>
          </w:tcPr>
          <w:p w14:paraId="3F38DA59"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Summary of evidence</w:t>
            </w:r>
          </w:p>
        </w:tc>
        <w:tc>
          <w:tcPr>
            <w:tcW w:w="0" w:type="auto"/>
            <w:vAlign w:val="center"/>
          </w:tcPr>
          <w:p w14:paraId="031D4EB2"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19</w:t>
            </w:r>
          </w:p>
        </w:tc>
        <w:tc>
          <w:tcPr>
            <w:tcW w:w="0" w:type="auto"/>
            <w:vAlign w:val="center"/>
          </w:tcPr>
          <w:p w14:paraId="1660A549" w14:textId="77777777" w:rsidR="000A3988" w:rsidRPr="00113A2E" w:rsidRDefault="000A3988" w:rsidP="009A6E01">
            <w:pPr>
              <w:rPr>
                <w:rFonts w:ascii="Arial" w:hAnsi="Arial" w:cs="Arial"/>
                <w:sz w:val="20"/>
                <w:szCs w:val="20"/>
              </w:rPr>
            </w:pPr>
            <w:r w:rsidRPr="00113A2E">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86C1523A5DC6E641897AA4150548C742"/>
            </w:placeholder>
          </w:sdtPr>
          <w:sdtEndPr/>
          <w:sdtContent>
            <w:tc>
              <w:tcPr>
                <w:tcW w:w="0" w:type="auto"/>
                <w:vAlign w:val="center"/>
              </w:tcPr>
              <w:p w14:paraId="14B191DB" w14:textId="359F4C39" w:rsidR="000A3988" w:rsidRPr="00113A2E" w:rsidRDefault="000A3988" w:rsidP="009A6E01">
                <w:pPr>
                  <w:rPr>
                    <w:rFonts w:ascii="Arial" w:hAnsi="Arial" w:cs="Arial"/>
                    <w:sz w:val="20"/>
                    <w:szCs w:val="20"/>
                  </w:rPr>
                </w:pPr>
                <w:r w:rsidRPr="00113A2E">
                  <w:rPr>
                    <w:rFonts w:ascii="Arial" w:hAnsi="Arial" w:cs="Arial"/>
                    <w:sz w:val="20"/>
                    <w:szCs w:val="20"/>
                  </w:rPr>
                  <w:t>1</w:t>
                </w:r>
                <w:r w:rsidR="00BC0690" w:rsidRPr="00113A2E">
                  <w:rPr>
                    <w:rFonts w:ascii="Arial" w:hAnsi="Arial" w:cs="Arial"/>
                    <w:sz w:val="20"/>
                    <w:szCs w:val="20"/>
                  </w:rPr>
                  <w:t>4-16</w:t>
                </w:r>
              </w:p>
            </w:tc>
          </w:sdtContent>
        </w:sdt>
      </w:tr>
      <w:tr w:rsidR="000A3988" w:rsidRPr="00113A2E" w14:paraId="3E8DDB16" w14:textId="77777777" w:rsidTr="009A6E01">
        <w:tc>
          <w:tcPr>
            <w:tcW w:w="0" w:type="auto"/>
            <w:vAlign w:val="center"/>
          </w:tcPr>
          <w:p w14:paraId="4168E4FA"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Limitations</w:t>
            </w:r>
          </w:p>
        </w:tc>
        <w:tc>
          <w:tcPr>
            <w:tcW w:w="0" w:type="auto"/>
            <w:vAlign w:val="center"/>
          </w:tcPr>
          <w:p w14:paraId="702530A5"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20</w:t>
            </w:r>
          </w:p>
        </w:tc>
        <w:tc>
          <w:tcPr>
            <w:tcW w:w="0" w:type="auto"/>
            <w:vAlign w:val="center"/>
          </w:tcPr>
          <w:p w14:paraId="5DC8245F" w14:textId="77777777" w:rsidR="000A3988" w:rsidRPr="00113A2E" w:rsidRDefault="000A3988" w:rsidP="009A6E01">
            <w:pPr>
              <w:rPr>
                <w:rFonts w:ascii="Arial" w:hAnsi="Arial" w:cs="Arial"/>
                <w:b/>
                <w:i/>
                <w:sz w:val="20"/>
                <w:szCs w:val="20"/>
              </w:rPr>
            </w:pPr>
            <w:r w:rsidRPr="00113A2E">
              <w:rPr>
                <w:rFonts w:ascii="Arial" w:hAnsi="Arial" w:cs="Arial"/>
                <w:sz w:val="20"/>
                <w:szCs w:val="20"/>
              </w:rPr>
              <w:t>Discuss the limitations of the scoping review process.</w:t>
            </w:r>
          </w:p>
        </w:tc>
        <w:tc>
          <w:tcPr>
            <w:tcW w:w="0" w:type="auto"/>
            <w:vAlign w:val="center"/>
          </w:tcPr>
          <w:p w14:paraId="62284938" w14:textId="041998A3" w:rsidR="000A3988" w:rsidRPr="00113A2E" w:rsidRDefault="00BC0690" w:rsidP="009A6E01">
            <w:pPr>
              <w:rPr>
                <w:rFonts w:ascii="Arial" w:hAnsi="Arial" w:cs="Arial"/>
                <w:sz w:val="20"/>
                <w:szCs w:val="20"/>
              </w:rPr>
            </w:pPr>
            <w:r w:rsidRPr="00113A2E">
              <w:rPr>
                <w:rFonts w:ascii="Arial" w:hAnsi="Arial" w:cs="Arial"/>
                <w:sz w:val="20"/>
                <w:szCs w:val="20"/>
              </w:rPr>
              <w:t>16</w:t>
            </w:r>
          </w:p>
        </w:tc>
      </w:tr>
      <w:tr w:rsidR="000A3988" w:rsidRPr="00113A2E" w14:paraId="324F8AD2" w14:textId="77777777" w:rsidTr="009A6E01">
        <w:tc>
          <w:tcPr>
            <w:tcW w:w="0" w:type="auto"/>
            <w:vAlign w:val="center"/>
          </w:tcPr>
          <w:p w14:paraId="631AAA7D"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Conclusions</w:t>
            </w:r>
          </w:p>
        </w:tc>
        <w:tc>
          <w:tcPr>
            <w:tcW w:w="0" w:type="auto"/>
            <w:vAlign w:val="center"/>
          </w:tcPr>
          <w:p w14:paraId="110B72E7"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21</w:t>
            </w:r>
          </w:p>
        </w:tc>
        <w:tc>
          <w:tcPr>
            <w:tcW w:w="0" w:type="auto"/>
            <w:vAlign w:val="center"/>
          </w:tcPr>
          <w:p w14:paraId="7F43B432" w14:textId="77777777" w:rsidR="000A3988" w:rsidRPr="00113A2E" w:rsidRDefault="000A3988" w:rsidP="009A6E01">
            <w:pPr>
              <w:rPr>
                <w:rFonts w:ascii="Arial" w:hAnsi="Arial" w:cs="Arial"/>
                <w:sz w:val="20"/>
                <w:szCs w:val="20"/>
              </w:rPr>
            </w:pPr>
            <w:r w:rsidRPr="00113A2E">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86C1523A5DC6E641897AA4150548C742"/>
            </w:placeholder>
          </w:sdtPr>
          <w:sdtEndPr/>
          <w:sdtContent>
            <w:tc>
              <w:tcPr>
                <w:tcW w:w="0" w:type="auto"/>
                <w:vAlign w:val="center"/>
              </w:tcPr>
              <w:p w14:paraId="6364EFC7" w14:textId="41BCD2A9" w:rsidR="000A3988" w:rsidRPr="00113A2E" w:rsidRDefault="00BC0690" w:rsidP="009A6E01">
                <w:pPr>
                  <w:rPr>
                    <w:rFonts w:ascii="Arial" w:hAnsi="Arial" w:cs="Arial"/>
                    <w:sz w:val="20"/>
                    <w:szCs w:val="20"/>
                  </w:rPr>
                </w:pPr>
                <w:r w:rsidRPr="00113A2E">
                  <w:rPr>
                    <w:rFonts w:ascii="Arial" w:hAnsi="Arial" w:cs="Arial"/>
                    <w:sz w:val="20"/>
                    <w:szCs w:val="20"/>
                  </w:rPr>
                  <w:t>14-17</w:t>
                </w:r>
              </w:p>
            </w:tc>
          </w:sdtContent>
        </w:sdt>
      </w:tr>
      <w:tr w:rsidR="000A3988" w:rsidRPr="00113A2E" w14:paraId="3E61FF83" w14:textId="77777777" w:rsidTr="009A6E01">
        <w:tc>
          <w:tcPr>
            <w:tcW w:w="0" w:type="auto"/>
            <w:gridSpan w:val="4"/>
            <w:shd w:val="clear" w:color="auto" w:fill="C1E4F5" w:themeFill="accent1" w:themeFillTint="33"/>
            <w:vAlign w:val="center"/>
          </w:tcPr>
          <w:p w14:paraId="308D78DA" w14:textId="77777777" w:rsidR="000A3988" w:rsidRPr="00113A2E" w:rsidRDefault="000A3988" w:rsidP="009A6E01">
            <w:pPr>
              <w:rPr>
                <w:rFonts w:ascii="Arial" w:hAnsi="Arial" w:cs="Arial"/>
                <w:b/>
                <w:sz w:val="20"/>
                <w:szCs w:val="20"/>
              </w:rPr>
            </w:pPr>
            <w:r w:rsidRPr="00113A2E">
              <w:rPr>
                <w:rFonts w:ascii="Arial" w:hAnsi="Arial" w:cs="Arial"/>
                <w:b/>
                <w:sz w:val="20"/>
                <w:szCs w:val="20"/>
              </w:rPr>
              <w:t>FUNDING</w:t>
            </w:r>
          </w:p>
        </w:tc>
      </w:tr>
      <w:tr w:rsidR="000A3988" w:rsidRPr="00113A2E" w14:paraId="433E7946" w14:textId="77777777" w:rsidTr="009A6E01">
        <w:tc>
          <w:tcPr>
            <w:tcW w:w="0" w:type="auto"/>
            <w:vAlign w:val="center"/>
          </w:tcPr>
          <w:p w14:paraId="509426E5" w14:textId="77777777" w:rsidR="000A3988" w:rsidRPr="00113A2E" w:rsidRDefault="000A3988" w:rsidP="009A6E01">
            <w:pPr>
              <w:ind w:left="180"/>
              <w:rPr>
                <w:rFonts w:ascii="Arial" w:hAnsi="Arial" w:cs="Arial"/>
                <w:sz w:val="20"/>
                <w:szCs w:val="20"/>
              </w:rPr>
            </w:pPr>
            <w:r w:rsidRPr="00113A2E">
              <w:rPr>
                <w:rFonts w:ascii="Arial" w:hAnsi="Arial" w:cs="Arial"/>
                <w:sz w:val="20"/>
                <w:szCs w:val="20"/>
              </w:rPr>
              <w:t>Funding</w:t>
            </w:r>
          </w:p>
        </w:tc>
        <w:tc>
          <w:tcPr>
            <w:tcW w:w="0" w:type="auto"/>
            <w:vAlign w:val="center"/>
          </w:tcPr>
          <w:p w14:paraId="5EA50504" w14:textId="77777777" w:rsidR="000A3988" w:rsidRPr="00113A2E" w:rsidRDefault="000A3988" w:rsidP="009A6E01">
            <w:pPr>
              <w:jc w:val="center"/>
              <w:rPr>
                <w:rFonts w:ascii="Arial" w:hAnsi="Arial" w:cs="Arial"/>
                <w:sz w:val="20"/>
                <w:szCs w:val="20"/>
              </w:rPr>
            </w:pPr>
            <w:r w:rsidRPr="00113A2E">
              <w:rPr>
                <w:rFonts w:ascii="Arial" w:hAnsi="Arial" w:cs="Arial"/>
                <w:sz w:val="20"/>
                <w:szCs w:val="20"/>
              </w:rPr>
              <w:t>22</w:t>
            </w:r>
          </w:p>
        </w:tc>
        <w:tc>
          <w:tcPr>
            <w:tcW w:w="0" w:type="auto"/>
            <w:vAlign w:val="center"/>
          </w:tcPr>
          <w:p w14:paraId="7BBE64E2" w14:textId="77777777" w:rsidR="000A3988" w:rsidRPr="00113A2E" w:rsidRDefault="000A3988" w:rsidP="009A6E01">
            <w:pPr>
              <w:rPr>
                <w:rFonts w:ascii="Arial" w:hAnsi="Arial" w:cs="Arial"/>
                <w:sz w:val="20"/>
                <w:szCs w:val="20"/>
              </w:rPr>
            </w:pPr>
            <w:r w:rsidRPr="00113A2E">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86C1523A5DC6E641897AA4150548C742"/>
            </w:placeholder>
          </w:sdtPr>
          <w:sdtEndPr/>
          <w:sdtContent>
            <w:tc>
              <w:tcPr>
                <w:tcW w:w="0" w:type="auto"/>
                <w:vAlign w:val="center"/>
              </w:tcPr>
              <w:p w14:paraId="52312AA9" w14:textId="3F72545A" w:rsidR="000A3988" w:rsidRPr="00113A2E" w:rsidRDefault="00BC0690" w:rsidP="009A6E01">
                <w:pPr>
                  <w:rPr>
                    <w:rFonts w:ascii="Arial" w:hAnsi="Arial" w:cs="Arial"/>
                    <w:sz w:val="20"/>
                    <w:szCs w:val="20"/>
                  </w:rPr>
                </w:pPr>
                <w:r w:rsidRPr="00113A2E">
                  <w:rPr>
                    <w:rFonts w:ascii="Arial" w:hAnsi="Arial" w:cs="Arial"/>
                    <w:sz w:val="20"/>
                    <w:szCs w:val="20"/>
                  </w:rPr>
                  <w:t>18</w:t>
                </w:r>
                <w:r w:rsidR="00E86762" w:rsidRPr="00113A2E">
                  <w:rPr>
                    <w:rFonts w:ascii="Arial" w:hAnsi="Arial" w:cs="Arial"/>
                    <w:sz w:val="20"/>
                    <w:szCs w:val="20"/>
                  </w:rPr>
                  <w:t xml:space="preserve"> </w:t>
                </w:r>
              </w:p>
            </w:tc>
          </w:sdtContent>
        </w:sdt>
      </w:tr>
    </w:tbl>
    <w:p w14:paraId="70844DB7" w14:textId="77777777" w:rsidR="000A3988" w:rsidRPr="00113A2E" w:rsidRDefault="000A3988" w:rsidP="000A3988">
      <w:pPr>
        <w:rPr>
          <w:rFonts w:ascii="Arial" w:hAnsi="Arial" w:cs="Arial"/>
          <w:sz w:val="18"/>
          <w:szCs w:val="20"/>
        </w:rPr>
      </w:pPr>
      <w:r w:rsidRPr="00113A2E">
        <w:rPr>
          <w:rFonts w:ascii="Arial" w:hAnsi="Arial" w:cs="Arial"/>
          <w:sz w:val="18"/>
          <w:szCs w:val="20"/>
        </w:rPr>
        <w:t>JBI = Joanna Briggs Institute; PRISMA-</w:t>
      </w:r>
      <w:proofErr w:type="spellStart"/>
      <w:r w:rsidRPr="00113A2E">
        <w:rPr>
          <w:rFonts w:ascii="Arial" w:hAnsi="Arial" w:cs="Arial"/>
          <w:sz w:val="18"/>
          <w:szCs w:val="20"/>
        </w:rPr>
        <w:t>ScR</w:t>
      </w:r>
      <w:proofErr w:type="spellEnd"/>
      <w:r w:rsidRPr="00113A2E">
        <w:rPr>
          <w:rFonts w:ascii="Arial" w:hAnsi="Arial" w:cs="Arial"/>
          <w:sz w:val="18"/>
          <w:szCs w:val="20"/>
        </w:rPr>
        <w:t xml:space="preserve"> = Preferred Reporting Items for Systematic reviews and Meta-Analyses extension for Scoping Reviews.</w:t>
      </w:r>
    </w:p>
    <w:p w14:paraId="1EA659C6" w14:textId="77777777" w:rsidR="000A3988" w:rsidRPr="00113A2E" w:rsidRDefault="000A3988" w:rsidP="000A3988">
      <w:pPr>
        <w:rPr>
          <w:rFonts w:ascii="Arial" w:hAnsi="Arial" w:cs="Arial"/>
          <w:sz w:val="18"/>
          <w:szCs w:val="20"/>
        </w:rPr>
      </w:pPr>
      <w:r w:rsidRPr="00113A2E">
        <w:rPr>
          <w:rFonts w:ascii="Arial" w:hAnsi="Arial" w:cs="Arial"/>
          <w:sz w:val="18"/>
          <w:szCs w:val="20"/>
        </w:rPr>
        <w:t xml:space="preserve">* Where </w:t>
      </w:r>
      <w:r w:rsidRPr="00113A2E">
        <w:rPr>
          <w:rFonts w:ascii="Arial" w:hAnsi="Arial" w:cs="Arial"/>
          <w:i/>
          <w:sz w:val="18"/>
          <w:szCs w:val="20"/>
        </w:rPr>
        <w:t>sources of evidence</w:t>
      </w:r>
      <w:r w:rsidRPr="00113A2E">
        <w:rPr>
          <w:rFonts w:ascii="Arial" w:hAnsi="Arial" w:cs="Arial"/>
          <w:sz w:val="18"/>
          <w:szCs w:val="20"/>
        </w:rPr>
        <w:t xml:space="preserve"> (see second footnote) are compiled from, such as bibliographic databases, social media platforms, and Web sites.</w:t>
      </w:r>
    </w:p>
    <w:p w14:paraId="6ECEB0CE" w14:textId="77777777" w:rsidR="000A3988" w:rsidRPr="00113A2E" w:rsidRDefault="000A3988" w:rsidP="000A3988">
      <w:pPr>
        <w:rPr>
          <w:rFonts w:ascii="Arial" w:hAnsi="Arial" w:cs="Arial"/>
          <w:sz w:val="18"/>
          <w:szCs w:val="20"/>
        </w:rPr>
      </w:pPr>
      <w:r w:rsidRPr="00113A2E">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113A2E">
        <w:rPr>
          <w:rFonts w:ascii="Arial" w:hAnsi="Arial" w:cs="Arial"/>
          <w:i/>
          <w:sz w:val="18"/>
          <w:szCs w:val="20"/>
        </w:rPr>
        <w:t>information sources</w:t>
      </w:r>
      <w:r w:rsidRPr="00113A2E">
        <w:rPr>
          <w:rFonts w:ascii="Arial" w:hAnsi="Arial" w:cs="Arial"/>
          <w:sz w:val="18"/>
          <w:szCs w:val="20"/>
        </w:rPr>
        <w:t xml:space="preserve"> (see first footnote).</w:t>
      </w:r>
    </w:p>
    <w:p w14:paraId="0A61D1AA" w14:textId="77777777" w:rsidR="000A3988" w:rsidRPr="00113A2E" w:rsidRDefault="000A3988" w:rsidP="000A3988">
      <w:pPr>
        <w:rPr>
          <w:rFonts w:ascii="Arial" w:hAnsi="Arial" w:cs="Arial"/>
          <w:sz w:val="18"/>
          <w:szCs w:val="20"/>
        </w:rPr>
      </w:pPr>
      <w:r w:rsidRPr="00113A2E">
        <w:rPr>
          <w:rFonts w:ascii="Arial" w:hAnsi="Arial" w:cs="Arial"/>
          <w:sz w:val="18"/>
          <w:szCs w:val="20"/>
        </w:rPr>
        <w:t>‡ The frameworks by Arksey and O’Malley (6) and Levac and colleagues (7) and the JBI guidance (4, 5) refer to the process of data extraction in a scoping review as data charting</w:t>
      </w:r>
      <w:r w:rsidRPr="00113A2E">
        <w:rPr>
          <w:rFonts w:ascii="Arial" w:hAnsi="Arial" w:cs="Arial"/>
          <w:i/>
          <w:sz w:val="18"/>
          <w:szCs w:val="20"/>
        </w:rPr>
        <w:t>.</w:t>
      </w:r>
    </w:p>
    <w:p w14:paraId="65B51FED" w14:textId="77777777" w:rsidR="000A3988" w:rsidRPr="00113A2E" w:rsidRDefault="000A3988" w:rsidP="000A3988">
      <w:pPr>
        <w:rPr>
          <w:rFonts w:ascii="Arial" w:hAnsi="Arial" w:cs="Arial"/>
          <w:sz w:val="18"/>
          <w:szCs w:val="20"/>
        </w:rPr>
      </w:pPr>
      <w:r w:rsidRPr="00113A2E">
        <w:rPr>
          <w:rFonts w:ascii="Arial" w:hAnsi="Arial" w:cs="Arial"/>
          <w:sz w:val="18"/>
          <w:szCs w:val="20"/>
        </w:rPr>
        <w:t>§</w:t>
      </w:r>
      <w:r w:rsidRPr="00113A2E">
        <w:rPr>
          <w:rFonts w:ascii="Arial" w:hAnsi="Arial" w:cs="Arial"/>
          <w:i/>
          <w:sz w:val="18"/>
          <w:szCs w:val="20"/>
        </w:rPr>
        <w:t xml:space="preserve"> </w:t>
      </w:r>
      <w:r w:rsidRPr="00113A2E">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610FE1AC" w14:textId="77777777" w:rsidR="000A3988" w:rsidRPr="00113A2E" w:rsidRDefault="000A3988" w:rsidP="000A3988">
      <w:pPr>
        <w:rPr>
          <w:rFonts w:ascii="Arial" w:hAnsi="Arial" w:cs="Arial"/>
          <w:sz w:val="18"/>
          <w:szCs w:val="20"/>
        </w:rPr>
      </w:pPr>
    </w:p>
    <w:p w14:paraId="39516E42" w14:textId="77777777" w:rsidR="000A3988" w:rsidRPr="00113A2E" w:rsidRDefault="000A3988" w:rsidP="000A3988">
      <w:pPr>
        <w:spacing w:before="240"/>
        <w:rPr>
          <w:rFonts w:ascii="Arial" w:hAnsi="Arial" w:cs="Arial"/>
          <w:sz w:val="16"/>
          <w:szCs w:val="16"/>
        </w:rPr>
      </w:pPr>
      <w:r w:rsidRPr="00113A2E">
        <w:rPr>
          <w:rFonts w:ascii="Arial" w:hAnsi="Arial" w:cs="Arial"/>
          <w:i/>
          <w:sz w:val="16"/>
          <w:szCs w:val="16"/>
        </w:rPr>
        <w:t>From:</w:t>
      </w:r>
      <w:r w:rsidRPr="00113A2E">
        <w:rPr>
          <w:rFonts w:ascii="Arial" w:hAnsi="Arial" w:cs="Arial"/>
          <w:sz w:val="16"/>
          <w:szCs w:val="16"/>
        </w:rPr>
        <w:t xml:space="preserve"> </w:t>
      </w:r>
      <w:proofErr w:type="spellStart"/>
      <w:r w:rsidRPr="00113A2E">
        <w:rPr>
          <w:rFonts w:ascii="Arial" w:hAnsi="Arial" w:cs="Arial"/>
          <w:sz w:val="16"/>
          <w:szCs w:val="16"/>
        </w:rPr>
        <w:t>Tricco</w:t>
      </w:r>
      <w:proofErr w:type="spellEnd"/>
      <w:r w:rsidRPr="00113A2E">
        <w:rPr>
          <w:rFonts w:ascii="Arial" w:hAnsi="Arial" w:cs="Arial"/>
          <w:sz w:val="16"/>
          <w:szCs w:val="16"/>
        </w:rPr>
        <w:t xml:space="preserve"> AC, Lillie E, Zarin W, O'Brien KK, Colquhoun H, Levac D, et al. PRISMA Extension for Scoping Reviews (</w:t>
      </w:r>
      <w:proofErr w:type="spellStart"/>
      <w:r w:rsidRPr="00113A2E">
        <w:rPr>
          <w:rFonts w:ascii="Arial" w:hAnsi="Arial" w:cs="Arial"/>
          <w:sz w:val="16"/>
          <w:szCs w:val="16"/>
        </w:rPr>
        <w:t>PRISMAScR</w:t>
      </w:r>
      <w:proofErr w:type="spellEnd"/>
      <w:r w:rsidRPr="00113A2E">
        <w:rPr>
          <w:rFonts w:ascii="Arial" w:hAnsi="Arial" w:cs="Arial"/>
          <w:sz w:val="16"/>
          <w:szCs w:val="16"/>
        </w:rPr>
        <w:t>): Checklist and Explanation. Ann Intern Med. 2018</w:t>
      </w:r>
      <w:proofErr w:type="gramStart"/>
      <w:r w:rsidRPr="00113A2E">
        <w:rPr>
          <w:rFonts w:ascii="Arial" w:hAnsi="Arial" w:cs="Arial"/>
          <w:sz w:val="16"/>
          <w:szCs w:val="16"/>
        </w:rPr>
        <w:t>;169:467</w:t>
      </w:r>
      <w:proofErr w:type="gramEnd"/>
      <w:r w:rsidRPr="00113A2E">
        <w:rPr>
          <w:rFonts w:ascii="Arial" w:hAnsi="Arial" w:cs="Arial"/>
          <w:sz w:val="16"/>
          <w:szCs w:val="16"/>
        </w:rPr>
        <w:t xml:space="preserve">–473. </w:t>
      </w:r>
      <w:hyperlink r:id="rId5" w:history="1">
        <w:proofErr w:type="spellStart"/>
        <w:r w:rsidRPr="00113A2E">
          <w:rPr>
            <w:rStyle w:val="Hyperlink"/>
            <w:rFonts w:ascii="Arial" w:eastAsiaTheme="majorEastAsia" w:hAnsi="Arial" w:cs="Arial"/>
            <w:sz w:val="16"/>
            <w:szCs w:val="16"/>
          </w:rPr>
          <w:t>doi</w:t>
        </w:r>
        <w:proofErr w:type="spellEnd"/>
        <w:r w:rsidRPr="00113A2E">
          <w:rPr>
            <w:rStyle w:val="Hyperlink"/>
            <w:rFonts w:ascii="Arial" w:eastAsiaTheme="majorEastAsia" w:hAnsi="Arial" w:cs="Arial"/>
            <w:sz w:val="16"/>
            <w:szCs w:val="16"/>
          </w:rPr>
          <w:t>: 10.7326/M18-0850</w:t>
        </w:r>
      </w:hyperlink>
      <w:r w:rsidRPr="00113A2E">
        <w:rPr>
          <w:rFonts w:ascii="Arial" w:hAnsi="Arial" w:cs="Arial"/>
          <w:sz w:val="16"/>
          <w:szCs w:val="16"/>
        </w:rPr>
        <w:t>.</w:t>
      </w:r>
    </w:p>
    <w:p w14:paraId="066B209D" w14:textId="11C16EF8" w:rsidR="00CE1F19" w:rsidRPr="00113A2E" w:rsidRDefault="00CE1F19" w:rsidP="00CE1F19">
      <w:pPr>
        <w:rPr>
          <w:rFonts w:ascii="Arial" w:hAnsi="Arial" w:cs="Arial"/>
        </w:rPr>
      </w:pPr>
    </w:p>
    <w:p w14:paraId="466DBCC2" w14:textId="77777777" w:rsidR="000A3988" w:rsidRPr="00113A2E" w:rsidRDefault="000A3988" w:rsidP="00CE1F19">
      <w:pPr>
        <w:rPr>
          <w:rFonts w:ascii="Arial" w:hAnsi="Arial" w:cs="Arial"/>
        </w:rPr>
      </w:pPr>
    </w:p>
    <w:p w14:paraId="2DBD7EE1" w14:textId="77777777" w:rsidR="000A3988" w:rsidRPr="00113A2E" w:rsidRDefault="000A3988" w:rsidP="00CE1F19">
      <w:pPr>
        <w:rPr>
          <w:rFonts w:ascii="Arial" w:hAnsi="Arial" w:cs="Arial"/>
        </w:rPr>
      </w:pPr>
    </w:p>
    <w:p w14:paraId="55947AED" w14:textId="77777777" w:rsidR="000A3988" w:rsidRPr="00113A2E" w:rsidRDefault="000A3988" w:rsidP="00CE1F19">
      <w:pPr>
        <w:rPr>
          <w:rFonts w:ascii="Arial" w:hAnsi="Arial" w:cs="Arial"/>
        </w:rPr>
      </w:pPr>
    </w:p>
    <w:p w14:paraId="7EDA5FFF" w14:textId="77777777" w:rsidR="000A3988" w:rsidRPr="00113A2E" w:rsidRDefault="000A3988" w:rsidP="00CE1F19">
      <w:pPr>
        <w:rPr>
          <w:rFonts w:ascii="Arial" w:hAnsi="Arial" w:cs="Arial"/>
        </w:rPr>
      </w:pPr>
    </w:p>
    <w:p w14:paraId="461624E0" w14:textId="77777777" w:rsidR="000A3988" w:rsidRPr="00113A2E" w:rsidRDefault="000A3988" w:rsidP="00CE1F19">
      <w:pPr>
        <w:rPr>
          <w:rFonts w:ascii="Arial" w:hAnsi="Arial" w:cs="Arial"/>
        </w:rPr>
      </w:pPr>
    </w:p>
    <w:p w14:paraId="195D2314" w14:textId="77777777" w:rsidR="000A3988" w:rsidRPr="00113A2E" w:rsidRDefault="000A3988" w:rsidP="00CE1F19">
      <w:pPr>
        <w:rPr>
          <w:rFonts w:ascii="Arial" w:hAnsi="Arial" w:cs="Arial"/>
        </w:rPr>
      </w:pPr>
    </w:p>
    <w:p w14:paraId="11E0E5ED" w14:textId="77777777" w:rsidR="000A3988" w:rsidRPr="00113A2E" w:rsidRDefault="000A3988" w:rsidP="00CE1F19">
      <w:pPr>
        <w:rPr>
          <w:rFonts w:ascii="Arial" w:hAnsi="Arial" w:cs="Arial"/>
        </w:rPr>
      </w:pPr>
    </w:p>
    <w:p w14:paraId="1321EDCF" w14:textId="77777777" w:rsidR="000A3988" w:rsidRPr="00113A2E" w:rsidRDefault="000A3988" w:rsidP="00CE1F19">
      <w:pPr>
        <w:rPr>
          <w:rFonts w:ascii="Arial" w:hAnsi="Arial" w:cs="Arial"/>
        </w:rPr>
      </w:pPr>
    </w:p>
    <w:p w14:paraId="5BDDAC8D" w14:textId="77777777" w:rsidR="000A3988" w:rsidRPr="00113A2E" w:rsidRDefault="000A3988" w:rsidP="00CE1F19">
      <w:pPr>
        <w:rPr>
          <w:rFonts w:ascii="Arial" w:hAnsi="Arial" w:cs="Arial"/>
        </w:rPr>
      </w:pPr>
    </w:p>
    <w:p w14:paraId="5FB906E9" w14:textId="77777777" w:rsidR="000A3988" w:rsidRPr="00113A2E" w:rsidRDefault="000A3988" w:rsidP="00CE1F19">
      <w:pPr>
        <w:rPr>
          <w:rFonts w:ascii="Arial" w:hAnsi="Arial" w:cs="Arial"/>
        </w:rPr>
      </w:pPr>
    </w:p>
    <w:p w14:paraId="6CFAE8F9" w14:textId="6E55CDC6" w:rsidR="000A3988" w:rsidRPr="00113A2E" w:rsidRDefault="000A3988" w:rsidP="00CE1F19">
      <w:pPr>
        <w:rPr>
          <w:rFonts w:ascii="Arial" w:hAnsi="Arial" w:cs="Arial"/>
        </w:rPr>
      </w:pPr>
    </w:p>
    <w:p w14:paraId="56818E59" w14:textId="77777777" w:rsidR="00AE643D" w:rsidRPr="00113A2E" w:rsidRDefault="00AE643D" w:rsidP="00E83CD4">
      <w:pPr>
        <w:rPr>
          <w:rFonts w:ascii="Arial" w:hAnsi="Arial" w:cs="Arial"/>
        </w:rPr>
      </w:pPr>
    </w:p>
    <w:p w14:paraId="783F12A5" w14:textId="787D0A5C" w:rsidR="00E83CD4" w:rsidRPr="00113A2E" w:rsidRDefault="00BB3518" w:rsidP="00E83CD4">
      <w:pPr>
        <w:rPr>
          <w:rFonts w:ascii="Arial" w:hAnsi="Arial" w:cs="Arial"/>
        </w:rPr>
      </w:pPr>
      <w:r w:rsidRPr="00113A2E">
        <w:rPr>
          <w:rFonts w:ascii="Arial" w:hAnsi="Arial" w:cs="Arial"/>
        </w:rPr>
        <w:t xml:space="preserve">Appendix </w:t>
      </w:r>
      <w:r w:rsidR="00384A75">
        <w:rPr>
          <w:rFonts w:ascii="Arial" w:hAnsi="Arial" w:cs="Arial"/>
        </w:rPr>
        <w:t>C</w:t>
      </w:r>
      <w:r w:rsidR="00CD1E47" w:rsidRPr="00113A2E">
        <w:rPr>
          <w:rFonts w:ascii="Arial" w:hAnsi="Arial" w:cs="Arial"/>
        </w:rPr>
        <w:t xml:space="preserve">: </w:t>
      </w:r>
      <w:r w:rsidRPr="00113A2E">
        <w:rPr>
          <w:rFonts w:ascii="Arial" w:hAnsi="Arial" w:cs="Arial"/>
        </w:rPr>
        <w:t>Results Table</w:t>
      </w:r>
    </w:p>
    <w:p w14:paraId="53631DB8" w14:textId="2DCE2BBE" w:rsidR="00CD1E47" w:rsidRPr="00113A2E" w:rsidRDefault="00A861A7" w:rsidP="00A861A7">
      <w:pPr>
        <w:spacing w:before="100" w:beforeAutospacing="1" w:after="100" w:afterAutospacing="1" w:line="360" w:lineRule="auto"/>
        <w:rPr>
          <w:rFonts w:ascii="Arial" w:hAnsi="Arial" w:cs="Arial"/>
          <w:color w:val="000000"/>
        </w:rPr>
      </w:pPr>
      <w:r w:rsidRPr="00113A2E">
        <w:rPr>
          <w:rFonts w:ascii="Arial" w:hAnsi="Arial" w:cs="Arial"/>
          <w:color w:val="000000"/>
        </w:rPr>
        <w:t xml:space="preserve">Three categories emerged based on how urbanicity was operationalised in the included studies: (1) binary urban-rural classification (appendix </w:t>
      </w:r>
      <w:r w:rsidR="00384A75">
        <w:rPr>
          <w:rFonts w:ascii="Arial" w:hAnsi="Arial" w:cs="Arial"/>
          <w:color w:val="000000"/>
        </w:rPr>
        <w:t>C</w:t>
      </w:r>
      <w:r w:rsidRPr="00113A2E">
        <w:rPr>
          <w:rFonts w:ascii="Arial" w:hAnsi="Arial" w:cs="Arial"/>
          <w:color w:val="000000"/>
        </w:rPr>
        <w:t xml:space="preserve">i), (2) stratified urban areas (formal, informal/slum, rural) (appendix </w:t>
      </w:r>
      <w:proofErr w:type="spellStart"/>
      <w:r w:rsidR="00384A75">
        <w:rPr>
          <w:rFonts w:ascii="Arial" w:hAnsi="Arial" w:cs="Arial"/>
          <w:color w:val="000000"/>
        </w:rPr>
        <w:t>C</w:t>
      </w:r>
      <w:r w:rsidRPr="00113A2E">
        <w:rPr>
          <w:rFonts w:ascii="Arial" w:hAnsi="Arial" w:cs="Arial"/>
          <w:color w:val="000000"/>
        </w:rPr>
        <w:t>ii</w:t>
      </w:r>
      <w:proofErr w:type="spellEnd"/>
      <w:r w:rsidRPr="00113A2E">
        <w:rPr>
          <w:rFonts w:ascii="Arial" w:hAnsi="Arial" w:cs="Arial"/>
          <w:color w:val="000000"/>
        </w:rPr>
        <w:t xml:space="preserve">)), and (3) continuous urbanicity using spatial metrics or satellite imagery (appendix </w:t>
      </w:r>
      <w:proofErr w:type="spellStart"/>
      <w:r w:rsidR="00384A75">
        <w:rPr>
          <w:rFonts w:ascii="Arial" w:hAnsi="Arial" w:cs="Arial"/>
          <w:color w:val="000000"/>
        </w:rPr>
        <w:t>C</w:t>
      </w:r>
      <w:r w:rsidRPr="00113A2E">
        <w:rPr>
          <w:rFonts w:ascii="Arial" w:hAnsi="Arial" w:cs="Arial"/>
          <w:color w:val="000000"/>
        </w:rPr>
        <w:t>iii</w:t>
      </w:r>
      <w:proofErr w:type="spellEnd"/>
      <w:r w:rsidRPr="00113A2E">
        <w:rPr>
          <w:rFonts w:ascii="Arial" w:hAnsi="Arial" w:cs="Arial"/>
          <w:color w:val="000000"/>
        </w:rPr>
        <w:t>).</w:t>
      </w:r>
    </w:p>
    <w:p w14:paraId="59385E34" w14:textId="77777777" w:rsidR="0028110C" w:rsidRPr="00113A2E" w:rsidRDefault="0028110C" w:rsidP="00E83CD4">
      <w:pPr>
        <w:rPr>
          <w:rFonts w:ascii="Arial" w:hAnsi="Arial" w:cs="Arial"/>
        </w:rPr>
      </w:pPr>
    </w:p>
    <w:p w14:paraId="2FBF4396" w14:textId="598BE488" w:rsidR="00261B2D" w:rsidRPr="00113A2E" w:rsidRDefault="00384A75" w:rsidP="00E83CD4">
      <w:pPr>
        <w:rPr>
          <w:rFonts w:ascii="Arial" w:hAnsi="Arial" w:cs="Arial"/>
        </w:rPr>
      </w:pPr>
      <w:r>
        <w:rPr>
          <w:rFonts w:ascii="Arial" w:hAnsi="Arial" w:cs="Arial"/>
        </w:rPr>
        <w:t>C</w:t>
      </w:r>
      <w:r w:rsidR="00D474B3" w:rsidRPr="00113A2E">
        <w:rPr>
          <w:rFonts w:ascii="Arial" w:hAnsi="Arial" w:cs="Arial"/>
        </w:rPr>
        <w:t xml:space="preserve">i. Urbanicity as </w:t>
      </w:r>
      <w:r w:rsidR="00CD1E47" w:rsidRPr="00113A2E">
        <w:rPr>
          <w:rFonts w:ascii="Arial" w:hAnsi="Arial" w:cs="Arial"/>
        </w:rPr>
        <w:t>binary dichotomy</w:t>
      </w:r>
    </w:p>
    <w:p w14:paraId="62DBA982" w14:textId="77777777" w:rsidR="0028110C" w:rsidRPr="00113A2E" w:rsidRDefault="0028110C" w:rsidP="00E83CD4">
      <w:pPr>
        <w:rPr>
          <w:rFonts w:ascii="Arial" w:hAnsi="Arial" w:cs="Arial"/>
        </w:rPr>
      </w:pPr>
    </w:p>
    <w:tbl>
      <w:tblPr>
        <w:tblStyle w:val="TableGrid"/>
        <w:tblW w:w="0" w:type="auto"/>
        <w:jc w:val="center"/>
        <w:tblLayout w:type="fixed"/>
        <w:tblLook w:val="04A0" w:firstRow="1" w:lastRow="0" w:firstColumn="1" w:lastColumn="0" w:noHBand="0" w:noVBand="1"/>
      </w:tblPr>
      <w:tblGrid>
        <w:gridCol w:w="1413"/>
        <w:gridCol w:w="850"/>
        <w:gridCol w:w="993"/>
        <w:gridCol w:w="992"/>
        <w:gridCol w:w="1417"/>
        <w:gridCol w:w="4820"/>
        <w:gridCol w:w="2126"/>
        <w:gridCol w:w="1339"/>
      </w:tblGrid>
      <w:tr w:rsidR="00136C51" w:rsidRPr="00113A2E" w14:paraId="68614F33" w14:textId="77777777" w:rsidTr="00C6670B">
        <w:trPr>
          <w:trHeight w:val="20"/>
          <w:jc w:val="center"/>
        </w:trPr>
        <w:tc>
          <w:tcPr>
            <w:tcW w:w="13950" w:type="dxa"/>
            <w:gridSpan w:val="8"/>
            <w:shd w:val="clear" w:color="auto" w:fill="83CAEB" w:themeFill="accent1" w:themeFillTint="66"/>
          </w:tcPr>
          <w:p w14:paraId="37704058" w14:textId="36006EA4" w:rsidR="00136C51" w:rsidRPr="00113A2E" w:rsidRDefault="00136C51"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Urbanicity as a binary dichotomy (urban + rural)</w:t>
            </w:r>
          </w:p>
        </w:tc>
      </w:tr>
      <w:tr w:rsidR="00136C51" w:rsidRPr="00113A2E" w14:paraId="750A5CEA" w14:textId="77777777" w:rsidTr="00113A2E">
        <w:trPr>
          <w:trHeight w:val="20"/>
          <w:jc w:val="center"/>
        </w:trPr>
        <w:tc>
          <w:tcPr>
            <w:tcW w:w="1413" w:type="dxa"/>
            <w:shd w:val="clear" w:color="auto" w:fill="C1E4F5" w:themeFill="accent1" w:themeFillTint="33"/>
          </w:tcPr>
          <w:p w14:paraId="7828528E"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Reference</w:t>
            </w:r>
          </w:p>
        </w:tc>
        <w:tc>
          <w:tcPr>
            <w:tcW w:w="850" w:type="dxa"/>
            <w:shd w:val="clear" w:color="auto" w:fill="C1E4F5" w:themeFill="accent1" w:themeFillTint="33"/>
          </w:tcPr>
          <w:p w14:paraId="3DF41B88"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Study Design</w:t>
            </w:r>
          </w:p>
        </w:tc>
        <w:tc>
          <w:tcPr>
            <w:tcW w:w="993" w:type="dxa"/>
            <w:shd w:val="clear" w:color="auto" w:fill="C1E4F5" w:themeFill="accent1" w:themeFillTint="33"/>
          </w:tcPr>
          <w:p w14:paraId="58D0F351"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Data source</w:t>
            </w:r>
          </w:p>
        </w:tc>
        <w:tc>
          <w:tcPr>
            <w:tcW w:w="992" w:type="dxa"/>
            <w:shd w:val="clear" w:color="auto" w:fill="C1E4F5" w:themeFill="accent1" w:themeFillTint="33"/>
          </w:tcPr>
          <w:p w14:paraId="63134C21"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Country</w:t>
            </w:r>
          </w:p>
        </w:tc>
        <w:tc>
          <w:tcPr>
            <w:tcW w:w="1417" w:type="dxa"/>
            <w:shd w:val="clear" w:color="auto" w:fill="C1E4F5" w:themeFill="accent1" w:themeFillTint="33"/>
          </w:tcPr>
          <w:p w14:paraId="765C88CB"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Factors considered across urban continuum to explain mortality</w:t>
            </w:r>
          </w:p>
        </w:tc>
        <w:tc>
          <w:tcPr>
            <w:tcW w:w="4820" w:type="dxa"/>
            <w:shd w:val="clear" w:color="auto" w:fill="C1E4F5" w:themeFill="accent1" w:themeFillTint="33"/>
          </w:tcPr>
          <w:p w14:paraId="56F8C8C8"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Evidence on underlying factors</w:t>
            </w:r>
          </w:p>
        </w:tc>
        <w:tc>
          <w:tcPr>
            <w:tcW w:w="2126" w:type="dxa"/>
            <w:shd w:val="clear" w:color="auto" w:fill="C1E4F5" w:themeFill="accent1" w:themeFillTint="33"/>
          </w:tcPr>
          <w:p w14:paraId="213B965F"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Mortality/ morbidity outcomes</w:t>
            </w:r>
          </w:p>
        </w:tc>
        <w:tc>
          <w:tcPr>
            <w:tcW w:w="1339" w:type="dxa"/>
            <w:tcBorders>
              <w:left w:val="single" w:sz="8" w:space="0" w:color="auto"/>
            </w:tcBorders>
            <w:shd w:val="clear" w:color="auto" w:fill="C1E4F5" w:themeFill="accent1" w:themeFillTint="33"/>
          </w:tcPr>
          <w:p w14:paraId="06047BB4"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Direction / magnitude of change</w:t>
            </w:r>
          </w:p>
        </w:tc>
      </w:tr>
      <w:tr w:rsidR="0028110C" w:rsidRPr="00113A2E" w14:paraId="15B590FB" w14:textId="77777777" w:rsidTr="00113A2E">
        <w:trPr>
          <w:trHeight w:val="20"/>
          <w:jc w:val="center"/>
        </w:trPr>
        <w:tc>
          <w:tcPr>
            <w:tcW w:w="1413" w:type="dxa"/>
          </w:tcPr>
          <w:p w14:paraId="299B6383"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Norris, M., Klabbers, G., Pembe, A. B., Hanson, C., Baker, U., Aung, K., </w:t>
            </w:r>
            <w:proofErr w:type="spellStart"/>
            <w:r w:rsidRPr="00113A2E">
              <w:rPr>
                <w:rFonts w:ascii="Arial" w:hAnsi="Arial" w:cs="Arial"/>
                <w:color w:val="000000" w:themeColor="text1"/>
                <w:sz w:val="16"/>
                <w:szCs w:val="16"/>
              </w:rPr>
              <w:t>Mmweteni</w:t>
            </w:r>
            <w:proofErr w:type="spellEnd"/>
            <w:r w:rsidRPr="00113A2E">
              <w:rPr>
                <w:rFonts w:ascii="Arial" w:hAnsi="Arial" w:cs="Arial"/>
                <w:color w:val="000000" w:themeColor="text1"/>
                <w:sz w:val="16"/>
                <w:szCs w:val="16"/>
              </w:rPr>
              <w:t xml:space="preserve">, M., Mfaume, R. S., &amp; </w:t>
            </w:r>
            <w:proofErr w:type="spellStart"/>
            <w:r w:rsidRPr="00113A2E">
              <w:rPr>
                <w:rFonts w:ascii="Arial" w:hAnsi="Arial" w:cs="Arial"/>
                <w:color w:val="000000" w:themeColor="text1"/>
                <w:sz w:val="16"/>
                <w:szCs w:val="16"/>
              </w:rPr>
              <w:t>Benova</w:t>
            </w:r>
            <w:proofErr w:type="spellEnd"/>
            <w:r w:rsidRPr="00113A2E">
              <w:rPr>
                <w:rFonts w:ascii="Arial" w:hAnsi="Arial" w:cs="Arial"/>
                <w:color w:val="000000" w:themeColor="text1"/>
                <w:sz w:val="16"/>
                <w:szCs w:val="16"/>
              </w:rPr>
              <w:t xml:space="preserve">, L. (2022) </w:t>
            </w:r>
          </w:p>
          <w:p w14:paraId="49455EA6" w14:textId="77777777" w:rsidR="0028110C" w:rsidRPr="00113A2E" w:rsidRDefault="0028110C" w:rsidP="00136C51">
            <w:pPr>
              <w:autoSpaceDE w:val="0"/>
              <w:autoSpaceDN w:val="0"/>
              <w:adjustRightInd w:val="0"/>
              <w:rPr>
                <w:rFonts w:ascii="Arial" w:hAnsi="Arial" w:cs="Arial"/>
                <w:color w:val="000000" w:themeColor="text1"/>
                <w:sz w:val="16"/>
                <w:szCs w:val="16"/>
              </w:rPr>
            </w:pPr>
          </w:p>
        </w:tc>
        <w:tc>
          <w:tcPr>
            <w:tcW w:w="850" w:type="dxa"/>
          </w:tcPr>
          <w:p w14:paraId="054CD9C7"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Cross-sectional </w:t>
            </w:r>
          </w:p>
        </w:tc>
        <w:tc>
          <w:tcPr>
            <w:tcW w:w="993" w:type="dxa"/>
          </w:tcPr>
          <w:p w14:paraId="704B681A"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(2000- 2015)</w:t>
            </w:r>
          </w:p>
        </w:tc>
        <w:tc>
          <w:tcPr>
            <w:tcW w:w="992" w:type="dxa"/>
          </w:tcPr>
          <w:p w14:paraId="17E5B239"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21 SSA countries with a focus on Tanzania</w:t>
            </w:r>
          </w:p>
        </w:tc>
        <w:tc>
          <w:tcPr>
            <w:tcW w:w="1417" w:type="dxa"/>
          </w:tcPr>
          <w:p w14:paraId="61F2E316"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sz w:val="16"/>
                <w:szCs w:val="16"/>
              </w:rPr>
              <w:t>Population size. Caesarean section, hospital births, SBA, maternal education, weighing at birth.</w:t>
            </w:r>
          </w:p>
        </w:tc>
        <w:tc>
          <w:tcPr>
            <w:tcW w:w="4820" w:type="dxa"/>
          </w:tcPr>
          <w:p w14:paraId="3DFEAD8A" w14:textId="05AB35E1"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 xml:space="preserve">More births in urban were by caesarean section (1.9%) than rural (3.4%). More hospital births in urban (61.5%) than rural (20.7%). Higher SBA presence in urban (86.0%) than rural (51.8%). New-borns in urban more likely be weighed at birth; 87.9% of urban &amp; 53.6% of in rural. Mothers in urban had a higher level of education (secondary or higher) at 29.7%, compared with 8.0% in rural. </w:t>
            </w:r>
          </w:p>
        </w:tc>
        <w:tc>
          <w:tcPr>
            <w:tcW w:w="2126" w:type="dxa"/>
          </w:tcPr>
          <w:p w14:paraId="6E546C35" w14:textId="56BD5783"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 xml:space="preserve">Urban has higher odd of neonatal mortality </w:t>
            </w:r>
            <w:r w:rsidR="00136C51" w:rsidRPr="00113A2E">
              <w:rPr>
                <w:rFonts w:ascii="Arial" w:hAnsi="Arial" w:cs="Arial"/>
                <w:color w:val="000000" w:themeColor="text1"/>
                <w:sz w:val="16"/>
                <w:szCs w:val="16"/>
              </w:rPr>
              <w:t>(OR=1.94, p=0.006) compared</w:t>
            </w:r>
            <w:r w:rsidRPr="00113A2E">
              <w:rPr>
                <w:rFonts w:ascii="Arial" w:hAnsi="Arial" w:cs="Arial"/>
                <w:color w:val="000000" w:themeColor="text1"/>
                <w:sz w:val="16"/>
                <w:szCs w:val="16"/>
              </w:rPr>
              <w:t xml:space="preserve"> with rural </w:t>
            </w:r>
          </w:p>
        </w:tc>
        <w:tc>
          <w:tcPr>
            <w:tcW w:w="1339" w:type="dxa"/>
            <w:tcBorders>
              <w:left w:val="single" w:sz="8" w:space="0" w:color="auto"/>
            </w:tcBorders>
          </w:tcPr>
          <w:p w14:paraId="37C82EBB" w14:textId="77777777" w:rsidR="0028110C" w:rsidRPr="00113A2E" w:rsidRDefault="0028110C" w:rsidP="00136C51">
            <w:pPr>
              <w:pStyle w:val="ListParagraph"/>
              <w:ind w:left="0"/>
              <w:rPr>
                <w:rFonts w:ascii="Arial" w:hAnsi="Arial" w:cs="Arial"/>
                <w:color w:val="000000" w:themeColor="text1"/>
                <w:sz w:val="16"/>
                <w:szCs w:val="16"/>
                <w:highlight w:val="cyan"/>
              </w:rPr>
            </w:pPr>
            <w:r w:rsidRPr="00113A2E">
              <w:rPr>
                <w:rFonts w:ascii="Arial" w:hAnsi="Arial" w:cs="Arial"/>
                <w:color w:val="000000" w:themeColor="text1"/>
                <w:sz w:val="16"/>
                <w:szCs w:val="16"/>
              </w:rPr>
              <w:t>Urban penalty</w:t>
            </w:r>
          </w:p>
        </w:tc>
      </w:tr>
      <w:tr w:rsidR="0028110C" w:rsidRPr="00113A2E" w14:paraId="3F3FEAFE" w14:textId="77777777" w:rsidTr="00113A2E">
        <w:trPr>
          <w:trHeight w:val="20"/>
          <w:jc w:val="center"/>
        </w:trPr>
        <w:tc>
          <w:tcPr>
            <w:tcW w:w="1413" w:type="dxa"/>
          </w:tcPr>
          <w:p w14:paraId="7187A6E0"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Yelverton, V., Hair, N. L., Ghosh, S. H., </w:t>
            </w:r>
            <w:proofErr w:type="spellStart"/>
            <w:r w:rsidRPr="00113A2E">
              <w:rPr>
                <w:rFonts w:ascii="Arial" w:hAnsi="Arial" w:cs="Arial"/>
                <w:color w:val="000000" w:themeColor="text1"/>
                <w:sz w:val="16"/>
                <w:szCs w:val="16"/>
              </w:rPr>
              <w:t>Mfinanga</w:t>
            </w:r>
            <w:proofErr w:type="spellEnd"/>
            <w:r w:rsidRPr="00113A2E">
              <w:rPr>
                <w:rFonts w:ascii="Arial" w:hAnsi="Arial" w:cs="Arial"/>
                <w:color w:val="000000" w:themeColor="text1"/>
                <w:sz w:val="16"/>
                <w:szCs w:val="16"/>
              </w:rPr>
              <w:t xml:space="preserve">, S. G., </w:t>
            </w:r>
            <w:proofErr w:type="spellStart"/>
            <w:r w:rsidRPr="00113A2E">
              <w:rPr>
                <w:rFonts w:ascii="Arial" w:hAnsi="Arial" w:cs="Arial"/>
                <w:color w:val="000000" w:themeColor="text1"/>
                <w:sz w:val="16"/>
                <w:szCs w:val="16"/>
              </w:rPr>
              <w:t>Ngadaya</w:t>
            </w:r>
            <w:proofErr w:type="spellEnd"/>
            <w:r w:rsidRPr="00113A2E">
              <w:rPr>
                <w:rFonts w:ascii="Arial" w:hAnsi="Arial" w:cs="Arial"/>
                <w:color w:val="000000" w:themeColor="text1"/>
                <w:sz w:val="16"/>
                <w:szCs w:val="16"/>
              </w:rPr>
              <w:t>, E., Baumgartner, J. N., Ostermann, J., &amp; Vasudevan, L. (2022).</w:t>
            </w:r>
          </w:p>
        </w:tc>
        <w:tc>
          <w:tcPr>
            <w:tcW w:w="850" w:type="dxa"/>
          </w:tcPr>
          <w:p w14:paraId="7C19DA54"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3" w:type="dxa"/>
          </w:tcPr>
          <w:p w14:paraId="06D9CB92" w14:textId="3D55BA9D"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2015-16</w:t>
            </w:r>
          </w:p>
        </w:tc>
        <w:tc>
          <w:tcPr>
            <w:tcW w:w="992" w:type="dxa"/>
          </w:tcPr>
          <w:p w14:paraId="6C6347AC"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sz w:val="16"/>
                <w:szCs w:val="16"/>
              </w:rPr>
              <w:t>Tanzania</w:t>
            </w:r>
          </w:p>
        </w:tc>
        <w:tc>
          <w:tcPr>
            <w:tcW w:w="1417" w:type="dxa"/>
          </w:tcPr>
          <w:p w14:paraId="37C1950F"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sz w:val="16"/>
                <w:szCs w:val="16"/>
              </w:rPr>
              <w:t>Population size. Maternal education, home delivery, household wealth, distance to health facility.</w:t>
            </w:r>
          </w:p>
        </w:tc>
        <w:tc>
          <w:tcPr>
            <w:tcW w:w="4820" w:type="dxa"/>
          </w:tcPr>
          <w:p w14:paraId="188038CB"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 xml:space="preserve">Rural–urban disparities in vaccination coverage and timeliness were observed for all vaccines. Among rural and urban children, lower maternal </w:t>
            </w:r>
            <w:r w:rsidRPr="00113A2E">
              <w:rPr>
                <w:rFonts w:ascii="Arial" w:hAnsi="Arial" w:cs="Arial"/>
                <w:sz w:val="16"/>
                <w:szCs w:val="16"/>
              </w:rPr>
              <w:t xml:space="preserve">education (U= OR: 1.48, 95% CI: 1.12-1.97; R= 1.47, 95% CI: 1.25-1.73) </w:t>
            </w:r>
            <w:r w:rsidRPr="00113A2E">
              <w:rPr>
                <w:rFonts w:ascii="Arial" w:hAnsi="Arial" w:cs="Arial"/>
                <w:color w:val="000000" w:themeColor="text1"/>
                <w:sz w:val="16"/>
                <w:szCs w:val="16"/>
              </w:rPr>
              <w:t xml:space="preserve">and delivery at home </w:t>
            </w:r>
            <w:r w:rsidRPr="00113A2E">
              <w:rPr>
                <w:rFonts w:ascii="Arial" w:hAnsi="Arial" w:cs="Arial"/>
                <w:sz w:val="16"/>
                <w:szCs w:val="16"/>
              </w:rPr>
              <w:t xml:space="preserve">(U= 0.20, 95% CI: 0.09-0.43; R= 0.48, 95% CI: 0.42-0.54) </w:t>
            </w:r>
            <w:r w:rsidRPr="00113A2E">
              <w:rPr>
                <w:rFonts w:ascii="Arial" w:hAnsi="Arial" w:cs="Arial"/>
                <w:color w:val="000000" w:themeColor="text1"/>
                <w:sz w:val="16"/>
                <w:szCs w:val="16"/>
              </w:rPr>
              <w:t xml:space="preserve">were associated with increased risk of delayed vaccination. In rural, less household wealth (−0.44 (SD = 0.58) and greater distance to a health facility (4.99 (SD= 5.45) associated with increased risk of delayed vaccination (wealth more strongly related in rural than urban </w:t>
            </w:r>
            <w:r w:rsidRPr="00113A2E">
              <w:rPr>
                <w:rFonts w:ascii="Arial" w:hAnsi="Arial" w:cs="Arial"/>
                <w:sz w:val="16"/>
                <w:szCs w:val="16"/>
              </w:rPr>
              <w:t xml:space="preserve">(R= OR: 1.20, 95% CI: 1.11-1.31; U= OR: 1.10, 95% CI: 1.01-1.21). </w:t>
            </w:r>
            <w:r w:rsidRPr="00113A2E">
              <w:rPr>
                <w:rFonts w:ascii="Arial" w:hAnsi="Arial" w:cs="Arial"/>
                <w:color w:val="000000" w:themeColor="text1"/>
                <w:sz w:val="16"/>
                <w:szCs w:val="16"/>
              </w:rPr>
              <w:t>distance only significant in rural</w:t>
            </w:r>
            <w:r w:rsidRPr="00113A2E">
              <w:rPr>
                <w:rFonts w:ascii="Arial" w:hAnsi="Arial" w:cs="Arial"/>
                <w:sz w:val="16"/>
                <w:szCs w:val="16"/>
              </w:rPr>
              <w:t xml:space="preserve"> facility (R= OR: 0.96, 95%CI: 0.94-0.97; U= OR: 1, 95%CI: 0.97-1.03) </w:t>
            </w:r>
            <w:r w:rsidRPr="00113A2E">
              <w:rPr>
                <w:rFonts w:ascii="Arial" w:hAnsi="Arial" w:cs="Arial"/>
                <w:color w:val="000000" w:themeColor="text1"/>
                <w:sz w:val="16"/>
                <w:szCs w:val="16"/>
              </w:rPr>
              <w:t xml:space="preserve">Effect of </w:t>
            </w:r>
            <w:r w:rsidRPr="00113A2E">
              <w:rPr>
                <w:rFonts w:ascii="Arial" w:hAnsi="Arial" w:cs="Arial"/>
                <w:color w:val="000000" w:themeColor="text1"/>
                <w:sz w:val="16"/>
                <w:szCs w:val="16"/>
              </w:rPr>
              <w:lastRenderedPageBreak/>
              <w:t>delivery at home on the timeliness of vaccinations due at birth (BCG, OPV0) larger among urban children than rural.</w:t>
            </w:r>
          </w:p>
        </w:tc>
        <w:tc>
          <w:tcPr>
            <w:tcW w:w="2126" w:type="dxa"/>
          </w:tcPr>
          <w:p w14:paraId="0A0F7D25"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lastRenderedPageBreak/>
              <w:t xml:space="preserve">For all vaccine doses, rates of total coverage, rates of documented vaccination coverage, rates of maternal vaccination recall, and rates of vaccination timeliness, higher among urban children than rural children. Rural children tended to experience greater delays than urban </w:t>
            </w:r>
            <w:r w:rsidRPr="00113A2E">
              <w:rPr>
                <w:rFonts w:ascii="Arial" w:hAnsi="Arial" w:cs="Arial"/>
                <w:color w:val="000000" w:themeColor="text1"/>
                <w:sz w:val="16"/>
                <w:szCs w:val="16"/>
              </w:rPr>
              <w:lastRenderedPageBreak/>
              <w:t xml:space="preserve">children </w:t>
            </w:r>
            <w:r w:rsidRPr="00113A2E">
              <w:rPr>
                <w:rFonts w:ascii="Arial" w:hAnsi="Arial" w:cs="Arial"/>
                <w:sz w:val="16"/>
                <w:szCs w:val="16"/>
              </w:rPr>
              <w:t>(OR: 0.84, 95% CI: 0.76-0.94)</w:t>
            </w:r>
            <w:r w:rsidRPr="00113A2E">
              <w:rPr>
                <w:rFonts w:ascii="Arial" w:hAnsi="Arial" w:cs="Arial"/>
                <w:color w:val="000000" w:themeColor="text1"/>
                <w:sz w:val="16"/>
                <w:szCs w:val="16"/>
              </w:rPr>
              <w:t xml:space="preserve">.  </w:t>
            </w:r>
          </w:p>
        </w:tc>
        <w:tc>
          <w:tcPr>
            <w:tcW w:w="1339" w:type="dxa"/>
            <w:tcBorders>
              <w:left w:val="single" w:sz="8" w:space="0" w:color="auto"/>
            </w:tcBorders>
          </w:tcPr>
          <w:p w14:paraId="0F40AD2A"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lastRenderedPageBreak/>
              <w:t>Urban advantage</w:t>
            </w:r>
          </w:p>
        </w:tc>
      </w:tr>
      <w:tr w:rsidR="0028110C" w:rsidRPr="00113A2E" w14:paraId="6882E14F" w14:textId="77777777" w:rsidTr="00113A2E">
        <w:trPr>
          <w:trHeight w:val="20"/>
          <w:jc w:val="center"/>
        </w:trPr>
        <w:tc>
          <w:tcPr>
            <w:tcW w:w="1413" w:type="dxa"/>
          </w:tcPr>
          <w:p w14:paraId="1226D7BC"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Yaya, S., Uthman, O. A., </w:t>
            </w:r>
            <w:proofErr w:type="spellStart"/>
            <w:r w:rsidRPr="00113A2E">
              <w:rPr>
                <w:rFonts w:ascii="Arial" w:hAnsi="Arial" w:cs="Arial"/>
                <w:color w:val="000000" w:themeColor="text1"/>
                <w:sz w:val="16"/>
                <w:szCs w:val="16"/>
              </w:rPr>
              <w:t>Okonofua</w:t>
            </w:r>
            <w:proofErr w:type="spellEnd"/>
            <w:r w:rsidRPr="00113A2E">
              <w:rPr>
                <w:rFonts w:ascii="Arial" w:hAnsi="Arial" w:cs="Arial"/>
                <w:color w:val="000000" w:themeColor="text1"/>
                <w:sz w:val="16"/>
                <w:szCs w:val="16"/>
              </w:rPr>
              <w:t>, F., &amp; Bishwajit, G. (2019)</w:t>
            </w:r>
          </w:p>
        </w:tc>
        <w:tc>
          <w:tcPr>
            <w:tcW w:w="850" w:type="dxa"/>
          </w:tcPr>
          <w:p w14:paraId="772F0961"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3" w:type="dxa"/>
          </w:tcPr>
          <w:p w14:paraId="6287D662" w14:textId="713120B3"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DHS </w:t>
            </w:r>
            <w:r w:rsidR="00136C51" w:rsidRPr="00113A2E">
              <w:rPr>
                <w:rFonts w:ascii="Arial" w:hAnsi="Arial" w:cs="Arial"/>
                <w:color w:val="000000" w:themeColor="text1"/>
                <w:sz w:val="16"/>
                <w:szCs w:val="16"/>
              </w:rPr>
              <w:t>2016</w:t>
            </w:r>
            <w:r w:rsidRPr="00113A2E">
              <w:rPr>
                <w:rFonts w:ascii="Arial" w:hAnsi="Arial" w:cs="Arial"/>
                <w:color w:val="000000" w:themeColor="text1"/>
                <w:sz w:val="16"/>
                <w:szCs w:val="16"/>
              </w:rPr>
              <w:t xml:space="preserve"> </w:t>
            </w:r>
          </w:p>
        </w:tc>
        <w:tc>
          <w:tcPr>
            <w:tcW w:w="992" w:type="dxa"/>
          </w:tcPr>
          <w:p w14:paraId="10384918"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35 SSA countries</w:t>
            </w:r>
          </w:p>
        </w:tc>
        <w:tc>
          <w:tcPr>
            <w:tcW w:w="1417" w:type="dxa"/>
          </w:tcPr>
          <w:p w14:paraId="5A58C8E0"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Maternal age, education, use of media, wealth index, size of baby, age at 1</w:t>
            </w:r>
            <w:r w:rsidRPr="00113A2E">
              <w:rPr>
                <w:rFonts w:ascii="Arial" w:hAnsi="Arial" w:cs="Arial"/>
                <w:sz w:val="16"/>
                <w:szCs w:val="16"/>
                <w:vertAlign w:val="superscript"/>
              </w:rPr>
              <w:t>st</w:t>
            </w:r>
            <w:r w:rsidRPr="00113A2E">
              <w:rPr>
                <w:rFonts w:ascii="Arial" w:hAnsi="Arial" w:cs="Arial"/>
                <w:sz w:val="16"/>
                <w:szCs w:val="16"/>
              </w:rPr>
              <w:t xml:space="preserve"> birth</w:t>
            </w:r>
          </w:p>
        </w:tc>
        <w:tc>
          <w:tcPr>
            <w:tcW w:w="4820" w:type="dxa"/>
          </w:tcPr>
          <w:p w14:paraId="1B1F2B32" w14:textId="71DEF279"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Significant urban-rural differentials in U5MR across bio-demographic, socioeconomic and proximate factors. Wealth index and media access were the most important factor in most countries.  Child sex, household head’s sex, parity, and mother’s employment status did</w:t>
            </w:r>
            <w:r w:rsidR="00136C51" w:rsidRPr="00113A2E">
              <w:rPr>
                <w:rFonts w:ascii="Arial" w:hAnsi="Arial" w:cs="Arial"/>
                <w:color w:val="000000" w:themeColor="text1"/>
                <w:sz w:val="16"/>
                <w:szCs w:val="16"/>
              </w:rPr>
              <w:t xml:space="preserve"> not </w:t>
            </w:r>
            <w:proofErr w:type="spellStart"/>
            <w:r w:rsidR="00136C51" w:rsidRPr="00113A2E">
              <w:rPr>
                <w:rFonts w:ascii="Arial" w:hAnsi="Arial" w:cs="Arial"/>
                <w:color w:val="000000" w:themeColor="text1"/>
                <w:sz w:val="16"/>
                <w:szCs w:val="16"/>
              </w:rPr>
              <w:t>s</w:t>
            </w:r>
            <w:r w:rsidRPr="00113A2E">
              <w:rPr>
                <w:rFonts w:ascii="Arial" w:hAnsi="Arial" w:cs="Arial"/>
                <w:color w:val="000000" w:themeColor="text1"/>
                <w:sz w:val="16"/>
                <w:szCs w:val="16"/>
              </w:rPr>
              <w:t>ow</w:t>
            </w:r>
            <w:proofErr w:type="spellEnd"/>
            <w:r w:rsidRPr="00113A2E">
              <w:rPr>
                <w:rFonts w:ascii="Arial" w:hAnsi="Arial" w:cs="Arial"/>
                <w:color w:val="000000" w:themeColor="text1"/>
                <w:sz w:val="16"/>
                <w:szCs w:val="16"/>
              </w:rPr>
              <w:t xml:space="preserve"> any significant contribution to the inequality in any of the countries.</w:t>
            </w:r>
          </w:p>
        </w:tc>
        <w:tc>
          <w:tcPr>
            <w:tcW w:w="2126" w:type="dxa"/>
          </w:tcPr>
          <w:p w14:paraId="53779B12" w14:textId="47E8F76E"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16 countries showed statistically significant pro-rural inequality (U5MR higher in rural), 2 showed statistically significant pro-urban inequality (U5MR higher in urban) and remaining 17 countries showed no statistically significant inequality.</w:t>
            </w:r>
          </w:p>
        </w:tc>
        <w:tc>
          <w:tcPr>
            <w:tcW w:w="1339" w:type="dxa"/>
            <w:tcBorders>
              <w:left w:val="single" w:sz="8" w:space="0" w:color="auto"/>
            </w:tcBorders>
          </w:tcPr>
          <w:p w14:paraId="2E84D490"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16: urban advantage</w:t>
            </w:r>
          </w:p>
          <w:p w14:paraId="38DB55AE"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2: urban penalty</w:t>
            </w:r>
          </w:p>
          <w:p w14:paraId="5172C4FC"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17: no significant difference</w:t>
            </w:r>
          </w:p>
          <w:p w14:paraId="3AFBCA0B" w14:textId="77777777" w:rsidR="0028110C" w:rsidRPr="00113A2E" w:rsidRDefault="0028110C" w:rsidP="00136C51">
            <w:pPr>
              <w:pStyle w:val="ListParagraph"/>
              <w:ind w:left="0"/>
              <w:rPr>
                <w:rFonts w:ascii="Arial" w:hAnsi="Arial" w:cs="Arial"/>
                <w:color w:val="000000" w:themeColor="text1"/>
                <w:sz w:val="16"/>
                <w:szCs w:val="16"/>
              </w:rPr>
            </w:pPr>
          </w:p>
        </w:tc>
      </w:tr>
      <w:tr w:rsidR="0028110C" w:rsidRPr="00113A2E" w14:paraId="2480A3D0" w14:textId="77777777" w:rsidTr="00113A2E">
        <w:trPr>
          <w:trHeight w:val="20"/>
          <w:jc w:val="center"/>
        </w:trPr>
        <w:tc>
          <w:tcPr>
            <w:tcW w:w="1413" w:type="dxa"/>
          </w:tcPr>
          <w:p w14:paraId="000A8153"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Lungu, E. A., </w:t>
            </w:r>
            <w:proofErr w:type="spellStart"/>
            <w:r w:rsidRPr="00113A2E">
              <w:rPr>
                <w:rFonts w:ascii="Arial" w:hAnsi="Arial" w:cs="Arial"/>
                <w:color w:val="000000" w:themeColor="text1"/>
                <w:sz w:val="16"/>
                <w:szCs w:val="16"/>
              </w:rPr>
              <w:t>Biesma</w:t>
            </w:r>
            <w:proofErr w:type="spellEnd"/>
            <w:r w:rsidRPr="00113A2E">
              <w:rPr>
                <w:rFonts w:ascii="Arial" w:hAnsi="Arial" w:cs="Arial"/>
                <w:color w:val="000000" w:themeColor="text1"/>
                <w:sz w:val="16"/>
                <w:szCs w:val="16"/>
              </w:rPr>
              <w:t>, R., Chirwa, M., &amp; Darker, C. (2019)</w:t>
            </w:r>
          </w:p>
        </w:tc>
        <w:tc>
          <w:tcPr>
            <w:tcW w:w="850" w:type="dxa"/>
          </w:tcPr>
          <w:p w14:paraId="2E0FF6AA"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Cross-sectional </w:t>
            </w:r>
          </w:p>
        </w:tc>
        <w:tc>
          <w:tcPr>
            <w:tcW w:w="993" w:type="dxa"/>
          </w:tcPr>
          <w:p w14:paraId="3576A35D"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1992-2015 &amp; MICS (multiple indicatory cluster survey) 1995-2014. 13 different child health indicators used.</w:t>
            </w:r>
          </w:p>
        </w:tc>
        <w:tc>
          <w:tcPr>
            <w:tcW w:w="992" w:type="dxa"/>
          </w:tcPr>
          <w:p w14:paraId="2365F277"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Malawi</w:t>
            </w:r>
          </w:p>
        </w:tc>
        <w:tc>
          <w:tcPr>
            <w:tcW w:w="1417" w:type="dxa"/>
          </w:tcPr>
          <w:p w14:paraId="1913843E"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13 different child morbidity indicators-</w:t>
            </w:r>
          </w:p>
        </w:tc>
        <w:tc>
          <w:tcPr>
            <w:tcW w:w="4820" w:type="dxa"/>
          </w:tcPr>
          <w:p w14:paraId="1CC4FD2A" w14:textId="77777777" w:rsidR="0028110C" w:rsidRPr="00113A2E" w:rsidRDefault="0028110C" w:rsidP="00136C51">
            <w:pPr>
              <w:pStyle w:val="ListParagraph"/>
              <w:ind w:left="0"/>
              <w:rPr>
                <w:rFonts w:ascii="Arial" w:hAnsi="Arial" w:cs="Arial"/>
                <w:color w:val="000000" w:themeColor="text1"/>
                <w:sz w:val="16"/>
                <w:szCs w:val="16"/>
              </w:rPr>
            </w:pPr>
            <w:proofErr w:type="spellStart"/>
            <w:r w:rsidRPr="00113A2E">
              <w:rPr>
                <w:rFonts w:ascii="Arial" w:hAnsi="Arial" w:cs="Arial"/>
                <w:color w:val="000000" w:themeColor="text1"/>
                <w:sz w:val="16"/>
                <w:szCs w:val="16"/>
              </w:rPr>
              <w:t>Diarrhea</w:t>
            </w:r>
            <w:proofErr w:type="spellEnd"/>
            <w:r w:rsidRPr="00113A2E">
              <w:rPr>
                <w:rFonts w:ascii="Arial" w:hAnsi="Arial" w:cs="Arial"/>
                <w:color w:val="000000" w:themeColor="text1"/>
                <w:sz w:val="16"/>
                <w:szCs w:val="16"/>
              </w:rPr>
              <w:t xml:space="preserve"> and fever treatment services = declining urban advantage, now urban penalty. </w:t>
            </w:r>
            <w:r w:rsidRPr="00113A2E">
              <w:rPr>
                <w:rFonts w:ascii="Arial" w:hAnsi="Arial" w:cs="Arial"/>
                <w:sz w:val="16"/>
                <w:szCs w:val="16"/>
              </w:rPr>
              <w:t xml:space="preserve">ITN use= urban advantage- continued increasing until 2006 then rapidly declined up to 2014 &amp; increased again in 2016.  Full immunization coverage for children at 12 = declining urban advantage, moving to urban penalty (RD = − 6) in 2010, almost equal utilization in 2014 (RD = 0.6) &amp; a reversal to a slight urban advantage in 2016 (RD = 2.2). Prevalence of </w:t>
            </w:r>
            <w:proofErr w:type="spellStart"/>
            <w:r w:rsidRPr="00113A2E">
              <w:rPr>
                <w:rFonts w:ascii="Arial" w:hAnsi="Arial" w:cs="Arial"/>
                <w:sz w:val="16"/>
                <w:szCs w:val="16"/>
              </w:rPr>
              <w:t>diarrhea</w:t>
            </w:r>
            <w:proofErr w:type="spellEnd"/>
            <w:r w:rsidRPr="00113A2E">
              <w:rPr>
                <w:rFonts w:ascii="Arial" w:hAnsi="Arial" w:cs="Arial"/>
                <w:sz w:val="16"/>
                <w:szCs w:val="16"/>
              </w:rPr>
              <w:t xml:space="preserve"> low across the surveys but pattern of increase in urban advantage from 1992 to 2004 &amp; like other child morbidity indicators showing a declining urban advantage through 2010 DHS= urban penalty followed by slight urban advantage (rate difference of less than 2%) in 2104 &amp; reversal to urban by 4 percentage points) in 2016. Pattern of urban–rural differentials in underweight children = rural advantage from 1992 to 2004, then reversal to urban advantage in 2006, to equal burden and an urban advantage in 2015.</w:t>
            </w:r>
          </w:p>
        </w:tc>
        <w:tc>
          <w:tcPr>
            <w:tcW w:w="2126" w:type="dxa"/>
          </w:tcPr>
          <w:p w14:paraId="4C310867"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sz w:val="16"/>
                <w:szCs w:val="16"/>
              </w:rPr>
              <w:t>Except for underweight which has largely moved from a rural to an urban advantage, the rate differences for the rest of child morbidity indicators in 2015/2016 reflect lower levels in 2015 compared to 2000.</w:t>
            </w:r>
          </w:p>
        </w:tc>
        <w:tc>
          <w:tcPr>
            <w:tcW w:w="1339" w:type="dxa"/>
            <w:tcBorders>
              <w:left w:val="single" w:sz="8" w:space="0" w:color="auto"/>
            </w:tcBorders>
          </w:tcPr>
          <w:p w14:paraId="101C3096"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Mixed depending on morbidity indicator.</w:t>
            </w:r>
          </w:p>
        </w:tc>
      </w:tr>
      <w:tr w:rsidR="0028110C" w:rsidRPr="00113A2E" w14:paraId="426EA3E0" w14:textId="77777777" w:rsidTr="00113A2E">
        <w:trPr>
          <w:trHeight w:val="20"/>
          <w:jc w:val="center"/>
        </w:trPr>
        <w:tc>
          <w:tcPr>
            <w:tcW w:w="1413" w:type="dxa"/>
          </w:tcPr>
          <w:p w14:paraId="76193AAD" w14:textId="77777777" w:rsidR="0028110C" w:rsidRPr="00113A2E" w:rsidRDefault="0028110C" w:rsidP="00136C51">
            <w:pPr>
              <w:autoSpaceDE w:val="0"/>
              <w:autoSpaceDN w:val="0"/>
              <w:adjustRightInd w:val="0"/>
              <w:rPr>
                <w:rFonts w:ascii="Arial" w:hAnsi="Arial" w:cs="Arial"/>
                <w:color w:val="000000" w:themeColor="text1"/>
                <w:sz w:val="16"/>
                <w:szCs w:val="16"/>
              </w:rPr>
            </w:pPr>
            <w:proofErr w:type="spellStart"/>
            <w:r w:rsidRPr="00113A2E">
              <w:rPr>
                <w:rFonts w:ascii="Arial" w:hAnsi="Arial" w:cs="Arial"/>
                <w:color w:val="000000" w:themeColor="text1"/>
                <w:sz w:val="16"/>
                <w:szCs w:val="16"/>
              </w:rPr>
              <w:t>Levira</w:t>
            </w:r>
            <w:proofErr w:type="spellEnd"/>
            <w:r w:rsidRPr="00113A2E">
              <w:rPr>
                <w:rFonts w:ascii="Arial" w:hAnsi="Arial" w:cs="Arial"/>
                <w:color w:val="000000" w:themeColor="text1"/>
                <w:sz w:val="16"/>
                <w:szCs w:val="16"/>
              </w:rPr>
              <w:t>, F., &amp; Todd, G. (2017)</w:t>
            </w:r>
          </w:p>
        </w:tc>
        <w:tc>
          <w:tcPr>
            <w:tcW w:w="850" w:type="dxa"/>
          </w:tcPr>
          <w:p w14:paraId="40ECF011"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3" w:type="dxa"/>
          </w:tcPr>
          <w:p w14:paraId="5CC28155"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(2009-10, census (2012) &amp; household budget survey (2011-12)</w:t>
            </w:r>
          </w:p>
        </w:tc>
        <w:tc>
          <w:tcPr>
            <w:tcW w:w="992" w:type="dxa"/>
          </w:tcPr>
          <w:p w14:paraId="2CE88CD2"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Tanzania</w:t>
            </w:r>
          </w:p>
        </w:tc>
        <w:tc>
          <w:tcPr>
            <w:tcW w:w="1417" w:type="dxa"/>
          </w:tcPr>
          <w:p w14:paraId="706F2030"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Household wealth, childhood stunting, ITN use, FIC, ANC, facility delivery.</w:t>
            </w:r>
          </w:p>
        </w:tc>
        <w:tc>
          <w:tcPr>
            <w:tcW w:w="4820" w:type="dxa"/>
          </w:tcPr>
          <w:p w14:paraId="7232D1B6"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Low-wealth quintiles accounted for a larger proportion of stunted children. Children/pregnant women sleeping under ITN similar for urban and rural (77% for children, 79% for pregnant women</w:t>
            </w:r>
            <w:proofErr w:type="gramStart"/>
            <w:r w:rsidRPr="00113A2E">
              <w:rPr>
                <w:rFonts w:ascii="Arial" w:hAnsi="Arial" w:cs="Arial"/>
                <w:color w:val="000000" w:themeColor="text1"/>
                <w:sz w:val="16"/>
                <w:szCs w:val="16"/>
              </w:rPr>
              <w:t>)-</w:t>
            </w:r>
            <w:proofErr w:type="gramEnd"/>
            <w:r w:rsidRPr="00113A2E">
              <w:rPr>
                <w:rFonts w:ascii="Arial" w:hAnsi="Arial" w:cs="Arial"/>
                <w:color w:val="000000" w:themeColor="text1"/>
                <w:sz w:val="16"/>
                <w:szCs w:val="16"/>
              </w:rPr>
              <w:t xml:space="preserve"> </w:t>
            </w:r>
            <w:proofErr w:type="spellStart"/>
            <w:r w:rsidRPr="00113A2E">
              <w:rPr>
                <w:rFonts w:ascii="Arial" w:hAnsi="Arial" w:cs="Arial"/>
                <w:color w:val="000000" w:themeColor="text1"/>
                <w:sz w:val="16"/>
                <w:szCs w:val="16"/>
              </w:rPr>
              <w:t>but,access</w:t>
            </w:r>
            <w:proofErr w:type="spellEnd"/>
            <w:r w:rsidRPr="00113A2E">
              <w:rPr>
                <w:rFonts w:ascii="Arial" w:hAnsi="Arial" w:cs="Arial"/>
                <w:color w:val="000000" w:themeColor="text1"/>
                <w:sz w:val="16"/>
                <w:szCs w:val="16"/>
              </w:rPr>
              <w:t xml:space="preserve"> to curative treatment for malaria was higher for pregnant urban women. 78% urban vs. 60% rural took an antimalarial drug during their last recorded pregnancy. Full vaccination is lower in urban areas (69% urban vs. 85% rural) ​(Table6) -, BCG vaccinations were similar for urban and rural areas, but polio (84% urban vs. 97% rural), DPT (81% urban vs. 90% rural), and measles (80% urban vs. 94% rural) show disparities. Lowest wealth quintiles have lower vaccination coverage. Coverage, and use, of ANC was higher in urban. Facility delivery higher in urban (82 vs. 42% rural). Use of a facility for delivery higher among the highest social quintile compared to the lowest (90 vs. 33%).</w:t>
            </w:r>
          </w:p>
        </w:tc>
        <w:tc>
          <w:tcPr>
            <w:tcW w:w="2126" w:type="dxa"/>
          </w:tcPr>
          <w:p w14:paraId="22A4321F"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More stunting in rural (45% vs. urban 35%) and underweight (17% vs. urban 11%)</w:t>
            </w:r>
          </w:p>
        </w:tc>
        <w:tc>
          <w:tcPr>
            <w:tcW w:w="1339" w:type="dxa"/>
            <w:tcBorders>
              <w:left w:val="single" w:sz="8" w:space="0" w:color="auto"/>
            </w:tcBorders>
          </w:tcPr>
          <w:p w14:paraId="1023A49C"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Mixed depending on morbidity indicator.</w:t>
            </w:r>
          </w:p>
        </w:tc>
      </w:tr>
      <w:tr w:rsidR="0028110C" w:rsidRPr="00113A2E" w14:paraId="222E7822" w14:textId="77777777" w:rsidTr="00113A2E">
        <w:trPr>
          <w:trHeight w:val="20"/>
          <w:jc w:val="center"/>
        </w:trPr>
        <w:tc>
          <w:tcPr>
            <w:tcW w:w="1413" w:type="dxa"/>
          </w:tcPr>
          <w:p w14:paraId="2991B2DA" w14:textId="77777777" w:rsidR="0028110C" w:rsidRPr="00113A2E" w:rsidRDefault="0028110C" w:rsidP="00136C51">
            <w:pPr>
              <w:autoSpaceDE w:val="0"/>
              <w:autoSpaceDN w:val="0"/>
              <w:adjustRightInd w:val="0"/>
              <w:rPr>
                <w:rFonts w:ascii="Arial" w:hAnsi="Arial" w:cs="Arial"/>
                <w:color w:val="000000" w:themeColor="text1"/>
                <w:sz w:val="16"/>
                <w:szCs w:val="16"/>
              </w:rPr>
            </w:pPr>
            <w:proofErr w:type="spellStart"/>
            <w:r w:rsidRPr="00113A2E">
              <w:rPr>
                <w:rFonts w:ascii="Arial" w:hAnsi="Arial" w:cs="Arial"/>
                <w:color w:val="000000" w:themeColor="text1"/>
                <w:sz w:val="16"/>
                <w:szCs w:val="16"/>
              </w:rPr>
              <w:t>Ekholuenetale</w:t>
            </w:r>
            <w:proofErr w:type="spellEnd"/>
            <w:r w:rsidRPr="00113A2E">
              <w:rPr>
                <w:rFonts w:ascii="Arial" w:hAnsi="Arial" w:cs="Arial"/>
                <w:color w:val="000000" w:themeColor="text1"/>
                <w:sz w:val="16"/>
                <w:szCs w:val="16"/>
              </w:rPr>
              <w:t xml:space="preserve">, M., </w:t>
            </w:r>
            <w:proofErr w:type="spellStart"/>
            <w:r w:rsidRPr="00113A2E">
              <w:rPr>
                <w:rFonts w:ascii="Arial" w:hAnsi="Arial" w:cs="Arial"/>
                <w:color w:val="000000" w:themeColor="text1"/>
                <w:sz w:val="16"/>
                <w:szCs w:val="16"/>
              </w:rPr>
              <w:t>Nzoputam</w:t>
            </w:r>
            <w:proofErr w:type="spellEnd"/>
            <w:r w:rsidRPr="00113A2E">
              <w:rPr>
                <w:rFonts w:ascii="Arial" w:hAnsi="Arial" w:cs="Arial"/>
                <w:color w:val="000000" w:themeColor="text1"/>
                <w:sz w:val="16"/>
                <w:szCs w:val="16"/>
              </w:rPr>
              <w:t xml:space="preserve">, C. I., Okonji, O. C., Barrow, A., </w:t>
            </w:r>
            <w:proofErr w:type="spellStart"/>
            <w:r w:rsidRPr="00113A2E">
              <w:rPr>
                <w:rFonts w:ascii="Arial" w:hAnsi="Arial" w:cs="Arial"/>
                <w:color w:val="000000" w:themeColor="text1"/>
                <w:sz w:val="16"/>
                <w:szCs w:val="16"/>
              </w:rPr>
              <w:t>Wegbom</w:t>
            </w:r>
            <w:proofErr w:type="spellEnd"/>
            <w:r w:rsidRPr="00113A2E">
              <w:rPr>
                <w:rFonts w:ascii="Arial" w:hAnsi="Arial" w:cs="Arial"/>
                <w:color w:val="000000" w:themeColor="text1"/>
                <w:sz w:val="16"/>
                <w:szCs w:val="16"/>
              </w:rPr>
              <w:t xml:space="preserve">, A. I., </w:t>
            </w:r>
            <w:r w:rsidRPr="00113A2E">
              <w:rPr>
                <w:rFonts w:ascii="Arial" w:hAnsi="Arial" w:cs="Arial"/>
                <w:color w:val="000000" w:themeColor="text1"/>
                <w:sz w:val="16"/>
                <w:szCs w:val="16"/>
              </w:rPr>
              <w:lastRenderedPageBreak/>
              <w:t>&amp; Edet, C. K. (2023)</w:t>
            </w:r>
          </w:p>
        </w:tc>
        <w:tc>
          <w:tcPr>
            <w:tcW w:w="850" w:type="dxa"/>
          </w:tcPr>
          <w:p w14:paraId="55870CF1"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lastRenderedPageBreak/>
              <w:t>Cross-sectional</w:t>
            </w:r>
          </w:p>
        </w:tc>
        <w:tc>
          <w:tcPr>
            <w:tcW w:w="993" w:type="dxa"/>
          </w:tcPr>
          <w:p w14:paraId="390858C9" w14:textId="62A401BB"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DHS (2006-21), </w:t>
            </w:r>
          </w:p>
        </w:tc>
        <w:tc>
          <w:tcPr>
            <w:tcW w:w="992" w:type="dxa"/>
          </w:tcPr>
          <w:p w14:paraId="1042EBB1"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37 SSA countries</w:t>
            </w:r>
          </w:p>
        </w:tc>
        <w:tc>
          <w:tcPr>
            <w:tcW w:w="1417" w:type="dxa"/>
          </w:tcPr>
          <w:p w14:paraId="7258A284"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ARI.</w:t>
            </w:r>
          </w:p>
        </w:tc>
        <w:tc>
          <w:tcPr>
            <w:tcW w:w="4820" w:type="dxa"/>
          </w:tcPr>
          <w:p w14:paraId="4D5F8B27" w14:textId="03DDF93F"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resident is associated with ^ likelihood of seeking treatment &amp; receiving antibiotics</w:t>
            </w:r>
          </w:p>
        </w:tc>
        <w:tc>
          <w:tcPr>
            <w:tcW w:w="2126" w:type="dxa"/>
          </w:tcPr>
          <w:p w14:paraId="656A31E7" w14:textId="75AF9B88" w:rsidR="0028110C" w:rsidRPr="00113A2E" w:rsidRDefault="00136C51"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A higher prevalence of ARI was observed among urban residents.</w:t>
            </w:r>
          </w:p>
        </w:tc>
        <w:tc>
          <w:tcPr>
            <w:tcW w:w="1339" w:type="dxa"/>
            <w:tcBorders>
              <w:left w:val="single" w:sz="8" w:space="0" w:color="auto"/>
            </w:tcBorders>
          </w:tcPr>
          <w:p w14:paraId="360969D9"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 xml:space="preserve">Urban penalty for disease burden, but urban advantage for </w:t>
            </w:r>
            <w:r w:rsidRPr="00113A2E">
              <w:rPr>
                <w:rFonts w:ascii="Arial" w:hAnsi="Arial" w:cs="Arial"/>
                <w:color w:val="000000" w:themeColor="text1"/>
                <w:sz w:val="16"/>
                <w:szCs w:val="16"/>
              </w:rPr>
              <w:lastRenderedPageBreak/>
              <w:t>seeking treatment.</w:t>
            </w:r>
          </w:p>
        </w:tc>
      </w:tr>
      <w:tr w:rsidR="0028110C" w:rsidRPr="00113A2E" w14:paraId="28842D57" w14:textId="77777777" w:rsidTr="00113A2E">
        <w:trPr>
          <w:trHeight w:val="20"/>
          <w:jc w:val="center"/>
        </w:trPr>
        <w:tc>
          <w:tcPr>
            <w:tcW w:w="1413" w:type="dxa"/>
          </w:tcPr>
          <w:p w14:paraId="6BC38312"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lastRenderedPageBreak/>
              <w:t xml:space="preserve">Ameyaw, E. K., Kareem, Y. O., </w:t>
            </w:r>
            <w:proofErr w:type="spellStart"/>
            <w:r w:rsidRPr="00113A2E">
              <w:rPr>
                <w:rFonts w:ascii="Arial" w:hAnsi="Arial" w:cs="Arial"/>
                <w:color w:val="000000" w:themeColor="text1"/>
                <w:sz w:val="16"/>
                <w:szCs w:val="16"/>
              </w:rPr>
              <w:t>Ahinkorah</w:t>
            </w:r>
            <w:proofErr w:type="spellEnd"/>
            <w:r w:rsidRPr="00113A2E">
              <w:rPr>
                <w:rFonts w:ascii="Arial" w:hAnsi="Arial" w:cs="Arial"/>
                <w:color w:val="000000" w:themeColor="text1"/>
                <w:sz w:val="16"/>
                <w:szCs w:val="16"/>
              </w:rPr>
              <w:t>, B. O., Seidu, A. A., &amp; Yaya, S. (2021)</w:t>
            </w:r>
          </w:p>
        </w:tc>
        <w:tc>
          <w:tcPr>
            <w:tcW w:w="850" w:type="dxa"/>
          </w:tcPr>
          <w:p w14:paraId="468837C2"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3" w:type="dxa"/>
          </w:tcPr>
          <w:p w14:paraId="72CFEECE"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(2010-18)</w:t>
            </w:r>
          </w:p>
        </w:tc>
        <w:tc>
          <w:tcPr>
            <w:tcW w:w="992" w:type="dxa"/>
          </w:tcPr>
          <w:p w14:paraId="2E09532B"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23 SSA countries</w:t>
            </w:r>
          </w:p>
        </w:tc>
        <w:tc>
          <w:tcPr>
            <w:tcW w:w="1417" w:type="dxa"/>
          </w:tcPr>
          <w:p w14:paraId="36C855B0"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 xml:space="preserve">Population size, FIC, birth order, maternal age, education, wealth, distance to health facility, </w:t>
            </w:r>
          </w:p>
        </w:tc>
        <w:tc>
          <w:tcPr>
            <w:tcW w:w="4820" w:type="dxa"/>
          </w:tcPr>
          <w:p w14:paraId="3E8C1C33"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76.5% of rural p&lt;0.001–urban variation in full immunisation was attributable to differences in child and maternal characteristics. (</w:t>
            </w:r>
            <w:proofErr w:type="gramStart"/>
            <w:r w:rsidRPr="00113A2E">
              <w:rPr>
                <w:rFonts w:ascii="Arial" w:hAnsi="Arial" w:cs="Arial"/>
                <w:color w:val="000000" w:themeColor="text1"/>
                <w:sz w:val="16"/>
                <w:szCs w:val="16"/>
              </w:rPr>
              <w:t>table</w:t>
            </w:r>
            <w:proofErr w:type="gramEnd"/>
            <w:r w:rsidRPr="00113A2E">
              <w:rPr>
                <w:rFonts w:ascii="Arial" w:hAnsi="Arial" w:cs="Arial"/>
                <w:color w:val="000000" w:themeColor="text1"/>
                <w:sz w:val="16"/>
                <w:szCs w:val="16"/>
              </w:rPr>
              <w:t xml:space="preserve"> 6).Household wealth was an important component contributing to the rural–urban gap. Specifically, richest wealth status substantially accounted for immunisation disparity (35.7%; p&lt;0.001). First and sixth birth orders contributed 7.3% and 14.9%, respectively, towards the disparity while 7.9% of the disparity was attributable to distance to health facility (p&lt;0.001).  </w:t>
            </w:r>
          </w:p>
        </w:tc>
        <w:tc>
          <w:tcPr>
            <w:tcW w:w="2126" w:type="dxa"/>
          </w:tcPr>
          <w:p w14:paraId="2022B383"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More children in urban fully immunised (52.8%) than rural (40.7%).</w:t>
            </w:r>
          </w:p>
        </w:tc>
        <w:tc>
          <w:tcPr>
            <w:tcW w:w="1339" w:type="dxa"/>
            <w:tcBorders>
              <w:left w:val="single" w:sz="8" w:space="0" w:color="auto"/>
            </w:tcBorders>
          </w:tcPr>
          <w:p w14:paraId="6E4D5A0A"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advantage</w:t>
            </w:r>
          </w:p>
        </w:tc>
      </w:tr>
      <w:tr w:rsidR="0028110C" w:rsidRPr="00113A2E" w14:paraId="45F9139F" w14:textId="77777777" w:rsidTr="00113A2E">
        <w:trPr>
          <w:trHeight w:val="20"/>
          <w:jc w:val="center"/>
        </w:trPr>
        <w:tc>
          <w:tcPr>
            <w:tcW w:w="1413" w:type="dxa"/>
          </w:tcPr>
          <w:p w14:paraId="71CC383F" w14:textId="77777777" w:rsidR="0028110C" w:rsidRPr="00113A2E" w:rsidRDefault="0028110C" w:rsidP="00136C51">
            <w:pPr>
              <w:autoSpaceDE w:val="0"/>
              <w:autoSpaceDN w:val="0"/>
              <w:adjustRightInd w:val="0"/>
              <w:rPr>
                <w:rFonts w:ascii="Arial" w:hAnsi="Arial" w:cs="Arial"/>
                <w:color w:val="000000" w:themeColor="text1"/>
                <w:sz w:val="16"/>
                <w:szCs w:val="16"/>
                <w:lang w:val="nl-NL"/>
              </w:rPr>
            </w:pPr>
            <w:r w:rsidRPr="00113A2E">
              <w:rPr>
                <w:rFonts w:ascii="Arial" w:hAnsi="Arial" w:cs="Arial"/>
                <w:color w:val="000000" w:themeColor="text1"/>
                <w:sz w:val="16"/>
                <w:szCs w:val="16"/>
                <w:lang w:val="nl-NL"/>
              </w:rPr>
              <w:t>Van De Poel, E., O'Donnell, O., &amp; Van Doorslaer, E. (2009)</w:t>
            </w:r>
          </w:p>
        </w:tc>
        <w:tc>
          <w:tcPr>
            <w:tcW w:w="850" w:type="dxa"/>
          </w:tcPr>
          <w:p w14:paraId="4296BA54" w14:textId="77777777" w:rsidR="0028110C" w:rsidRPr="00113A2E" w:rsidRDefault="0028110C" w:rsidP="00136C51">
            <w:pPr>
              <w:autoSpaceDE w:val="0"/>
              <w:autoSpaceDN w:val="0"/>
              <w:adjustRightInd w:val="0"/>
              <w:rPr>
                <w:rFonts w:ascii="Arial" w:hAnsi="Arial" w:cs="Arial"/>
                <w:color w:val="000000" w:themeColor="text1"/>
                <w:sz w:val="16"/>
                <w:szCs w:val="16"/>
                <w:lang w:val="nl-NL"/>
              </w:rPr>
            </w:pPr>
            <w:r w:rsidRPr="00113A2E">
              <w:rPr>
                <w:rFonts w:ascii="Arial" w:hAnsi="Arial" w:cs="Arial"/>
                <w:color w:val="000000" w:themeColor="text1"/>
                <w:sz w:val="16"/>
                <w:szCs w:val="16"/>
              </w:rPr>
              <w:t>Cross-sectional</w:t>
            </w:r>
          </w:p>
        </w:tc>
        <w:tc>
          <w:tcPr>
            <w:tcW w:w="993" w:type="dxa"/>
          </w:tcPr>
          <w:p w14:paraId="2B7702A8"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DHS- 1995-2001</w:t>
            </w:r>
          </w:p>
        </w:tc>
        <w:tc>
          <w:tcPr>
            <w:tcW w:w="992" w:type="dxa"/>
          </w:tcPr>
          <w:p w14:paraId="0FADAE37"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Benin, Central African Republic, Chad, Guinea, Mali, and Niger</w:t>
            </w:r>
          </w:p>
        </w:tc>
        <w:tc>
          <w:tcPr>
            <w:tcW w:w="1417" w:type="dxa"/>
          </w:tcPr>
          <w:p w14:paraId="15013CE3"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SES, toilet, water, electricity, health facilities, public transport, maternal education</w:t>
            </w:r>
          </w:p>
        </w:tc>
        <w:tc>
          <w:tcPr>
            <w:tcW w:w="4820" w:type="dxa"/>
          </w:tcPr>
          <w:p w14:paraId="6B89A030"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 xml:space="preserve">Rural penalty for child mortality- most important contributory variable = disadvantageous environmental conditions such as limited electricity, quality housing materials and water supply. </w:t>
            </w:r>
            <w:r w:rsidRPr="00113A2E">
              <w:rPr>
                <w:rFonts w:ascii="Arial" w:hAnsi="Arial" w:cs="Arial"/>
                <w:color w:val="000000" w:themeColor="text1"/>
                <w:sz w:val="16"/>
                <w:szCs w:val="16"/>
                <w:shd w:val="clear" w:color="auto" w:fill="FFFFFF"/>
              </w:rPr>
              <w:t>In rural- the few households with an electricity supply = significantly reduced probability of infant death (0.13, p&lt;0.01). In urban = mortality risk higher among households living in premises with no finished floor (0.128, p&lt;0.01)- identifies slum dwellings &amp; poor public health conditions found there. In rural = majority of dwellings have no finished floor &amp; not significantly with mortality risk. P</w:t>
            </w:r>
            <w:r w:rsidRPr="00113A2E">
              <w:rPr>
                <w:rFonts w:ascii="Arial" w:hAnsi="Arial" w:cs="Arial"/>
                <w:sz w:val="16"/>
                <w:szCs w:val="16"/>
              </w:rPr>
              <w:t>rotective effect of maternal primary education for child mortality more significant in rural areas (R= 0.167, U=0.059)- but there is no significant difference between urban and rural areas for this factor</w:t>
            </w:r>
          </w:p>
        </w:tc>
        <w:tc>
          <w:tcPr>
            <w:tcW w:w="2126" w:type="dxa"/>
          </w:tcPr>
          <w:p w14:paraId="19D33578"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Rural penalty for child mortality</w:t>
            </w:r>
          </w:p>
        </w:tc>
        <w:tc>
          <w:tcPr>
            <w:tcW w:w="1339" w:type="dxa"/>
            <w:tcBorders>
              <w:left w:val="single" w:sz="8" w:space="0" w:color="auto"/>
            </w:tcBorders>
          </w:tcPr>
          <w:p w14:paraId="56B702F3"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advantage</w:t>
            </w:r>
          </w:p>
        </w:tc>
      </w:tr>
      <w:tr w:rsidR="0028110C" w:rsidRPr="00113A2E" w14:paraId="26B7BBE5" w14:textId="77777777" w:rsidTr="00113A2E">
        <w:trPr>
          <w:trHeight w:val="20"/>
          <w:jc w:val="center"/>
        </w:trPr>
        <w:tc>
          <w:tcPr>
            <w:tcW w:w="1413" w:type="dxa"/>
          </w:tcPr>
          <w:p w14:paraId="7F729173"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Zhu, W. J., Zhu, S., </w:t>
            </w:r>
            <w:proofErr w:type="spellStart"/>
            <w:r w:rsidRPr="00113A2E">
              <w:rPr>
                <w:rFonts w:ascii="Arial" w:hAnsi="Arial" w:cs="Arial"/>
                <w:color w:val="000000" w:themeColor="text1"/>
                <w:sz w:val="16"/>
                <w:szCs w:val="16"/>
              </w:rPr>
              <w:t>Sunguya</w:t>
            </w:r>
            <w:proofErr w:type="spellEnd"/>
            <w:r w:rsidRPr="00113A2E">
              <w:rPr>
                <w:rFonts w:ascii="Arial" w:hAnsi="Arial" w:cs="Arial"/>
                <w:color w:val="000000" w:themeColor="text1"/>
                <w:sz w:val="16"/>
                <w:szCs w:val="16"/>
              </w:rPr>
              <w:t>, B. F., &amp; Huang, J. Y. (2021)</w:t>
            </w:r>
          </w:p>
        </w:tc>
        <w:tc>
          <w:tcPr>
            <w:tcW w:w="850" w:type="dxa"/>
          </w:tcPr>
          <w:p w14:paraId="6942EF0C"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3" w:type="dxa"/>
          </w:tcPr>
          <w:p w14:paraId="47D98C61"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1991-2016</w:t>
            </w:r>
          </w:p>
        </w:tc>
        <w:tc>
          <w:tcPr>
            <w:tcW w:w="992" w:type="dxa"/>
          </w:tcPr>
          <w:p w14:paraId="7FEB4A17"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Tanzania</w:t>
            </w:r>
          </w:p>
        </w:tc>
        <w:tc>
          <w:tcPr>
            <w:tcW w:w="1417" w:type="dxa"/>
          </w:tcPr>
          <w:p w14:paraId="008640EE"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age at birth, education levels, BMI of mother, sanitation, facility birth.</w:t>
            </w:r>
          </w:p>
        </w:tc>
        <w:tc>
          <w:tcPr>
            <w:tcW w:w="4820" w:type="dxa"/>
          </w:tcPr>
          <w:p w14:paraId="3975A595" w14:textId="77777777" w:rsidR="0028110C" w:rsidRPr="00113A2E" w:rsidRDefault="0028110C" w:rsidP="00136C51">
            <w:pPr>
              <w:rPr>
                <w:rFonts w:ascii="Arial" w:hAnsi="Arial" w:cs="Arial"/>
                <w:sz w:val="16"/>
                <w:szCs w:val="16"/>
              </w:rPr>
            </w:pPr>
            <w:r w:rsidRPr="00113A2E">
              <w:rPr>
                <w:rFonts w:ascii="Arial" w:hAnsi="Arial" w:cs="Arial"/>
                <w:sz w:val="16"/>
                <w:szCs w:val="16"/>
              </w:rPr>
              <w:t xml:space="preserve">Factors associated with child stunting in urban: Individual-level= lower stunting odds among children who were younger, female (odds ratio (OR): 0.63, 95% CI: 0.55–0.72, p &lt; 0.001), born in medical institutions (OR: 0.61, 95% CI: 0.45–0.83, p = 0.002), had normal or high birth weight (OR: 0.46, 95% CI: 0.39–0.55, p &lt; 0.001), and had a shorter duration of breastfeeding. Household-level, = lower stunting odds in children whose mother had fewer children, was obese, and attended a higher level of education. Compared with non-working mothers, children with farmer mothers had higher odds of stunting (OR: 1.34, 95% CI: 1.12–1.60, p = 0.003). Children born in households whose heads were male had lower chances of stunting (OR: 0.65, 95% CI: 0.55–0.76, p &lt; 0.001), and the type of toilet was significantly associated with childhood stunting, as children from the family who had worsened sanitation (pit latrine, no facility/bush/field) were more likely to become stunted. </w:t>
            </w:r>
          </w:p>
          <w:p w14:paraId="715E04AB"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sz w:val="16"/>
                <w:szCs w:val="16"/>
              </w:rPr>
              <w:t>Rural= except for the total number of children, the highest education level of the mother, and the source of drinking water, the determinants of child stunting were similar to urban children. Compared to underweight mothers, overweight and obese mothers halved the odds of child stunting. Children whose family used pit latrine were associated with a 129% increase in the odds of stunting compared to children whose family used the flush toilet. These three predictors showed a greater influence on rural children than on urban children.</w:t>
            </w:r>
          </w:p>
        </w:tc>
        <w:tc>
          <w:tcPr>
            <w:tcW w:w="2126" w:type="dxa"/>
          </w:tcPr>
          <w:p w14:paraId="3EE5FAA0"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Total stunting prevalence declining in Tanzania, but U-R disparity widened as the decline was slower in rural.</w:t>
            </w:r>
          </w:p>
          <w:p w14:paraId="17CC9230" w14:textId="77777777" w:rsidR="0028110C" w:rsidRPr="00113A2E" w:rsidRDefault="0028110C" w:rsidP="00136C51">
            <w:pPr>
              <w:rPr>
                <w:rFonts w:ascii="Arial" w:hAnsi="Arial" w:cs="Arial"/>
                <w:sz w:val="16"/>
                <w:szCs w:val="16"/>
              </w:rPr>
            </w:pPr>
            <w:r w:rsidRPr="00113A2E">
              <w:rPr>
                <w:rFonts w:ascii="Arial" w:hAnsi="Arial" w:cs="Arial"/>
                <w:sz w:val="16"/>
                <w:szCs w:val="16"/>
              </w:rPr>
              <w:t xml:space="preserve">No interaction effect existed between residence and other determinants; U-R disparity mainly caused by discrepancy of the individual-level and household-level factors between rural and urban households. </w:t>
            </w:r>
          </w:p>
          <w:p w14:paraId="1E10E88C" w14:textId="77777777" w:rsidR="0028110C" w:rsidRPr="00113A2E" w:rsidRDefault="0028110C" w:rsidP="00136C51">
            <w:pPr>
              <w:pStyle w:val="ListParagraph"/>
              <w:ind w:left="0"/>
              <w:rPr>
                <w:rFonts w:ascii="Arial" w:hAnsi="Arial" w:cs="Arial"/>
                <w:color w:val="000000" w:themeColor="text1"/>
                <w:sz w:val="16"/>
                <w:szCs w:val="16"/>
              </w:rPr>
            </w:pPr>
          </w:p>
        </w:tc>
        <w:tc>
          <w:tcPr>
            <w:tcW w:w="1339" w:type="dxa"/>
            <w:tcBorders>
              <w:left w:val="single" w:sz="8" w:space="0" w:color="auto"/>
            </w:tcBorders>
          </w:tcPr>
          <w:p w14:paraId="09B603AD"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advantage, but more rapid rates of improvement in urban areas.</w:t>
            </w:r>
          </w:p>
        </w:tc>
      </w:tr>
      <w:tr w:rsidR="0028110C" w:rsidRPr="00113A2E" w14:paraId="2AEB3E24" w14:textId="77777777" w:rsidTr="00113A2E">
        <w:trPr>
          <w:trHeight w:val="4662"/>
          <w:jc w:val="center"/>
        </w:trPr>
        <w:tc>
          <w:tcPr>
            <w:tcW w:w="1413" w:type="dxa"/>
          </w:tcPr>
          <w:p w14:paraId="71B014EF"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lastRenderedPageBreak/>
              <w:t xml:space="preserve">Adewuyi, E. O., Auta, A., Khanal, V., Bamidele, O. D., </w:t>
            </w:r>
            <w:proofErr w:type="spellStart"/>
            <w:r w:rsidRPr="00113A2E">
              <w:rPr>
                <w:rFonts w:ascii="Arial" w:hAnsi="Arial" w:cs="Arial"/>
                <w:color w:val="000000" w:themeColor="text1"/>
                <w:sz w:val="16"/>
                <w:szCs w:val="16"/>
              </w:rPr>
              <w:t>Akuoko</w:t>
            </w:r>
            <w:proofErr w:type="spellEnd"/>
            <w:r w:rsidRPr="00113A2E">
              <w:rPr>
                <w:rFonts w:ascii="Arial" w:hAnsi="Arial" w:cs="Arial"/>
                <w:color w:val="000000" w:themeColor="text1"/>
                <w:sz w:val="16"/>
                <w:szCs w:val="16"/>
              </w:rPr>
              <w:t xml:space="preserve">, C. P., </w:t>
            </w:r>
            <w:proofErr w:type="spellStart"/>
            <w:r w:rsidRPr="00113A2E">
              <w:rPr>
                <w:rFonts w:ascii="Arial" w:hAnsi="Arial" w:cs="Arial"/>
                <w:color w:val="000000" w:themeColor="text1"/>
                <w:sz w:val="16"/>
                <w:szCs w:val="16"/>
              </w:rPr>
              <w:t>Adefemi</w:t>
            </w:r>
            <w:proofErr w:type="spellEnd"/>
            <w:r w:rsidRPr="00113A2E">
              <w:rPr>
                <w:rFonts w:ascii="Arial" w:hAnsi="Arial" w:cs="Arial"/>
                <w:color w:val="000000" w:themeColor="text1"/>
                <w:sz w:val="16"/>
                <w:szCs w:val="16"/>
              </w:rPr>
              <w:t xml:space="preserve">, K., </w:t>
            </w:r>
            <w:proofErr w:type="spellStart"/>
            <w:r w:rsidRPr="00113A2E">
              <w:rPr>
                <w:rFonts w:ascii="Arial" w:hAnsi="Arial" w:cs="Arial"/>
                <w:color w:val="000000" w:themeColor="text1"/>
                <w:sz w:val="16"/>
                <w:szCs w:val="16"/>
              </w:rPr>
              <w:t>Tapshak</w:t>
            </w:r>
            <w:proofErr w:type="spellEnd"/>
            <w:r w:rsidRPr="00113A2E">
              <w:rPr>
                <w:rFonts w:ascii="Arial" w:hAnsi="Arial" w:cs="Arial"/>
                <w:color w:val="000000" w:themeColor="text1"/>
                <w:sz w:val="16"/>
                <w:szCs w:val="16"/>
              </w:rPr>
              <w:t>, S. J., &amp; Zhao, Y. (2018)</w:t>
            </w:r>
          </w:p>
        </w:tc>
        <w:tc>
          <w:tcPr>
            <w:tcW w:w="850" w:type="dxa"/>
          </w:tcPr>
          <w:p w14:paraId="0B1FFF60"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3" w:type="dxa"/>
          </w:tcPr>
          <w:p w14:paraId="6594C4BD"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2013</w:t>
            </w:r>
          </w:p>
        </w:tc>
        <w:tc>
          <w:tcPr>
            <w:tcW w:w="992" w:type="dxa"/>
          </w:tcPr>
          <w:p w14:paraId="174C6FB6"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Nigeria</w:t>
            </w:r>
          </w:p>
        </w:tc>
        <w:tc>
          <w:tcPr>
            <w:tcW w:w="1417" w:type="dxa"/>
          </w:tcPr>
          <w:p w14:paraId="6A6665EB"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health knowledge, household assets, maternal age, education, autonomy</w:t>
            </w:r>
          </w:p>
        </w:tc>
        <w:tc>
          <w:tcPr>
            <w:tcW w:w="4820" w:type="dxa"/>
          </w:tcPr>
          <w:p w14:paraId="7560C92D" w14:textId="77777777" w:rsidR="0028110C" w:rsidRPr="00113A2E" w:rsidRDefault="0028110C" w:rsidP="00136C51">
            <w:pPr>
              <w:rPr>
                <w:rFonts w:ascii="Arial" w:hAnsi="Arial" w:cs="Arial"/>
                <w:sz w:val="16"/>
                <w:szCs w:val="16"/>
              </w:rPr>
            </w:pPr>
            <w:r w:rsidRPr="00113A2E">
              <w:rPr>
                <w:rFonts w:ascii="Arial" w:hAnsi="Arial" w:cs="Arial"/>
                <w:sz w:val="16"/>
                <w:szCs w:val="16"/>
              </w:rPr>
              <w:t>Factors associated with greater odds of ANC underuse in rural = maternal non-working status (AOR: 1.27; 95% CI: 1.11, 1.45), birth interval &lt; 24 months (AOR: 1.26; 95% CI: 1.09, 1.46), single birth type (AOR: 1.46; 95%CI: 1.00, 2.15), not listening to radio at all, lack of companionship to health facility and not getting money for health services. In both rural and urban residence, lack of maternal education (R: AOR: 1.93; 95% CI: 1.11, 1.45 &amp; U= AOR: 1.44; 95% CI: 1.10, 1.87) ,lack of husband’s education (R: AOR: 2.03; 95% CI: 1.72, 2.43 &amp; U: AOR: 2.16; 95% CI: 1.68, 2.75), wealth index/living in poorer households (R: AOR: 2.17; 95% CI: 1.68, 2.81 &amp; U: AOR: 2.05; 95% CI: 1.51, 2.79), maternal age younger than 35 (R: AOR: 1.16, 95%CI: 1.04, 1.31 &amp; U= AOR: 1.25; 95% CI: 1.03, 1.49), frequency of watching television, distance to- and permission to visit health facility were significantly associated with ANC underuse.  In contrast to the rural residence, maternal working status, birth interval, birth type, access to radio, the problem of money and being accompanied to a health facility were not significantly associated with underutilization of ANC in urban Nigeria. In urban residence, mothers professing Islam (AOR: 1.64; 95%CI: 1.21, 2.26 compared to Christian), those who did not read newspaper at all (AOR: 1.74; 95%CI: 1.17, 2.59), and those who lacked health insurance (AOR: 3.41; 95%CI: 1.53, 7.58), had greater odds of ANC underuse. (These factors did not apply in rural areas)</w:t>
            </w:r>
          </w:p>
          <w:p w14:paraId="1D12B744" w14:textId="77777777" w:rsidR="0028110C" w:rsidRPr="00113A2E" w:rsidRDefault="0028110C" w:rsidP="00136C51">
            <w:pPr>
              <w:pStyle w:val="ListParagraph"/>
              <w:ind w:left="0"/>
              <w:rPr>
                <w:rFonts w:ascii="Arial" w:hAnsi="Arial" w:cs="Arial"/>
                <w:color w:val="000000" w:themeColor="text1"/>
                <w:sz w:val="16"/>
                <w:szCs w:val="16"/>
              </w:rPr>
            </w:pPr>
          </w:p>
        </w:tc>
        <w:tc>
          <w:tcPr>
            <w:tcW w:w="2126" w:type="dxa"/>
          </w:tcPr>
          <w:p w14:paraId="720D5F2D"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sz w:val="16"/>
                <w:szCs w:val="16"/>
              </w:rPr>
              <w:t xml:space="preserve">More rural women (61.1%; 95% CI: 58.5–63.5) underutilized ANC compared to urban (22.4; 95% CI: 20.0–25.1).  </w:t>
            </w:r>
          </w:p>
        </w:tc>
        <w:tc>
          <w:tcPr>
            <w:tcW w:w="1339" w:type="dxa"/>
            <w:tcBorders>
              <w:left w:val="single" w:sz="8" w:space="0" w:color="auto"/>
            </w:tcBorders>
          </w:tcPr>
          <w:p w14:paraId="06093963"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advantage</w:t>
            </w:r>
          </w:p>
        </w:tc>
      </w:tr>
      <w:tr w:rsidR="0028110C" w:rsidRPr="00113A2E" w14:paraId="6D3AB7F3" w14:textId="77777777" w:rsidTr="00113A2E">
        <w:trPr>
          <w:trHeight w:val="20"/>
          <w:jc w:val="center"/>
        </w:trPr>
        <w:tc>
          <w:tcPr>
            <w:tcW w:w="1413" w:type="dxa"/>
          </w:tcPr>
          <w:p w14:paraId="1DBBC73E" w14:textId="77777777" w:rsidR="0028110C" w:rsidRPr="00113A2E" w:rsidRDefault="0028110C" w:rsidP="00136C51">
            <w:pPr>
              <w:autoSpaceDE w:val="0"/>
              <w:autoSpaceDN w:val="0"/>
              <w:adjustRightInd w:val="0"/>
              <w:rPr>
                <w:rFonts w:ascii="Arial" w:hAnsi="Arial" w:cs="Arial"/>
                <w:color w:val="000000" w:themeColor="text1"/>
                <w:sz w:val="16"/>
                <w:szCs w:val="16"/>
              </w:rPr>
            </w:pPr>
            <w:proofErr w:type="spellStart"/>
            <w:r w:rsidRPr="00113A2E">
              <w:rPr>
                <w:rFonts w:ascii="Arial" w:hAnsi="Arial" w:cs="Arial"/>
                <w:color w:val="000000" w:themeColor="text1"/>
                <w:sz w:val="16"/>
                <w:szCs w:val="16"/>
              </w:rPr>
              <w:t>Ahinkorah</w:t>
            </w:r>
            <w:proofErr w:type="spellEnd"/>
            <w:r w:rsidRPr="00113A2E">
              <w:rPr>
                <w:rFonts w:ascii="Arial" w:hAnsi="Arial" w:cs="Arial"/>
                <w:color w:val="000000" w:themeColor="text1"/>
                <w:sz w:val="16"/>
                <w:szCs w:val="16"/>
              </w:rPr>
              <w:t xml:space="preserve">, B. O., Aboagye, R. G., Seidu, A. A., Okyere, J., Mohammed, A., </w:t>
            </w:r>
            <w:proofErr w:type="spellStart"/>
            <w:r w:rsidRPr="00113A2E">
              <w:rPr>
                <w:rFonts w:ascii="Arial" w:hAnsi="Arial" w:cs="Arial"/>
                <w:color w:val="000000" w:themeColor="text1"/>
                <w:sz w:val="16"/>
                <w:szCs w:val="16"/>
              </w:rPr>
              <w:t>Chattu</w:t>
            </w:r>
            <w:proofErr w:type="spellEnd"/>
            <w:r w:rsidRPr="00113A2E">
              <w:rPr>
                <w:rFonts w:ascii="Arial" w:hAnsi="Arial" w:cs="Arial"/>
                <w:color w:val="000000" w:themeColor="text1"/>
                <w:sz w:val="16"/>
                <w:szCs w:val="16"/>
              </w:rPr>
              <w:t xml:space="preserve">, V. K., </w:t>
            </w:r>
            <w:proofErr w:type="spellStart"/>
            <w:r w:rsidRPr="00113A2E">
              <w:rPr>
                <w:rFonts w:ascii="Arial" w:hAnsi="Arial" w:cs="Arial"/>
                <w:color w:val="000000" w:themeColor="text1"/>
                <w:sz w:val="16"/>
                <w:szCs w:val="16"/>
              </w:rPr>
              <w:t>Budu</w:t>
            </w:r>
            <w:proofErr w:type="spellEnd"/>
            <w:r w:rsidRPr="00113A2E">
              <w:rPr>
                <w:rFonts w:ascii="Arial" w:hAnsi="Arial" w:cs="Arial"/>
                <w:color w:val="000000" w:themeColor="text1"/>
                <w:sz w:val="16"/>
                <w:szCs w:val="16"/>
              </w:rPr>
              <w:t xml:space="preserve">, E., </w:t>
            </w:r>
            <w:proofErr w:type="spellStart"/>
            <w:r w:rsidRPr="00113A2E">
              <w:rPr>
                <w:rFonts w:ascii="Arial" w:hAnsi="Arial" w:cs="Arial"/>
                <w:color w:val="000000" w:themeColor="text1"/>
                <w:sz w:val="16"/>
                <w:szCs w:val="16"/>
              </w:rPr>
              <w:t>Adoboi</w:t>
            </w:r>
            <w:proofErr w:type="spellEnd"/>
            <w:r w:rsidRPr="00113A2E">
              <w:rPr>
                <w:rFonts w:ascii="Arial" w:hAnsi="Arial" w:cs="Arial"/>
                <w:color w:val="000000" w:themeColor="text1"/>
                <w:sz w:val="16"/>
                <w:szCs w:val="16"/>
              </w:rPr>
              <w:t>, F., &amp; Yaya, S. (2022)</w:t>
            </w:r>
          </w:p>
        </w:tc>
        <w:tc>
          <w:tcPr>
            <w:tcW w:w="850" w:type="dxa"/>
          </w:tcPr>
          <w:p w14:paraId="47D75909"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3" w:type="dxa"/>
          </w:tcPr>
          <w:p w14:paraId="2B7F7AFF"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2010-20</w:t>
            </w:r>
          </w:p>
        </w:tc>
        <w:tc>
          <w:tcPr>
            <w:tcW w:w="992" w:type="dxa"/>
          </w:tcPr>
          <w:p w14:paraId="549E627A"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28 SSA countries</w:t>
            </w:r>
          </w:p>
        </w:tc>
        <w:tc>
          <w:tcPr>
            <w:tcW w:w="1417" w:type="dxa"/>
          </w:tcPr>
          <w:p w14:paraId="5B34B3FE"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caesarean delivery, maternal age, education, ANC, media exposure, wealth index</w:t>
            </w:r>
          </w:p>
        </w:tc>
        <w:tc>
          <w:tcPr>
            <w:tcW w:w="4820" w:type="dxa"/>
          </w:tcPr>
          <w:p w14:paraId="0FE9F0AB"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sz w:val="16"/>
                <w:szCs w:val="16"/>
              </w:rPr>
              <w:t>81% of rural–urban disparities in caesarean deliveries attributable to the differences in child and maternal characteristics. Wealth index (39.2%), antenatal care attendance (13.4%), parity (12.8%), mother’s educational level (3.5%), and health insurance subscription (3.1%) explained 72% of the rural–urban disparities. Likelihood of caesarean section increased with wealth index in both urban ([</w:t>
            </w:r>
            <w:proofErr w:type="spellStart"/>
            <w:r w:rsidRPr="00113A2E">
              <w:rPr>
                <w:rFonts w:ascii="Arial" w:hAnsi="Arial" w:cs="Arial"/>
                <w:sz w:val="16"/>
                <w:szCs w:val="16"/>
              </w:rPr>
              <w:t>aOR</w:t>
            </w:r>
            <w:proofErr w:type="spellEnd"/>
            <w:r w:rsidRPr="00113A2E">
              <w:rPr>
                <w:rFonts w:ascii="Arial" w:hAnsi="Arial" w:cs="Arial"/>
                <w:sz w:val="16"/>
                <w:szCs w:val="16"/>
              </w:rPr>
              <w:t> = 2.83; 95% CI = 2.11–3.80] and rural areas [</w:t>
            </w:r>
            <w:proofErr w:type="spellStart"/>
            <w:r w:rsidRPr="00113A2E">
              <w:rPr>
                <w:rFonts w:ascii="Arial" w:hAnsi="Arial" w:cs="Arial"/>
                <w:sz w:val="16"/>
                <w:szCs w:val="16"/>
              </w:rPr>
              <w:t>aOR</w:t>
            </w:r>
            <w:proofErr w:type="spellEnd"/>
            <w:r w:rsidRPr="00113A2E">
              <w:rPr>
                <w:rFonts w:ascii="Arial" w:hAnsi="Arial" w:cs="Arial"/>
                <w:sz w:val="16"/>
                <w:szCs w:val="16"/>
              </w:rPr>
              <w:t> = 2.58; 95% CI = 2.17–3.07]). However, the odds were higher in urban areas.  Compared to women who had no antenatal care, those who had 4+ ANC visits were more likely to deliver through caesarean delivery, with higher odds in rural [</w:t>
            </w:r>
            <w:proofErr w:type="spellStart"/>
            <w:r w:rsidRPr="00113A2E">
              <w:rPr>
                <w:rFonts w:ascii="Arial" w:hAnsi="Arial" w:cs="Arial"/>
                <w:sz w:val="16"/>
                <w:szCs w:val="16"/>
              </w:rPr>
              <w:t>aOR</w:t>
            </w:r>
            <w:proofErr w:type="spellEnd"/>
            <w:r w:rsidRPr="00113A2E">
              <w:rPr>
                <w:rFonts w:ascii="Arial" w:hAnsi="Arial" w:cs="Arial"/>
                <w:sz w:val="16"/>
                <w:szCs w:val="16"/>
              </w:rPr>
              <w:t> = 4.49; 95% CI = 3.42–5.89] compared to urban [</w:t>
            </w:r>
            <w:proofErr w:type="spellStart"/>
            <w:r w:rsidRPr="00113A2E">
              <w:rPr>
                <w:rFonts w:ascii="Arial" w:hAnsi="Arial" w:cs="Arial"/>
                <w:sz w:val="16"/>
                <w:szCs w:val="16"/>
              </w:rPr>
              <w:t>aOR</w:t>
            </w:r>
            <w:proofErr w:type="spellEnd"/>
            <w:r w:rsidRPr="00113A2E">
              <w:rPr>
                <w:rFonts w:ascii="Arial" w:hAnsi="Arial" w:cs="Arial"/>
                <w:sz w:val="16"/>
                <w:szCs w:val="16"/>
              </w:rPr>
              <w:t> = 2.71; 95% CI = 1.80–4.11].  Women with a higher level of education more likely to deliver through caesarean delivery than those with no formal education in both rural and urban areas-odds were significant in rural areas only [</w:t>
            </w:r>
            <w:proofErr w:type="spellStart"/>
            <w:r w:rsidRPr="00113A2E">
              <w:rPr>
                <w:rFonts w:ascii="Arial" w:hAnsi="Arial" w:cs="Arial"/>
                <w:sz w:val="16"/>
                <w:szCs w:val="16"/>
              </w:rPr>
              <w:t>aOR</w:t>
            </w:r>
            <w:proofErr w:type="spellEnd"/>
            <w:r w:rsidRPr="00113A2E">
              <w:rPr>
                <w:rFonts w:ascii="Arial" w:hAnsi="Arial" w:cs="Arial"/>
                <w:sz w:val="16"/>
                <w:szCs w:val="16"/>
              </w:rPr>
              <w:t> = 1.42; 95% CI = 1.15–1.76]. Women covered by health insurance more likely to deliver through caesarean delivery than those who were not covered in rural and urban areas- odds higher in rural areas [</w:t>
            </w:r>
            <w:proofErr w:type="spellStart"/>
            <w:r w:rsidRPr="00113A2E">
              <w:rPr>
                <w:rFonts w:ascii="Arial" w:hAnsi="Arial" w:cs="Arial"/>
                <w:sz w:val="16"/>
                <w:szCs w:val="16"/>
              </w:rPr>
              <w:t>aOR</w:t>
            </w:r>
            <w:proofErr w:type="spellEnd"/>
            <w:r w:rsidRPr="00113A2E">
              <w:rPr>
                <w:rFonts w:ascii="Arial" w:hAnsi="Arial" w:cs="Arial"/>
                <w:sz w:val="16"/>
                <w:szCs w:val="16"/>
              </w:rPr>
              <w:t> = 1.65; 95% CI = 1.41–1.94] when compared to urban [</w:t>
            </w:r>
            <w:proofErr w:type="spellStart"/>
            <w:r w:rsidRPr="00113A2E">
              <w:rPr>
                <w:rFonts w:ascii="Arial" w:hAnsi="Arial" w:cs="Arial"/>
                <w:sz w:val="16"/>
                <w:szCs w:val="16"/>
              </w:rPr>
              <w:t>aOR</w:t>
            </w:r>
            <w:proofErr w:type="spellEnd"/>
            <w:r w:rsidRPr="00113A2E">
              <w:rPr>
                <w:rFonts w:ascii="Arial" w:hAnsi="Arial" w:cs="Arial"/>
                <w:sz w:val="16"/>
                <w:szCs w:val="16"/>
              </w:rPr>
              <w:t> = 1.56; 95% CI = 1.39–1.75]</w:t>
            </w:r>
          </w:p>
        </w:tc>
        <w:tc>
          <w:tcPr>
            <w:tcW w:w="2126" w:type="dxa"/>
          </w:tcPr>
          <w:p w14:paraId="1CC277FC"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sz w:val="16"/>
                <w:szCs w:val="16"/>
              </w:rPr>
              <w:t>Caesarean delivery higher in urban (10.37%; 95% CI = 8.99–11.75) than rural (3.78%; 95% CI = 3.17-4.39) across the 28 countries</w:t>
            </w:r>
          </w:p>
        </w:tc>
        <w:tc>
          <w:tcPr>
            <w:tcW w:w="1339" w:type="dxa"/>
            <w:tcBorders>
              <w:left w:val="single" w:sz="8" w:space="0" w:color="auto"/>
            </w:tcBorders>
          </w:tcPr>
          <w:p w14:paraId="6B81CA4C"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advantage</w:t>
            </w:r>
          </w:p>
        </w:tc>
      </w:tr>
      <w:tr w:rsidR="0028110C" w:rsidRPr="00113A2E" w14:paraId="34AB5F66" w14:textId="77777777" w:rsidTr="00113A2E">
        <w:trPr>
          <w:trHeight w:val="20"/>
          <w:jc w:val="center"/>
        </w:trPr>
        <w:tc>
          <w:tcPr>
            <w:tcW w:w="1413" w:type="dxa"/>
          </w:tcPr>
          <w:p w14:paraId="00AFC650"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lastRenderedPageBreak/>
              <w:t xml:space="preserve">Saaka, M., &amp; </w:t>
            </w:r>
            <w:proofErr w:type="spellStart"/>
            <w:r w:rsidRPr="00113A2E">
              <w:rPr>
                <w:rFonts w:ascii="Arial" w:hAnsi="Arial" w:cs="Arial"/>
                <w:color w:val="000000" w:themeColor="text1"/>
                <w:sz w:val="16"/>
                <w:szCs w:val="16"/>
              </w:rPr>
              <w:t>Akuamoah-Boateng</w:t>
            </w:r>
            <w:proofErr w:type="spellEnd"/>
            <w:r w:rsidRPr="00113A2E">
              <w:rPr>
                <w:rFonts w:ascii="Arial" w:hAnsi="Arial" w:cs="Arial"/>
                <w:color w:val="000000" w:themeColor="text1"/>
                <w:sz w:val="16"/>
                <w:szCs w:val="16"/>
              </w:rPr>
              <w:t>, J. (2020)</w:t>
            </w:r>
          </w:p>
        </w:tc>
        <w:tc>
          <w:tcPr>
            <w:tcW w:w="850" w:type="dxa"/>
          </w:tcPr>
          <w:p w14:paraId="7257A73A"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3" w:type="dxa"/>
          </w:tcPr>
          <w:p w14:paraId="27B756CE" w14:textId="77777777" w:rsidR="0028110C" w:rsidRPr="00113A2E" w:rsidRDefault="0028110C" w:rsidP="00136C51">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Population &amp; Housing Census (2010)- 720 post-partum women. </w:t>
            </w:r>
          </w:p>
        </w:tc>
        <w:tc>
          <w:tcPr>
            <w:tcW w:w="992" w:type="dxa"/>
          </w:tcPr>
          <w:p w14:paraId="3F89F015"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Ghana</w:t>
            </w:r>
          </w:p>
        </w:tc>
        <w:tc>
          <w:tcPr>
            <w:tcW w:w="1417" w:type="dxa"/>
          </w:tcPr>
          <w:p w14:paraId="29CC27E7" w14:textId="77777777" w:rsidR="0028110C" w:rsidRPr="00113A2E" w:rsidRDefault="0028110C" w:rsidP="00136C51">
            <w:pPr>
              <w:pStyle w:val="ListParagraph"/>
              <w:ind w:left="0"/>
              <w:rPr>
                <w:rFonts w:ascii="Arial" w:hAnsi="Arial" w:cs="Arial"/>
                <w:sz w:val="16"/>
                <w:szCs w:val="16"/>
              </w:rPr>
            </w:pPr>
            <w:r w:rsidRPr="00113A2E">
              <w:rPr>
                <w:rFonts w:ascii="Arial" w:hAnsi="Arial" w:cs="Arial"/>
                <w:sz w:val="16"/>
                <w:szCs w:val="16"/>
              </w:rPr>
              <w:t>Population size, SBA, maternal education, wealth, knowledge of danger signs, distance from health facility, ANC</w:t>
            </w:r>
          </w:p>
        </w:tc>
        <w:tc>
          <w:tcPr>
            <w:tcW w:w="4820" w:type="dxa"/>
          </w:tcPr>
          <w:p w14:paraId="18238D55"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Determinants in U&amp;R similar but of diff levels &amp; strengths.  Rural: key determinants of SBA were maternal age (AT LEAST 35) (OR= 9.8 CI=2.21-43.06 at P=&lt;0.01), high household wealth index (OR=2.37 CI=1.09-5.89 at p = &lt;0.05), parity PARA &gt; 1 (OR= 11.88 CI=3.76-37.56 at p=&lt;0.001), SHORTER distance from health facility (OR=6.05 CI=2.54-14.39 at p=&lt;0.001), HIGH decision-making autonomy of women (OR=8.24 CI=3.32-20.08 at p=&lt;0.001), low perceived barriers to skilled birth services (OR= 10.98 CI=7.27-50.08 at p=&lt;0.001), at least 4-frequency of antenatal care (ANC) attendance (OR=34.86 CI=12.74-95.38 at p=&lt;0.001), and no knowledge of danger signs during delivery (OR=2.91 CI1.03-8.19 at p=&lt;0.5). Urban: consistent determinants were parity p &gt; 1 (OR= 4.2 CI=1.92-9.21 at p=&lt;0.001), distance from health facility less than 4km (OR= 9.62 CI=3.78-24.49 at p=&lt;0.001), higher women's autonomy in decision-making (OR=2.65 CI=1.41-4.97 at p=&lt;0.01), low perceived barriers to skilled birth services (OR= 4.22 CI=2.32-7.49 at p=&lt;0.001), and  at least 4-frequency of ANC attendance (OR=3.93 CI=2.21-6.86 at p=&lt;0.001). Household wealth index, maternal age, and knowledge of danger signs during delivery were therefore not important determinants of SBA in the urban areas. 37.4% of births in rural &amp; 47.1% in urban among women with no education were assisted by SBAs, compared to 75% in rural &amp; 52.5% in urban among those with secondary education or more (p= 0.001)- % difference between education levels was greater in rural (p=0.001). Distance to the nearest health facility had a significant influence on SBA- rural = 75.0% of women living within 1–3 km of a health facility gave birth with SBAs compared with 30.2% of women living at least 4 km from a facility (p= &lt;0.001). SBA= 34.9 and 3.9 times higher for women who attended ANC at least four times in rural &amp; urban areas, respectively, compared to those who attended ANC &lt; 4.</w:t>
            </w:r>
          </w:p>
        </w:tc>
        <w:tc>
          <w:tcPr>
            <w:tcW w:w="2126" w:type="dxa"/>
          </w:tcPr>
          <w:p w14:paraId="26F1A323"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SBA higher in urban than rural (AOR = 1.59; CI: 1. 07–2.37; p=0.02).</w:t>
            </w:r>
          </w:p>
        </w:tc>
        <w:tc>
          <w:tcPr>
            <w:tcW w:w="1339" w:type="dxa"/>
            <w:tcBorders>
              <w:left w:val="single" w:sz="8" w:space="0" w:color="auto"/>
            </w:tcBorders>
          </w:tcPr>
          <w:p w14:paraId="1F0C4478" w14:textId="77777777" w:rsidR="0028110C" w:rsidRPr="00113A2E" w:rsidRDefault="0028110C" w:rsidP="00136C51">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advantage</w:t>
            </w:r>
          </w:p>
        </w:tc>
      </w:tr>
    </w:tbl>
    <w:p w14:paraId="73B0FDD8" w14:textId="77777777" w:rsidR="00E83CD4" w:rsidRPr="00113A2E" w:rsidRDefault="00E83CD4" w:rsidP="00E83CD4">
      <w:pPr>
        <w:rPr>
          <w:rFonts w:ascii="Arial" w:hAnsi="Arial" w:cs="Arial"/>
        </w:rPr>
      </w:pPr>
    </w:p>
    <w:p w14:paraId="0B1A5FF9" w14:textId="77777777" w:rsidR="00E83CD4" w:rsidRPr="00113A2E" w:rsidRDefault="00E83CD4" w:rsidP="00E83CD4">
      <w:pPr>
        <w:rPr>
          <w:rFonts w:ascii="Arial" w:hAnsi="Arial" w:cs="Arial"/>
        </w:rPr>
      </w:pPr>
    </w:p>
    <w:p w14:paraId="41772EA6" w14:textId="77777777" w:rsidR="00D474B3" w:rsidRPr="00113A2E" w:rsidRDefault="00D474B3" w:rsidP="00E83CD4">
      <w:pPr>
        <w:rPr>
          <w:rFonts w:ascii="Arial" w:hAnsi="Arial" w:cs="Arial"/>
        </w:rPr>
      </w:pPr>
    </w:p>
    <w:p w14:paraId="5E9A8158" w14:textId="77777777" w:rsidR="00CD1E47" w:rsidRPr="00113A2E" w:rsidRDefault="00CD1E47" w:rsidP="00E83CD4">
      <w:pPr>
        <w:rPr>
          <w:rFonts w:ascii="Arial" w:hAnsi="Arial" w:cs="Arial"/>
        </w:rPr>
      </w:pPr>
    </w:p>
    <w:p w14:paraId="6AB9AB64" w14:textId="77777777" w:rsidR="00CD1E47" w:rsidRPr="00113A2E" w:rsidRDefault="00CD1E47" w:rsidP="00E83CD4">
      <w:pPr>
        <w:rPr>
          <w:rFonts w:ascii="Arial" w:hAnsi="Arial" w:cs="Arial"/>
        </w:rPr>
      </w:pPr>
    </w:p>
    <w:p w14:paraId="4CC69031" w14:textId="77777777" w:rsidR="00136C51" w:rsidRPr="00113A2E" w:rsidRDefault="00136C51" w:rsidP="00E83CD4">
      <w:pPr>
        <w:rPr>
          <w:rFonts w:ascii="Arial" w:hAnsi="Arial" w:cs="Arial"/>
        </w:rPr>
      </w:pPr>
    </w:p>
    <w:p w14:paraId="438A84A2" w14:textId="77777777" w:rsidR="00136C51" w:rsidRPr="00113A2E" w:rsidRDefault="00136C51" w:rsidP="00E83CD4">
      <w:pPr>
        <w:rPr>
          <w:rFonts w:ascii="Arial" w:hAnsi="Arial" w:cs="Arial"/>
        </w:rPr>
      </w:pPr>
    </w:p>
    <w:p w14:paraId="43D8821C" w14:textId="77777777" w:rsidR="00136C51" w:rsidRPr="00113A2E" w:rsidRDefault="00136C51" w:rsidP="00E83CD4">
      <w:pPr>
        <w:rPr>
          <w:rFonts w:ascii="Arial" w:hAnsi="Arial" w:cs="Arial"/>
        </w:rPr>
      </w:pPr>
    </w:p>
    <w:p w14:paraId="1024939D" w14:textId="77777777" w:rsidR="00136C51" w:rsidRPr="00113A2E" w:rsidRDefault="00136C51" w:rsidP="00E83CD4">
      <w:pPr>
        <w:rPr>
          <w:rFonts w:ascii="Arial" w:hAnsi="Arial" w:cs="Arial"/>
        </w:rPr>
      </w:pPr>
    </w:p>
    <w:p w14:paraId="33B65E28" w14:textId="77777777" w:rsidR="00136C51" w:rsidRPr="00113A2E" w:rsidRDefault="00136C51" w:rsidP="00E83CD4">
      <w:pPr>
        <w:rPr>
          <w:rFonts w:ascii="Arial" w:hAnsi="Arial" w:cs="Arial"/>
        </w:rPr>
      </w:pPr>
    </w:p>
    <w:p w14:paraId="1C4E978C" w14:textId="77777777" w:rsidR="00136C51" w:rsidRPr="00113A2E" w:rsidRDefault="00136C51" w:rsidP="00E83CD4">
      <w:pPr>
        <w:rPr>
          <w:rFonts w:ascii="Arial" w:hAnsi="Arial" w:cs="Arial"/>
        </w:rPr>
      </w:pPr>
    </w:p>
    <w:p w14:paraId="62D7462F" w14:textId="77777777" w:rsidR="00136C51" w:rsidRPr="00113A2E" w:rsidRDefault="00136C51" w:rsidP="00E83CD4">
      <w:pPr>
        <w:rPr>
          <w:rFonts w:ascii="Arial" w:hAnsi="Arial" w:cs="Arial"/>
        </w:rPr>
      </w:pPr>
    </w:p>
    <w:p w14:paraId="40813354" w14:textId="1645BEDF" w:rsidR="00D474B3" w:rsidRPr="00113A2E" w:rsidRDefault="00384A75" w:rsidP="00E83CD4">
      <w:pPr>
        <w:rPr>
          <w:rFonts w:ascii="Arial" w:hAnsi="Arial" w:cs="Arial"/>
        </w:rPr>
      </w:pPr>
      <w:proofErr w:type="spellStart"/>
      <w:r>
        <w:rPr>
          <w:rFonts w:ascii="Arial" w:hAnsi="Arial" w:cs="Arial"/>
        </w:rPr>
        <w:t>C</w:t>
      </w:r>
      <w:r w:rsidR="00D474B3" w:rsidRPr="00113A2E">
        <w:rPr>
          <w:rFonts w:ascii="Arial" w:hAnsi="Arial" w:cs="Arial"/>
        </w:rPr>
        <w:t>ii</w:t>
      </w:r>
      <w:proofErr w:type="spellEnd"/>
      <w:r w:rsidR="00D474B3" w:rsidRPr="00113A2E">
        <w:rPr>
          <w:rFonts w:ascii="Arial" w:hAnsi="Arial" w:cs="Arial"/>
        </w:rPr>
        <w:t xml:space="preserve">: </w:t>
      </w:r>
      <w:proofErr w:type="spellStart"/>
      <w:r w:rsidR="00D474B3" w:rsidRPr="00113A2E">
        <w:rPr>
          <w:rFonts w:ascii="Arial" w:hAnsi="Arial" w:cs="Arial"/>
        </w:rPr>
        <w:t>Urbanicity</w:t>
      </w:r>
      <w:proofErr w:type="spellEnd"/>
      <w:r w:rsidR="00D474B3" w:rsidRPr="00113A2E">
        <w:rPr>
          <w:rFonts w:ascii="Arial" w:hAnsi="Arial" w:cs="Arial"/>
        </w:rPr>
        <w:t xml:space="preserve"> stratified by urban formal, urban informal/slum and rural</w:t>
      </w:r>
    </w:p>
    <w:p w14:paraId="7A196807" w14:textId="77777777" w:rsidR="00136C51" w:rsidRPr="00113A2E" w:rsidRDefault="00136C51" w:rsidP="00E83CD4">
      <w:pPr>
        <w:rPr>
          <w:rFonts w:ascii="Arial" w:hAnsi="Arial" w:cs="Arial"/>
        </w:rPr>
      </w:pPr>
    </w:p>
    <w:tbl>
      <w:tblPr>
        <w:tblStyle w:val="TableGrid"/>
        <w:tblW w:w="0" w:type="auto"/>
        <w:tblLayout w:type="fixed"/>
        <w:tblLook w:val="04A0" w:firstRow="1" w:lastRow="0" w:firstColumn="1" w:lastColumn="0" w:noHBand="0" w:noVBand="1"/>
      </w:tblPr>
      <w:tblGrid>
        <w:gridCol w:w="1097"/>
        <w:gridCol w:w="741"/>
        <w:gridCol w:w="992"/>
        <w:gridCol w:w="993"/>
        <w:gridCol w:w="1417"/>
        <w:gridCol w:w="5054"/>
        <w:gridCol w:w="2630"/>
        <w:gridCol w:w="1026"/>
      </w:tblGrid>
      <w:tr w:rsidR="00136C51" w:rsidRPr="00113A2E" w14:paraId="738B3B09" w14:textId="77777777" w:rsidTr="00136C51">
        <w:trPr>
          <w:trHeight w:val="558"/>
        </w:trPr>
        <w:tc>
          <w:tcPr>
            <w:tcW w:w="13950" w:type="dxa"/>
            <w:gridSpan w:val="8"/>
            <w:shd w:val="clear" w:color="auto" w:fill="83CAEB" w:themeFill="accent1" w:themeFillTint="66"/>
          </w:tcPr>
          <w:p w14:paraId="4197B1C2" w14:textId="77777777" w:rsidR="00136C51" w:rsidRPr="00113A2E" w:rsidRDefault="00136C51"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Urbanicity stratified by urban formal + urban informal/slum + rural</w:t>
            </w:r>
          </w:p>
        </w:tc>
      </w:tr>
      <w:tr w:rsidR="00136C51" w:rsidRPr="00113A2E" w14:paraId="432B7529" w14:textId="77777777" w:rsidTr="00136C51">
        <w:trPr>
          <w:trHeight w:val="806"/>
        </w:trPr>
        <w:tc>
          <w:tcPr>
            <w:tcW w:w="1097" w:type="dxa"/>
            <w:shd w:val="clear" w:color="auto" w:fill="C1E4F5" w:themeFill="accent1" w:themeFillTint="33"/>
          </w:tcPr>
          <w:p w14:paraId="3F64C720"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Reference</w:t>
            </w:r>
          </w:p>
        </w:tc>
        <w:tc>
          <w:tcPr>
            <w:tcW w:w="741" w:type="dxa"/>
            <w:shd w:val="clear" w:color="auto" w:fill="C1E4F5" w:themeFill="accent1" w:themeFillTint="33"/>
          </w:tcPr>
          <w:p w14:paraId="1837DE09"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Study design</w:t>
            </w:r>
          </w:p>
        </w:tc>
        <w:tc>
          <w:tcPr>
            <w:tcW w:w="992" w:type="dxa"/>
            <w:shd w:val="clear" w:color="auto" w:fill="C1E4F5" w:themeFill="accent1" w:themeFillTint="33"/>
          </w:tcPr>
          <w:p w14:paraId="324DB6B8"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Data set</w:t>
            </w:r>
          </w:p>
        </w:tc>
        <w:tc>
          <w:tcPr>
            <w:tcW w:w="993" w:type="dxa"/>
            <w:shd w:val="clear" w:color="auto" w:fill="C1E4F5" w:themeFill="accent1" w:themeFillTint="33"/>
          </w:tcPr>
          <w:p w14:paraId="6A677434"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Country</w:t>
            </w:r>
          </w:p>
        </w:tc>
        <w:tc>
          <w:tcPr>
            <w:tcW w:w="1417" w:type="dxa"/>
            <w:shd w:val="clear" w:color="auto" w:fill="C1E4F5" w:themeFill="accent1" w:themeFillTint="33"/>
          </w:tcPr>
          <w:p w14:paraId="1DE1D40C"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Factors considered across urban continuum to explain mortality</w:t>
            </w:r>
          </w:p>
        </w:tc>
        <w:tc>
          <w:tcPr>
            <w:tcW w:w="5054" w:type="dxa"/>
            <w:shd w:val="clear" w:color="auto" w:fill="C1E4F5" w:themeFill="accent1" w:themeFillTint="33"/>
          </w:tcPr>
          <w:p w14:paraId="7B908C13"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Evidence on underlying factors</w:t>
            </w:r>
          </w:p>
        </w:tc>
        <w:tc>
          <w:tcPr>
            <w:tcW w:w="2630" w:type="dxa"/>
            <w:shd w:val="clear" w:color="auto" w:fill="C1E4F5" w:themeFill="accent1" w:themeFillTint="33"/>
          </w:tcPr>
          <w:p w14:paraId="735AAC2F"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Mortality / morbidity outcomes</w:t>
            </w:r>
          </w:p>
        </w:tc>
        <w:tc>
          <w:tcPr>
            <w:tcW w:w="1026" w:type="dxa"/>
            <w:tcBorders>
              <w:left w:val="single" w:sz="8" w:space="0" w:color="auto"/>
            </w:tcBorders>
            <w:shd w:val="clear" w:color="auto" w:fill="C1E4F5" w:themeFill="accent1" w:themeFillTint="33"/>
          </w:tcPr>
          <w:p w14:paraId="788C8DDE"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Direction / magnitude of change</w:t>
            </w:r>
          </w:p>
        </w:tc>
      </w:tr>
      <w:tr w:rsidR="0028110C" w:rsidRPr="00113A2E" w14:paraId="319BF14E" w14:textId="77777777" w:rsidTr="00136C51">
        <w:trPr>
          <w:trHeight w:val="2136"/>
        </w:trPr>
        <w:tc>
          <w:tcPr>
            <w:tcW w:w="1097" w:type="dxa"/>
          </w:tcPr>
          <w:p w14:paraId="753A74F1" w14:textId="77777777" w:rsidR="0028110C" w:rsidRPr="00113A2E" w:rsidRDefault="0028110C" w:rsidP="00B05415">
            <w:pPr>
              <w:autoSpaceDE w:val="0"/>
              <w:autoSpaceDN w:val="0"/>
              <w:adjustRightInd w:val="0"/>
              <w:rPr>
                <w:rFonts w:ascii="Arial" w:hAnsi="Arial" w:cs="Arial"/>
                <w:color w:val="000000" w:themeColor="text1"/>
                <w:sz w:val="16"/>
                <w:szCs w:val="16"/>
              </w:rPr>
            </w:pPr>
            <w:proofErr w:type="spellStart"/>
            <w:r w:rsidRPr="00113A2E">
              <w:rPr>
                <w:rFonts w:ascii="Arial" w:hAnsi="Arial" w:cs="Arial"/>
                <w:color w:val="000000" w:themeColor="text1"/>
                <w:sz w:val="16"/>
                <w:szCs w:val="16"/>
              </w:rPr>
              <w:t>Obanewa</w:t>
            </w:r>
            <w:proofErr w:type="spellEnd"/>
            <w:r w:rsidRPr="00113A2E">
              <w:rPr>
                <w:rFonts w:ascii="Arial" w:hAnsi="Arial" w:cs="Arial"/>
                <w:color w:val="000000" w:themeColor="text1"/>
                <w:sz w:val="16"/>
                <w:szCs w:val="16"/>
              </w:rPr>
              <w:t>, O. A., &amp; Newell, M. L. (2020)</w:t>
            </w:r>
          </w:p>
          <w:p w14:paraId="5EA53397" w14:textId="77777777" w:rsidR="0028110C" w:rsidRPr="00113A2E" w:rsidRDefault="0028110C" w:rsidP="00B05415">
            <w:pPr>
              <w:autoSpaceDE w:val="0"/>
              <w:autoSpaceDN w:val="0"/>
              <w:adjustRightInd w:val="0"/>
              <w:rPr>
                <w:rFonts w:ascii="Arial" w:hAnsi="Arial" w:cs="Arial"/>
                <w:color w:val="000000" w:themeColor="text1"/>
                <w:sz w:val="16"/>
                <w:szCs w:val="16"/>
              </w:rPr>
            </w:pPr>
          </w:p>
        </w:tc>
        <w:tc>
          <w:tcPr>
            <w:tcW w:w="741" w:type="dxa"/>
          </w:tcPr>
          <w:p w14:paraId="02B91362"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2" w:type="dxa"/>
          </w:tcPr>
          <w:p w14:paraId="11293CD1" w14:textId="44E1FC5C"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DHS 2003-1</w:t>
            </w:r>
            <w:r w:rsidR="00136C51" w:rsidRPr="00113A2E">
              <w:rPr>
                <w:rFonts w:ascii="Arial" w:hAnsi="Arial" w:cs="Arial"/>
                <w:color w:val="000000" w:themeColor="text1"/>
                <w:sz w:val="16"/>
                <w:szCs w:val="16"/>
              </w:rPr>
              <w:t>3</w:t>
            </w:r>
          </w:p>
        </w:tc>
        <w:tc>
          <w:tcPr>
            <w:tcW w:w="993" w:type="dxa"/>
          </w:tcPr>
          <w:p w14:paraId="760EE9D4"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Nigeria</w:t>
            </w:r>
          </w:p>
        </w:tc>
        <w:tc>
          <w:tcPr>
            <w:tcW w:w="1417" w:type="dxa"/>
          </w:tcPr>
          <w:p w14:paraId="352D5AEF"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sz w:val="16"/>
                <w:szCs w:val="16"/>
              </w:rPr>
              <w:t>Population size, improved water and sanitation, education, mothers age, household media exposure, distance to health facility, religion</w:t>
            </w:r>
          </w:p>
        </w:tc>
        <w:tc>
          <w:tcPr>
            <w:tcW w:w="5054" w:type="dxa"/>
          </w:tcPr>
          <w:p w14:paraId="2806527A"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sz w:val="16"/>
                <w:szCs w:val="16"/>
              </w:rPr>
              <w:t xml:space="preserve">In each setting, factors significantly associated with FIC were place of delivery (R= 1.47 (1.12,1.94); U= 2.62 (1.43,4.79) S= 5.39 (2.18,13.33), maternal ANC attendance (R= 8.37 (5.34,13.12) U= 6.82 (2.29,20.34) S=8.07 (2.15,30.25) and maternal (higher) education level = R= 4.99 (2.48,10.06) U= 9.18 (3.05,27.64) S= 5.03 (1.52,16.65). FIC significantly increased with (1) higher maternal education &amp; (2) mothers age at birth in all areas- association largest in urban. Compared Muslim, a Christian = higher odds of FIC, especially in the slums. FIC was significantly associated with birth order in urban formal &amp; slums, religion in rural &amp; slums, maternal age in rural &amp; urban formal, media exposure and distance to the health facility (1.76 (1.35,2.29) in rural, and with current maternal marital status and decision-maker of maternal income in slums. FIC was not significantly associated in any setting with sex of the household head, mother employment status and household wealth. </w:t>
            </w:r>
            <w:r w:rsidRPr="00113A2E">
              <w:rPr>
                <w:rFonts w:ascii="Arial" w:hAnsi="Arial" w:cs="Arial"/>
                <w:color w:val="000000" w:themeColor="text1"/>
                <w:sz w:val="16"/>
                <w:szCs w:val="16"/>
              </w:rPr>
              <w:t xml:space="preserve">The association between FIC and (1) household media exposure </w:t>
            </w:r>
            <w:r w:rsidRPr="00113A2E">
              <w:rPr>
                <w:rFonts w:ascii="Arial" w:hAnsi="Arial" w:cs="Arial"/>
                <w:color w:val="000000" w:themeColor="text1"/>
                <w:sz w:val="16"/>
                <w:szCs w:val="16"/>
                <w:shd w:val="clear" w:color="auto" w:fill="FFFFFF"/>
              </w:rPr>
              <w:t>1.91 (1.43,2.54)</w:t>
            </w:r>
            <w:r w:rsidRPr="00113A2E">
              <w:rPr>
                <w:rFonts w:ascii="Arial" w:hAnsi="Arial" w:cs="Arial"/>
                <w:color w:val="000000" w:themeColor="text1"/>
                <w:sz w:val="16"/>
                <w:szCs w:val="16"/>
              </w:rPr>
              <w:t xml:space="preserve">, (2) distance to nearest health facility (1.76; 1.35-2.29) was </w:t>
            </w:r>
            <w:r w:rsidRPr="00113A2E">
              <w:rPr>
                <w:rFonts w:ascii="Arial" w:hAnsi="Arial" w:cs="Arial"/>
                <w:sz w:val="16"/>
                <w:szCs w:val="16"/>
              </w:rPr>
              <w:t>significant only in rural areas.</w:t>
            </w:r>
          </w:p>
        </w:tc>
        <w:tc>
          <w:tcPr>
            <w:tcW w:w="2630" w:type="dxa"/>
          </w:tcPr>
          <w:p w14:paraId="1596C905"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sz w:val="16"/>
                <w:szCs w:val="16"/>
              </w:rPr>
              <w:t xml:space="preserve">FIC lowest in rural areas, with slum FIC coverage higher than in rural but lower than in urban formal areas (69% higher in urban formal, 45% </w:t>
            </w:r>
            <w:r w:rsidRPr="00113A2E">
              <w:rPr>
                <w:rFonts w:ascii="Arial" w:hAnsi="Arial" w:cs="Arial"/>
                <w:color w:val="000000" w:themeColor="text1"/>
                <w:sz w:val="16"/>
                <w:szCs w:val="16"/>
              </w:rPr>
              <w:t xml:space="preserve">higher in slum) </w:t>
            </w:r>
            <w:r w:rsidRPr="00113A2E">
              <w:rPr>
                <w:rFonts w:ascii="Arial" w:hAnsi="Arial" w:cs="Arial"/>
                <w:sz w:val="16"/>
                <w:szCs w:val="16"/>
              </w:rPr>
              <w:t xml:space="preserve">FIC for rural, urban formal and slum rose from 7.4, 25.6 and 24.9% respectively in 2003 to 15.8, 45.5 and 38.5% in 2013, and varied across socio-demographics. </w:t>
            </w:r>
            <w:r w:rsidRPr="00113A2E">
              <w:rPr>
                <w:rFonts w:ascii="Arial" w:hAnsi="Arial" w:cs="Arial"/>
                <w:i/>
                <w:iCs/>
                <w:sz w:val="16"/>
                <w:szCs w:val="16"/>
              </w:rPr>
              <w:t>However, with the introduction of community variables and interaction terms in Model 3, FIC for an urban child (adjusted Odds Ratio (</w:t>
            </w:r>
            <w:proofErr w:type="spellStart"/>
            <w:r w:rsidRPr="00113A2E">
              <w:rPr>
                <w:rFonts w:ascii="Arial" w:hAnsi="Arial" w:cs="Arial"/>
                <w:i/>
                <w:iCs/>
                <w:sz w:val="16"/>
                <w:szCs w:val="16"/>
              </w:rPr>
              <w:t>aOR</w:t>
            </w:r>
            <w:proofErr w:type="spellEnd"/>
            <w:r w:rsidRPr="00113A2E">
              <w:rPr>
                <w:rFonts w:ascii="Arial" w:hAnsi="Arial" w:cs="Arial"/>
                <w:i/>
                <w:iCs/>
                <w:sz w:val="16"/>
                <w:szCs w:val="16"/>
              </w:rPr>
              <w:t>) =1.60, 95% CI = 0.60–4.24) compared to the rural child remained higher, but was no longer statistically significant</w:t>
            </w:r>
            <w:r w:rsidRPr="00113A2E">
              <w:rPr>
                <w:rFonts w:ascii="Arial" w:hAnsi="Arial" w:cs="Arial"/>
                <w:sz w:val="16"/>
                <w:szCs w:val="16"/>
              </w:rPr>
              <w:t>.</w:t>
            </w:r>
          </w:p>
        </w:tc>
        <w:tc>
          <w:tcPr>
            <w:tcW w:w="1026" w:type="dxa"/>
            <w:tcBorders>
              <w:left w:val="single" w:sz="8" w:space="0" w:color="auto"/>
            </w:tcBorders>
          </w:tcPr>
          <w:p w14:paraId="54AA8F38"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Rural penalty. Urban slums fare worse than formal urban.</w:t>
            </w:r>
          </w:p>
          <w:p w14:paraId="2E453F58" w14:textId="77777777" w:rsidR="0028110C" w:rsidRPr="00113A2E" w:rsidRDefault="0028110C" w:rsidP="00B05415">
            <w:pPr>
              <w:pStyle w:val="ListParagraph"/>
              <w:ind w:left="0"/>
              <w:rPr>
                <w:rFonts w:ascii="Arial" w:hAnsi="Arial" w:cs="Arial"/>
                <w:color w:val="000000" w:themeColor="text1"/>
                <w:sz w:val="16"/>
                <w:szCs w:val="16"/>
                <w:highlight w:val="cyan"/>
              </w:rPr>
            </w:pPr>
          </w:p>
        </w:tc>
      </w:tr>
      <w:tr w:rsidR="0028110C" w:rsidRPr="00113A2E" w14:paraId="487741FC" w14:textId="77777777" w:rsidTr="00136C51">
        <w:trPr>
          <w:trHeight w:val="699"/>
        </w:trPr>
        <w:tc>
          <w:tcPr>
            <w:tcW w:w="1097" w:type="dxa"/>
          </w:tcPr>
          <w:p w14:paraId="46850B1D"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Fotso, J. C., Ezeh, A. C., Madise, N. J., &amp; Ciera, J. (2007)</w:t>
            </w:r>
          </w:p>
        </w:tc>
        <w:tc>
          <w:tcPr>
            <w:tcW w:w="741" w:type="dxa"/>
          </w:tcPr>
          <w:p w14:paraId="79081FD6"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2" w:type="dxa"/>
          </w:tcPr>
          <w:p w14:paraId="47BA5FCF"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1990-2007 &amp; Nairobi cross-sectional slum survey (NCSS) 2000</w:t>
            </w:r>
          </w:p>
        </w:tc>
        <w:tc>
          <w:tcPr>
            <w:tcW w:w="993" w:type="dxa"/>
          </w:tcPr>
          <w:p w14:paraId="53FA66D5"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sz w:val="16"/>
                <w:szCs w:val="16"/>
              </w:rPr>
              <w:t>22 SSA countries with a focus on Kenya and Zambia</w:t>
            </w:r>
          </w:p>
        </w:tc>
        <w:tc>
          <w:tcPr>
            <w:tcW w:w="1417" w:type="dxa"/>
          </w:tcPr>
          <w:p w14:paraId="4847E307"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sz w:val="16"/>
                <w:szCs w:val="16"/>
              </w:rPr>
              <w:t>Population size, toilet facility, access to piped water, access to health services, FIC</w:t>
            </w:r>
          </w:p>
        </w:tc>
        <w:tc>
          <w:tcPr>
            <w:tcW w:w="5054" w:type="dxa"/>
          </w:tcPr>
          <w:p w14:paraId="08DD61BB" w14:textId="77777777" w:rsidR="0028110C" w:rsidRPr="00113A2E" w:rsidRDefault="0028110C" w:rsidP="00B05415">
            <w:pPr>
              <w:rPr>
                <w:rFonts w:ascii="Arial" w:hAnsi="Arial" w:cs="Arial"/>
                <w:sz w:val="16"/>
                <w:szCs w:val="16"/>
              </w:rPr>
            </w:pPr>
            <w:r w:rsidRPr="00113A2E">
              <w:rPr>
                <w:rFonts w:ascii="Arial" w:hAnsi="Arial" w:cs="Arial"/>
                <w:sz w:val="16"/>
                <w:szCs w:val="16"/>
              </w:rPr>
              <w:t>More rapid urban population growth is associated with negative trend in access to safe drinking water (correlation of -0.42; p value of 0.07) and in vaccination coverage (correlation of -0.57, p value of 0.01), and ultimately to increasing child mortality. Intra-urban disparities in child health Kenya and Zambia for example.</w:t>
            </w:r>
          </w:p>
          <w:p w14:paraId="2FFB02C6" w14:textId="77777777" w:rsidR="0028110C" w:rsidRPr="00113A2E" w:rsidRDefault="0028110C" w:rsidP="00B05415">
            <w:pPr>
              <w:rPr>
                <w:rFonts w:ascii="Arial" w:hAnsi="Arial" w:cs="Arial"/>
                <w:sz w:val="16"/>
                <w:szCs w:val="16"/>
              </w:rPr>
            </w:pPr>
            <w:r w:rsidRPr="00113A2E">
              <w:rPr>
                <w:rFonts w:ascii="Arial" w:hAnsi="Arial" w:cs="Arial"/>
                <w:sz w:val="16"/>
                <w:szCs w:val="16"/>
              </w:rPr>
              <w:t>Kenya: Access to clean water has been deteriorating in urban slums between 1993 (87%) and 2003 (54%</w:t>
            </w:r>
            <w:proofErr w:type="gramStart"/>
            <w:r w:rsidRPr="00113A2E">
              <w:rPr>
                <w:rFonts w:ascii="Arial" w:hAnsi="Arial" w:cs="Arial"/>
                <w:sz w:val="16"/>
                <w:szCs w:val="16"/>
              </w:rPr>
              <w:t>)=</w:t>
            </w:r>
            <w:proofErr w:type="gramEnd"/>
            <w:r w:rsidRPr="00113A2E">
              <w:rPr>
                <w:rFonts w:ascii="Arial" w:hAnsi="Arial" w:cs="Arial"/>
                <w:sz w:val="16"/>
                <w:szCs w:val="16"/>
              </w:rPr>
              <w:t xml:space="preserve"> drop of 33 %, compared with 18 percent in urban Kenya and 5 percent in rural areas. % of urban children who were fully immunized dropped from 76% in 1993 to 48% in 2003. Within slums, immunization rates were lower and dropped from 71% to 43%. </w:t>
            </w:r>
          </w:p>
          <w:p w14:paraId="4BA6367A" w14:textId="77777777" w:rsidR="0028110C" w:rsidRPr="00113A2E" w:rsidRDefault="0028110C" w:rsidP="00B05415">
            <w:pPr>
              <w:rPr>
                <w:rFonts w:ascii="Arial" w:hAnsi="Arial" w:cs="Arial"/>
                <w:sz w:val="16"/>
                <w:szCs w:val="16"/>
              </w:rPr>
            </w:pPr>
            <w:r w:rsidRPr="00113A2E">
              <w:rPr>
                <w:rFonts w:ascii="Arial" w:hAnsi="Arial" w:cs="Arial"/>
                <w:sz w:val="16"/>
                <w:szCs w:val="16"/>
              </w:rPr>
              <w:t>Zambia: 1992 and 1996 Zambian DHS- Reversal in household SES between the two surveys and lower utilization of health care. In 1992, 82% of households in slums had access to piped water, but this dropped to 68% in 1996. General decline in vaccination coverage between 1992 and 2001 more pronounced in the slums (-13%) than in urban Zambia as a whole (-9%).</w:t>
            </w:r>
          </w:p>
        </w:tc>
        <w:tc>
          <w:tcPr>
            <w:tcW w:w="2630" w:type="dxa"/>
          </w:tcPr>
          <w:p w14:paraId="4284CA46"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Kenya: slum children exhibit higher and faster rates of infant mortality (39% increase from 1993-1998) than urban children (14%) and rural children (22%).</w:t>
            </w:r>
          </w:p>
          <w:p w14:paraId="7B50C51B" w14:textId="77777777" w:rsidR="0028110C" w:rsidRPr="00113A2E" w:rsidRDefault="0028110C" w:rsidP="00B05415">
            <w:pPr>
              <w:pStyle w:val="ListParagraph"/>
              <w:ind w:left="0"/>
              <w:rPr>
                <w:rFonts w:ascii="Arial" w:hAnsi="Arial" w:cs="Arial"/>
                <w:sz w:val="16"/>
                <w:szCs w:val="16"/>
              </w:rPr>
            </w:pPr>
          </w:p>
          <w:p w14:paraId="64A6894E" w14:textId="77777777" w:rsidR="0028110C" w:rsidRPr="00113A2E" w:rsidRDefault="0028110C" w:rsidP="00B05415">
            <w:pPr>
              <w:pStyle w:val="ListParagraph"/>
              <w:ind w:left="0"/>
              <w:rPr>
                <w:rFonts w:ascii="Arial" w:eastAsiaTheme="minorHAnsi" w:hAnsi="Arial" w:cs="Arial"/>
                <w:sz w:val="16"/>
                <w:szCs w:val="16"/>
                <w:lang w:eastAsia="en-US"/>
              </w:rPr>
            </w:pPr>
            <w:r w:rsidRPr="00113A2E">
              <w:rPr>
                <w:rFonts w:ascii="Arial" w:hAnsi="Arial" w:cs="Arial"/>
                <w:sz w:val="16"/>
                <w:szCs w:val="16"/>
              </w:rPr>
              <w:t>Zambia: 1992 and 1996 Zambian DHS- urban poor children = 46% higher probability of dying in infancy than the poorest rural children. Increase in infant mortality in slums of 7% vs 3% reduction in rural areas between the 2 DHS surveys.</w:t>
            </w:r>
          </w:p>
        </w:tc>
        <w:tc>
          <w:tcPr>
            <w:tcW w:w="1026" w:type="dxa"/>
            <w:tcBorders>
              <w:left w:val="single" w:sz="8" w:space="0" w:color="auto"/>
            </w:tcBorders>
          </w:tcPr>
          <w:p w14:paraId="63EE4FC6"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poor penalty</w:t>
            </w:r>
          </w:p>
        </w:tc>
      </w:tr>
      <w:tr w:rsidR="0028110C" w:rsidRPr="00113A2E" w14:paraId="0F45CE02" w14:textId="77777777" w:rsidTr="00136C51">
        <w:trPr>
          <w:trHeight w:val="2136"/>
        </w:trPr>
        <w:tc>
          <w:tcPr>
            <w:tcW w:w="1097" w:type="dxa"/>
          </w:tcPr>
          <w:p w14:paraId="222B3F55" w14:textId="77777777" w:rsidR="0028110C" w:rsidRPr="00113A2E" w:rsidRDefault="0028110C" w:rsidP="00B05415">
            <w:pPr>
              <w:autoSpaceDE w:val="0"/>
              <w:autoSpaceDN w:val="0"/>
              <w:adjustRightInd w:val="0"/>
              <w:rPr>
                <w:rFonts w:ascii="Arial" w:hAnsi="Arial" w:cs="Arial"/>
                <w:color w:val="000000" w:themeColor="text1"/>
                <w:sz w:val="16"/>
                <w:szCs w:val="16"/>
              </w:rPr>
            </w:pPr>
            <w:proofErr w:type="spellStart"/>
            <w:r w:rsidRPr="00113A2E">
              <w:rPr>
                <w:rFonts w:ascii="Arial" w:hAnsi="Arial" w:cs="Arial"/>
                <w:color w:val="000000" w:themeColor="text1"/>
                <w:sz w:val="16"/>
                <w:szCs w:val="16"/>
              </w:rPr>
              <w:lastRenderedPageBreak/>
              <w:t>Gruebner</w:t>
            </w:r>
            <w:proofErr w:type="spellEnd"/>
            <w:r w:rsidRPr="00113A2E">
              <w:rPr>
                <w:rFonts w:ascii="Arial" w:hAnsi="Arial" w:cs="Arial"/>
                <w:color w:val="000000" w:themeColor="text1"/>
                <w:sz w:val="16"/>
                <w:szCs w:val="16"/>
              </w:rPr>
              <w:t xml:space="preserve">, O., Lautenbach, S., Khan, M. M. H., Kipruto, S., </w:t>
            </w:r>
            <w:proofErr w:type="spellStart"/>
            <w:r w:rsidRPr="00113A2E">
              <w:rPr>
                <w:rFonts w:ascii="Arial" w:hAnsi="Arial" w:cs="Arial"/>
                <w:color w:val="000000" w:themeColor="text1"/>
                <w:sz w:val="16"/>
                <w:szCs w:val="16"/>
              </w:rPr>
              <w:t>Epprecht</w:t>
            </w:r>
            <w:proofErr w:type="spellEnd"/>
            <w:r w:rsidRPr="00113A2E">
              <w:rPr>
                <w:rFonts w:ascii="Arial" w:hAnsi="Arial" w:cs="Arial"/>
                <w:color w:val="000000" w:themeColor="text1"/>
                <w:sz w:val="16"/>
                <w:szCs w:val="16"/>
              </w:rPr>
              <w:t>, M., &amp; Galea, S. (2015)</w:t>
            </w:r>
          </w:p>
        </w:tc>
        <w:tc>
          <w:tcPr>
            <w:tcW w:w="741" w:type="dxa"/>
          </w:tcPr>
          <w:p w14:paraId="70297119"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992" w:type="dxa"/>
          </w:tcPr>
          <w:p w14:paraId="00E4C864"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Kenya Population &amp; Housing Census (2009)</w:t>
            </w:r>
          </w:p>
        </w:tc>
        <w:tc>
          <w:tcPr>
            <w:tcW w:w="993" w:type="dxa"/>
          </w:tcPr>
          <w:p w14:paraId="63E864FD"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Kenya</w:t>
            </w:r>
          </w:p>
        </w:tc>
        <w:tc>
          <w:tcPr>
            <w:tcW w:w="1417" w:type="dxa"/>
          </w:tcPr>
          <w:p w14:paraId="657734BF"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Population size, structural quality of housing, access to water &amp; sanitation.</w:t>
            </w:r>
          </w:p>
        </w:tc>
        <w:tc>
          <w:tcPr>
            <w:tcW w:w="5054" w:type="dxa"/>
          </w:tcPr>
          <w:p w14:paraId="292F6BD7" w14:textId="77777777" w:rsidR="0028110C" w:rsidRPr="00113A2E" w:rsidRDefault="0028110C" w:rsidP="00B05415">
            <w:pPr>
              <w:rPr>
                <w:rFonts w:ascii="Arial" w:hAnsi="Arial" w:cs="Arial"/>
                <w:sz w:val="16"/>
                <w:szCs w:val="16"/>
              </w:rPr>
            </w:pPr>
            <w:r w:rsidRPr="00113A2E">
              <w:rPr>
                <w:rFonts w:ascii="Arial" w:hAnsi="Arial" w:cs="Arial"/>
                <w:sz w:val="16"/>
                <w:szCs w:val="16"/>
              </w:rPr>
              <w:t>Living in urban reduced health promoting effects of better structural quality of housing (i.e. poor or good versus non-durable). Durable housing quality in urban areas = risk factor for infant death compared to rural. Compared to non-durable structural quality of housing, poor housing in rural reduced infant death risk by 33% (OR 0.665, 95% CI 0.626–0.706), good housing reduced risk of infant death by 31% (OR 0.690, 95% CI 0.650–0.733), and durable housing reduced risk for infant death by 18% (OR 0.821, 95% CI 0.764–0.883). These factors were amplified in urban areas, by 1.243 (95% CI 1.029–1.509) for poor housing, by 1.329 (95% CI 1.119–1.589) for good housing, and by 1.242 (95% CI 1.044–1.488) for durable housing- they significantly reduced infant death risk in these areas by 17% (in the case of poor housing) and 8% (good housing). But durable housing in urban areas increased infant death risk by 2%. For urban areas, effect of secondary education level was 0.837 (95% CI 0.731–0.959) times the OR in rural areas (0.782), which = a 22% reduction in risk for infant death for better educated mothers in urban areas.</w:t>
            </w:r>
          </w:p>
        </w:tc>
        <w:tc>
          <w:tcPr>
            <w:tcW w:w="2630" w:type="dxa"/>
          </w:tcPr>
          <w:p w14:paraId="1B48D287" w14:textId="77777777" w:rsidR="0028110C" w:rsidRPr="00113A2E" w:rsidRDefault="0028110C" w:rsidP="00B05415">
            <w:pPr>
              <w:rPr>
                <w:rFonts w:ascii="Arial" w:hAnsi="Arial" w:cs="Arial"/>
                <w:sz w:val="16"/>
                <w:szCs w:val="16"/>
              </w:rPr>
            </w:pPr>
            <w:r w:rsidRPr="00113A2E">
              <w:rPr>
                <w:rFonts w:ascii="Arial" w:hAnsi="Arial" w:cs="Arial"/>
                <w:sz w:val="16"/>
                <w:szCs w:val="16"/>
              </w:rPr>
              <w:t xml:space="preserve">higher risk of death in urban non-slum (OR 1.121, 95% CI 1.082–1.161) or slum areas (OR 1.487, 95% CI 1.407–1.570) compared to rural areas </w:t>
            </w:r>
          </w:p>
          <w:p w14:paraId="53C13A17" w14:textId="77777777" w:rsidR="0028110C" w:rsidRPr="00113A2E" w:rsidRDefault="0028110C" w:rsidP="00B05415">
            <w:pPr>
              <w:pStyle w:val="ListParagraph"/>
              <w:ind w:left="0"/>
              <w:rPr>
                <w:rFonts w:ascii="Arial" w:hAnsi="Arial" w:cs="Arial"/>
                <w:sz w:val="16"/>
                <w:szCs w:val="16"/>
              </w:rPr>
            </w:pPr>
          </w:p>
        </w:tc>
        <w:tc>
          <w:tcPr>
            <w:tcW w:w="1026" w:type="dxa"/>
            <w:tcBorders>
              <w:left w:val="single" w:sz="8" w:space="0" w:color="auto"/>
            </w:tcBorders>
          </w:tcPr>
          <w:p w14:paraId="36DE7546"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penalty</w:t>
            </w:r>
          </w:p>
        </w:tc>
      </w:tr>
      <w:tr w:rsidR="0028110C" w:rsidRPr="00113A2E" w14:paraId="53FA27F9" w14:textId="77777777" w:rsidTr="00136C51">
        <w:trPr>
          <w:trHeight w:val="2136"/>
        </w:trPr>
        <w:tc>
          <w:tcPr>
            <w:tcW w:w="1097" w:type="dxa"/>
          </w:tcPr>
          <w:p w14:paraId="03FCD276"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Kimani-Murage, E. W., Fotso, J. C., </w:t>
            </w:r>
            <w:proofErr w:type="spellStart"/>
            <w:r w:rsidRPr="00113A2E">
              <w:rPr>
                <w:rFonts w:ascii="Arial" w:hAnsi="Arial" w:cs="Arial"/>
                <w:color w:val="000000" w:themeColor="text1"/>
                <w:sz w:val="16"/>
                <w:szCs w:val="16"/>
              </w:rPr>
              <w:t>Egondi</w:t>
            </w:r>
            <w:proofErr w:type="spellEnd"/>
            <w:r w:rsidRPr="00113A2E">
              <w:rPr>
                <w:rFonts w:ascii="Arial" w:hAnsi="Arial" w:cs="Arial"/>
                <w:color w:val="000000" w:themeColor="text1"/>
                <w:sz w:val="16"/>
                <w:szCs w:val="16"/>
              </w:rPr>
              <w:t xml:space="preserve">, T., Abuya, B., </w:t>
            </w:r>
            <w:proofErr w:type="spellStart"/>
            <w:r w:rsidRPr="00113A2E">
              <w:rPr>
                <w:rFonts w:ascii="Arial" w:hAnsi="Arial" w:cs="Arial"/>
                <w:color w:val="000000" w:themeColor="text1"/>
                <w:sz w:val="16"/>
                <w:szCs w:val="16"/>
              </w:rPr>
              <w:t>Elungata</w:t>
            </w:r>
            <w:proofErr w:type="spellEnd"/>
            <w:r w:rsidRPr="00113A2E">
              <w:rPr>
                <w:rFonts w:ascii="Arial" w:hAnsi="Arial" w:cs="Arial"/>
                <w:color w:val="000000" w:themeColor="text1"/>
                <w:sz w:val="16"/>
                <w:szCs w:val="16"/>
              </w:rPr>
              <w:t xml:space="preserve">, P., </w:t>
            </w:r>
            <w:proofErr w:type="spellStart"/>
            <w:r w:rsidRPr="00113A2E">
              <w:rPr>
                <w:rFonts w:ascii="Arial" w:hAnsi="Arial" w:cs="Arial"/>
                <w:color w:val="000000" w:themeColor="text1"/>
                <w:sz w:val="16"/>
                <w:szCs w:val="16"/>
              </w:rPr>
              <w:t>Ziraba</w:t>
            </w:r>
            <w:proofErr w:type="spellEnd"/>
            <w:r w:rsidRPr="00113A2E">
              <w:rPr>
                <w:rFonts w:ascii="Arial" w:hAnsi="Arial" w:cs="Arial"/>
                <w:color w:val="000000" w:themeColor="text1"/>
                <w:sz w:val="16"/>
                <w:szCs w:val="16"/>
              </w:rPr>
              <w:t>, A. K., Kabiru, C. W., &amp; Madise, N. (2014)</w:t>
            </w:r>
          </w:p>
        </w:tc>
        <w:tc>
          <w:tcPr>
            <w:tcW w:w="741" w:type="dxa"/>
          </w:tcPr>
          <w:p w14:paraId="1522A108"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Longitudinal</w:t>
            </w:r>
          </w:p>
        </w:tc>
        <w:tc>
          <w:tcPr>
            <w:tcW w:w="992" w:type="dxa"/>
          </w:tcPr>
          <w:p w14:paraId="6C88712B"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(1993-2008) &amp; Nairobi Urban Health and Demographic Surveillance System (NUHDSS) 2003-10</w:t>
            </w:r>
          </w:p>
        </w:tc>
        <w:tc>
          <w:tcPr>
            <w:tcW w:w="993" w:type="dxa"/>
          </w:tcPr>
          <w:p w14:paraId="496A607A"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Kenya</w:t>
            </w:r>
          </w:p>
        </w:tc>
        <w:tc>
          <w:tcPr>
            <w:tcW w:w="1417" w:type="dxa"/>
          </w:tcPr>
          <w:p w14:paraId="11040ADB"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Population size, adolescent childbearing, duration of exclusive breastfeeding, FIC, diarrhoea, health seeking for illness.</w:t>
            </w:r>
          </w:p>
        </w:tc>
        <w:tc>
          <w:tcPr>
            <w:tcW w:w="5054" w:type="dxa"/>
          </w:tcPr>
          <w:p w14:paraId="63212190" w14:textId="77777777" w:rsidR="0028110C" w:rsidRPr="00113A2E" w:rsidRDefault="0028110C" w:rsidP="00B05415">
            <w:pPr>
              <w:rPr>
                <w:rFonts w:ascii="Arial" w:hAnsi="Arial" w:cs="Arial"/>
                <w:sz w:val="16"/>
                <w:szCs w:val="16"/>
              </w:rPr>
            </w:pPr>
            <w:r w:rsidRPr="00113A2E">
              <w:rPr>
                <w:rFonts w:ascii="Arial" w:hAnsi="Arial" w:cs="Arial"/>
                <w:sz w:val="16"/>
                <w:szCs w:val="16"/>
              </w:rPr>
              <w:t>Reversal in the ratio between urban and rural of determinants of child mortality including adolescent childbearing (0.8–1.1), median duration of exclusive breastfeeding (1.0–0.5), child immunization (1.0–0.9), diarrhoea morbidity (0.9–1.1) and health seeking for childhood illnesses (acute respiratory infections) (1.4–0.9), all in favour of rural areas.</w:t>
            </w:r>
          </w:p>
        </w:tc>
        <w:tc>
          <w:tcPr>
            <w:tcW w:w="2630" w:type="dxa"/>
          </w:tcPr>
          <w:p w14:paraId="09117F63" w14:textId="77777777" w:rsidR="0028110C" w:rsidRPr="00113A2E" w:rsidRDefault="0028110C" w:rsidP="00B05415">
            <w:pPr>
              <w:rPr>
                <w:rFonts w:ascii="Arial" w:hAnsi="Arial" w:cs="Arial"/>
                <w:sz w:val="16"/>
                <w:szCs w:val="16"/>
              </w:rPr>
            </w:pPr>
            <w:r w:rsidRPr="00113A2E">
              <w:rPr>
                <w:rFonts w:ascii="Arial" w:hAnsi="Arial" w:cs="Arial"/>
                <w:sz w:val="16"/>
                <w:szCs w:val="16"/>
              </w:rPr>
              <w:t>Downward trend in IMR, CMR and U5MR in both rural and urban areas. Decline was more rapid and statistically significant in rural areas but not in urban areas, hence the gap in urban–rural differentials narrowed over time. U5MR was very high in the urban slums (104) compared with 75, 72.5 and 73 for the urban as whole, rural and Kenya as a whole, respectively.</w:t>
            </w:r>
          </w:p>
        </w:tc>
        <w:tc>
          <w:tcPr>
            <w:tcW w:w="1026" w:type="dxa"/>
            <w:tcBorders>
              <w:left w:val="single" w:sz="8" w:space="0" w:color="auto"/>
            </w:tcBorders>
          </w:tcPr>
          <w:p w14:paraId="7F50A5EB"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slum penalty</w:t>
            </w:r>
          </w:p>
        </w:tc>
      </w:tr>
      <w:tr w:rsidR="0028110C" w:rsidRPr="00113A2E" w14:paraId="74F7C23A" w14:textId="77777777" w:rsidTr="00136C51">
        <w:trPr>
          <w:trHeight w:val="557"/>
        </w:trPr>
        <w:tc>
          <w:tcPr>
            <w:tcW w:w="1097" w:type="dxa"/>
          </w:tcPr>
          <w:p w14:paraId="3EDC622F" w14:textId="77777777" w:rsidR="0028110C" w:rsidRPr="00113A2E" w:rsidRDefault="0028110C" w:rsidP="00B05415">
            <w:pPr>
              <w:autoSpaceDE w:val="0"/>
              <w:autoSpaceDN w:val="0"/>
              <w:adjustRightInd w:val="0"/>
              <w:rPr>
                <w:rFonts w:ascii="Arial" w:hAnsi="Arial" w:cs="Arial"/>
                <w:color w:val="000000" w:themeColor="text1"/>
                <w:sz w:val="16"/>
                <w:szCs w:val="16"/>
              </w:rPr>
            </w:pPr>
            <w:proofErr w:type="spellStart"/>
            <w:r w:rsidRPr="00113A2E">
              <w:rPr>
                <w:rFonts w:ascii="Arial" w:hAnsi="Arial" w:cs="Arial"/>
                <w:color w:val="000000" w:themeColor="text1"/>
                <w:sz w:val="16"/>
                <w:szCs w:val="16"/>
              </w:rPr>
              <w:t>Mberu</w:t>
            </w:r>
            <w:proofErr w:type="spellEnd"/>
            <w:r w:rsidRPr="00113A2E">
              <w:rPr>
                <w:rFonts w:ascii="Arial" w:hAnsi="Arial" w:cs="Arial"/>
                <w:color w:val="000000" w:themeColor="text1"/>
                <w:sz w:val="16"/>
                <w:szCs w:val="16"/>
              </w:rPr>
              <w:t xml:space="preserve">, B. U., </w:t>
            </w:r>
            <w:proofErr w:type="spellStart"/>
            <w:r w:rsidRPr="00113A2E">
              <w:rPr>
                <w:rFonts w:ascii="Arial" w:hAnsi="Arial" w:cs="Arial"/>
                <w:color w:val="000000" w:themeColor="text1"/>
                <w:sz w:val="16"/>
                <w:szCs w:val="16"/>
              </w:rPr>
              <w:t>Haregu</w:t>
            </w:r>
            <w:proofErr w:type="spellEnd"/>
            <w:r w:rsidRPr="00113A2E">
              <w:rPr>
                <w:rFonts w:ascii="Arial" w:hAnsi="Arial" w:cs="Arial"/>
                <w:color w:val="000000" w:themeColor="text1"/>
                <w:sz w:val="16"/>
                <w:szCs w:val="16"/>
              </w:rPr>
              <w:t>, T. N., Kyobutungi, C., &amp; Ezeh, A. C. (2016)</w:t>
            </w:r>
          </w:p>
        </w:tc>
        <w:tc>
          <w:tcPr>
            <w:tcW w:w="741" w:type="dxa"/>
          </w:tcPr>
          <w:p w14:paraId="27AF800A"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Comparative analysis of cross-sectional data</w:t>
            </w:r>
          </w:p>
        </w:tc>
        <w:tc>
          <w:tcPr>
            <w:tcW w:w="992" w:type="dxa"/>
          </w:tcPr>
          <w:p w14:paraId="12CFC6BE"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(2003-14) &amp; Kenya National census 1999 &amp; NCSS 2000-12</w:t>
            </w:r>
          </w:p>
        </w:tc>
        <w:tc>
          <w:tcPr>
            <w:tcW w:w="993" w:type="dxa"/>
          </w:tcPr>
          <w:p w14:paraId="480828F6"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Kenya</w:t>
            </w:r>
          </w:p>
        </w:tc>
        <w:tc>
          <w:tcPr>
            <w:tcW w:w="1417" w:type="dxa"/>
          </w:tcPr>
          <w:p w14:paraId="7C183935"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Child morbidity indicators= nutrition, FIC, breastfeeding, ARI, fever, diarrhoea, ANC, place of delivery, SBA.</w:t>
            </w:r>
          </w:p>
        </w:tc>
        <w:tc>
          <w:tcPr>
            <w:tcW w:w="5054" w:type="dxa"/>
          </w:tcPr>
          <w:p w14:paraId="4857B046" w14:textId="77777777" w:rsidR="0028110C" w:rsidRPr="00113A2E" w:rsidRDefault="0028110C" w:rsidP="00B05415">
            <w:pPr>
              <w:rPr>
                <w:rFonts w:ascii="Arial" w:hAnsi="Arial" w:cs="Arial"/>
                <w:sz w:val="16"/>
                <w:szCs w:val="16"/>
              </w:rPr>
            </w:pPr>
            <w:r w:rsidRPr="00113A2E">
              <w:rPr>
                <w:rFonts w:ascii="Arial" w:hAnsi="Arial" w:cs="Arial"/>
                <w:color w:val="000000" w:themeColor="text1"/>
                <w:sz w:val="16"/>
                <w:szCs w:val="16"/>
              </w:rPr>
              <w:t>All child morbidity and health service indicators worse for slum children in Nairobi than rural Kenya. Vaccination: slums= (</w:t>
            </w:r>
            <w:r w:rsidRPr="00113A2E">
              <w:rPr>
                <w:rFonts w:ascii="Arial" w:hAnsi="Arial" w:cs="Arial"/>
                <w:sz w:val="16"/>
                <w:szCs w:val="16"/>
              </w:rPr>
              <w:t xml:space="preserve">45.2%) formal urban (83%), rural (77.4%) </w:t>
            </w:r>
            <w:r w:rsidRPr="00113A2E">
              <w:rPr>
                <w:rFonts w:ascii="Arial" w:hAnsi="Arial" w:cs="Arial"/>
                <w:color w:val="000000" w:themeColor="text1"/>
                <w:sz w:val="16"/>
                <w:szCs w:val="16"/>
              </w:rPr>
              <w:t>Childhood illnesses (diarrhoea, ARI) higher in slums than rural and urban areas. Treatment seeking for childhood illnesses was better in slums and urban than rural areas. Slum less likely to get treatment for diarrhoea (S= 42.7, R= 58.1, U=56.7), and less likely to be vaccinated (S= 45.2, R=77.4, U=83.0). The decline in the prevalence of childhood illnesses was faster in slums, whereas the increase in immunization coverage and treatment seeking behaviour was higher in rural Kenya. Slums had higher coverage of ANC (S= 96.2, R=94.0, U= 97.8), SBA (S=82.4, R=50.4, U-82.4), and institutional delivery (S=83.0, R= 49.5, U= 82.0) than rural areas.</w:t>
            </w:r>
          </w:p>
        </w:tc>
        <w:tc>
          <w:tcPr>
            <w:tcW w:w="2630" w:type="dxa"/>
          </w:tcPr>
          <w:p w14:paraId="67123762" w14:textId="77777777" w:rsidR="0028110C" w:rsidRPr="00113A2E" w:rsidRDefault="0028110C" w:rsidP="00B05415">
            <w:pPr>
              <w:rPr>
                <w:rFonts w:ascii="Arial" w:hAnsi="Arial" w:cs="Arial"/>
                <w:sz w:val="16"/>
                <w:szCs w:val="16"/>
              </w:rPr>
            </w:pPr>
            <w:r w:rsidRPr="00113A2E">
              <w:rPr>
                <w:rFonts w:ascii="Arial" w:hAnsi="Arial" w:cs="Arial"/>
                <w:color w:val="000000" w:themeColor="text1"/>
                <w:sz w:val="16"/>
                <w:szCs w:val="16"/>
              </w:rPr>
              <w:t>U5MR in Nairobi slums was about 3.6 times higher than that of Nairobi as a whole.</w:t>
            </w:r>
          </w:p>
        </w:tc>
        <w:tc>
          <w:tcPr>
            <w:tcW w:w="1026" w:type="dxa"/>
            <w:tcBorders>
              <w:left w:val="single" w:sz="8" w:space="0" w:color="auto"/>
            </w:tcBorders>
          </w:tcPr>
          <w:p w14:paraId="40E38F28"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slum penalty</w:t>
            </w:r>
          </w:p>
        </w:tc>
      </w:tr>
      <w:tr w:rsidR="0028110C" w:rsidRPr="00113A2E" w14:paraId="0A8CC742" w14:textId="77777777" w:rsidTr="00136C51">
        <w:trPr>
          <w:trHeight w:val="2136"/>
        </w:trPr>
        <w:tc>
          <w:tcPr>
            <w:tcW w:w="1097" w:type="dxa"/>
          </w:tcPr>
          <w:p w14:paraId="5FE31CF6"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lastRenderedPageBreak/>
              <w:t xml:space="preserve">Gunther, I., &amp; </w:t>
            </w:r>
            <w:proofErr w:type="spellStart"/>
            <w:r w:rsidRPr="00113A2E">
              <w:rPr>
                <w:rFonts w:ascii="Arial" w:hAnsi="Arial" w:cs="Arial"/>
                <w:color w:val="000000" w:themeColor="text1"/>
                <w:sz w:val="16"/>
                <w:szCs w:val="16"/>
              </w:rPr>
              <w:t>Harttgen</w:t>
            </w:r>
            <w:proofErr w:type="spellEnd"/>
            <w:r w:rsidRPr="00113A2E">
              <w:rPr>
                <w:rFonts w:ascii="Arial" w:hAnsi="Arial" w:cs="Arial"/>
                <w:color w:val="000000" w:themeColor="text1"/>
                <w:sz w:val="16"/>
                <w:szCs w:val="16"/>
              </w:rPr>
              <w:t>, K. (2012).</w:t>
            </w:r>
          </w:p>
        </w:tc>
        <w:tc>
          <w:tcPr>
            <w:tcW w:w="741" w:type="dxa"/>
          </w:tcPr>
          <w:p w14:paraId="26DAE6CE"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Longitudinal</w:t>
            </w:r>
          </w:p>
        </w:tc>
        <w:tc>
          <w:tcPr>
            <w:tcW w:w="992" w:type="dxa"/>
          </w:tcPr>
          <w:p w14:paraId="36D533B8" w14:textId="77777777" w:rsidR="0028110C" w:rsidRPr="00113A2E" w:rsidRDefault="0028110C"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(1998-2006)</w:t>
            </w:r>
          </w:p>
        </w:tc>
        <w:tc>
          <w:tcPr>
            <w:tcW w:w="993" w:type="dxa"/>
          </w:tcPr>
          <w:p w14:paraId="2C2DED3E"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SSA</w:t>
            </w:r>
          </w:p>
        </w:tc>
        <w:tc>
          <w:tcPr>
            <w:tcW w:w="1417" w:type="dxa"/>
          </w:tcPr>
          <w:p w14:paraId="78F31D5D" w14:textId="77777777" w:rsidR="0028110C" w:rsidRPr="00113A2E" w:rsidRDefault="0028110C" w:rsidP="00B05415">
            <w:pPr>
              <w:pStyle w:val="ListParagraph"/>
              <w:ind w:left="0"/>
              <w:rPr>
                <w:rFonts w:ascii="Arial" w:hAnsi="Arial" w:cs="Arial"/>
                <w:sz w:val="16"/>
                <w:szCs w:val="16"/>
              </w:rPr>
            </w:pPr>
            <w:r w:rsidRPr="00113A2E">
              <w:rPr>
                <w:rFonts w:ascii="Arial" w:hAnsi="Arial" w:cs="Arial"/>
                <w:sz w:val="16"/>
                <w:szCs w:val="16"/>
              </w:rPr>
              <w:t>Access to water and sanitation, overcrowding, housing quality, population size</w:t>
            </w:r>
          </w:p>
        </w:tc>
        <w:tc>
          <w:tcPr>
            <w:tcW w:w="5054" w:type="dxa"/>
          </w:tcPr>
          <w:p w14:paraId="21BA81AE" w14:textId="77777777" w:rsidR="0028110C" w:rsidRPr="00113A2E" w:rsidRDefault="0028110C" w:rsidP="00B05415">
            <w:pPr>
              <w:rPr>
                <w:rFonts w:ascii="Arial" w:hAnsi="Arial" w:cs="Arial"/>
                <w:color w:val="000000" w:themeColor="text1"/>
                <w:sz w:val="16"/>
                <w:szCs w:val="16"/>
              </w:rPr>
            </w:pPr>
            <w:r w:rsidRPr="00113A2E">
              <w:rPr>
                <w:rFonts w:ascii="Arial" w:hAnsi="Arial" w:cs="Arial"/>
                <w:color w:val="000000" w:themeColor="text1"/>
                <w:sz w:val="16"/>
                <w:szCs w:val="16"/>
              </w:rPr>
              <w:t>Ethiopia in 2000, the child mortality rate is 51.5 deaths per 1000 in formal settlements and 125.9 deaths per 1000 in slums, resulting in a ratio of slum to formal settlement mortality</w:t>
            </w:r>
          </w:p>
          <w:p w14:paraId="0B0DC4A9" w14:textId="77777777" w:rsidR="0028110C" w:rsidRPr="00113A2E" w:rsidRDefault="0028110C" w:rsidP="00B05415">
            <w:pPr>
              <w:rPr>
                <w:rFonts w:ascii="Arial" w:hAnsi="Arial" w:cs="Arial"/>
                <w:color w:val="000000" w:themeColor="text1"/>
                <w:sz w:val="16"/>
                <w:szCs w:val="16"/>
              </w:rPr>
            </w:pPr>
            <w:r w:rsidRPr="00113A2E">
              <w:rPr>
                <w:rFonts w:ascii="Arial" w:hAnsi="Arial" w:cs="Arial"/>
                <w:color w:val="000000" w:themeColor="text1"/>
                <w:sz w:val="16"/>
                <w:szCs w:val="16"/>
              </w:rPr>
              <w:t xml:space="preserve">The higher mortality areas indicate that although living in slums might pose children than living in rural areas (as found in previous cess to basic health infrastructure still seems to be better thus offsetting the "morbidity penalty" of slums. </w:t>
            </w:r>
          </w:p>
        </w:tc>
        <w:tc>
          <w:tcPr>
            <w:tcW w:w="2630" w:type="dxa"/>
          </w:tcPr>
          <w:p w14:paraId="2A3E2FB5" w14:textId="77777777" w:rsidR="0028110C" w:rsidRPr="00113A2E" w:rsidRDefault="0028110C" w:rsidP="00B05415">
            <w:pPr>
              <w:rPr>
                <w:rFonts w:ascii="Arial" w:hAnsi="Arial" w:cs="Arial"/>
                <w:color w:val="000000" w:themeColor="text1"/>
                <w:sz w:val="16"/>
                <w:szCs w:val="16"/>
              </w:rPr>
            </w:pPr>
            <w:r w:rsidRPr="00113A2E">
              <w:rPr>
                <w:rFonts w:ascii="Arial" w:hAnsi="Arial" w:cs="Arial"/>
                <w:color w:val="000000" w:themeColor="text1"/>
                <w:sz w:val="16"/>
                <w:szCs w:val="16"/>
              </w:rPr>
              <w:t>Difference in child mortality within urban &gt; difference in child mortality between urban &amp; rural. child mortality 65% higher in urban slum dwellings than in formal urban settings, whereas it is only 16% lower than in rural areas.  -indicates that whilst living in slums poses higher child health risk, urban access to basic infrastructure still better than in rural.</w:t>
            </w:r>
          </w:p>
        </w:tc>
        <w:tc>
          <w:tcPr>
            <w:tcW w:w="1026" w:type="dxa"/>
            <w:tcBorders>
              <w:left w:val="single" w:sz="8" w:space="0" w:color="auto"/>
            </w:tcBorders>
          </w:tcPr>
          <w:p w14:paraId="2EB901F4" w14:textId="77777777" w:rsidR="0028110C" w:rsidRPr="00113A2E" w:rsidRDefault="0028110C"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Rural penalty, narrowing urban advantage and stark intra-urban inequities.</w:t>
            </w:r>
          </w:p>
        </w:tc>
      </w:tr>
    </w:tbl>
    <w:p w14:paraId="1F861000" w14:textId="77777777" w:rsidR="00E83CD4" w:rsidRPr="00113A2E" w:rsidRDefault="00E83CD4" w:rsidP="00E83CD4">
      <w:pPr>
        <w:pStyle w:val="Heading2"/>
        <w:rPr>
          <w:rFonts w:ascii="Arial" w:hAnsi="Arial" w:cs="Arial"/>
          <w:sz w:val="24"/>
          <w:szCs w:val="24"/>
        </w:rPr>
      </w:pPr>
    </w:p>
    <w:p w14:paraId="3BDB38AB" w14:textId="77777777" w:rsidR="001C4CFB" w:rsidRPr="00113A2E" w:rsidRDefault="001C4CFB" w:rsidP="001C4CFB">
      <w:pPr>
        <w:rPr>
          <w:rFonts w:ascii="Arial" w:hAnsi="Arial" w:cs="Arial"/>
        </w:rPr>
      </w:pPr>
    </w:p>
    <w:p w14:paraId="77486BD2" w14:textId="77777777" w:rsidR="001C4CFB" w:rsidRPr="00113A2E" w:rsidRDefault="001C4CFB" w:rsidP="001C4CFB">
      <w:pPr>
        <w:rPr>
          <w:rFonts w:ascii="Arial" w:hAnsi="Arial" w:cs="Arial"/>
        </w:rPr>
      </w:pPr>
    </w:p>
    <w:p w14:paraId="10C49DA5" w14:textId="1384313C" w:rsidR="00CD1E47" w:rsidRPr="00113A2E" w:rsidRDefault="00384A75" w:rsidP="00CD1E47">
      <w:pPr>
        <w:rPr>
          <w:rFonts w:ascii="Arial" w:hAnsi="Arial" w:cs="Arial"/>
        </w:rPr>
      </w:pPr>
      <w:proofErr w:type="spellStart"/>
      <w:r>
        <w:rPr>
          <w:rFonts w:ascii="Arial" w:hAnsi="Arial" w:cs="Arial"/>
        </w:rPr>
        <w:t>C</w:t>
      </w:r>
      <w:r w:rsidR="00CD1E47" w:rsidRPr="00113A2E">
        <w:rPr>
          <w:rFonts w:ascii="Arial" w:hAnsi="Arial" w:cs="Arial"/>
        </w:rPr>
        <w:t>iii</w:t>
      </w:r>
      <w:proofErr w:type="spellEnd"/>
      <w:r w:rsidR="00CD1E47" w:rsidRPr="00113A2E">
        <w:rPr>
          <w:rFonts w:ascii="Arial" w:hAnsi="Arial" w:cs="Arial"/>
        </w:rPr>
        <w:t xml:space="preserve">. Urbanicity as </w:t>
      </w:r>
      <w:r w:rsidR="00136C51" w:rsidRPr="00113A2E">
        <w:rPr>
          <w:rFonts w:ascii="Arial" w:hAnsi="Arial" w:cs="Arial"/>
        </w:rPr>
        <w:t>continuous</w:t>
      </w:r>
    </w:p>
    <w:tbl>
      <w:tblPr>
        <w:tblStyle w:val="TableGrid"/>
        <w:tblW w:w="0" w:type="auto"/>
        <w:tblLayout w:type="fixed"/>
        <w:tblLook w:val="04A0" w:firstRow="1" w:lastRow="0" w:firstColumn="1" w:lastColumn="0" w:noHBand="0" w:noVBand="1"/>
      </w:tblPr>
      <w:tblGrid>
        <w:gridCol w:w="1129"/>
        <w:gridCol w:w="1276"/>
        <w:gridCol w:w="1276"/>
        <w:gridCol w:w="1134"/>
        <w:gridCol w:w="1559"/>
        <w:gridCol w:w="2977"/>
        <w:gridCol w:w="3402"/>
        <w:gridCol w:w="1197"/>
      </w:tblGrid>
      <w:tr w:rsidR="00CD1E47" w:rsidRPr="00113A2E" w14:paraId="4B4E9BF8" w14:textId="77777777" w:rsidTr="00136C51">
        <w:trPr>
          <w:trHeight w:val="132"/>
        </w:trPr>
        <w:tc>
          <w:tcPr>
            <w:tcW w:w="13950" w:type="dxa"/>
            <w:gridSpan w:val="8"/>
            <w:shd w:val="clear" w:color="auto" w:fill="83CAEB" w:themeFill="accent1" w:themeFillTint="66"/>
          </w:tcPr>
          <w:p w14:paraId="61E07E95" w14:textId="1F4D3D00"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 xml:space="preserve">Urbanicity as continuous </w:t>
            </w:r>
          </w:p>
          <w:p w14:paraId="7C650A71" w14:textId="77777777" w:rsidR="00CD1E47" w:rsidRPr="00113A2E" w:rsidRDefault="00CD1E47" w:rsidP="00B05415">
            <w:pPr>
              <w:pStyle w:val="ListParagraph"/>
              <w:ind w:left="0"/>
              <w:rPr>
                <w:rFonts w:ascii="Arial" w:hAnsi="Arial" w:cs="Arial"/>
                <w:color w:val="000000" w:themeColor="text1"/>
                <w:sz w:val="16"/>
                <w:szCs w:val="16"/>
              </w:rPr>
            </w:pPr>
          </w:p>
        </w:tc>
      </w:tr>
      <w:tr w:rsidR="00CD1E47" w:rsidRPr="00113A2E" w14:paraId="7B8368F2" w14:textId="77777777" w:rsidTr="00113A2E">
        <w:trPr>
          <w:trHeight w:val="806"/>
        </w:trPr>
        <w:tc>
          <w:tcPr>
            <w:tcW w:w="1129" w:type="dxa"/>
            <w:shd w:val="clear" w:color="auto" w:fill="C1E4F5" w:themeFill="accent1" w:themeFillTint="33"/>
          </w:tcPr>
          <w:p w14:paraId="21C249F2"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Reference</w:t>
            </w:r>
          </w:p>
        </w:tc>
        <w:tc>
          <w:tcPr>
            <w:tcW w:w="1276" w:type="dxa"/>
            <w:shd w:val="clear" w:color="auto" w:fill="C1E4F5" w:themeFill="accent1" w:themeFillTint="33"/>
          </w:tcPr>
          <w:p w14:paraId="359B7C04"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Study design</w:t>
            </w:r>
          </w:p>
        </w:tc>
        <w:tc>
          <w:tcPr>
            <w:tcW w:w="1276" w:type="dxa"/>
            <w:shd w:val="clear" w:color="auto" w:fill="C1E4F5" w:themeFill="accent1" w:themeFillTint="33"/>
          </w:tcPr>
          <w:p w14:paraId="28F17AA6" w14:textId="656DEB85" w:rsidR="00CD1E47" w:rsidRPr="00113A2E" w:rsidRDefault="00136C51"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w:t>
            </w:r>
            <w:r w:rsidR="00CD1E47" w:rsidRPr="00113A2E">
              <w:rPr>
                <w:rFonts w:ascii="Arial" w:hAnsi="Arial" w:cs="Arial"/>
                <w:color w:val="000000" w:themeColor="text1"/>
                <w:sz w:val="16"/>
                <w:szCs w:val="16"/>
              </w:rPr>
              <w:t>ata source</w:t>
            </w:r>
          </w:p>
        </w:tc>
        <w:tc>
          <w:tcPr>
            <w:tcW w:w="1134" w:type="dxa"/>
            <w:shd w:val="clear" w:color="auto" w:fill="C1E4F5" w:themeFill="accent1" w:themeFillTint="33"/>
          </w:tcPr>
          <w:p w14:paraId="52FAF9EF"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Country</w:t>
            </w:r>
          </w:p>
        </w:tc>
        <w:tc>
          <w:tcPr>
            <w:tcW w:w="1559" w:type="dxa"/>
            <w:shd w:val="clear" w:color="auto" w:fill="C1E4F5" w:themeFill="accent1" w:themeFillTint="33"/>
          </w:tcPr>
          <w:p w14:paraId="0153388B"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 xml:space="preserve">Factors considered across urban continuum to explain mortality </w:t>
            </w:r>
          </w:p>
        </w:tc>
        <w:tc>
          <w:tcPr>
            <w:tcW w:w="2977" w:type="dxa"/>
            <w:shd w:val="clear" w:color="auto" w:fill="C1E4F5" w:themeFill="accent1" w:themeFillTint="33"/>
          </w:tcPr>
          <w:p w14:paraId="70ACE37E"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Evidence on underlying factors</w:t>
            </w:r>
          </w:p>
        </w:tc>
        <w:tc>
          <w:tcPr>
            <w:tcW w:w="3402" w:type="dxa"/>
            <w:shd w:val="clear" w:color="auto" w:fill="C1E4F5" w:themeFill="accent1" w:themeFillTint="33"/>
          </w:tcPr>
          <w:p w14:paraId="33A03F0E"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Mortality / morbidity outcomes</w:t>
            </w:r>
          </w:p>
        </w:tc>
        <w:tc>
          <w:tcPr>
            <w:tcW w:w="1197" w:type="dxa"/>
            <w:tcBorders>
              <w:left w:val="single" w:sz="8" w:space="0" w:color="auto"/>
            </w:tcBorders>
            <w:shd w:val="clear" w:color="auto" w:fill="C1E4F5" w:themeFill="accent1" w:themeFillTint="33"/>
          </w:tcPr>
          <w:p w14:paraId="259FB8DB"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Direction of change</w:t>
            </w:r>
          </w:p>
        </w:tc>
      </w:tr>
      <w:tr w:rsidR="00CD1E47" w:rsidRPr="00113A2E" w14:paraId="4F4E669C" w14:textId="77777777" w:rsidTr="00113A2E">
        <w:trPr>
          <w:trHeight w:val="1474"/>
        </w:trPr>
        <w:tc>
          <w:tcPr>
            <w:tcW w:w="1129" w:type="dxa"/>
          </w:tcPr>
          <w:p w14:paraId="7B5DFF60" w14:textId="2CC5A2AA" w:rsidR="00CD1E47" w:rsidRPr="00113A2E" w:rsidRDefault="00CD1E47"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Corker, J. (2017</w:t>
            </w:r>
            <w:r w:rsidR="007E06EB" w:rsidRPr="00113A2E">
              <w:rPr>
                <w:rFonts w:ascii="Arial" w:hAnsi="Arial" w:cs="Arial"/>
                <w:color w:val="000000" w:themeColor="text1"/>
                <w:sz w:val="16"/>
                <w:szCs w:val="16"/>
              </w:rPr>
              <w:t>)</w:t>
            </w:r>
          </w:p>
        </w:tc>
        <w:tc>
          <w:tcPr>
            <w:tcW w:w="1276" w:type="dxa"/>
          </w:tcPr>
          <w:p w14:paraId="601B02A1" w14:textId="77777777" w:rsidR="00CD1E47" w:rsidRPr="00113A2E" w:rsidRDefault="00CD1E47"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1276" w:type="dxa"/>
          </w:tcPr>
          <w:p w14:paraId="0740C4F7"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DHS (2001-11), population census (2002-10)</w:t>
            </w:r>
          </w:p>
        </w:tc>
        <w:tc>
          <w:tcPr>
            <w:tcW w:w="1134" w:type="dxa"/>
          </w:tcPr>
          <w:p w14:paraId="5AD0EF7A" w14:textId="77777777" w:rsidR="00CD1E47" w:rsidRPr="00113A2E" w:rsidRDefault="00CD1E47" w:rsidP="00B05415">
            <w:pPr>
              <w:pStyle w:val="ListParagraph"/>
              <w:ind w:left="0"/>
              <w:rPr>
                <w:rFonts w:ascii="Arial" w:hAnsi="Arial" w:cs="Arial"/>
                <w:sz w:val="16"/>
                <w:szCs w:val="16"/>
              </w:rPr>
            </w:pPr>
            <w:r w:rsidRPr="00113A2E">
              <w:rPr>
                <w:rFonts w:ascii="Arial" w:hAnsi="Arial" w:cs="Arial"/>
                <w:sz w:val="16"/>
                <w:szCs w:val="16"/>
              </w:rPr>
              <w:t>Benin, Burkina Faso, Cote d’Ivoire, Ghana, Guinea, Mali, Niger, and Senegal</w:t>
            </w:r>
          </w:p>
        </w:tc>
        <w:tc>
          <w:tcPr>
            <w:tcW w:w="1559" w:type="dxa"/>
          </w:tcPr>
          <w:p w14:paraId="1C7FFA8F"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sz w:val="16"/>
                <w:szCs w:val="16"/>
              </w:rPr>
              <w:t>Urban amenities (electric, water, &amp; sanitation)</w:t>
            </w:r>
          </w:p>
        </w:tc>
        <w:tc>
          <w:tcPr>
            <w:tcW w:w="2977" w:type="dxa"/>
          </w:tcPr>
          <w:p w14:paraId="74BBEE41"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more likely than rural to have electrification (U= 74 %; R= 15.2%), access to clean water (U=82.2% &amp; R= 51.7%) and improved sanitation (U=69.8%; R=20.2%). Proportional access to these urban amenities &amp; U5MR declines as city size decreases.</w:t>
            </w:r>
          </w:p>
        </w:tc>
        <w:tc>
          <w:tcPr>
            <w:tcW w:w="3402" w:type="dxa"/>
          </w:tcPr>
          <w:p w14:paraId="68B01731"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Children in urban areas are 7% more likely to reach age five than their rural counterparts (significant at p&lt;.01 for the log-rank test of equality).</w:t>
            </w:r>
          </w:p>
        </w:tc>
        <w:tc>
          <w:tcPr>
            <w:tcW w:w="1197" w:type="dxa"/>
            <w:tcBorders>
              <w:left w:val="single" w:sz="8" w:space="0" w:color="auto"/>
            </w:tcBorders>
          </w:tcPr>
          <w:p w14:paraId="46769C13" w14:textId="77777777" w:rsidR="00CD1E47" w:rsidRPr="00113A2E" w:rsidRDefault="00CD1E47" w:rsidP="00B05415">
            <w:pPr>
              <w:pStyle w:val="ListParagraph"/>
              <w:ind w:left="0"/>
              <w:rPr>
                <w:rFonts w:ascii="Arial" w:hAnsi="Arial" w:cs="Arial"/>
                <w:color w:val="000000" w:themeColor="text1"/>
                <w:sz w:val="16"/>
                <w:szCs w:val="16"/>
                <w:highlight w:val="cyan"/>
              </w:rPr>
            </w:pPr>
            <w:r w:rsidRPr="00113A2E">
              <w:rPr>
                <w:rFonts w:ascii="Arial" w:hAnsi="Arial" w:cs="Arial"/>
                <w:color w:val="000000" w:themeColor="text1"/>
                <w:sz w:val="16"/>
                <w:szCs w:val="16"/>
              </w:rPr>
              <w:t xml:space="preserve">Urban advantage </w:t>
            </w:r>
          </w:p>
        </w:tc>
      </w:tr>
      <w:tr w:rsidR="00CD1E47" w:rsidRPr="00113A2E" w14:paraId="1374455F" w14:textId="77777777" w:rsidTr="00113A2E">
        <w:trPr>
          <w:trHeight w:val="2136"/>
        </w:trPr>
        <w:tc>
          <w:tcPr>
            <w:tcW w:w="1129" w:type="dxa"/>
          </w:tcPr>
          <w:p w14:paraId="0DC3431F" w14:textId="77777777" w:rsidR="00CD1E47" w:rsidRPr="00113A2E" w:rsidRDefault="00CD1E47"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 xml:space="preserve">Macharia, P. M., </w:t>
            </w:r>
            <w:proofErr w:type="spellStart"/>
            <w:r w:rsidRPr="00113A2E">
              <w:rPr>
                <w:rFonts w:ascii="Arial" w:hAnsi="Arial" w:cs="Arial"/>
                <w:color w:val="000000" w:themeColor="text1"/>
                <w:sz w:val="16"/>
                <w:szCs w:val="16"/>
              </w:rPr>
              <w:t>Beova</w:t>
            </w:r>
            <w:proofErr w:type="spellEnd"/>
            <w:r w:rsidRPr="00113A2E">
              <w:rPr>
                <w:rFonts w:ascii="Arial" w:hAnsi="Arial" w:cs="Arial"/>
                <w:color w:val="000000" w:themeColor="text1"/>
                <w:sz w:val="16"/>
                <w:szCs w:val="16"/>
              </w:rPr>
              <w:t xml:space="preserve">, L., </w:t>
            </w:r>
            <w:proofErr w:type="spellStart"/>
            <w:r w:rsidRPr="00113A2E">
              <w:rPr>
                <w:rFonts w:ascii="Arial" w:hAnsi="Arial" w:cs="Arial"/>
                <w:color w:val="000000" w:themeColor="text1"/>
                <w:sz w:val="16"/>
                <w:szCs w:val="16"/>
              </w:rPr>
              <w:t>Pinchoff</w:t>
            </w:r>
            <w:proofErr w:type="spellEnd"/>
            <w:r w:rsidRPr="00113A2E">
              <w:rPr>
                <w:rFonts w:ascii="Arial" w:hAnsi="Arial" w:cs="Arial"/>
                <w:color w:val="000000" w:themeColor="text1"/>
                <w:sz w:val="16"/>
                <w:szCs w:val="16"/>
              </w:rPr>
              <w:t xml:space="preserve">, J., Semaan, A., Pembe, A. B., Christou, A., &amp; Hanson, C. (2023). </w:t>
            </w:r>
          </w:p>
        </w:tc>
        <w:tc>
          <w:tcPr>
            <w:tcW w:w="1276" w:type="dxa"/>
          </w:tcPr>
          <w:p w14:paraId="16F2A493" w14:textId="77777777" w:rsidR="00CD1E47" w:rsidRPr="00113A2E" w:rsidRDefault="00CD1E47"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Cross-sectional</w:t>
            </w:r>
          </w:p>
        </w:tc>
        <w:tc>
          <w:tcPr>
            <w:tcW w:w="1276" w:type="dxa"/>
          </w:tcPr>
          <w:p w14:paraId="75A06A99" w14:textId="267318FD" w:rsidR="00CD1E47" w:rsidRPr="00113A2E" w:rsidRDefault="00CD1E47"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2015-16</w:t>
            </w:r>
          </w:p>
        </w:tc>
        <w:tc>
          <w:tcPr>
            <w:tcW w:w="1134" w:type="dxa"/>
          </w:tcPr>
          <w:p w14:paraId="26266F90"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sz w:val="16"/>
                <w:szCs w:val="16"/>
              </w:rPr>
              <w:t>Tanzania</w:t>
            </w:r>
          </w:p>
        </w:tc>
        <w:tc>
          <w:tcPr>
            <w:tcW w:w="1559" w:type="dxa"/>
          </w:tcPr>
          <w:p w14:paraId="2B92A415"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sz w:val="16"/>
                <w:szCs w:val="16"/>
              </w:rPr>
              <w:t>Travel time &amp; distance to nearest health facility</w:t>
            </w:r>
          </w:p>
        </w:tc>
        <w:tc>
          <w:tcPr>
            <w:tcW w:w="2977" w:type="dxa"/>
          </w:tcPr>
          <w:p w14:paraId="33AD7905"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sz w:val="16"/>
                <w:szCs w:val="16"/>
              </w:rPr>
              <w:t>DHS rural and urban classes had an average of 14 and 78 min of travel time to the nearest hospital. In the three stratified urbanicity classes, average travel time was 89 min in rural, 41 min in semi-urban and 4 min in core urban. (Most semi-urban and core urban were within 30 min of the nearest public hospital).</w:t>
            </w:r>
          </w:p>
        </w:tc>
        <w:tc>
          <w:tcPr>
            <w:tcW w:w="3402" w:type="dxa"/>
          </w:tcPr>
          <w:p w14:paraId="210881EB"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sz w:val="16"/>
                <w:szCs w:val="16"/>
              </w:rPr>
              <w:t>Mortality estimates for rural areas did not differ between DHS and satellite classifications. NMR in semi-urban were similar to levels in rural categories of both DHS and satellite. Core urban = the highest NMR (39.8/1000 live births); significantly higher than semi-urban (24.8, 19.6-31.4) and rural (21.9, 16.8-28.5) NMRs (p=0.03).</w:t>
            </w:r>
          </w:p>
        </w:tc>
        <w:tc>
          <w:tcPr>
            <w:tcW w:w="1197" w:type="dxa"/>
            <w:tcBorders>
              <w:left w:val="single" w:sz="8" w:space="0" w:color="auto"/>
            </w:tcBorders>
          </w:tcPr>
          <w:p w14:paraId="5E6CEAB0"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penalty (most marked in core urban areas)</w:t>
            </w:r>
          </w:p>
        </w:tc>
      </w:tr>
      <w:tr w:rsidR="00CD1E47" w:rsidRPr="00113A2E" w14:paraId="3C133A38" w14:textId="77777777" w:rsidTr="00113A2E">
        <w:trPr>
          <w:trHeight w:val="2136"/>
        </w:trPr>
        <w:tc>
          <w:tcPr>
            <w:tcW w:w="1129" w:type="dxa"/>
          </w:tcPr>
          <w:p w14:paraId="6E960269" w14:textId="1BB1F788" w:rsidR="00136C51" w:rsidRPr="00113A2E" w:rsidRDefault="00CD1E47" w:rsidP="00136C51">
            <w:pPr>
              <w:rPr>
                <w:rStyle w:val="Strong"/>
                <w:rFonts w:ascii="Arial" w:eastAsiaTheme="majorEastAsia" w:hAnsi="Arial" w:cs="Arial"/>
                <w:b w:val="0"/>
                <w:bCs w:val="0"/>
                <w:color w:val="000000" w:themeColor="text1"/>
                <w:sz w:val="16"/>
                <w:szCs w:val="16"/>
              </w:rPr>
            </w:pPr>
            <w:r w:rsidRPr="00113A2E">
              <w:rPr>
                <w:rStyle w:val="Strong"/>
                <w:rFonts w:ascii="Arial" w:eastAsiaTheme="majorEastAsia" w:hAnsi="Arial" w:cs="Arial"/>
                <w:b w:val="0"/>
                <w:bCs w:val="0"/>
                <w:color w:val="000000" w:themeColor="text1"/>
                <w:sz w:val="16"/>
                <w:szCs w:val="16"/>
              </w:rPr>
              <w:lastRenderedPageBreak/>
              <w:t>Shon H</w:t>
            </w:r>
            <w:r w:rsidRPr="00113A2E">
              <w:rPr>
                <w:rStyle w:val="Strong"/>
                <w:rFonts w:ascii="Arial" w:hAnsi="Arial" w:cs="Arial"/>
                <w:b w:val="0"/>
                <w:bCs w:val="0"/>
                <w:color w:val="000000" w:themeColor="text1"/>
                <w:sz w:val="16"/>
                <w:szCs w:val="16"/>
              </w:rPr>
              <w:t>. (2024)</w:t>
            </w:r>
            <w:r w:rsidR="00136C51" w:rsidRPr="00113A2E">
              <w:rPr>
                <w:rStyle w:val="Strong"/>
                <w:rFonts w:ascii="Arial" w:eastAsiaTheme="majorEastAsia" w:hAnsi="Arial" w:cs="Arial"/>
                <w:b w:val="0"/>
                <w:bCs w:val="0"/>
                <w:color w:val="000000" w:themeColor="text1"/>
                <w:sz w:val="16"/>
                <w:szCs w:val="16"/>
              </w:rPr>
              <w:t xml:space="preserve"> </w:t>
            </w:r>
          </w:p>
          <w:p w14:paraId="0BE75921" w14:textId="27185CFB" w:rsidR="00CD1E47" w:rsidRPr="00113A2E" w:rsidRDefault="00CD1E47" w:rsidP="00B05415">
            <w:pPr>
              <w:rPr>
                <w:rStyle w:val="Strong"/>
                <w:rFonts w:ascii="Arial" w:eastAsiaTheme="majorEastAsia" w:hAnsi="Arial" w:cs="Arial"/>
                <w:b w:val="0"/>
                <w:bCs w:val="0"/>
                <w:color w:val="000000" w:themeColor="text1"/>
                <w:sz w:val="16"/>
                <w:szCs w:val="16"/>
              </w:rPr>
            </w:pPr>
          </w:p>
        </w:tc>
        <w:tc>
          <w:tcPr>
            <w:tcW w:w="1276" w:type="dxa"/>
          </w:tcPr>
          <w:p w14:paraId="4552F884" w14:textId="77777777" w:rsidR="00CD1E47" w:rsidRPr="00113A2E" w:rsidRDefault="00CD1E47" w:rsidP="00B05415">
            <w:pPr>
              <w:rPr>
                <w:rStyle w:val="Strong"/>
                <w:rFonts w:ascii="Arial" w:eastAsiaTheme="majorEastAsia" w:hAnsi="Arial" w:cs="Arial"/>
                <w:b w:val="0"/>
                <w:bCs w:val="0"/>
                <w:color w:val="000000" w:themeColor="text1"/>
                <w:sz w:val="16"/>
                <w:szCs w:val="16"/>
              </w:rPr>
            </w:pPr>
            <w:r w:rsidRPr="00113A2E">
              <w:rPr>
                <w:rFonts w:ascii="Arial" w:hAnsi="Arial" w:cs="Arial"/>
                <w:color w:val="000000" w:themeColor="text1"/>
                <w:sz w:val="16"/>
                <w:szCs w:val="16"/>
              </w:rPr>
              <w:t>Cross-sectional</w:t>
            </w:r>
          </w:p>
        </w:tc>
        <w:tc>
          <w:tcPr>
            <w:tcW w:w="1276" w:type="dxa"/>
          </w:tcPr>
          <w:p w14:paraId="1B14BC44" w14:textId="77777777" w:rsidR="00CD1E47" w:rsidRPr="00113A2E" w:rsidRDefault="00CD1E47" w:rsidP="00B05415">
            <w:pPr>
              <w:autoSpaceDE w:val="0"/>
              <w:autoSpaceDN w:val="0"/>
              <w:adjustRightInd w:val="0"/>
              <w:rPr>
                <w:rFonts w:ascii="Arial" w:hAnsi="Arial" w:cs="Arial"/>
                <w:color w:val="000000" w:themeColor="text1"/>
                <w:sz w:val="16"/>
                <w:szCs w:val="16"/>
              </w:rPr>
            </w:pPr>
            <w:r w:rsidRPr="00113A2E">
              <w:rPr>
                <w:rFonts w:ascii="Arial" w:hAnsi="Arial" w:cs="Arial"/>
                <w:color w:val="000000" w:themeColor="text1"/>
                <w:sz w:val="16"/>
                <w:szCs w:val="16"/>
              </w:rPr>
              <w:t>DHS (2011-2019) and the Global</w:t>
            </w:r>
            <w:r w:rsidRPr="00113A2E">
              <w:rPr>
                <w:rStyle w:val="apple-converted-space"/>
                <w:rFonts w:ascii="Arial" w:eastAsiaTheme="majorEastAsia" w:hAnsi="Arial" w:cs="Arial"/>
                <w:color w:val="000000" w:themeColor="text1"/>
                <w:sz w:val="16"/>
                <w:szCs w:val="16"/>
              </w:rPr>
              <w:t> </w:t>
            </w:r>
            <w:r w:rsidRPr="00113A2E">
              <w:rPr>
                <w:rFonts w:ascii="Arial" w:eastAsiaTheme="majorEastAsia" w:hAnsi="Arial" w:cs="Arial"/>
                <w:color w:val="000000" w:themeColor="text1"/>
                <w:sz w:val="16"/>
                <w:szCs w:val="16"/>
              </w:rPr>
              <w:t>Human Settlements</w:t>
            </w:r>
            <w:r w:rsidRPr="00113A2E">
              <w:rPr>
                <w:rStyle w:val="apple-converted-space"/>
                <w:rFonts w:ascii="Arial" w:eastAsiaTheme="majorEastAsia" w:hAnsi="Arial" w:cs="Arial"/>
                <w:color w:val="000000" w:themeColor="text1"/>
                <w:sz w:val="16"/>
                <w:szCs w:val="16"/>
              </w:rPr>
              <w:t> </w:t>
            </w:r>
            <w:r w:rsidRPr="00113A2E">
              <w:rPr>
                <w:rFonts w:ascii="Arial" w:hAnsi="Arial" w:cs="Arial"/>
                <w:color w:val="000000" w:themeColor="text1"/>
                <w:sz w:val="16"/>
                <w:szCs w:val="16"/>
              </w:rPr>
              <w:t>Layer (2019)</w:t>
            </w:r>
          </w:p>
        </w:tc>
        <w:tc>
          <w:tcPr>
            <w:tcW w:w="1134" w:type="dxa"/>
          </w:tcPr>
          <w:p w14:paraId="05874E27" w14:textId="77777777" w:rsidR="00CD1E47" w:rsidRPr="00113A2E" w:rsidRDefault="00CD1E47" w:rsidP="00B05415">
            <w:pPr>
              <w:pStyle w:val="ListParagraph"/>
              <w:ind w:left="0"/>
              <w:rPr>
                <w:rFonts w:ascii="Arial" w:hAnsi="Arial" w:cs="Arial"/>
                <w:sz w:val="16"/>
                <w:szCs w:val="16"/>
              </w:rPr>
            </w:pPr>
            <w:r w:rsidRPr="00113A2E">
              <w:rPr>
                <w:rFonts w:ascii="Arial" w:hAnsi="Arial" w:cs="Arial"/>
                <w:sz w:val="16"/>
                <w:szCs w:val="16"/>
              </w:rPr>
              <w:t>26 SSA countries</w:t>
            </w:r>
          </w:p>
        </w:tc>
        <w:tc>
          <w:tcPr>
            <w:tcW w:w="1559" w:type="dxa"/>
          </w:tcPr>
          <w:p w14:paraId="32CDF2A7" w14:textId="77777777" w:rsidR="00CD1E47" w:rsidRPr="00113A2E" w:rsidRDefault="00CD1E47" w:rsidP="00B05415">
            <w:pPr>
              <w:pStyle w:val="ListParagraph"/>
              <w:ind w:left="0"/>
              <w:rPr>
                <w:rFonts w:ascii="Arial" w:hAnsi="Arial" w:cs="Arial"/>
                <w:sz w:val="16"/>
                <w:szCs w:val="16"/>
              </w:rPr>
            </w:pPr>
            <w:r w:rsidRPr="00113A2E">
              <w:rPr>
                <w:rFonts w:ascii="Arial" w:hAnsi="Arial" w:cs="Arial"/>
                <w:sz w:val="16"/>
                <w:szCs w:val="16"/>
              </w:rPr>
              <w:t>Population size. 4 different c</w:t>
            </w:r>
            <w:r w:rsidRPr="00113A2E">
              <w:rPr>
                <w:rFonts w:ascii="Arial" w:hAnsi="Arial" w:cs="Arial"/>
                <w:color w:val="000000" w:themeColor="text1"/>
                <w:sz w:val="16"/>
                <w:szCs w:val="16"/>
              </w:rPr>
              <w:t>hild morbidity indicators (fever, anaemia, diarrhoea, cough)</w:t>
            </w:r>
          </w:p>
        </w:tc>
        <w:tc>
          <w:tcPr>
            <w:tcW w:w="2977" w:type="dxa"/>
          </w:tcPr>
          <w:p w14:paraId="21E2CB42" w14:textId="77777777" w:rsidR="00CD1E47" w:rsidRPr="00113A2E" w:rsidRDefault="00CD1E47" w:rsidP="00B05415">
            <w:pPr>
              <w:pStyle w:val="ListParagraph"/>
              <w:ind w:left="0"/>
              <w:rPr>
                <w:rStyle w:val="apple-converted-space"/>
                <w:rFonts w:ascii="Arial" w:hAnsi="Arial" w:cs="Arial"/>
                <w:color w:val="000000" w:themeColor="text1"/>
                <w:sz w:val="16"/>
                <w:szCs w:val="16"/>
              </w:rPr>
            </w:pPr>
            <w:r w:rsidRPr="00113A2E">
              <w:rPr>
                <w:rFonts w:ascii="Arial" w:hAnsi="Arial" w:cs="Arial"/>
                <w:color w:val="000000" w:themeColor="text1"/>
                <w:sz w:val="16"/>
                <w:szCs w:val="16"/>
              </w:rPr>
              <w:t>Deprived urban settlements exhibit resemblances to rural towns in economic status but shows lower scores in educational attainment and</w:t>
            </w:r>
            <w:r w:rsidRPr="00113A2E">
              <w:rPr>
                <w:rStyle w:val="apple-converted-space"/>
                <w:rFonts w:ascii="Arial" w:eastAsiaTheme="majorEastAsia" w:hAnsi="Arial" w:cs="Arial"/>
                <w:color w:val="000000" w:themeColor="text1"/>
                <w:sz w:val="16"/>
                <w:szCs w:val="16"/>
              </w:rPr>
              <w:t> </w:t>
            </w:r>
            <w:r w:rsidRPr="00113A2E">
              <w:rPr>
                <w:rFonts w:ascii="Arial" w:eastAsiaTheme="majorEastAsia" w:hAnsi="Arial" w:cs="Arial"/>
                <w:color w:val="000000" w:themeColor="text1"/>
                <w:sz w:val="16"/>
                <w:szCs w:val="16"/>
              </w:rPr>
              <w:t>living standards</w:t>
            </w:r>
            <w:r w:rsidRPr="00113A2E">
              <w:rPr>
                <w:rFonts w:ascii="Arial" w:hAnsi="Arial" w:cs="Arial"/>
                <w:color w:val="000000" w:themeColor="text1"/>
                <w:sz w:val="16"/>
                <w:szCs w:val="16"/>
              </w:rPr>
              <w:t>.</w:t>
            </w:r>
            <w:r w:rsidRPr="00113A2E">
              <w:rPr>
                <w:rStyle w:val="apple-converted-space"/>
                <w:rFonts w:ascii="Arial" w:eastAsiaTheme="majorEastAsia" w:hAnsi="Arial" w:cs="Arial"/>
                <w:color w:val="000000" w:themeColor="text1"/>
                <w:sz w:val="16"/>
                <w:szCs w:val="16"/>
              </w:rPr>
              <w:t> </w:t>
            </w:r>
          </w:p>
          <w:p w14:paraId="149C6D9C" w14:textId="77777777" w:rsidR="00CD1E47" w:rsidRPr="00113A2E" w:rsidRDefault="00CD1E47" w:rsidP="00B05415">
            <w:pPr>
              <w:rPr>
                <w:rFonts w:ascii="Arial" w:hAnsi="Arial" w:cs="Arial"/>
                <w:color w:val="000000" w:themeColor="text1"/>
                <w:sz w:val="16"/>
                <w:szCs w:val="16"/>
              </w:rPr>
            </w:pPr>
            <w:r w:rsidRPr="00113A2E">
              <w:rPr>
                <w:rFonts w:ascii="Arial" w:hAnsi="Arial" w:cs="Arial"/>
                <w:color w:val="000000" w:themeColor="text1"/>
                <w:sz w:val="16"/>
                <w:szCs w:val="16"/>
              </w:rPr>
              <w:t xml:space="preserve">Diarrhoea: children in deprived urban settlements are 24% (OR = 1.24; CI 1.14–1.34) more likely to experience diarrhoea compared to children in rural villages, whereas children in rural villages are 4% (OR = 0.96; CI 0.92–1) less likely to suffer from diarrhoea. </w:t>
            </w:r>
          </w:p>
          <w:p w14:paraId="5025A9DA" w14:textId="77777777" w:rsidR="00CD1E47" w:rsidRPr="00113A2E" w:rsidRDefault="00CD1E47" w:rsidP="00B05415">
            <w:pPr>
              <w:rPr>
                <w:rFonts w:ascii="Arial" w:hAnsi="Arial" w:cs="Arial"/>
                <w:color w:val="000000" w:themeColor="text1"/>
                <w:sz w:val="16"/>
                <w:szCs w:val="16"/>
              </w:rPr>
            </w:pPr>
            <w:r w:rsidRPr="00113A2E">
              <w:rPr>
                <w:rFonts w:ascii="Arial" w:hAnsi="Arial" w:cs="Arial"/>
                <w:color w:val="000000" w:themeColor="text1"/>
                <w:sz w:val="16"/>
                <w:szCs w:val="16"/>
              </w:rPr>
              <w:t xml:space="preserve">Cough: children living in rural clusters, rural towns, deprived urban settlements, urban clusters, and urban </w:t>
            </w:r>
            <w:proofErr w:type="spellStart"/>
            <w:r w:rsidRPr="00113A2E">
              <w:rPr>
                <w:rFonts w:ascii="Arial" w:hAnsi="Arial" w:cs="Arial"/>
                <w:color w:val="000000" w:themeColor="text1"/>
                <w:sz w:val="16"/>
                <w:szCs w:val="16"/>
              </w:rPr>
              <w:t>centers</w:t>
            </w:r>
            <w:proofErr w:type="spellEnd"/>
            <w:r w:rsidRPr="00113A2E">
              <w:rPr>
                <w:rFonts w:ascii="Arial" w:hAnsi="Arial" w:cs="Arial"/>
                <w:color w:val="000000" w:themeColor="text1"/>
                <w:sz w:val="16"/>
                <w:szCs w:val="16"/>
              </w:rPr>
              <w:t xml:space="preserve"> exhibit 7% (OR = 1.07; CI 1.02–1.12), 11% (OR = 1.11; CI 1.05–1.18), 22% (OR = 1.22; CI 1.13–1.32), 24% (OR = 1.24; CI 1.14–1.35), and 23% (OR = 1.23; CI 1.12–1.35) higher odds of experiencing cough, respectively, than children living in rural villages.</w:t>
            </w:r>
          </w:p>
          <w:p w14:paraId="4FF1E22B" w14:textId="77777777" w:rsidR="00CD1E47" w:rsidRPr="00113A2E" w:rsidRDefault="00CD1E47" w:rsidP="00B05415">
            <w:pPr>
              <w:rPr>
                <w:rFonts w:ascii="Arial" w:hAnsi="Arial" w:cs="Arial"/>
                <w:sz w:val="16"/>
                <w:szCs w:val="16"/>
              </w:rPr>
            </w:pPr>
          </w:p>
          <w:p w14:paraId="0D7E5A86" w14:textId="77777777" w:rsidR="00CD1E47" w:rsidRPr="00113A2E" w:rsidRDefault="00CD1E47" w:rsidP="00B05415">
            <w:pPr>
              <w:pStyle w:val="ListParagraph"/>
              <w:ind w:left="0"/>
              <w:rPr>
                <w:rFonts w:ascii="Arial" w:hAnsi="Arial" w:cs="Arial"/>
                <w:sz w:val="16"/>
                <w:szCs w:val="16"/>
              </w:rPr>
            </w:pPr>
          </w:p>
        </w:tc>
        <w:tc>
          <w:tcPr>
            <w:tcW w:w="3402" w:type="dxa"/>
          </w:tcPr>
          <w:p w14:paraId="4363846C" w14:textId="7914440F"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In comparison to children in rural villages, children in rural towns are 6% (OR = 0.94; CI 0.9–0.98), children in urban clusters with deprived settlements are 9% (OR = 0.91; CI 0.86–0.96), and children in urban centres with deprived settlements are 16% (OR = 0.84; CI 0.78–0.9) less likely to lose their lives. The results suggest that the settlement-type variable offers a more nuanced explanation of the spatial disparities in child mortality compared to the simplistic urban-rural</w:t>
            </w:r>
            <w:r w:rsidRPr="00113A2E">
              <w:rPr>
                <w:rStyle w:val="apple-converted-space"/>
                <w:rFonts w:ascii="Arial" w:eastAsiaTheme="majorEastAsia" w:hAnsi="Arial" w:cs="Arial"/>
                <w:color w:val="000000" w:themeColor="text1"/>
                <w:sz w:val="16"/>
                <w:szCs w:val="16"/>
              </w:rPr>
              <w:t> </w:t>
            </w:r>
            <w:r w:rsidRPr="00113A2E">
              <w:rPr>
                <w:rFonts w:ascii="Arial" w:eastAsiaTheme="majorEastAsia" w:hAnsi="Arial" w:cs="Arial"/>
                <w:color w:val="000000" w:themeColor="text1"/>
                <w:sz w:val="16"/>
                <w:szCs w:val="16"/>
              </w:rPr>
              <w:t>dichotomy</w:t>
            </w:r>
            <w:r w:rsidRPr="00113A2E">
              <w:rPr>
                <w:rFonts w:ascii="Arial" w:hAnsi="Arial" w:cs="Arial"/>
                <w:color w:val="000000" w:themeColor="text1"/>
                <w:sz w:val="16"/>
                <w:szCs w:val="16"/>
              </w:rPr>
              <w:t xml:space="preserve">. Model 3 (stratified): children living in deprived urban settlements exhibit a weak urban advantage (OR = 0.94; CI 0.88–1.01). The odds ratios of the urban cluster (OR = 0.85; CI 0.8–0.91) and the urban </w:t>
            </w:r>
            <w:proofErr w:type="spellStart"/>
            <w:r w:rsidRPr="00113A2E">
              <w:rPr>
                <w:rFonts w:ascii="Arial" w:hAnsi="Arial" w:cs="Arial"/>
                <w:color w:val="000000" w:themeColor="text1"/>
                <w:sz w:val="16"/>
                <w:szCs w:val="16"/>
              </w:rPr>
              <w:t>center</w:t>
            </w:r>
            <w:proofErr w:type="spellEnd"/>
            <w:r w:rsidRPr="00113A2E">
              <w:rPr>
                <w:rFonts w:ascii="Arial" w:hAnsi="Arial" w:cs="Arial"/>
                <w:color w:val="000000" w:themeColor="text1"/>
                <w:sz w:val="16"/>
                <w:szCs w:val="16"/>
              </w:rPr>
              <w:t xml:space="preserve"> (OR = 0.83; CI 0.77–0.9) are lower than those of the urban cluster with deprived settlements and the urban </w:t>
            </w:r>
            <w:proofErr w:type="spellStart"/>
            <w:r w:rsidRPr="00113A2E">
              <w:rPr>
                <w:rFonts w:ascii="Arial" w:hAnsi="Arial" w:cs="Arial"/>
                <w:color w:val="000000" w:themeColor="text1"/>
                <w:sz w:val="16"/>
                <w:szCs w:val="16"/>
              </w:rPr>
              <w:t>center</w:t>
            </w:r>
            <w:proofErr w:type="spellEnd"/>
            <w:r w:rsidRPr="00113A2E">
              <w:rPr>
                <w:rFonts w:ascii="Arial" w:hAnsi="Arial" w:cs="Arial"/>
                <w:color w:val="000000" w:themeColor="text1"/>
                <w:sz w:val="16"/>
                <w:szCs w:val="16"/>
              </w:rPr>
              <w:t xml:space="preserve"> with deprived settlements in Model 2, respectively. Deprived urban settlements have a relatively high level of mortality within urban regions when compared to their urban counterparts.</w:t>
            </w:r>
          </w:p>
          <w:p w14:paraId="315CCA29" w14:textId="77777777" w:rsidR="00CD1E47" w:rsidRPr="00113A2E" w:rsidRDefault="00CD1E47" w:rsidP="00B05415">
            <w:pPr>
              <w:pStyle w:val="ListParagraph"/>
              <w:ind w:left="0"/>
              <w:rPr>
                <w:rFonts w:ascii="Arial" w:hAnsi="Arial" w:cs="Arial"/>
                <w:sz w:val="16"/>
                <w:szCs w:val="16"/>
              </w:rPr>
            </w:pPr>
          </w:p>
        </w:tc>
        <w:tc>
          <w:tcPr>
            <w:tcW w:w="1197" w:type="dxa"/>
            <w:tcBorders>
              <w:left w:val="single" w:sz="8" w:space="0" w:color="auto"/>
            </w:tcBorders>
          </w:tcPr>
          <w:p w14:paraId="4FC462E8" w14:textId="77777777" w:rsidR="00CD1E47" w:rsidRPr="00113A2E" w:rsidRDefault="00CD1E47" w:rsidP="00B05415">
            <w:pPr>
              <w:pStyle w:val="ListParagraph"/>
              <w:ind w:left="0"/>
              <w:rPr>
                <w:rFonts w:ascii="Arial" w:hAnsi="Arial" w:cs="Arial"/>
                <w:color w:val="000000" w:themeColor="text1"/>
                <w:sz w:val="16"/>
                <w:szCs w:val="16"/>
              </w:rPr>
            </w:pPr>
            <w:r w:rsidRPr="00113A2E">
              <w:rPr>
                <w:rFonts w:ascii="Arial" w:hAnsi="Arial" w:cs="Arial"/>
                <w:color w:val="000000" w:themeColor="text1"/>
                <w:sz w:val="16"/>
                <w:szCs w:val="16"/>
              </w:rPr>
              <w:t>Urban advantage</w:t>
            </w:r>
          </w:p>
        </w:tc>
      </w:tr>
    </w:tbl>
    <w:p w14:paraId="48AD4B50" w14:textId="77777777" w:rsidR="00CD1E47" w:rsidRPr="00113A2E" w:rsidRDefault="00CD1E47" w:rsidP="00CD1E47">
      <w:pPr>
        <w:rPr>
          <w:rFonts w:ascii="Arial" w:hAnsi="Arial" w:cs="Arial"/>
        </w:rPr>
      </w:pPr>
    </w:p>
    <w:p w14:paraId="3B2F1527" w14:textId="77777777" w:rsidR="00CD1E47" w:rsidRPr="00113A2E" w:rsidRDefault="00CD1E47" w:rsidP="00CD1E47">
      <w:pPr>
        <w:rPr>
          <w:rFonts w:ascii="Arial" w:hAnsi="Arial" w:cs="Arial"/>
        </w:rPr>
      </w:pPr>
    </w:p>
    <w:p w14:paraId="0870C8D5" w14:textId="77777777" w:rsidR="001C4CFB" w:rsidRPr="00113A2E" w:rsidRDefault="001C4CFB" w:rsidP="001C4CFB">
      <w:pPr>
        <w:rPr>
          <w:rFonts w:ascii="Arial" w:hAnsi="Arial" w:cs="Arial"/>
        </w:rPr>
      </w:pPr>
    </w:p>
    <w:p w14:paraId="079FCD88" w14:textId="77777777" w:rsidR="001C4CFB" w:rsidRPr="00113A2E" w:rsidRDefault="001C4CFB" w:rsidP="001C4CFB">
      <w:pPr>
        <w:rPr>
          <w:rFonts w:ascii="Arial" w:hAnsi="Arial" w:cs="Arial"/>
        </w:rPr>
      </w:pPr>
    </w:p>
    <w:p w14:paraId="479498F0" w14:textId="77777777" w:rsidR="001C4CFB" w:rsidRPr="00113A2E" w:rsidRDefault="001C4CFB" w:rsidP="001C4CFB">
      <w:pPr>
        <w:rPr>
          <w:rFonts w:ascii="Arial" w:hAnsi="Arial" w:cs="Arial"/>
        </w:rPr>
      </w:pPr>
    </w:p>
    <w:p w14:paraId="0D1767AC" w14:textId="77777777" w:rsidR="001C4CFB" w:rsidRPr="00113A2E" w:rsidRDefault="001C4CFB" w:rsidP="001C4CFB">
      <w:pPr>
        <w:rPr>
          <w:rFonts w:ascii="Arial" w:hAnsi="Arial" w:cs="Arial"/>
        </w:rPr>
      </w:pPr>
    </w:p>
    <w:p w14:paraId="260AD72D" w14:textId="77777777" w:rsidR="00BB3518" w:rsidRPr="00113A2E" w:rsidRDefault="00BB3518" w:rsidP="00BB3518">
      <w:pPr>
        <w:rPr>
          <w:rFonts w:ascii="Arial" w:hAnsi="Arial" w:cs="Arial"/>
        </w:rPr>
      </w:pPr>
    </w:p>
    <w:p w14:paraId="224136AE" w14:textId="77777777" w:rsidR="00136C51" w:rsidRPr="00113A2E" w:rsidRDefault="00136C51" w:rsidP="00BB3518">
      <w:pPr>
        <w:rPr>
          <w:rFonts w:ascii="Arial" w:hAnsi="Arial" w:cs="Arial"/>
        </w:rPr>
      </w:pPr>
    </w:p>
    <w:p w14:paraId="6008CD7F" w14:textId="77777777" w:rsidR="00113A2E" w:rsidRPr="00113A2E" w:rsidRDefault="00113A2E" w:rsidP="00BB3518">
      <w:pPr>
        <w:rPr>
          <w:rFonts w:ascii="Arial" w:hAnsi="Arial" w:cs="Arial"/>
        </w:rPr>
      </w:pPr>
    </w:p>
    <w:p w14:paraId="0A0A5F06" w14:textId="77777777" w:rsidR="00113A2E" w:rsidRPr="00113A2E" w:rsidRDefault="00113A2E" w:rsidP="00BB3518">
      <w:pPr>
        <w:rPr>
          <w:rFonts w:ascii="Arial" w:hAnsi="Arial" w:cs="Arial"/>
        </w:rPr>
      </w:pPr>
    </w:p>
    <w:p w14:paraId="5DA15B62" w14:textId="77777777" w:rsidR="00113A2E" w:rsidRPr="00113A2E" w:rsidRDefault="00113A2E" w:rsidP="00BB3518">
      <w:pPr>
        <w:rPr>
          <w:rFonts w:ascii="Arial" w:hAnsi="Arial" w:cs="Arial"/>
        </w:rPr>
      </w:pPr>
    </w:p>
    <w:p w14:paraId="1830A0BA" w14:textId="77777777" w:rsidR="00113A2E" w:rsidRPr="00113A2E" w:rsidRDefault="00113A2E" w:rsidP="00BB3518">
      <w:pPr>
        <w:rPr>
          <w:rFonts w:ascii="Arial" w:hAnsi="Arial" w:cs="Arial"/>
        </w:rPr>
      </w:pPr>
    </w:p>
    <w:p w14:paraId="0DFD4240" w14:textId="77777777" w:rsidR="00136C51" w:rsidRPr="00113A2E" w:rsidRDefault="00136C51" w:rsidP="00BB3518">
      <w:pPr>
        <w:rPr>
          <w:rFonts w:ascii="Arial" w:hAnsi="Arial" w:cs="Arial"/>
        </w:rPr>
      </w:pPr>
    </w:p>
    <w:p w14:paraId="75EFD84E" w14:textId="77777777" w:rsidR="00136C51" w:rsidRPr="00113A2E" w:rsidRDefault="00136C51" w:rsidP="00BB3518">
      <w:pPr>
        <w:rPr>
          <w:rFonts w:ascii="Arial" w:hAnsi="Arial" w:cs="Arial"/>
        </w:rPr>
      </w:pPr>
      <w:bookmarkStart w:id="0" w:name="_GoBack"/>
      <w:bookmarkEnd w:id="0"/>
    </w:p>
    <w:sectPr w:rsidR="00136C51" w:rsidRPr="00113A2E" w:rsidSect="00E83CD4">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de">
    <w:altName w:val="Code"/>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D52EB"/>
    <w:multiLevelType w:val="multilevel"/>
    <w:tmpl w:val="890C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A6F74"/>
    <w:multiLevelType w:val="hybridMultilevel"/>
    <w:tmpl w:val="E466B740"/>
    <w:lvl w:ilvl="0" w:tplc="0E9CEBB0">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17DC9"/>
    <w:multiLevelType w:val="hybridMultilevel"/>
    <w:tmpl w:val="DE3AD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565F59"/>
    <w:multiLevelType w:val="hybridMultilevel"/>
    <w:tmpl w:val="D48A47D4"/>
    <w:lvl w:ilvl="0" w:tplc="BEB253A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D4"/>
    <w:rsid w:val="00020B02"/>
    <w:rsid w:val="0007602E"/>
    <w:rsid w:val="00092C69"/>
    <w:rsid w:val="000A3988"/>
    <w:rsid w:val="000F0CBD"/>
    <w:rsid w:val="00103C9F"/>
    <w:rsid w:val="00107B0F"/>
    <w:rsid w:val="00113A2E"/>
    <w:rsid w:val="00126E32"/>
    <w:rsid w:val="001310D9"/>
    <w:rsid w:val="00136C51"/>
    <w:rsid w:val="00164B18"/>
    <w:rsid w:val="00171EDF"/>
    <w:rsid w:val="00174709"/>
    <w:rsid w:val="00185634"/>
    <w:rsid w:val="001C4CFB"/>
    <w:rsid w:val="001F3B6B"/>
    <w:rsid w:val="00205CBB"/>
    <w:rsid w:val="00223765"/>
    <w:rsid w:val="00224AB6"/>
    <w:rsid w:val="0024223F"/>
    <w:rsid w:val="00260BE2"/>
    <w:rsid w:val="00261B2D"/>
    <w:rsid w:val="002628E4"/>
    <w:rsid w:val="0028110C"/>
    <w:rsid w:val="00317E29"/>
    <w:rsid w:val="00360693"/>
    <w:rsid w:val="00384A75"/>
    <w:rsid w:val="003A2D71"/>
    <w:rsid w:val="003D3611"/>
    <w:rsid w:val="003F43D2"/>
    <w:rsid w:val="004344CB"/>
    <w:rsid w:val="00475490"/>
    <w:rsid w:val="004C5C70"/>
    <w:rsid w:val="004E57FE"/>
    <w:rsid w:val="004F246B"/>
    <w:rsid w:val="0051610B"/>
    <w:rsid w:val="00527B05"/>
    <w:rsid w:val="00527F4F"/>
    <w:rsid w:val="00532E2D"/>
    <w:rsid w:val="00535C90"/>
    <w:rsid w:val="00560292"/>
    <w:rsid w:val="00565241"/>
    <w:rsid w:val="005B4323"/>
    <w:rsid w:val="005E2F06"/>
    <w:rsid w:val="005E729B"/>
    <w:rsid w:val="005F0A92"/>
    <w:rsid w:val="00605AAD"/>
    <w:rsid w:val="006867ED"/>
    <w:rsid w:val="00697DEA"/>
    <w:rsid w:val="006C145B"/>
    <w:rsid w:val="006C1C43"/>
    <w:rsid w:val="006C3E5A"/>
    <w:rsid w:val="006D7F87"/>
    <w:rsid w:val="00715514"/>
    <w:rsid w:val="00726D06"/>
    <w:rsid w:val="00754043"/>
    <w:rsid w:val="00775BC0"/>
    <w:rsid w:val="007C798B"/>
    <w:rsid w:val="007E06EB"/>
    <w:rsid w:val="008122A6"/>
    <w:rsid w:val="00815095"/>
    <w:rsid w:val="00880D2F"/>
    <w:rsid w:val="00884472"/>
    <w:rsid w:val="00891466"/>
    <w:rsid w:val="008A2D90"/>
    <w:rsid w:val="008B003F"/>
    <w:rsid w:val="008E7E34"/>
    <w:rsid w:val="008F0BAC"/>
    <w:rsid w:val="009A7AE4"/>
    <w:rsid w:val="009B4833"/>
    <w:rsid w:val="00A0370E"/>
    <w:rsid w:val="00A62563"/>
    <w:rsid w:val="00A861A7"/>
    <w:rsid w:val="00A93DA6"/>
    <w:rsid w:val="00AC3FAB"/>
    <w:rsid w:val="00AD0ABC"/>
    <w:rsid w:val="00AE643D"/>
    <w:rsid w:val="00AF4990"/>
    <w:rsid w:val="00B1273E"/>
    <w:rsid w:val="00B325EC"/>
    <w:rsid w:val="00B7027D"/>
    <w:rsid w:val="00BB0321"/>
    <w:rsid w:val="00BB3518"/>
    <w:rsid w:val="00BC0690"/>
    <w:rsid w:val="00BE0128"/>
    <w:rsid w:val="00C07D37"/>
    <w:rsid w:val="00C12465"/>
    <w:rsid w:val="00C300D8"/>
    <w:rsid w:val="00C30124"/>
    <w:rsid w:val="00C82E4C"/>
    <w:rsid w:val="00CC392D"/>
    <w:rsid w:val="00CC50F1"/>
    <w:rsid w:val="00CD1E47"/>
    <w:rsid w:val="00CE1F19"/>
    <w:rsid w:val="00CF3387"/>
    <w:rsid w:val="00D263CD"/>
    <w:rsid w:val="00D30B62"/>
    <w:rsid w:val="00D43E7F"/>
    <w:rsid w:val="00D474B3"/>
    <w:rsid w:val="00D51914"/>
    <w:rsid w:val="00D5300F"/>
    <w:rsid w:val="00D74B2E"/>
    <w:rsid w:val="00DA519F"/>
    <w:rsid w:val="00DB3DAC"/>
    <w:rsid w:val="00DC2DC9"/>
    <w:rsid w:val="00E51AAD"/>
    <w:rsid w:val="00E54CCF"/>
    <w:rsid w:val="00E70054"/>
    <w:rsid w:val="00E72545"/>
    <w:rsid w:val="00E83CD4"/>
    <w:rsid w:val="00E86762"/>
    <w:rsid w:val="00E950C3"/>
    <w:rsid w:val="00EC6838"/>
    <w:rsid w:val="00F330B1"/>
    <w:rsid w:val="00F53EBC"/>
    <w:rsid w:val="00F9410A"/>
    <w:rsid w:val="00FA52E8"/>
    <w:rsid w:val="00FD076D"/>
    <w:rsid w:val="00FE2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4AFC"/>
  <w15:chartTrackingRefBased/>
  <w15:docId w15:val="{7611BCF4-1D16-E547-AB86-E94EDB0E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EDF"/>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83C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3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C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C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C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C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C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3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CD4"/>
    <w:rPr>
      <w:rFonts w:eastAsiaTheme="majorEastAsia" w:cstheme="majorBidi"/>
      <w:color w:val="272727" w:themeColor="text1" w:themeTint="D8"/>
    </w:rPr>
  </w:style>
  <w:style w:type="paragraph" w:styleId="Title">
    <w:name w:val="Title"/>
    <w:basedOn w:val="Normal"/>
    <w:next w:val="Normal"/>
    <w:link w:val="TitleChar"/>
    <w:uiPriority w:val="10"/>
    <w:qFormat/>
    <w:rsid w:val="00E83C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C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C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3CD4"/>
    <w:rPr>
      <w:i/>
      <w:iCs/>
      <w:color w:val="404040" w:themeColor="text1" w:themeTint="BF"/>
    </w:rPr>
  </w:style>
  <w:style w:type="paragraph" w:styleId="ListParagraph">
    <w:name w:val="List Paragraph"/>
    <w:basedOn w:val="Normal"/>
    <w:uiPriority w:val="34"/>
    <w:qFormat/>
    <w:rsid w:val="00E83CD4"/>
    <w:pPr>
      <w:ind w:left="720"/>
      <w:contextualSpacing/>
    </w:pPr>
  </w:style>
  <w:style w:type="character" w:styleId="IntenseEmphasis">
    <w:name w:val="Intense Emphasis"/>
    <w:basedOn w:val="DefaultParagraphFont"/>
    <w:uiPriority w:val="21"/>
    <w:qFormat/>
    <w:rsid w:val="00E83CD4"/>
    <w:rPr>
      <w:i/>
      <w:iCs/>
      <w:color w:val="0F4761" w:themeColor="accent1" w:themeShade="BF"/>
    </w:rPr>
  </w:style>
  <w:style w:type="paragraph" w:styleId="IntenseQuote">
    <w:name w:val="Intense Quote"/>
    <w:basedOn w:val="Normal"/>
    <w:next w:val="Normal"/>
    <w:link w:val="IntenseQuoteChar"/>
    <w:uiPriority w:val="30"/>
    <w:qFormat/>
    <w:rsid w:val="00E83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CD4"/>
    <w:rPr>
      <w:i/>
      <w:iCs/>
      <w:color w:val="0F4761" w:themeColor="accent1" w:themeShade="BF"/>
    </w:rPr>
  </w:style>
  <w:style w:type="character" w:styleId="IntenseReference">
    <w:name w:val="Intense Reference"/>
    <w:basedOn w:val="DefaultParagraphFont"/>
    <w:uiPriority w:val="32"/>
    <w:qFormat/>
    <w:rsid w:val="00E83CD4"/>
    <w:rPr>
      <w:b/>
      <w:bCs/>
      <w:smallCaps/>
      <w:color w:val="0F4761" w:themeColor="accent1" w:themeShade="BF"/>
      <w:spacing w:val="5"/>
    </w:rPr>
  </w:style>
  <w:style w:type="table" w:styleId="TableGrid">
    <w:name w:val="Table Grid"/>
    <w:basedOn w:val="TableNormal"/>
    <w:uiPriority w:val="39"/>
    <w:rsid w:val="00E83CD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3CD4"/>
    <w:rPr>
      <w:sz w:val="16"/>
      <w:szCs w:val="16"/>
    </w:rPr>
  </w:style>
  <w:style w:type="paragraph" w:styleId="CommentText">
    <w:name w:val="annotation text"/>
    <w:basedOn w:val="Normal"/>
    <w:link w:val="CommentTextChar"/>
    <w:uiPriority w:val="99"/>
    <w:unhideWhenUsed/>
    <w:rsid w:val="00E83CD4"/>
    <w:rPr>
      <w:sz w:val="20"/>
      <w:szCs w:val="20"/>
    </w:rPr>
  </w:style>
  <w:style w:type="character" w:customStyle="1" w:styleId="CommentTextChar">
    <w:name w:val="Comment Text Char"/>
    <w:basedOn w:val="DefaultParagraphFont"/>
    <w:link w:val="CommentText"/>
    <w:uiPriority w:val="99"/>
    <w:rsid w:val="00E83CD4"/>
    <w:rPr>
      <w:kern w:val="0"/>
      <w:sz w:val="20"/>
      <w:szCs w:val="20"/>
      <w14:ligatures w14:val="none"/>
    </w:rPr>
  </w:style>
  <w:style w:type="character" w:styleId="Strong">
    <w:name w:val="Strong"/>
    <w:basedOn w:val="DefaultParagraphFont"/>
    <w:uiPriority w:val="22"/>
    <w:qFormat/>
    <w:rsid w:val="00E83CD4"/>
    <w:rPr>
      <w:b/>
      <w:bCs/>
    </w:rPr>
  </w:style>
  <w:style w:type="character" w:customStyle="1" w:styleId="apple-converted-space">
    <w:name w:val="apple-converted-space"/>
    <w:basedOn w:val="DefaultParagraphFont"/>
    <w:rsid w:val="00171EDF"/>
  </w:style>
  <w:style w:type="character" w:styleId="Hyperlink">
    <w:name w:val="Hyperlink"/>
    <w:basedOn w:val="DefaultParagraphFont"/>
    <w:uiPriority w:val="99"/>
    <w:unhideWhenUsed/>
    <w:rsid w:val="00171EDF"/>
    <w:rPr>
      <w:color w:val="467886" w:themeColor="hyperlink"/>
      <w:u w:val="single"/>
    </w:rPr>
  </w:style>
  <w:style w:type="character" w:customStyle="1" w:styleId="UnresolvedMention">
    <w:name w:val="Unresolved Mention"/>
    <w:basedOn w:val="DefaultParagraphFont"/>
    <w:uiPriority w:val="99"/>
    <w:semiHidden/>
    <w:unhideWhenUsed/>
    <w:rsid w:val="00171EDF"/>
    <w:rPr>
      <w:color w:val="605E5C"/>
      <w:shd w:val="clear" w:color="auto" w:fill="E1DFDD"/>
    </w:rPr>
  </w:style>
  <w:style w:type="character" w:styleId="FollowedHyperlink">
    <w:name w:val="FollowedHyperlink"/>
    <w:basedOn w:val="DefaultParagraphFont"/>
    <w:uiPriority w:val="99"/>
    <w:semiHidden/>
    <w:unhideWhenUsed/>
    <w:rsid w:val="00171EDF"/>
    <w:rPr>
      <w:color w:val="96607D" w:themeColor="followedHyperlink"/>
      <w:u w:val="single"/>
    </w:rPr>
  </w:style>
  <w:style w:type="character" w:styleId="Emphasis">
    <w:name w:val="Emphasis"/>
    <w:basedOn w:val="DefaultParagraphFont"/>
    <w:uiPriority w:val="20"/>
    <w:qFormat/>
    <w:rsid w:val="00171EDF"/>
    <w:rPr>
      <w:i/>
      <w:iCs/>
    </w:rPr>
  </w:style>
  <w:style w:type="paragraph" w:styleId="NormalWeb">
    <w:name w:val="Normal (Web)"/>
    <w:basedOn w:val="Normal"/>
    <w:uiPriority w:val="99"/>
    <w:unhideWhenUsed/>
    <w:rsid w:val="00171EDF"/>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261B2D"/>
    <w:rPr>
      <w:b/>
      <w:bCs/>
    </w:rPr>
  </w:style>
  <w:style w:type="character" w:customStyle="1" w:styleId="CommentSubjectChar">
    <w:name w:val="Comment Subject Char"/>
    <w:basedOn w:val="CommentTextChar"/>
    <w:link w:val="CommentSubject"/>
    <w:uiPriority w:val="99"/>
    <w:semiHidden/>
    <w:rsid w:val="00261B2D"/>
    <w:rPr>
      <w:rFonts w:ascii="Times New Roman" w:eastAsia="Times New Roman" w:hAnsi="Times New Roman" w:cs="Times New Roman"/>
      <w:b/>
      <w:bCs/>
      <w:kern w:val="0"/>
      <w:sz w:val="20"/>
      <w:szCs w:val="20"/>
      <w:lang w:eastAsia="en-GB"/>
      <w14:ligatures w14:val="none"/>
    </w:rPr>
  </w:style>
  <w:style w:type="table" w:customStyle="1" w:styleId="TableGridLight1">
    <w:name w:val="Table Grid Light1"/>
    <w:basedOn w:val="TableNormal"/>
    <w:uiPriority w:val="40"/>
    <w:rsid w:val="000A3988"/>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C4CFB"/>
    <w:pPr>
      <w:autoSpaceDE w:val="0"/>
      <w:autoSpaceDN w:val="0"/>
      <w:adjustRightInd w:val="0"/>
    </w:pPr>
    <w:rPr>
      <w:rFonts w:ascii="Code" w:hAnsi="Code" w:cs="Code"/>
      <w:color w:val="000000"/>
      <w:kern w:val="0"/>
    </w:rPr>
  </w:style>
  <w:style w:type="paragraph" w:styleId="Revision">
    <w:name w:val="Revision"/>
    <w:hidden/>
    <w:uiPriority w:val="99"/>
    <w:semiHidden/>
    <w:rsid w:val="006D7F87"/>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455292">
      <w:bodyDiv w:val="1"/>
      <w:marLeft w:val="0"/>
      <w:marRight w:val="0"/>
      <w:marTop w:val="0"/>
      <w:marBottom w:val="0"/>
      <w:divBdr>
        <w:top w:val="none" w:sz="0" w:space="0" w:color="auto"/>
        <w:left w:val="none" w:sz="0" w:space="0" w:color="auto"/>
        <w:bottom w:val="none" w:sz="0" w:space="0" w:color="auto"/>
        <w:right w:val="none" w:sz="0" w:space="0" w:color="auto"/>
      </w:divBdr>
      <w:divsChild>
        <w:div w:id="1036348381">
          <w:marLeft w:val="0"/>
          <w:marRight w:val="0"/>
          <w:marTop w:val="0"/>
          <w:marBottom w:val="0"/>
          <w:divBdr>
            <w:top w:val="none" w:sz="0" w:space="0" w:color="auto"/>
            <w:left w:val="none" w:sz="0" w:space="0" w:color="auto"/>
            <w:bottom w:val="none" w:sz="0" w:space="0" w:color="auto"/>
            <w:right w:val="none" w:sz="0" w:space="0" w:color="auto"/>
          </w:divBdr>
          <w:divsChild>
            <w:div w:id="1639408145">
              <w:marLeft w:val="0"/>
              <w:marRight w:val="0"/>
              <w:marTop w:val="0"/>
              <w:marBottom w:val="0"/>
              <w:divBdr>
                <w:top w:val="none" w:sz="0" w:space="0" w:color="auto"/>
                <w:left w:val="none" w:sz="0" w:space="0" w:color="auto"/>
                <w:bottom w:val="none" w:sz="0" w:space="0" w:color="auto"/>
                <w:right w:val="none" w:sz="0" w:space="0" w:color="auto"/>
              </w:divBdr>
              <w:divsChild>
                <w:div w:id="200771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656999">
      <w:bodyDiv w:val="1"/>
      <w:marLeft w:val="0"/>
      <w:marRight w:val="0"/>
      <w:marTop w:val="0"/>
      <w:marBottom w:val="0"/>
      <w:divBdr>
        <w:top w:val="none" w:sz="0" w:space="0" w:color="auto"/>
        <w:left w:val="none" w:sz="0" w:space="0" w:color="auto"/>
        <w:bottom w:val="none" w:sz="0" w:space="0" w:color="auto"/>
        <w:right w:val="none" w:sz="0" w:space="0" w:color="auto"/>
      </w:divBdr>
      <w:divsChild>
        <w:div w:id="924651028">
          <w:marLeft w:val="0"/>
          <w:marRight w:val="0"/>
          <w:marTop w:val="0"/>
          <w:marBottom w:val="0"/>
          <w:divBdr>
            <w:top w:val="none" w:sz="0" w:space="0" w:color="auto"/>
            <w:left w:val="none" w:sz="0" w:space="0" w:color="auto"/>
            <w:bottom w:val="none" w:sz="0" w:space="0" w:color="auto"/>
            <w:right w:val="none" w:sz="0" w:space="0" w:color="auto"/>
          </w:divBdr>
          <w:divsChild>
            <w:div w:id="1522014852">
              <w:marLeft w:val="0"/>
              <w:marRight w:val="0"/>
              <w:marTop w:val="0"/>
              <w:marBottom w:val="0"/>
              <w:divBdr>
                <w:top w:val="none" w:sz="0" w:space="0" w:color="auto"/>
                <w:left w:val="none" w:sz="0" w:space="0" w:color="auto"/>
                <w:bottom w:val="none" w:sz="0" w:space="0" w:color="auto"/>
                <w:right w:val="none" w:sz="0" w:space="0" w:color="auto"/>
              </w:divBdr>
              <w:divsChild>
                <w:div w:id="16222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61987">
      <w:bodyDiv w:val="1"/>
      <w:marLeft w:val="0"/>
      <w:marRight w:val="0"/>
      <w:marTop w:val="0"/>
      <w:marBottom w:val="0"/>
      <w:divBdr>
        <w:top w:val="none" w:sz="0" w:space="0" w:color="auto"/>
        <w:left w:val="none" w:sz="0" w:space="0" w:color="auto"/>
        <w:bottom w:val="none" w:sz="0" w:space="0" w:color="auto"/>
        <w:right w:val="none" w:sz="0" w:space="0" w:color="auto"/>
      </w:divBdr>
      <w:divsChild>
        <w:div w:id="126121253">
          <w:marLeft w:val="0"/>
          <w:marRight w:val="0"/>
          <w:marTop w:val="0"/>
          <w:marBottom w:val="0"/>
          <w:divBdr>
            <w:top w:val="none" w:sz="0" w:space="0" w:color="auto"/>
            <w:left w:val="none" w:sz="0" w:space="0" w:color="auto"/>
            <w:bottom w:val="none" w:sz="0" w:space="0" w:color="auto"/>
            <w:right w:val="none" w:sz="0" w:space="0" w:color="auto"/>
          </w:divBdr>
          <w:divsChild>
            <w:div w:id="20324581">
              <w:marLeft w:val="0"/>
              <w:marRight w:val="0"/>
              <w:marTop w:val="0"/>
              <w:marBottom w:val="0"/>
              <w:divBdr>
                <w:top w:val="none" w:sz="0" w:space="0" w:color="auto"/>
                <w:left w:val="none" w:sz="0" w:space="0" w:color="auto"/>
                <w:bottom w:val="none" w:sz="0" w:space="0" w:color="auto"/>
                <w:right w:val="none" w:sz="0" w:space="0" w:color="auto"/>
              </w:divBdr>
              <w:divsChild>
                <w:div w:id="191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902168">
      <w:bodyDiv w:val="1"/>
      <w:marLeft w:val="0"/>
      <w:marRight w:val="0"/>
      <w:marTop w:val="0"/>
      <w:marBottom w:val="0"/>
      <w:divBdr>
        <w:top w:val="none" w:sz="0" w:space="0" w:color="auto"/>
        <w:left w:val="none" w:sz="0" w:space="0" w:color="auto"/>
        <w:bottom w:val="none" w:sz="0" w:space="0" w:color="auto"/>
        <w:right w:val="none" w:sz="0" w:space="0" w:color="auto"/>
      </w:divBdr>
    </w:div>
    <w:div w:id="1079908931">
      <w:bodyDiv w:val="1"/>
      <w:marLeft w:val="0"/>
      <w:marRight w:val="0"/>
      <w:marTop w:val="0"/>
      <w:marBottom w:val="0"/>
      <w:divBdr>
        <w:top w:val="none" w:sz="0" w:space="0" w:color="auto"/>
        <w:left w:val="none" w:sz="0" w:space="0" w:color="auto"/>
        <w:bottom w:val="none" w:sz="0" w:space="0" w:color="auto"/>
        <w:right w:val="none" w:sz="0" w:space="0" w:color="auto"/>
      </w:divBdr>
      <w:divsChild>
        <w:div w:id="18342495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162697196">
      <w:bodyDiv w:val="1"/>
      <w:marLeft w:val="0"/>
      <w:marRight w:val="0"/>
      <w:marTop w:val="0"/>
      <w:marBottom w:val="0"/>
      <w:divBdr>
        <w:top w:val="none" w:sz="0" w:space="0" w:color="auto"/>
        <w:left w:val="none" w:sz="0" w:space="0" w:color="auto"/>
        <w:bottom w:val="none" w:sz="0" w:space="0" w:color="auto"/>
        <w:right w:val="none" w:sz="0" w:space="0" w:color="auto"/>
      </w:divBdr>
      <w:divsChild>
        <w:div w:id="1241792335">
          <w:marLeft w:val="0"/>
          <w:marRight w:val="0"/>
          <w:marTop w:val="0"/>
          <w:marBottom w:val="0"/>
          <w:divBdr>
            <w:top w:val="none" w:sz="0" w:space="0" w:color="auto"/>
            <w:left w:val="none" w:sz="0" w:space="0" w:color="auto"/>
            <w:bottom w:val="none" w:sz="0" w:space="0" w:color="auto"/>
            <w:right w:val="none" w:sz="0" w:space="0" w:color="auto"/>
          </w:divBdr>
          <w:divsChild>
            <w:div w:id="278882173">
              <w:marLeft w:val="0"/>
              <w:marRight w:val="0"/>
              <w:marTop w:val="0"/>
              <w:marBottom w:val="0"/>
              <w:divBdr>
                <w:top w:val="none" w:sz="0" w:space="0" w:color="auto"/>
                <w:left w:val="none" w:sz="0" w:space="0" w:color="auto"/>
                <w:bottom w:val="none" w:sz="0" w:space="0" w:color="auto"/>
                <w:right w:val="none" w:sz="0" w:space="0" w:color="auto"/>
              </w:divBdr>
              <w:divsChild>
                <w:div w:id="5061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8333">
      <w:bodyDiv w:val="1"/>
      <w:marLeft w:val="0"/>
      <w:marRight w:val="0"/>
      <w:marTop w:val="0"/>
      <w:marBottom w:val="0"/>
      <w:divBdr>
        <w:top w:val="none" w:sz="0" w:space="0" w:color="auto"/>
        <w:left w:val="none" w:sz="0" w:space="0" w:color="auto"/>
        <w:bottom w:val="none" w:sz="0" w:space="0" w:color="auto"/>
        <w:right w:val="none" w:sz="0" w:space="0" w:color="auto"/>
      </w:divBdr>
      <w:divsChild>
        <w:div w:id="1155682291">
          <w:marLeft w:val="0"/>
          <w:marRight w:val="0"/>
          <w:marTop w:val="0"/>
          <w:marBottom w:val="0"/>
          <w:divBdr>
            <w:top w:val="none" w:sz="0" w:space="0" w:color="auto"/>
            <w:left w:val="none" w:sz="0" w:space="0" w:color="auto"/>
            <w:bottom w:val="none" w:sz="0" w:space="0" w:color="auto"/>
            <w:right w:val="none" w:sz="0" w:space="0" w:color="auto"/>
          </w:divBdr>
          <w:divsChild>
            <w:div w:id="346447303">
              <w:marLeft w:val="0"/>
              <w:marRight w:val="0"/>
              <w:marTop w:val="0"/>
              <w:marBottom w:val="0"/>
              <w:divBdr>
                <w:top w:val="none" w:sz="0" w:space="0" w:color="auto"/>
                <w:left w:val="none" w:sz="0" w:space="0" w:color="auto"/>
                <w:bottom w:val="none" w:sz="0" w:space="0" w:color="auto"/>
                <w:right w:val="none" w:sz="0" w:space="0" w:color="auto"/>
              </w:divBdr>
              <w:divsChild>
                <w:div w:id="8801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46693">
      <w:bodyDiv w:val="1"/>
      <w:marLeft w:val="0"/>
      <w:marRight w:val="0"/>
      <w:marTop w:val="0"/>
      <w:marBottom w:val="0"/>
      <w:divBdr>
        <w:top w:val="none" w:sz="0" w:space="0" w:color="auto"/>
        <w:left w:val="none" w:sz="0" w:space="0" w:color="auto"/>
        <w:bottom w:val="none" w:sz="0" w:space="0" w:color="auto"/>
        <w:right w:val="none" w:sz="0" w:space="0" w:color="auto"/>
      </w:divBdr>
      <w:divsChild>
        <w:div w:id="1082679405">
          <w:marLeft w:val="0"/>
          <w:marRight w:val="0"/>
          <w:marTop w:val="0"/>
          <w:marBottom w:val="240"/>
          <w:divBdr>
            <w:top w:val="none" w:sz="0" w:space="0" w:color="auto"/>
            <w:left w:val="none" w:sz="0" w:space="0" w:color="auto"/>
            <w:bottom w:val="none" w:sz="0" w:space="0" w:color="auto"/>
            <w:right w:val="none" w:sz="0" w:space="0" w:color="auto"/>
          </w:divBdr>
        </w:div>
      </w:divsChild>
    </w:div>
    <w:div w:id="1363750962">
      <w:bodyDiv w:val="1"/>
      <w:marLeft w:val="0"/>
      <w:marRight w:val="0"/>
      <w:marTop w:val="0"/>
      <w:marBottom w:val="0"/>
      <w:divBdr>
        <w:top w:val="none" w:sz="0" w:space="0" w:color="auto"/>
        <w:left w:val="none" w:sz="0" w:space="0" w:color="auto"/>
        <w:bottom w:val="none" w:sz="0" w:space="0" w:color="auto"/>
        <w:right w:val="none" w:sz="0" w:space="0" w:color="auto"/>
      </w:divBdr>
      <w:divsChild>
        <w:div w:id="1669409213">
          <w:marLeft w:val="0"/>
          <w:marRight w:val="0"/>
          <w:marTop w:val="0"/>
          <w:marBottom w:val="0"/>
          <w:divBdr>
            <w:top w:val="none" w:sz="0" w:space="0" w:color="auto"/>
            <w:left w:val="none" w:sz="0" w:space="0" w:color="auto"/>
            <w:bottom w:val="none" w:sz="0" w:space="0" w:color="auto"/>
            <w:right w:val="none" w:sz="0" w:space="0" w:color="auto"/>
          </w:divBdr>
          <w:divsChild>
            <w:div w:id="167451659">
              <w:marLeft w:val="0"/>
              <w:marRight w:val="0"/>
              <w:marTop w:val="0"/>
              <w:marBottom w:val="0"/>
              <w:divBdr>
                <w:top w:val="none" w:sz="0" w:space="0" w:color="auto"/>
                <w:left w:val="none" w:sz="0" w:space="0" w:color="auto"/>
                <w:bottom w:val="none" w:sz="0" w:space="0" w:color="auto"/>
                <w:right w:val="none" w:sz="0" w:space="0" w:color="auto"/>
              </w:divBdr>
              <w:divsChild>
                <w:div w:id="7330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29407">
      <w:bodyDiv w:val="1"/>
      <w:marLeft w:val="0"/>
      <w:marRight w:val="0"/>
      <w:marTop w:val="0"/>
      <w:marBottom w:val="0"/>
      <w:divBdr>
        <w:top w:val="none" w:sz="0" w:space="0" w:color="auto"/>
        <w:left w:val="none" w:sz="0" w:space="0" w:color="auto"/>
        <w:bottom w:val="none" w:sz="0" w:space="0" w:color="auto"/>
        <w:right w:val="none" w:sz="0" w:space="0" w:color="auto"/>
      </w:divBdr>
      <w:divsChild>
        <w:div w:id="906037060">
          <w:marLeft w:val="0"/>
          <w:marRight w:val="0"/>
          <w:marTop w:val="0"/>
          <w:marBottom w:val="0"/>
          <w:divBdr>
            <w:top w:val="none" w:sz="0" w:space="0" w:color="auto"/>
            <w:left w:val="none" w:sz="0" w:space="0" w:color="auto"/>
            <w:bottom w:val="none" w:sz="0" w:space="0" w:color="auto"/>
            <w:right w:val="none" w:sz="0" w:space="0" w:color="auto"/>
          </w:divBdr>
        </w:div>
      </w:divsChild>
    </w:div>
    <w:div w:id="1547181378">
      <w:bodyDiv w:val="1"/>
      <w:marLeft w:val="0"/>
      <w:marRight w:val="0"/>
      <w:marTop w:val="0"/>
      <w:marBottom w:val="0"/>
      <w:divBdr>
        <w:top w:val="none" w:sz="0" w:space="0" w:color="auto"/>
        <w:left w:val="none" w:sz="0" w:space="0" w:color="auto"/>
        <w:bottom w:val="none" w:sz="0" w:space="0" w:color="auto"/>
        <w:right w:val="none" w:sz="0" w:space="0" w:color="auto"/>
      </w:divBdr>
      <w:divsChild>
        <w:div w:id="1933665836">
          <w:marLeft w:val="0"/>
          <w:marRight w:val="0"/>
          <w:marTop w:val="0"/>
          <w:marBottom w:val="0"/>
          <w:divBdr>
            <w:top w:val="none" w:sz="0" w:space="0" w:color="auto"/>
            <w:left w:val="none" w:sz="0" w:space="0" w:color="auto"/>
            <w:bottom w:val="none" w:sz="0" w:space="0" w:color="auto"/>
            <w:right w:val="none" w:sz="0" w:space="0" w:color="auto"/>
          </w:divBdr>
          <w:divsChild>
            <w:div w:id="1847208696">
              <w:marLeft w:val="0"/>
              <w:marRight w:val="0"/>
              <w:marTop w:val="0"/>
              <w:marBottom w:val="0"/>
              <w:divBdr>
                <w:top w:val="none" w:sz="0" w:space="0" w:color="auto"/>
                <w:left w:val="none" w:sz="0" w:space="0" w:color="auto"/>
                <w:bottom w:val="none" w:sz="0" w:space="0" w:color="auto"/>
                <w:right w:val="none" w:sz="0" w:space="0" w:color="auto"/>
              </w:divBdr>
              <w:divsChild>
                <w:div w:id="20917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69027">
      <w:bodyDiv w:val="1"/>
      <w:marLeft w:val="0"/>
      <w:marRight w:val="0"/>
      <w:marTop w:val="0"/>
      <w:marBottom w:val="0"/>
      <w:divBdr>
        <w:top w:val="none" w:sz="0" w:space="0" w:color="auto"/>
        <w:left w:val="none" w:sz="0" w:space="0" w:color="auto"/>
        <w:bottom w:val="none" w:sz="0" w:space="0" w:color="auto"/>
        <w:right w:val="none" w:sz="0" w:space="0" w:color="auto"/>
      </w:divBdr>
      <w:divsChild>
        <w:div w:id="928268082">
          <w:marLeft w:val="0"/>
          <w:marRight w:val="0"/>
          <w:marTop w:val="0"/>
          <w:marBottom w:val="0"/>
          <w:divBdr>
            <w:top w:val="none" w:sz="0" w:space="0" w:color="auto"/>
            <w:left w:val="none" w:sz="0" w:space="0" w:color="auto"/>
            <w:bottom w:val="none" w:sz="0" w:space="0" w:color="auto"/>
            <w:right w:val="none" w:sz="0" w:space="0" w:color="auto"/>
          </w:divBdr>
          <w:divsChild>
            <w:div w:id="1010832907">
              <w:marLeft w:val="0"/>
              <w:marRight w:val="0"/>
              <w:marTop w:val="0"/>
              <w:marBottom w:val="0"/>
              <w:divBdr>
                <w:top w:val="none" w:sz="0" w:space="0" w:color="auto"/>
                <w:left w:val="none" w:sz="0" w:space="0" w:color="auto"/>
                <w:bottom w:val="none" w:sz="0" w:space="0" w:color="auto"/>
                <w:right w:val="none" w:sz="0" w:space="0" w:color="auto"/>
              </w:divBdr>
              <w:divsChild>
                <w:div w:id="91732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nnals.org/aim/fullarticle/2700389/prisma-extension-scoping-reviews-prisma-scr-checklist-explanation"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C1523A5DC6E641897AA4150548C742"/>
        <w:category>
          <w:name w:val="General"/>
          <w:gallery w:val="placeholder"/>
        </w:category>
        <w:types>
          <w:type w:val="bbPlcHdr"/>
        </w:types>
        <w:behaviors>
          <w:behavior w:val="content"/>
        </w:behaviors>
        <w:guid w:val="{365CB433-FF55-A045-AED4-28D143BD058B}"/>
      </w:docPartPr>
      <w:docPartBody>
        <w:p w:rsidR="00A10283" w:rsidRDefault="009716A5" w:rsidP="009716A5">
          <w:pPr>
            <w:pStyle w:val="86C1523A5DC6E641897AA4150548C742"/>
          </w:pPr>
          <w:r w:rsidRPr="003A2F5F">
            <w:rPr>
              <w:rStyle w:val="PlaceholderText"/>
            </w:rPr>
            <w:t>Click here to enter text.</w:t>
          </w:r>
        </w:p>
      </w:docPartBody>
    </w:docPart>
    <w:docPart>
      <w:docPartPr>
        <w:name w:val="49540E9743522842B5944B4EFBCF89E2"/>
        <w:category>
          <w:name w:val="General"/>
          <w:gallery w:val="placeholder"/>
        </w:category>
        <w:types>
          <w:type w:val="bbPlcHdr"/>
        </w:types>
        <w:behaviors>
          <w:behavior w:val="content"/>
        </w:behaviors>
        <w:guid w:val="{972ADA7A-D412-7348-B99B-A0E36677BFDD}"/>
      </w:docPartPr>
      <w:docPartBody>
        <w:p w:rsidR="00A10283" w:rsidRDefault="009716A5" w:rsidP="009716A5">
          <w:pPr>
            <w:pStyle w:val="49540E9743522842B5944B4EFBCF89E2"/>
          </w:pPr>
          <w:r w:rsidRPr="003A2F5F">
            <w:rPr>
              <w:rStyle w:val="PlaceholderText"/>
            </w:rPr>
            <w:t>Click here to enter text.</w:t>
          </w:r>
        </w:p>
      </w:docPartBody>
    </w:docPart>
    <w:docPart>
      <w:docPartPr>
        <w:name w:val="B68D81CB34AD664D8C6496C590EB1514"/>
        <w:category>
          <w:name w:val="General"/>
          <w:gallery w:val="placeholder"/>
        </w:category>
        <w:types>
          <w:type w:val="bbPlcHdr"/>
        </w:types>
        <w:behaviors>
          <w:behavior w:val="content"/>
        </w:behaviors>
        <w:guid w:val="{60E50412-18B8-0B41-9356-487A354773C0}"/>
      </w:docPartPr>
      <w:docPartBody>
        <w:p w:rsidR="00A10283" w:rsidRDefault="009716A5" w:rsidP="009716A5">
          <w:pPr>
            <w:pStyle w:val="B68D81CB34AD664D8C6496C590EB1514"/>
          </w:pPr>
          <w:r w:rsidRPr="003A2F5F">
            <w:rPr>
              <w:rStyle w:val="PlaceholderText"/>
            </w:rPr>
            <w:t>Click here to enter text.</w:t>
          </w:r>
        </w:p>
      </w:docPartBody>
    </w:docPart>
    <w:docPart>
      <w:docPartPr>
        <w:name w:val="DD245D39A9FAC242B3F64F2CA3E5C27F"/>
        <w:category>
          <w:name w:val="General"/>
          <w:gallery w:val="placeholder"/>
        </w:category>
        <w:types>
          <w:type w:val="bbPlcHdr"/>
        </w:types>
        <w:behaviors>
          <w:behavior w:val="content"/>
        </w:behaviors>
        <w:guid w:val="{68EEEA83-036A-7B4B-866B-2D0CB3B80BC9}"/>
      </w:docPartPr>
      <w:docPartBody>
        <w:p w:rsidR="00A10283" w:rsidRDefault="009716A5" w:rsidP="009716A5">
          <w:pPr>
            <w:pStyle w:val="DD245D39A9FAC242B3F64F2CA3E5C27F"/>
          </w:pPr>
          <w:r w:rsidRPr="003A2F5F">
            <w:rPr>
              <w:rStyle w:val="PlaceholderText"/>
            </w:rPr>
            <w:t>Click here to enter text.</w:t>
          </w:r>
        </w:p>
      </w:docPartBody>
    </w:docPart>
    <w:docPart>
      <w:docPartPr>
        <w:name w:val="813443541B8AD544B03D265F58E52092"/>
        <w:category>
          <w:name w:val="General"/>
          <w:gallery w:val="placeholder"/>
        </w:category>
        <w:types>
          <w:type w:val="bbPlcHdr"/>
        </w:types>
        <w:behaviors>
          <w:behavior w:val="content"/>
        </w:behaviors>
        <w:guid w:val="{447E514F-25A0-7340-BEE7-FA5EF304DF90}"/>
      </w:docPartPr>
      <w:docPartBody>
        <w:p w:rsidR="00A10283" w:rsidRDefault="009716A5" w:rsidP="009716A5">
          <w:pPr>
            <w:pStyle w:val="813443541B8AD544B03D265F58E52092"/>
          </w:pPr>
          <w:r w:rsidRPr="003A2F5F">
            <w:rPr>
              <w:rStyle w:val="PlaceholderText"/>
            </w:rPr>
            <w:t>Click here to enter text.</w:t>
          </w:r>
        </w:p>
      </w:docPartBody>
    </w:docPart>
    <w:docPart>
      <w:docPartPr>
        <w:name w:val="F9ACB85847D98D4FAEDA133FFE40CBEB"/>
        <w:category>
          <w:name w:val="General"/>
          <w:gallery w:val="placeholder"/>
        </w:category>
        <w:types>
          <w:type w:val="bbPlcHdr"/>
        </w:types>
        <w:behaviors>
          <w:behavior w:val="content"/>
        </w:behaviors>
        <w:guid w:val="{BDF54FA8-3063-F749-A7F7-62690C3003E6}"/>
      </w:docPartPr>
      <w:docPartBody>
        <w:p w:rsidR="00A10283" w:rsidRDefault="009716A5" w:rsidP="009716A5">
          <w:pPr>
            <w:pStyle w:val="F9ACB85847D98D4FAEDA133FFE40CBEB"/>
          </w:pPr>
          <w:r w:rsidRPr="003A2F5F">
            <w:rPr>
              <w:rStyle w:val="PlaceholderText"/>
            </w:rPr>
            <w:t>Click here to enter text.</w:t>
          </w:r>
        </w:p>
      </w:docPartBody>
    </w:docPart>
    <w:docPart>
      <w:docPartPr>
        <w:name w:val="128AE316FD1F3246A7A923BA33ECD183"/>
        <w:category>
          <w:name w:val="General"/>
          <w:gallery w:val="placeholder"/>
        </w:category>
        <w:types>
          <w:type w:val="bbPlcHdr"/>
        </w:types>
        <w:behaviors>
          <w:behavior w:val="content"/>
        </w:behaviors>
        <w:guid w:val="{2F1B8B72-281C-1246-A771-DE0C1B8D615E}"/>
      </w:docPartPr>
      <w:docPartBody>
        <w:p w:rsidR="0049727C" w:rsidRDefault="007331B8" w:rsidP="007331B8">
          <w:pPr>
            <w:pStyle w:val="128AE316FD1F3246A7A923BA33ECD183"/>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de">
    <w:altName w:val="Code"/>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A5"/>
    <w:rsid w:val="0000628B"/>
    <w:rsid w:val="00025798"/>
    <w:rsid w:val="00074A30"/>
    <w:rsid w:val="0007602E"/>
    <w:rsid w:val="001B0DE3"/>
    <w:rsid w:val="0049727C"/>
    <w:rsid w:val="00640DE9"/>
    <w:rsid w:val="007331B8"/>
    <w:rsid w:val="00754043"/>
    <w:rsid w:val="00765541"/>
    <w:rsid w:val="007C5DAA"/>
    <w:rsid w:val="007D437A"/>
    <w:rsid w:val="00884472"/>
    <w:rsid w:val="008B20F8"/>
    <w:rsid w:val="009716A5"/>
    <w:rsid w:val="00A019B1"/>
    <w:rsid w:val="00A10283"/>
    <w:rsid w:val="00A57FBC"/>
    <w:rsid w:val="00B1510D"/>
    <w:rsid w:val="00BD3BDB"/>
    <w:rsid w:val="00C30124"/>
    <w:rsid w:val="00E3090E"/>
    <w:rsid w:val="00E950C3"/>
    <w:rsid w:val="00FA5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31B8"/>
    <w:rPr>
      <w:color w:val="808080"/>
    </w:rPr>
  </w:style>
  <w:style w:type="paragraph" w:customStyle="1" w:styleId="86C1523A5DC6E641897AA4150548C742">
    <w:name w:val="86C1523A5DC6E641897AA4150548C742"/>
    <w:rsid w:val="009716A5"/>
  </w:style>
  <w:style w:type="paragraph" w:customStyle="1" w:styleId="49540E9743522842B5944B4EFBCF89E2">
    <w:name w:val="49540E9743522842B5944B4EFBCF89E2"/>
    <w:rsid w:val="009716A5"/>
  </w:style>
  <w:style w:type="paragraph" w:customStyle="1" w:styleId="B68D81CB34AD664D8C6496C590EB1514">
    <w:name w:val="B68D81CB34AD664D8C6496C590EB1514"/>
    <w:rsid w:val="009716A5"/>
  </w:style>
  <w:style w:type="paragraph" w:customStyle="1" w:styleId="DD245D39A9FAC242B3F64F2CA3E5C27F">
    <w:name w:val="DD245D39A9FAC242B3F64F2CA3E5C27F"/>
    <w:rsid w:val="009716A5"/>
  </w:style>
  <w:style w:type="paragraph" w:customStyle="1" w:styleId="813443541B8AD544B03D265F58E52092">
    <w:name w:val="813443541B8AD544B03D265F58E52092"/>
    <w:rsid w:val="009716A5"/>
  </w:style>
  <w:style w:type="paragraph" w:customStyle="1" w:styleId="F9ACB85847D98D4FAEDA133FFE40CBEB">
    <w:name w:val="F9ACB85847D98D4FAEDA133FFE40CBEB"/>
    <w:rsid w:val="009716A5"/>
  </w:style>
  <w:style w:type="paragraph" w:customStyle="1" w:styleId="128AE316FD1F3246A7A923BA33ECD183">
    <w:name w:val="128AE316FD1F3246A7A923BA33ECD183"/>
    <w:rsid w:val="00733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5936</Words>
  <Characters>33841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 Quirey Parker</dc:creator>
  <cp:keywords/>
  <dc:description/>
  <cp:lastModifiedBy>Elcar Umbac</cp:lastModifiedBy>
  <cp:revision>2</cp:revision>
  <dcterms:created xsi:type="dcterms:W3CDTF">2025-08-11T02:37:00Z</dcterms:created>
  <dcterms:modified xsi:type="dcterms:W3CDTF">2025-08-11T02:37:00Z</dcterms:modified>
</cp:coreProperties>
</file>