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EECC3F" w14:textId="77777777" w:rsidR="00D55587" w:rsidRDefault="00D55587" w:rsidP="00D55587">
      <w:pPr>
        <w:spacing w:line="276" w:lineRule="auto"/>
        <w:rPr>
          <w:sz w:val="20"/>
          <w:szCs w:val="20"/>
        </w:rPr>
      </w:pPr>
      <w:r>
        <w:rPr>
          <w:noProof/>
        </w:rPr>
        <w:drawing>
          <wp:inline distT="0" distB="0" distL="0" distR="0" wp14:anchorId="08A3075D" wp14:editId="4A0ABDF0">
            <wp:extent cx="5530291" cy="5769732"/>
            <wp:effectExtent l="0" t="0" r="0" b="2540"/>
            <wp:docPr id="1461982304" name="Picture 1461982304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982304" name="Picture 1461982304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399" cy="577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E8C32" w14:textId="77777777" w:rsidR="003E5848" w:rsidRDefault="003E5848" w:rsidP="003E5848">
      <w:pPr>
        <w:spacing w:line="276" w:lineRule="auto"/>
        <w:rPr>
          <w:color w:val="000000"/>
          <w:sz w:val="20"/>
          <w:szCs w:val="22"/>
        </w:rPr>
      </w:pPr>
      <w:r w:rsidRPr="003E5848">
        <w:rPr>
          <w:sz w:val="18"/>
          <w:szCs w:val="20"/>
        </w:rPr>
        <w:t xml:space="preserve">Figure S1: </w:t>
      </w:r>
      <w:r w:rsidRPr="003E5848">
        <w:rPr>
          <w:color w:val="000000"/>
          <w:sz w:val="20"/>
          <w:szCs w:val="22"/>
        </w:rPr>
        <w:t>Exclusion criteria applied to ED data for XGBoost models.</w:t>
      </w:r>
    </w:p>
    <w:p w14:paraId="39F4FEA8" w14:textId="77777777" w:rsidR="009262D3" w:rsidRDefault="009262D3" w:rsidP="003E5848">
      <w:pPr>
        <w:spacing w:line="276" w:lineRule="auto"/>
        <w:rPr>
          <w:color w:val="000000"/>
          <w:sz w:val="20"/>
          <w:szCs w:val="22"/>
        </w:rPr>
      </w:pPr>
    </w:p>
    <w:p w14:paraId="06DA381E" w14:textId="77777777" w:rsidR="009262D3" w:rsidRPr="009262D3" w:rsidRDefault="009262D3" w:rsidP="003E5848">
      <w:pPr>
        <w:spacing w:line="276" w:lineRule="auto"/>
        <w:rPr>
          <w:color w:val="000000"/>
          <w:sz w:val="20"/>
          <w:szCs w:val="22"/>
        </w:rPr>
      </w:pPr>
      <w:r w:rsidRPr="009262D3">
        <w:rPr>
          <w:color w:val="000000"/>
          <w:sz w:val="20"/>
          <w:szCs w:val="22"/>
        </w:rPr>
        <w:t>Table S1: List of all covariates and their data sources and resolution.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940"/>
        <w:gridCol w:w="3888"/>
        <w:gridCol w:w="2461"/>
      </w:tblGrid>
      <w:tr w:rsidR="00546A76" w:rsidRPr="003E5848" w14:paraId="54D1C08B" w14:textId="77777777" w:rsidTr="00546A76">
        <w:trPr>
          <w:trHeight w:val="20"/>
        </w:trPr>
        <w:tc>
          <w:tcPr>
            <w:tcW w:w="2940" w:type="dxa"/>
            <w:hideMark/>
          </w:tcPr>
          <w:p w14:paraId="7CA79C81" w14:textId="77777777" w:rsidR="003E5848" w:rsidRPr="003E5848" w:rsidRDefault="003E5848" w:rsidP="003E5848">
            <w:pPr>
              <w:spacing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Variable</w:t>
            </w:r>
          </w:p>
        </w:tc>
        <w:tc>
          <w:tcPr>
            <w:tcW w:w="3888" w:type="dxa"/>
            <w:hideMark/>
          </w:tcPr>
          <w:p w14:paraId="452BF740" w14:textId="77777777" w:rsidR="003E5848" w:rsidRPr="003E5848" w:rsidRDefault="003E5848" w:rsidP="003E5848">
            <w:pPr>
              <w:spacing w:line="276" w:lineRule="auto"/>
              <w:rPr>
                <w:b/>
                <w:bCs/>
                <w:sz w:val="18"/>
                <w:szCs w:val="20"/>
              </w:rPr>
            </w:pPr>
            <w:r w:rsidRPr="003E5848">
              <w:rPr>
                <w:b/>
                <w:bCs/>
                <w:sz w:val="18"/>
                <w:szCs w:val="20"/>
              </w:rPr>
              <w:t>Source</w:t>
            </w:r>
          </w:p>
        </w:tc>
        <w:tc>
          <w:tcPr>
            <w:tcW w:w="0" w:type="auto"/>
            <w:hideMark/>
          </w:tcPr>
          <w:p w14:paraId="42B92BCA" w14:textId="77777777" w:rsidR="003E5848" w:rsidRPr="003E5848" w:rsidRDefault="003E5848" w:rsidP="003E5848">
            <w:pPr>
              <w:spacing w:line="276" w:lineRule="auto"/>
              <w:rPr>
                <w:b/>
                <w:bCs/>
                <w:sz w:val="18"/>
                <w:szCs w:val="20"/>
              </w:rPr>
            </w:pPr>
            <w:r w:rsidRPr="003E5848">
              <w:rPr>
                <w:b/>
                <w:bCs/>
                <w:sz w:val="18"/>
                <w:szCs w:val="20"/>
              </w:rPr>
              <w:t>Spatial resolution</w:t>
            </w:r>
          </w:p>
        </w:tc>
      </w:tr>
      <w:tr w:rsidR="00546A76" w:rsidRPr="003E5848" w14:paraId="2C00CF3D" w14:textId="77777777" w:rsidTr="00546A76">
        <w:trPr>
          <w:trHeight w:val="20"/>
        </w:trPr>
        <w:tc>
          <w:tcPr>
            <w:tcW w:w="9289" w:type="dxa"/>
            <w:gridSpan w:val="3"/>
            <w:shd w:val="clear" w:color="auto" w:fill="E7E6E6" w:themeFill="background2"/>
          </w:tcPr>
          <w:p w14:paraId="0DD47E60" w14:textId="77777777" w:rsidR="00546A76" w:rsidRPr="00546A76" w:rsidRDefault="00546A76" w:rsidP="003E5848">
            <w:pPr>
              <w:spacing w:line="276" w:lineRule="auto"/>
              <w:rPr>
                <w:b/>
                <w:sz w:val="18"/>
                <w:szCs w:val="20"/>
              </w:rPr>
            </w:pPr>
            <w:r w:rsidRPr="00546A76">
              <w:rPr>
                <w:b/>
                <w:sz w:val="18"/>
                <w:szCs w:val="20"/>
              </w:rPr>
              <w:t>Residential Segregation</w:t>
            </w:r>
          </w:p>
        </w:tc>
      </w:tr>
      <w:tr w:rsidR="00546A76" w:rsidRPr="003E5848" w14:paraId="05FD309B" w14:textId="77777777" w:rsidTr="00546A76">
        <w:trPr>
          <w:trHeight w:val="20"/>
        </w:trPr>
        <w:tc>
          <w:tcPr>
            <w:tcW w:w="2940" w:type="dxa"/>
            <w:hideMark/>
          </w:tcPr>
          <w:p w14:paraId="361B310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Entropy Index (evenness)</w:t>
            </w:r>
          </w:p>
        </w:tc>
        <w:tc>
          <w:tcPr>
            <w:tcW w:w="3888" w:type="dxa"/>
            <w:hideMark/>
          </w:tcPr>
          <w:p w14:paraId="4C339EA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735B05D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2E4A3268" w14:textId="77777777" w:rsidTr="00546A76">
        <w:trPr>
          <w:trHeight w:val="20"/>
        </w:trPr>
        <w:tc>
          <w:tcPr>
            <w:tcW w:w="2940" w:type="dxa"/>
            <w:hideMark/>
          </w:tcPr>
          <w:p w14:paraId="5D3E4FB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Simpson’s Interaction Index (exposure/diversity)</w:t>
            </w:r>
          </w:p>
        </w:tc>
        <w:tc>
          <w:tcPr>
            <w:tcW w:w="3888" w:type="dxa"/>
            <w:hideMark/>
          </w:tcPr>
          <w:p w14:paraId="3A84520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014AD14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 xml:space="preserve">ZCTA </w:t>
            </w:r>
          </w:p>
        </w:tc>
      </w:tr>
      <w:tr w:rsidR="00546A76" w:rsidRPr="003E5848" w14:paraId="5435D680" w14:textId="77777777" w:rsidTr="00546A76">
        <w:trPr>
          <w:trHeight w:val="20"/>
        </w:trPr>
        <w:tc>
          <w:tcPr>
            <w:tcW w:w="2940" w:type="dxa"/>
            <w:hideMark/>
          </w:tcPr>
          <w:p w14:paraId="6F7C956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Centralization Index (Black centralization)</w:t>
            </w:r>
          </w:p>
        </w:tc>
        <w:tc>
          <w:tcPr>
            <w:tcW w:w="3888" w:type="dxa"/>
            <w:hideMark/>
          </w:tcPr>
          <w:p w14:paraId="197D4D2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7706A005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3EC75DEB" w14:textId="77777777" w:rsidTr="00546A76">
        <w:trPr>
          <w:trHeight w:val="20"/>
        </w:trPr>
        <w:tc>
          <w:tcPr>
            <w:tcW w:w="2940" w:type="dxa"/>
            <w:hideMark/>
          </w:tcPr>
          <w:p w14:paraId="3072E1EA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Simpson’s Concentration Index</w:t>
            </w:r>
          </w:p>
        </w:tc>
        <w:tc>
          <w:tcPr>
            <w:tcW w:w="3888" w:type="dxa"/>
            <w:hideMark/>
          </w:tcPr>
          <w:p w14:paraId="425199B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4F81B9F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3F97EAB5" w14:textId="77777777" w:rsidTr="00546A76">
        <w:trPr>
          <w:trHeight w:val="20"/>
        </w:trPr>
        <w:tc>
          <w:tcPr>
            <w:tcW w:w="2940" w:type="dxa"/>
            <w:hideMark/>
          </w:tcPr>
          <w:p w14:paraId="016AD485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Location Quotient (White, Black, Hispanic/Latino)</w:t>
            </w:r>
          </w:p>
        </w:tc>
        <w:tc>
          <w:tcPr>
            <w:tcW w:w="3888" w:type="dxa"/>
            <w:hideMark/>
          </w:tcPr>
          <w:p w14:paraId="7A67A51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75364F95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9262D3" w:rsidRPr="003E5848" w14:paraId="62D06F56" w14:textId="77777777" w:rsidTr="00546A76">
        <w:trPr>
          <w:trHeight w:val="20"/>
        </w:trPr>
        <w:tc>
          <w:tcPr>
            <w:tcW w:w="2940" w:type="dxa"/>
          </w:tcPr>
          <w:p w14:paraId="42140B07" w14:textId="77777777" w:rsidR="009262D3" w:rsidRPr="003E5848" w:rsidRDefault="009262D3" w:rsidP="003E5848">
            <w:pPr>
              <w:spacing w:line="276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ICE (Index of Concentration at Extremes)</w:t>
            </w:r>
          </w:p>
        </w:tc>
        <w:tc>
          <w:tcPr>
            <w:tcW w:w="3888" w:type="dxa"/>
          </w:tcPr>
          <w:p w14:paraId="15F7ED41" w14:textId="77777777" w:rsidR="009262D3" w:rsidRPr="003E5848" w:rsidRDefault="009262D3" w:rsidP="003E5848">
            <w:pPr>
              <w:spacing w:line="276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ACS 2015-2019</w:t>
            </w:r>
          </w:p>
        </w:tc>
        <w:tc>
          <w:tcPr>
            <w:tcW w:w="0" w:type="auto"/>
          </w:tcPr>
          <w:p w14:paraId="635584B1" w14:textId="77777777" w:rsidR="009262D3" w:rsidRPr="003E5848" w:rsidRDefault="009262D3" w:rsidP="003E5848">
            <w:pPr>
              <w:spacing w:line="276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ZCTA</w:t>
            </w:r>
          </w:p>
        </w:tc>
      </w:tr>
      <w:tr w:rsidR="003E5848" w:rsidRPr="003E5848" w14:paraId="12395774" w14:textId="77777777" w:rsidTr="00546A76">
        <w:trPr>
          <w:trHeight w:val="20"/>
        </w:trPr>
        <w:tc>
          <w:tcPr>
            <w:tcW w:w="9289" w:type="dxa"/>
            <w:gridSpan w:val="3"/>
            <w:shd w:val="clear" w:color="auto" w:fill="E7E6E6" w:themeFill="background2"/>
          </w:tcPr>
          <w:p w14:paraId="714C2BCD" w14:textId="77777777" w:rsidR="003E5848" w:rsidRPr="00546A76" w:rsidRDefault="00546A76" w:rsidP="003E5848">
            <w:pPr>
              <w:spacing w:line="276" w:lineRule="auto"/>
              <w:rPr>
                <w:b/>
                <w:sz w:val="18"/>
                <w:szCs w:val="20"/>
              </w:rPr>
            </w:pPr>
            <w:r w:rsidRPr="00546A76">
              <w:rPr>
                <w:b/>
                <w:sz w:val="18"/>
                <w:szCs w:val="20"/>
              </w:rPr>
              <w:lastRenderedPageBreak/>
              <w:t>Built Environment</w:t>
            </w:r>
          </w:p>
        </w:tc>
      </w:tr>
      <w:tr w:rsidR="00546A76" w:rsidRPr="003E5848" w14:paraId="03A8F7E8" w14:textId="77777777" w:rsidTr="00546A76">
        <w:trPr>
          <w:trHeight w:val="20"/>
        </w:trPr>
        <w:tc>
          <w:tcPr>
            <w:tcW w:w="2940" w:type="dxa"/>
            <w:hideMark/>
          </w:tcPr>
          <w:p w14:paraId="3CDCB9E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Vacant housing units</w:t>
            </w:r>
          </w:p>
        </w:tc>
        <w:tc>
          <w:tcPr>
            <w:tcW w:w="3888" w:type="dxa"/>
            <w:hideMark/>
          </w:tcPr>
          <w:p w14:paraId="7AD4DF0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537D295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1C40633" w14:textId="77777777" w:rsidTr="00546A76">
        <w:trPr>
          <w:trHeight w:val="20"/>
        </w:trPr>
        <w:tc>
          <w:tcPr>
            <w:tcW w:w="2940" w:type="dxa"/>
            <w:hideMark/>
          </w:tcPr>
          <w:p w14:paraId="043B435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&gt;2 occupants per room</w:t>
            </w:r>
          </w:p>
        </w:tc>
        <w:tc>
          <w:tcPr>
            <w:tcW w:w="3888" w:type="dxa"/>
            <w:hideMark/>
          </w:tcPr>
          <w:p w14:paraId="7092519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38500B0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36FD7D54" w14:textId="77777777" w:rsidTr="00546A76">
        <w:trPr>
          <w:trHeight w:val="20"/>
        </w:trPr>
        <w:tc>
          <w:tcPr>
            <w:tcW w:w="2940" w:type="dxa"/>
            <w:hideMark/>
          </w:tcPr>
          <w:p w14:paraId="082EB9A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Housing structures with ≥50 units</w:t>
            </w:r>
          </w:p>
        </w:tc>
        <w:tc>
          <w:tcPr>
            <w:tcW w:w="3888" w:type="dxa"/>
            <w:hideMark/>
          </w:tcPr>
          <w:p w14:paraId="03942CE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668C7F5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0FCBE282" w14:textId="77777777" w:rsidTr="00546A76">
        <w:trPr>
          <w:trHeight w:val="20"/>
        </w:trPr>
        <w:tc>
          <w:tcPr>
            <w:tcW w:w="2940" w:type="dxa"/>
            <w:hideMark/>
          </w:tcPr>
          <w:p w14:paraId="35BDC1C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Housing units without adequate plumbing</w:t>
            </w:r>
          </w:p>
        </w:tc>
        <w:tc>
          <w:tcPr>
            <w:tcW w:w="3888" w:type="dxa"/>
            <w:hideMark/>
          </w:tcPr>
          <w:p w14:paraId="4BBED27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729D18C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4018A04C" w14:textId="77777777" w:rsidTr="00546A76">
        <w:trPr>
          <w:trHeight w:val="20"/>
        </w:trPr>
        <w:tc>
          <w:tcPr>
            <w:tcW w:w="2940" w:type="dxa"/>
            <w:hideMark/>
          </w:tcPr>
          <w:p w14:paraId="1BBD5DD6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Toxic Release Inventory (TRI) facilities</w:t>
            </w:r>
          </w:p>
        </w:tc>
        <w:tc>
          <w:tcPr>
            <w:tcW w:w="3888" w:type="dxa"/>
            <w:hideMark/>
          </w:tcPr>
          <w:p w14:paraId="4AC58E9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U.S. EP</w:t>
            </w:r>
            <w:r w:rsidR="00546A76">
              <w:rPr>
                <w:sz w:val="18"/>
                <w:szCs w:val="20"/>
              </w:rPr>
              <w:t>A</w:t>
            </w:r>
          </w:p>
        </w:tc>
        <w:tc>
          <w:tcPr>
            <w:tcW w:w="0" w:type="auto"/>
            <w:hideMark/>
          </w:tcPr>
          <w:p w14:paraId="17FC2B5F" w14:textId="77777777" w:rsidR="003E5848" w:rsidRPr="003E5848" w:rsidRDefault="00546A76" w:rsidP="003E5848">
            <w:pPr>
              <w:spacing w:line="276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Count</w:t>
            </w:r>
          </w:p>
        </w:tc>
      </w:tr>
      <w:tr w:rsidR="00546A76" w:rsidRPr="003E5848" w14:paraId="672B2C8F" w14:textId="77777777" w:rsidTr="00546A76">
        <w:trPr>
          <w:trHeight w:val="20"/>
        </w:trPr>
        <w:tc>
          <w:tcPr>
            <w:tcW w:w="2940" w:type="dxa"/>
            <w:hideMark/>
          </w:tcPr>
          <w:p w14:paraId="0BCA53B6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Superfund sites</w:t>
            </w:r>
          </w:p>
        </w:tc>
        <w:tc>
          <w:tcPr>
            <w:tcW w:w="3888" w:type="dxa"/>
            <w:hideMark/>
          </w:tcPr>
          <w:p w14:paraId="6BFA274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U.S. EPA</w:t>
            </w:r>
          </w:p>
        </w:tc>
        <w:tc>
          <w:tcPr>
            <w:tcW w:w="0" w:type="auto"/>
            <w:hideMark/>
          </w:tcPr>
          <w:p w14:paraId="76C10D61" w14:textId="77777777" w:rsidR="003E5848" w:rsidRPr="003E5848" w:rsidRDefault="00546A76" w:rsidP="003E5848">
            <w:pPr>
              <w:spacing w:line="276" w:lineRule="auto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Count</w:t>
            </w:r>
          </w:p>
        </w:tc>
      </w:tr>
      <w:tr w:rsidR="00546A76" w:rsidRPr="003E5848" w14:paraId="54D7AC68" w14:textId="77777777" w:rsidTr="00546A76">
        <w:trPr>
          <w:trHeight w:val="20"/>
        </w:trPr>
        <w:tc>
          <w:tcPr>
            <w:tcW w:w="2940" w:type="dxa"/>
            <w:hideMark/>
          </w:tcPr>
          <w:p w14:paraId="7E59608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Proportion of land designated for parks</w:t>
            </w:r>
          </w:p>
        </w:tc>
        <w:tc>
          <w:tcPr>
            <w:tcW w:w="3888" w:type="dxa"/>
            <w:hideMark/>
          </w:tcPr>
          <w:p w14:paraId="45DA3C65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604BBE7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19B17573" w14:textId="77777777" w:rsidTr="00546A76">
        <w:trPr>
          <w:trHeight w:val="20"/>
        </w:trPr>
        <w:tc>
          <w:tcPr>
            <w:tcW w:w="2940" w:type="dxa"/>
            <w:hideMark/>
          </w:tcPr>
          <w:p w14:paraId="70FDFA4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Normalized Difference Vegetation Index (NDVI)</w:t>
            </w:r>
          </w:p>
        </w:tc>
        <w:tc>
          <w:tcPr>
            <w:tcW w:w="3888" w:type="dxa"/>
            <w:hideMark/>
          </w:tcPr>
          <w:p w14:paraId="5A786B16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58B1024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38FAF761" w14:textId="77777777" w:rsidTr="00546A76">
        <w:trPr>
          <w:trHeight w:val="20"/>
        </w:trPr>
        <w:tc>
          <w:tcPr>
            <w:tcW w:w="2940" w:type="dxa"/>
            <w:hideMark/>
          </w:tcPr>
          <w:p w14:paraId="47F388D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Land surface temperature (LST)</w:t>
            </w:r>
          </w:p>
        </w:tc>
        <w:tc>
          <w:tcPr>
            <w:tcW w:w="3888" w:type="dxa"/>
            <w:hideMark/>
          </w:tcPr>
          <w:p w14:paraId="64D514D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5D8E590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16220085" w14:textId="77777777" w:rsidTr="00546A76">
        <w:trPr>
          <w:trHeight w:val="20"/>
        </w:trPr>
        <w:tc>
          <w:tcPr>
            <w:tcW w:w="2940" w:type="dxa"/>
            <w:hideMark/>
          </w:tcPr>
          <w:p w14:paraId="0EF10BC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Proportion high</w:t>
            </w:r>
            <w:r w:rsidRPr="003E5848">
              <w:rPr>
                <w:sz w:val="18"/>
                <w:szCs w:val="20"/>
              </w:rPr>
              <w:noBreakHyphen/>
              <w:t>intensity developed land (impervious &gt;79%)</w:t>
            </w:r>
          </w:p>
        </w:tc>
        <w:tc>
          <w:tcPr>
            <w:tcW w:w="3888" w:type="dxa"/>
            <w:hideMark/>
          </w:tcPr>
          <w:p w14:paraId="505E567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4E29014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2F0EFFD0" w14:textId="77777777" w:rsidTr="00546A76">
        <w:trPr>
          <w:trHeight w:val="20"/>
        </w:trPr>
        <w:tc>
          <w:tcPr>
            <w:tcW w:w="2940" w:type="dxa"/>
            <w:hideMark/>
          </w:tcPr>
          <w:p w14:paraId="317AA2F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Proportion open water</w:t>
            </w:r>
          </w:p>
        </w:tc>
        <w:tc>
          <w:tcPr>
            <w:tcW w:w="3888" w:type="dxa"/>
            <w:hideMark/>
          </w:tcPr>
          <w:p w14:paraId="48CBB85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4A6C128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5A67E6D4" w14:textId="77777777" w:rsidTr="00546A76">
        <w:trPr>
          <w:trHeight w:val="20"/>
        </w:trPr>
        <w:tc>
          <w:tcPr>
            <w:tcW w:w="2940" w:type="dxa"/>
            <w:hideMark/>
          </w:tcPr>
          <w:p w14:paraId="6D78885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Total food stores per 1,000 people</w:t>
            </w:r>
          </w:p>
        </w:tc>
        <w:tc>
          <w:tcPr>
            <w:tcW w:w="3888" w:type="dxa"/>
            <w:hideMark/>
          </w:tcPr>
          <w:p w14:paraId="4413007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2804C78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4518ABC4" w14:textId="77777777" w:rsidTr="00546A76">
        <w:trPr>
          <w:trHeight w:val="20"/>
        </w:trPr>
        <w:tc>
          <w:tcPr>
            <w:tcW w:w="2940" w:type="dxa"/>
            <w:hideMark/>
          </w:tcPr>
          <w:p w14:paraId="5F0F29D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Total food stores per square mile</w:t>
            </w:r>
          </w:p>
        </w:tc>
        <w:tc>
          <w:tcPr>
            <w:tcW w:w="3888" w:type="dxa"/>
            <w:hideMark/>
          </w:tcPr>
          <w:p w14:paraId="63C5A467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3040E83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1B136B73" w14:textId="77777777" w:rsidTr="00546A76">
        <w:trPr>
          <w:trHeight w:val="20"/>
        </w:trPr>
        <w:tc>
          <w:tcPr>
            <w:tcW w:w="2940" w:type="dxa"/>
            <w:hideMark/>
          </w:tcPr>
          <w:p w14:paraId="5E8263B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Heavy traffic (proportion highways/arteries to all roads)</w:t>
            </w:r>
          </w:p>
        </w:tc>
        <w:tc>
          <w:tcPr>
            <w:tcW w:w="3888" w:type="dxa"/>
            <w:hideMark/>
          </w:tcPr>
          <w:p w14:paraId="4B38DB7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5F49537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59DA2B50" w14:textId="77777777" w:rsidTr="00546A76">
        <w:trPr>
          <w:trHeight w:val="20"/>
        </w:trPr>
        <w:tc>
          <w:tcPr>
            <w:tcW w:w="2940" w:type="dxa"/>
            <w:hideMark/>
          </w:tcPr>
          <w:p w14:paraId="530DDA3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Primary road length</w:t>
            </w:r>
          </w:p>
        </w:tc>
        <w:tc>
          <w:tcPr>
            <w:tcW w:w="3888" w:type="dxa"/>
            <w:hideMark/>
          </w:tcPr>
          <w:p w14:paraId="557A509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5072A96A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60043B6F" w14:textId="77777777" w:rsidTr="00546A76">
        <w:trPr>
          <w:trHeight w:val="20"/>
        </w:trPr>
        <w:tc>
          <w:tcPr>
            <w:tcW w:w="2940" w:type="dxa"/>
            <w:hideMark/>
          </w:tcPr>
          <w:p w14:paraId="21BC73C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Transit steps per capita</w:t>
            </w:r>
          </w:p>
        </w:tc>
        <w:tc>
          <w:tcPr>
            <w:tcW w:w="3888" w:type="dxa"/>
            <w:hideMark/>
          </w:tcPr>
          <w:p w14:paraId="55B37436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607E154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03913883" w14:textId="77777777" w:rsidTr="00546A76">
        <w:trPr>
          <w:trHeight w:val="20"/>
        </w:trPr>
        <w:tc>
          <w:tcPr>
            <w:tcW w:w="2940" w:type="dxa"/>
            <w:hideMark/>
          </w:tcPr>
          <w:p w14:paraId="1D68F2F5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Transit steps per square mile</w:t>
            </w:r>
          </w:p>
        </w:tc>
        <w:tc>
          <w:tcPr>
            <w:tcW w:w="3888" w:type="dxa"/>
            <w:hideMark/>
          </w:tcPr>
          <w:p w14:paraId="5E3D6E7A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75C4377A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17BADDA" w14:textId="77777777" w:rsidTr="00546A76">
        <w:trPr>
          <w:trHeight w:val="20"/>
        </w:trPr>
        <w:tc>
          <w:tcPr>
            <w:tcW w:w="2940" w:type="dxa"/>
            <w:hideMark/>
          </w:tcPr>
          <w:p w14:paraId="7531B05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Street link/node ratio</w:t>
            </w:r>
          </w:p>
        </w:tc>
        <w:tc>
          <w:tcPr>
            <w:tcW w:w="3888" w:type="dxa"/>
            <w:hideMark/>
          </w:tcPr>
          <w:p w14:paraId="0E47B12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6F642F6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61E3C14E" w14:textId="77777777" w:rsidTr="00546A76">
        <w:trPr>
          <w:trHeight w:val="20"/>
        </w:trPr>
        <w:tc>
          <w:tcPr>
            <w:tcW w:w="2940" w:type="dxa"/>
            <w:hideMark/>
          </w:tcPr>
          <w:p w14:paraId="30C974D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Street intersection density</w:t>
            </w:r>
          </w:p>
        </w:tc>
        <w:tc>
          <w:tcPr>
            <w:tcW w:w="3888" w:type="dxa"/>
            <w:hideMark/>
          </w:tcPr>
          <w:p w14:paraId="3B9329B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17B3A59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11AEA3CC" w14:textId="77777777" w:rsidTr="00546A76">
        <w:trPr>
          <w:trHeight w:val="20"/>
        </w:trPr>
        <w:tc>
          <w:tcPr>
            <w:tcW w:w="2940" w:type="dxa"/>
            <w:hideMark/>
          </w:tcPr>
          <w:p w14:paraId="797BC36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Street network density</w:t>
            </w:r>
          </w:p>
        </w:tc>
        <w:tc>
          <w:tcPr>
            <w:tcW w:w="3888" w:type="dxa"/>
            <w:hideMark/>
          </w:tcPr>
          <w:p w14:paraId="1C04EA4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039BF91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17A7B204" w14:textId="77777777" w:rsidTr="00546A76">
        <w:trPr>
          <w:trHeight w:val="20"/>
        </w:trPr>
        <w:tc>
          <w:tcPr>
            <w:tcW w:w="2940" w:type="dxa"/>
            <w:hideMark/>
          </w:tcPr>
          <w:p w14:paraId="73CE796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Block density and average block length</w:t>
            </w:r>
          </w:p>
        </w:tc>
        <w:tc>
          <w:tcPr>
            <w:tcW w:w="3888" w:type="dxa"/>
            <w:hideMark/>
          </w:tcPr>
          <w:p w14:paraId="53159D9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7F4BBD3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12C050F1" w14:textId="77777777" w:rsidTr="00546A76">
        <w:trPr>
          <w:trHeight w:val="20"/>
        </w:trPr>
        <w:tc>
          <w:tcPr>
            <w:tcW w:w="2940" w:type="dxa"/>
            <w:hideMark/>
          </w:tcPr>
          <w:p w14:paraId="176509AA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Average daily traffic volume/counts</w:t>
            </w:r>
          </w:p>
        </w:tc>
        <w:tc>
          <w:tcPr>
            <w:tcW w:w="3888" w:type="dxa"/>
            <w:hideMark/>
          </w:tcPr>
          <w:p w14:paraId="1A3079C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50BD8C6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4FBABFB4" w14:textId="77777777" w:rsidTr="00546A76">
        <w:trPr>
          <w:trHeight w:val="20"/>
        </w:trPr>
        <w:tc>
          <w:tcPr>
            <w:tcW w:w="2940" w:type="dxa"/>
            <w:hideMark/>
          </w:tcPr>
          <w:p w14:paraId="76EDFB4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Rural–Urban Commuting Area (RUCA) codes (primary, secondary)</w:t>
            </w:r>
          </w:p>
        </w:tc>
        <w:tc>
          <w:tcPr>
            <w:tcW w:w="3888" w:type="dxa"/>
            <w:hideMark/>
          </w:tcPr>
          <w:p w14:paraId="22CCADF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213A2C1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45D33711" w14:textId="77777777" w:rsidTr="00546A76">
        <w:trPr>
          <w:trHeight w:val="20"/>
        </w:trPr>
        <w:tc>
          <w:tcPr>
            <w:tcW w:w="2940" w:type="dxa"/>
            <w:hideMark/>
          </w:tcPr>
          <w:p w14:paraId="4A59499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Physician offices/clinics per 1,000 people</w:t>
            </w:r>
          </w:p>
        </w:tc>
        <w:tc>
          <w:tcPr>
            <w:tcW w:w="3888" w:type="dxa"/>
            <w:hideMark/>
          </w:tcPr>
          <w:p w14:paraId="5E67E5B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52E567F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314A1B68" w14:textId="77777777" w:rsidTr="00546A76">
        <w:trPr>
          <w:trHeight w:val="20"/>
        </w:trPr>
        <w:tc>
          <w:tcPr>
            <w:tcW w:w="2940" w:type="dxa"/>
            <w:hideMark/>
          </w:tcPr>
          <w:p w14:paraId="52F45F1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Physician offices/clinics per square mile</w:t>
            </w:r>
          </w:p>
        </w:tc>
        <w:tc>
          <w:tcPr>
            <w:tcW w:w="3888" w:type="dxa"/>
            <w:hideMark/>
          </w:tcPr>
          <w:p w14:paraId="03EFEB7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proofErr w:type="spellStart"/>
            <w:r w:rsidRPr="003E5848">
              <w:rPr>
                <w:sz w:val="18"/>
                <w:szCs w:val="20"/>
              </w:rPr>
              <w:t>NaNDA</w:t>
            </w:r>
            <w:proofErr w:type="spellEnd"/>
          </w:p>
        </w:tc>
        <w:tc>
          <w:tcPr>
            <w:tcW w:w="0" w:type="auto"/>
            <w:hideMark/>
          </w:tcPr>
          <w:p w14:paraId="2629EBD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3B2DEA24" w14:textId="77777777" w:rsidTr="00546A76">
        <w:trPr>
          <w:trHeight w:val="20"/>
        </w:trPr>
        <w:tc>
          <w:tcPr>
            <w:tcW w:w="9289" w:type="dxa"/>
            <w:gridSpan w:val="3"/>
            <w:shd w:val="clear" w:color="auto" w:fill="E7E6E6" w:themeFill="background2"/>
          </w:tcPr>
          <w:p w14:paraId="030A3F60" w14:textId="77777777" w:rsidR="00546A76" w:rsidRPr="00546A76" w:rsidRDefault="00546A76" w:rsidP="003E5848">
            <w:pPr>
              <w:spacing w:line="276" w:lineRule="auto"/>
              <w:rPr>
                <w:b/>
                <w:sz w:val="18"/>
                <w:szCs w:val="20"/>
              </w:rPr>
            </w:pPr>
            <w:r w:rsidRPr="00546A76">
              <w:rPr>
                <w:b/>
                <w:sz w:val="18"/>
                <w:szCs w:val="20"/>
              </w:rPr>
              <w:t>Socioeconomic Status</w:t>
            </w:r>
          </w:p>
        </w:tc>
      </w:tr>
      <w:tr w:rsidR="00546A76" w:rsidRPr="003E5848" w14:paraId="35592B93" w14:textId="77777777" w:rsidTr="00546A76">
        <w:trPr>
          <w:trHeight w:val="20"/>
        </w:trPr>
        <w:tc>
          <w:tcPr>
            <w:tcW w:w="2940" w:type="dxa"/>
            <w:hideMark/>
          </w:tcPr>
          <w:p w14:paraId="6B7C3D9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Racial composition</w:t>
            </w:r>
          </w:p>
        </w:tc>
        <w:tc>
          <w:tcPr>
            <w:tcW w:w="3888" w:type="dxa"/>
            <w:hideMark/>
          </w:tcPr>
          <w:p w14:paraId="1854E5B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0BFE499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1740FF78" w14:textId="77777777" w:rsidTr="00546A76">
        <w:trPr>
          <w:trHeight w:val="20"/>
        </w:trPr>
        <w:tc>
          <w:tcPr>
            <w:tcW w:w="2940" w:type="dxa"/>
            <w:hideMark/>
          </w:tcPr>
          <w:p w14:paraId="38E96F75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Median household income</w:t>
            </w:r>
          </w:p>
        </w:tc>
        <w:tc>
          <w:tcPr>
            <w:tcW w:w="3888" w:type="dxa"/>
            <w:hideMark/>
          </w:tcPr>
          <w:p w14:paraId="6E65B92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4F7D5C0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9945D15" w14:textId="77777777" w:rsidTr="00546A76">
        <w:trPr>
          <w:trHeight w:val="20"/>
        </w:trPr>
        <w:tc>
          <w:tcPr>
            <w:tcW w:w="2940" w:type="dxa"/>
            <w:hideMark/>
          </w:tcPr>
          <w:p w14:paraId="3395608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Age distribution</w:t>
            </w:r>
          </w:p>
        </w:tc>
        <w:tc>
          <w:tcPr>
            <w:tcW w:w="3888" w:type="dxa"/>
            <w:hideMark/>
          </w:tcPr>
          <w:p w14:paraId="04A5154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4C2D1BE7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2B54D50B" w14:textId="77777777" w:rsidTr="00546A76">
        <w:trPr>
          <w:trHeight w:val="20"/>
        </w:trPr>
        <w:tc>
          <w:tcPr>
            <w:tcW w:w="2940" w:type="dxa"/>
            <w:hideMark/>
          </w:tcPr>
          <w:p w14:paraId="4BC3EB9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Educational attainment</w:t>
            </w:r>
          </w:p>
        </w:tc>
        <w:tc>
          <w:tcPr>
            <w:tcW w:w="3888" w:type="dxa"/>
            <w:hideMark/>
          </w:tcPr>
          <w:p w14:paraId="3632989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4E1589D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397540E" w14:textId="77777777" w:rsidTr="00546A76">
        <w:trPr>
          <w:trHeight w:val="20"/>
        </w:trPr>
        <w:tc>
          <w:tcPr>
            <w:tcW w:w="2940" w:type="dxa"/>
            <w:hideMark/>
          </w:tcPr>
          <w:p w14:paraId="707DD0B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Households below poverty level</w:t>
            </w:r>
          </w:p>
        </w:tc>
        <w:tc>
          <w:tcPr>
            <w:tcW w:w="3888" w:type="dxa"/>
            <w:hideMark/>
          </w:tcPr>
          <w:p w14:paraId="25BD3F3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682F247A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4A281B4A" w14:textId="77777777" w:rsidTr="00546A76">
        <w:trPr>
          <w:trHeight w:val="20"/>
        </w:trPr>
        <w:tc>
          <w:tcPr>
            <w:tcW w:w="2940" w:type="dxa"/>
            <w:hideMark/>
          </w:tcPr>
          <w:p w14:paraId="0F8080F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Households receiving cash public assistance or SNAP</w:t>
            </w:r>
          </w:p>
        </w:tc>
        <w:tc>
          <w:tcPr>
            <w:tcW w:w="3888" w:type="dxa"/>
            <w:hideMark/>
          </w:tcPr>
          <w:p w14:paraId="4FE0628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6E30332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842A5F9" w14:textId="77777777" w:rsidTr="00546A76">
        <w:trPr>
          <w:trHeight w:val="20"/>
        </w:trPr>
        <w:tc>
          <w:tcPr>
            <w:tcW w:w="2940" w:type="dxa"/>
            <w:hideMark/>
          </w:tcPr>
          <w:p w14:paraId="7FABCCE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Renter</w:t>
            </w:r>
            <w:r w:rsidRPr="003E5848">
              <w:rPr>
                <w:sz w:val="18"/>
                <w:szCs w:val="20"/>
              </w:rPr>
              <w:noBreakHyphen/>
              <w:t>occupied housing units</w:t>
            </w:r>
          </w:p>
        </w:tc>
        <w:tc>
          <w:tcPr>
            <w:tcW w:w="3888" w:type="dxa"/>
            <w:hideMark/>
          </w:tcPr>
          <w:p w14:paraId="7CE0D71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58A976E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218B86A" w14:textId="77777777" w:rsidTr="00546A76">
        <w:trPr>
          <w:trHeight w:val="20"/>
        </w:trPr>
        <w:tc>
          <w:tcPr>
            <w:tcW w:w="2940" w:type="dxa"/>
            <w:hideMark/>
          </w:tcPr>
          <w:p w14:paraId="2FE6348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Households with Black homeowners</w:t>
            </w:r>
          </w:p>
        </w:tc>
        <w:tc>
          <w:tcPr>
            <w:tcW w:w="3888" w:type="dxa"/>
            <w:hideMark/>
          </w:tcPr>
          <w:p w14:paraId="2D7AB8B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580C7CB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6BDF81B9" w14:textId="77777777" w:rsidTr="00546A76">
        <w:trPr>
          <w:trHeight w:val="20"/>
        </w:trPr>
        <w:tc>
          <w:tcPr>
            <w:tcW w:w="2940" w:type="dxa"/>
            <w:hideMark/>
          </w:tcPr>
          <w:p w14:paraId="3967AF1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Gini index of income inequality</w:t>
            </w:r>
          </w:p>
        </w:tc>
        <w:tc>
          <w:tcPr>
            <w:tcW w:w="3888" w:type="dxa"/>
            <w:hideMark/>
          </w:tcPr>
          <w:p w14:paraId="59B51DD5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ACS 2015–2019</w:t>
            </w:r>
          </w:p>
        </w:tc>
        <w:tc>
          <w:tcPr>
            <w:tcW w:w="0" w:type="auto"/>
            <w:hideMark/>
          </w:tcPr>
          <w:p w14:paraId="144666B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74AF4FF" w14:textId="77777777" w:rsidTr="00546A76">
        <w:trPr>
          <w:trHeight w:val="20"/>
        </w:trPr>
        <w:tc>
          <w:tcPr>
            <w:tcW w:w="9289" w:type="dxa"/>
            <w:gridSpan w:val="3"/>
            <w:shd w:val="clear" w:color="auto" w:fill="E7E6E6" w:themeFill="background2"/>
          </w:tcPr>
          <w:p w14:paraId="78809116" w14:textId="77777777" w:rsidR="00546A76" w:rsidRPr="00546A76" w:rsidRDefault="00546A76" w:rsidP="003E5848">
            <w:pPr>
              <w:spacing w:line="276" w:lineRule="auto"/>
              <w:rPr>
                <w:b/>
                <w:sz w:val="18"/>
                <w:szCs w:val="20"/>
              </w:rPr>
            </w:pPr>
            <w:r w:rsidRPr="00546A76">
              <w:rPr>
                <w:b/>
                <w:sz w:val="18"/>
                <w:szCs w:val="20"/>
              </w:rPr>
              <w:t>Comorbidities</w:t>
            </w:r>
          </w:p>
        </w:tc>
      </w:tr>
      <w:tr w:rsidR="00546A76" w:rsidRPr="003E5848" w14:paraId="1C707BF3" w14:textId="77777777" w:rsidTr="00546A76">
        <w:trPr>
          <w:trHeight w:val="20"/>
        </w:trPr>
        <w:tc>
          <w:tcPr>
            <w:tcW w:w="2940" w:type="dxa"/>
            <w:hideMark/>
          </w:tcPr>
          <w:p w14:paraId="11A5CC28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High blood pressure prevalence</w:t>
            </w:r>
          </w:p>
        </w:tc>
        <w:tc>
          <w:tcPr>
            <w:tcW w:w="3888" w:type="dxa"/>
            <w:hideMark/>
          </w:tcPr>
          <w:p w14:paraId="2095D53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2F20E7F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58A7D544" w14:textId="77777777" w:rsidTr="00546A76">
        <w:trPr>
          <w:trHeight w:val="20"/>
        </w:trPr>
        <w:tc>
          <w:tcPr>
            <w:tcW w:w="2940" w:type="dxa"/>
            <w:hideMark/>
          </w:tcPr>
          <w:p w14:paraId="224FE51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High cholesterol prevalence</w:t>
            </w:r>
          </w:p>
        </w:tc>
        <w:tc>
          <w:tcPr>
            <w:tcW w:w="3888" w:type="dxa"/>
            <w:hideMark/>
          </w:tcPr>
          <w:p w14:paraId="6E150FC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390A3BE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5F12103F" w14:textId="77777777" w:rsidTr="00546A76">
        <w:trPr>
          <w:trHeight w:val="20"/>
        </w:trPr>
        <w:tc>
          <w:tcPr>
            <w:tcW w:w="2940" w:type="dxa"/>
            <w:hideMark/>
          </w:tcPr>
          <w:p w14:paraId="39AD8A3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Chronic kidney disease prevalence</w:t>
            </w:r>
          </w:p>
        </w:tc>
        <w:tc>
          <w:tcPr>
            <w:tcW w:w="3888" w:type="dxa"/>
            <w:hideMark/>
          </w:tcPr>
          <w:p w14:paraId="519B3046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4997C94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0DE52A5C" w14:textId="77777777" w:rsidTr="00546A76">
        <w:trPr>
          <w:trHeight w:val="20"/>
        </w:trPr>
        <w:tc>
          <w:tcPr>
            <w:tcW w:w="2940" w:type="dxa"/>
            <w:hideMark/>
          </w:tcPr>
          <w:p w14:paraId="53061E1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COPD prevalence</w:t>
            </w:r>
          </w:p>
        </w:tc>
        <w:tc>
          <w:tcPr>
            <w:tcW w:w="3888" w:type="dxa"/>
            <w:hideMark/>
          </w:tcPr>
          <w:p w14:paraId="2CBD7D6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7C8177F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67BD7A67" w14:textId="77777777" w:rsidTr="00546A76">
        <w:trPr>
          <w:trHeight w:val="20"/>
        </w:trPr>
        <w:tc>
          <w:tcPr>
            <w:tcW w:w="2940" w:type="dxa"/>
            <w:hideMark/>
          </w:tcPr>
          <w:p w14:paraId="2B96D23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lastRenderedPageBreak/>
              <w:t>Coronary heart disease (CHD) prevalence</w:t>
            </w:r>
          </w:p>
        </w:tc>
        <w:tc>
          <w:tcPr>
            <w:tcW w:w="3888" w:type="dxa"/>
            <w:hideMark/>
          </w:tcPr>
          <w:p w14:paraId="540BEDD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68B0F54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6103166F" w14:textId="77777777" w:rsidTr="00546A76">
        <w:trPr>
          <w:trHeight w:val="20"/>
        </w:trPr>
        <w:tc>
          <w:tcPr>
            <w:tcW w:w="2940" w:type="dxa"/>
            <w:hideMark/>
          </w:tcPr>
          <w:p w14:paraId="6B0DBFA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Depression prevalence</w:t>
            </w:r>
          </w:p>
        </w:tc>
        <w:tc>
          <w:tcPr>
            <w:tcW w:w="3888" w:type="dxa"/>
            <w:hideMark/>
          </w:tcPr>
          <w:p w14:paraId="097F05C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690E348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07B99074" w14:textId="77777777" w:rsidTr="00546A76">
        <w:trPr>
          <w:trHeight w:val="20"/>
        </w:trPr>
        <w:tc>
          <w:tcPr>
            <w:tcW w:w="2940" w:type="dxa"/>
            <w:hideMark/>
          </w:tcPr>
          <w:p w14:paraId="4E807AE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Diabetes prevalence</w:t>
            </w:r>
          </w:p>
        </w:tc>
        <w:tc>
          <w:tcPr>
            <w:tcW w:w="3888" w:type="dxa"/>
            <w:hideMark/>
          </w:tcPr>
          <w:p w14:paraId="31F82DA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18FB9CC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2DC9EA15" w14:textId="77777777" w:rsidTr="00546A76">
        <w:trPr>
          <w:trHeight w:val="20"/>
        </w:trPr>
        <w:tc>
          <w:tcPr>
            <w:tcW w:w="2940" w:type="dxa"/>
            <w:hideMark/>
          </w:tcPr>
          <w:p w14:paraId="74E75AA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Obesity prevalence</w:t>
            </w:r>
          </w:p>
        </w:tc>
        <w:tc>
          <w:tcPr>
            <w:tcW w:w="3888" w:type="dxa"/>
            <w:hideMark/>
          </w:tcPr>
          <w:p w14:paraId="6A8E82F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784297E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2756A6AC" w14:textId="77777777" w:rsidTr="00546A76">
        <w:trPr>
          <w:trHeight w:val="20"/>
        </w:trPr>
        <w:tc>
          <w:tcPr>
            <w:tcW w:w="2940" w:type="dxa"/>
            <w:hideMark/>
          </w:tcPr>
          <w:p w14:paraId="362602D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Lack of health insurance</w:t>
            </w:r>
          </w:p>
        </w:tc>
        <w:tc>
          <w:tcPr>
            <w:tcW w:w="3888" w:type="dxa"/>
            <w:hideMark/>
          </w:tcPr>
          <w:p w14:paraId="6B46E7E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1A3CBE2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473D543C" w14:textId="77777777" w:rsidTr="00546A76">
        <w:trPr>
          <w:trHeight w:val="20"/>
        </w:trPr>
        <w:tc>
          <w:tcPr>
            <w:tcW w:w="2940" w:type="dxa"/>
            <w:hideMark/>
          </w:tcPr>
          <w:p w14:paraId="4244CE2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Routine checkup (past year)</w:t>
            </w:r>
          </w:p>
        </w:tc>
        <w:tc>
          <w:tcPr>
            <w:tcW w:w="3888" w:type="dxa"/>
            <w:hideMark/>
          </w:tcPr>
          <w:p w14:paraId="64A68F4E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64D47FF2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3A5E8F34" w14:textId="77777777" w:rsidTr="00546A76">
        <w:trPr>
          <w:trHeight w:val="20"/>
        </w:trPr>
        <w:tc>
          <w:tcPr>
            <w:tcW w:w="2940" w:type="dxa"/>
            <w:hideMark/>
          </w:tcPr>
          <w:p w14:paraId="16D55C2A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Taking medicine for high BP (among adults with high BP)</w:t>
            </w:r>
          </w:p>
        </w:tc>
        <w:tc>
          <w:tcPr>
            <w:tcW w:w="3888" w:type="dxa"/>
            <w:hideMark/>
          </w:tcPr>
          <w:p w14:paraId="123D6CF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598ABC16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0AA5B93E" w14:textId="77777777" w:rsidTr="00546A76">
        <w:trPr>
          <w:trHeight w:val="20"/>
        </w:trPr>
        <w:tc>
          <w:tcPr>
            <w:tcW w:w="2940" w:type="dxa"/>
            <w:hideMark/>
          </w:tcPr>
          <w:p w14:paraId="58A8975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Cholesterol screening</w:t>
            </w:r>
          </w:p>
        </w:tc>
        <w:tc>
          <w:tcPr>
            <w:tcW w:w="3888" w:type="dxa"/>
            <w:hideMark/>
          </w:tcPr>
          <w:p w14:paraId="56C3534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1E5DAC3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FC8F420" w14:textId="77777777" w:rsidTr="00546A76">
        <w:trPr>
          <w:trHeight w:val="20"/>
        </w:trPr>
        <w:tc>
          <w:tcPr>
            <w:tcW w:w="2940" w:type="dxa"/>
            <w:hideMark/>
          </w:tcPr>
          <w:p w14:paraId="12C03686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Older adults (≥65) up</w:t>
            </w:r>
            <w:r w:rsidRPr="003E5848">
              <w:rPr>
                <w:sz w:val="18"/>
                <w:szCs w:val="20"/>
              </w:rPr>
              <w:noBreakHyphen/>
              <w:t>to</w:t>
            </w:r>
            <w:r w:rsidRPr="003E5848">
              <w:rPr>
                <w:sz w:val="18"/>
                <w:szCs w:val="20"/>
              </w:rPr>
              <w:noBreakHyphen/>
              <w:t>date on core preventive services</w:t>
            </w:r>
          </w:p>
        </w:tc>
        <w:tc>
          <w:tcPr>
            <w:tcW w:w="3888" w:type="dxa"/>
            <w:hideMark/>
          </w:tcPr>
          <w:p w14:paraId="72F87297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405108BC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B521BCA" w14:textId="77777777" w:rsidTr="00546A76">
        <w:trPr>
          <w:trHeight w:val="20"/>
        </w:trPr>
        <w:tc>
          <w:tcPr>
            <w:tcW w:w="2940" w:type="dxa"/>
            <w:hideMark/>
          </w:tcPr>
          <w:p w14:paraId="5B4A7C0A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Binge drinking</w:t>
            </w:r>
          </w:p>
        </w:tc>
        <w:tc>
          <w:tcPr>
            <w:tcW w:w="3888" w:type="dxa"/>
            <w:hideMark/>
          </w:tcPr>
          <w:p w14:paraId="5385749B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41D74A8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7888E042" w14:textId="77777777" w:rsidTr="00546A76">
        <w:trPr>
          <w:trHeight w:val="20"/>
        </w:trPr>
        <w:tc>
          <w:tcPr>
            <w:tcW w:w="2940" w:type="dxa"/>
            <w:hideMark/>
          </w:tcPr>
          <w:p w14:paraId="180107E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Cigarette smoking</w:t>
            </w:r>
          </w:p>
        </w:tc>
        <w:tc>
          <w:tcPr>
            <w:tcW w:w="3888" w:type="dxa"/>
            <w:hideMark/>
          </w:tcPr>
          <w:p w14:paraId="7A99C604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784E8D1F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5C9AB9CC" w14:textId="77777777" w:rsidTr="00546A76">
        <w:trPr>
          <w:trHeight w:val="20"/>
        </w:trPr>
        <w:tc>
          <w:tcPr>
            <w:tcW w:w="2940" w:type="dxa"/>
            <w:hideMark/>
          </w:tcPr>
          <w:p w14:paraId="361049E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No physical leisure</w:t>
            </w:r>
            <w:r w:rsidRPr="003E5848">
              <w:rPr>
                <w:sz w:val="18"/>
                <w:szCs w:val="20"/>
              </w:rPr>
              <w:noBreakHyphen/>
              <w:t>time activity</w:t>
            </w:r>
          </w:p>
        </w:tc>
        <w:tc>
          <w:tcPr>
            <w:tcW w:w="3888" w:type="dxa"/>
            <w:hideMark/>
          </w:tcPr>
          <w:p w14:paraId="29EEE0A1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4C2C5A8D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  <w:tr w:rsidR="00546A76" w:rsidRPr="003E5848" w14:paraId="070C0D7E" w14:textId="77777777" w:rsidTr="00546A76">
        <w:trPr>
          <w:trHeight w:val="20"/>
        </w:trPr>
        <w:tc>
          <w:tcPr>
            <w:tcW w:w="2940" w:type="dxa"/>
            <w:hideMark/>
          </w:tcPr>
          <w:p w14:paraId="36D6BA80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Fair or poor self</w:t>
            </w:r>
            <w:r w:rsidRPr="003E5848">
              <w:rPr>
                <w:sz w:val="18"/>
                <w:szCs w:val="20"/>
              </w:rPr>
              <w:noBreakHyphen/>
              <w:t>rated health</w:t>
            </w:r>
          </w:p>
        </w:tc>
        <w:tc>
          <w:tcPr>
            <w:tcW w:w="3888" w:type="dxa"/>
            <w:hideMark/>
          </w:tcPr>
          <w:p w14:paraId="66BD8FD9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CDC PLACES</w:t>
            </w:r>
          </w:p>
        </w:tc>
        <w:tc>
          <w:tcPr>
            <w:tcW w:w="0" w:type="auto"/>
            <w:hideMark/>
          </w:tcPr>
          <w:p w14:paraId="11445F63" w14:textId="77777777" w:rsidR="003E5848" w:rsidRPr="003E5848" w:rsidRDefault="003E5848" w:rsidP="003E5848">
            <w:pPr>
              <w:spacing w:line="276" w:lineRule="auto"/>
              <w:rPr>
                <w:sz w:val="18"/>
                <w:szCs w:val="20"/>
              </w:rPr>
            </w:pPr>
            <w:r w:rsidRPr="003E5848">
              <w:rPr>
                <w:sz w:val="18"/>
                <w:szCs w:val="20"/>
              </w:rPr>
              <w:t>ZCTA</w:t>
            </w:r>
          </w:p>
        </w:tc>
      </w:tr>
    </w:tbl>
    <w:p w14:paraId="746E5AE9" w14:textId="77777777" w:rsidR="003E5848" w:rsidRDefault="003E5848" w:rsidP="00D55587">
      <w:pPr>
        <w:spacing w:line="276" w:lineRule="auto"/>
        <w:rPr>
          <w:sz w:val="20"/>
          <w:szCs w:val="20"/>
        </w:rPr>
      </w:pPr>
    </w:p>
    <w:p w14:paraId="48A28911" w14:textId="77777777" w:rsidR="00D55587" w:rsidRPr="00A959DA" w:rsidRDefault="00D55587" w:rsidP="00D55587">
      <w:pPr>
        <w:spacing w:line="276" w:lineRule="auto"/>
        <w:rPr>
          <w:sz w:val="20"/>
          <w:szCs w:val="20"/>
        </w:rPr>
      </w:pPr>
      <w:r w:rsidRPr="00A959DA">
        <w:rPr>
          <w:sz w:val="20"/>
          <w:szCs w:val="20"/>
        </w:rPr>
        <w:t xml:space="preserve">Table </w:t>
      </w:r>
      <w:r w:rsidR="003E5848">
        <w:rPr>
          <w:sz w:val="20"/>
          <w:szCs w:val="20"/>
        </w:rPr>
        <w:t>S</w:t>
      </w:r>
      <w:r w:rsidR="009262D3">
        <w:rPr>
          <w:sz w:val="20"/>
          <w:szCs w:val="20"/>
        </w:rPr>
        <w:t>2</w:t>
      </w:r>
      <w:r w:rsidRPr="00A959DA">
        <w:rPr>
          <w:sz w:val="20"/>
          <w:szCs w:val="20"/>
        </w:rPr>
        <w:t>: Evaluation metrics for each model.</w:t>
      </w:r>
    </w:p>
    <w:tbl>
      <w:tblPr>
        <w:tblStyle w:val="PlainTable3"/>
        <w:tblW w:w="0" w:type="auto"/>
        <w:tblInd w:w="450" w:type="dxa"/>
        <w:tblLook w:val="04A0" w:firstRow="1" w:lastRow="0" w:firstColumn="1" w:lastColumn="0" w:noHBand="0" w:noVBand="1"/>
      </w:tblPr>
      <w:tblGrid>
        <w:gridCol w:w="2233"/>
        <w:gridCol w:w="601"/>
        <w:gridCol w:w="693"/>
        <w:gridCol w:w="852"/>
        <w:gridCol w:w="730"/>
      </w:tblGrid>
      <w:tr w:rsidR="00D55587" w14:paraId="15282D76" w14:textId="77777777" w:rsidTr="006846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</w:tcPr>
          <w:p w14:paraId="1E7124B9" w14:textId="77777777" w:rsidR="00D55587" w:rsidRPr="009047EC" w:rsidRDefault="00D55587" w:rsidP="00684656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</w:tcPr>
          <w:p w14:paraId="759A94FC" w14:textId="77777777" w:rsidR="00D55587" w:rsidRPr="009047EC" w:rsidRDefault="00D55587" w:rsidP="0068465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R</w:t>
            </w:r>
            <w:r w:rsidRPr="00506650">
              <w:rPr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0" w:type="auto"/>
          </w:tcPr>
          <w:p w14:paraId="46528833" w14:textId="77777777" w:rsidR="00D55587" w:rsidRPr="009047EC" w:rsidRDefault="00D55587" w:rsidP="0068465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MSE</w:t>
            </w:r>
          </w:p>
        </w:tc>
        <w:tc>
          <w:tcPr>
            <w:tcW w:w="0" w:type="auto"/>
          </w:tcPr>
          <w:p w14:paraId="673FE1B8" w14:textId="77777777" w:rsidR="00D55587" w:rsidRPr="009047EC" w:rsidRDefault="00D55587" w:rsidP="0068465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RMSE</w:t>
            </w:r>
          </w:p>
        </w:tc>
        <w:tc>
          <w:tcPr>
            <w:tcW w:w="0" w:type="auto"/>
          </w:tcPr>
          <w:p w14:paraId="18C33DD7" w14:textId="77777777" w:rsidR="00D55587" w:rsidRPr="009047EC" w:rsidRDefault="00D55587" w:rsidP="0068465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047EC">
              <w:rPr>
                <w:sz w:val="22"/>
                <w:szCs w:val="22"/>
              </w:rPr>
              <w:t>MAE</w:t>
            </w:r>
          </w:p>
        </w:tc>
      </w:tr>
      <w:tr w:rsidR="00D55587" w14:paraId="59C84E13" w14:textId="77777777" w:rsidTr="00684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164BEDD" w14:textId="77777777" w:rsidR="00D55587" w:rsidRPr="009047EC" w:rsidRDefault="00D55587" w:rsidP="00684656">
            <w:pPr>
              <w:spacing w:line="276" w:lineRule="auto"/>
              <w:rPr>
                <w:sz w:val="22"/>
                <w:szCs w:val="22"/>
              </w:rPr>
            </w:pPr>
            <w:r w:rsidRPr="00506650">
              <w:rPr>
                <w:b w:val="0"/>
                <w:bCs w:val="0"/>
                <w:sz w:val="22"/>
                <w:szCs w:val="22"/>
              </w:rPr>
              <w:t>XGB1: All Races</w:t>
            </w:r>
          </w:p>
        </w:tc>
        <w:tc>
          <w:tcPr>
            <w:tcW w:w="0" w:type="auto"/>
          </w:tcPr>
          <w:p w14:paraId="50FB0A90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0.51</w:t>
            </w:r>
          </w:p>
        </w:tc>
        <w:tc>
          <w:tcPr>
            <w:tcW w:w="0" w:type="auto"/>
          </w:tcPr>
          <w:p w14:paraId="49D10DD4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0.25</w:t>
            </w:r>
          </w:p>
        </w:tc>
        <w:tc>
          <w:tcPr>
            <w:tcW w:w="0" w:type="auto"/>
          </w:tcPr>
          <w:p w14:paraId="740C5DD9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97933E3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047EC">
              <w:rPr>
                <w:sz w:val="22"/>
                <w:szCs w:val="22"/>
              </w:rPr>
              <w:t>0.36</w:t>
            </w:r>
          </w:p>
        </w:tc>
      </w:tr>
      <w:tr w:rsidR="00D55587" w14:paraId="0465ED30" w14:textId="77777777" w:rsidTr="006846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681B19" w14:textId="77777777" w:rsidR="00D55587" w:rsidRPr="009047EC" w:rsidRDefault="00D55587" w:rsidP="00684656">
            <w:pPr>
              <w:spacing w:line="276" w:lineRule="auto"/>
              <w:rPr>
                <w:sz w:val="22"/>
                <w:szCs w:val="22"/>
              </w:rPr>
            </w:pPr>
            <w:r w:rsidRPr="00506650">
              <w:rPr>
                <w:b w:val="0"/>
                <w:bCs w:val="0"/>
                <w:sz w:val="22"/>
                <w:szCs w:val="22"/>
              </w:rPr>
              <w:t>XGB2: White</w:t>
            </w:r>
          </w:p>
        </w:tc>
        <w:tc>
          <w:tcPr>
            <w:tcW w:w="0" w:type="auto"/>
          </w:tcPr>
          <w:p w14:paraId="58E47302" w14:textId="77777777" w:rsidR="00D55587" w:rsidRPr="009047EC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0.39</w:t>
            </w:r>
          </w:p>
        </w:tc>
        <w:tc>
          <w:tcPr>
            <w:tcW w:w="0" w:type="auto"/>
          </w:tcPr>
          <w:p w14:paraId="4F1D0757" w14:textId="77777777" w:rsidR="00D55587" w:rsidRPr="009047EC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0.36</w:t>
            </w:r>
          </w:p>
        </w:tc>
        <w:tc>
          <w:tcPr>
            <w:tcW w:w="0" w:type="auto"/>
          </w:tcPr>
          <w:p w14:paraId="27AF78DD" w14:textId="77777777" w:rsidR="00D55587" w:rsidRPr="009047EC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0.6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11BC6B1D" w14:textId="77777777" w:rsidR="00D55587" w:rsidRPr="009047EC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047EC">
              <w:rPr>
                <w:sz w:val="22"/>
                <w:szCs w:val="22"/>
              </w:rPr>
              <w:t>0.42</w:t>
            </w:r>
          </w:p>
        </w:tc>
      </w:tr>
      <w:tr w:rsidR="00D55587" w14:paraId="44E899E9" w14:textId="77777777" w:rsidTr="00684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490003" w14:textId="77777777" w:rsidR="00D55587" w:rsidRPr="009047EC" w:rsidRDefault="00D55587" w:rsidP="00684656">
            <w:pPr>
              <w:spacing w:line="276" w:lineRule="auto"/>
              <w:rPr>
                <w:sz w:val="22"/>
                <w:szCs w:val="22"/>
              </w:rPr>
            </w:pPr>
            <w:r w:rsidRPr="00506650">
              <w:rPr>
                <w:b w:val="0"/>
                <w:bCs w:val="0"/>
                <w:sz w:val="22"/>
                <w:szCs w:val="22"/>
              </w:rPr>
              <w:t>XGB3: Black</w:t>
            </w:r>
          </w:p>
        </w:tc>
        <w:tc>
          <w:tcPr>
            <w:tcW w:w="0" w:type="auto"/>
          </w:tcPr>
          <w:p w14:paraId="6C92480E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0.63</w:t>
            </w:r>
          </w:p>
        </w:tc>
        <w:tc>
          <w:tcPr>
            <w:tcW w:w="0" w:type="auto"/>
          </w:tcPr>
          <w:p w14:paraId="42E3408A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0.5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</w:tcPr>
          <w:p w14:paraId="232FC6ED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506650">
              <w:rPr>
                <w:sz w:val="22"/>
                <w:szCs w:val="22"/>
              </w:rPr>
              <w:t>0.71</w:t>
            </w:r>
          </w:p>
        </w:tc>
        <w:tc>
          <w:tcPr>
            <w:tcW w:w="0" w:type="auto"/>
          </w:tcPr>
          <w:p w14:paraId="7AEF2EF0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047EC">
              <w:rPr>
                <w:sz w:val="22"/>
                <w:szCs w:val="22"/>
              </w:rPr>
              <w:t>0.47</w:t>
            </w:r>
          </w:p>
        </w:tc>
      </w:tr>
      <w:tr w:rsidR="00D55587" w14:paraId="7FB451C1" w14:textId="77777777" w:rsidTr="006846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2A6548B4" w14:textId="77777777" w:rsidR="00D55587" w:rsidRPr="00A04271" w:rsidRDefault="00D55587" w:rsidP="00684656">
            <w:pPr>
              <w:spacing w:line="276" w:lineRule="auto"/>
              <w:rPr>
                <w:b w:val="0"/>
                <w:bCs w:val="0"/>
                <w:sz w:val="22"/>
                <w:szCs w:val="22"/>
              </w:rPr>
            </w:pPr>
            <w:r w:rsidRPr="00A04271">
              <w:rPr>
                <w:b w:val="0"/>
                <w:bCs w:val="0"/>
                <w:sz w:val="22"/>
                <w:szCs w:val="22"/>
              </w:rPr>
              <w:t>XGB4: Latino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A2D8B1" w14:textId="77777777" w:rsidR="00D55587" w:rsidRPr="00506650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45FB3BA" w14:textId="77777777" w:rsidR="00D55587" w:rsidRPr="00506650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67EAD9B" w14:textId="77777777" w:rsidR="00D55587" w:rsidRPr="00506650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1.07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D6CE47" w14:textId="77777777" w:rsidR="00D55587" w:rsidRPr="009047EC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0.73</w:t>
            </w:r>
          </w:p>
        </w:tc>
      </w:tr>
      <w:tr w:rsidR="00D55587" w14:paraId="3526E693" w14:textId="77777777" w:rsidTr="00684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</w:tcPr>
          <w:p w14:paraId="43B162C2" w14:textId="77777777" w:rsidR="00D55587" w:rsidRPr="00367E19" w:rsidRDefault="00D55587" w:rsidP="00684656">
            <w:pPr>
              <w:spacing w:line="276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XGB5: LOW ice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2679E2" w14:textId="77777777" w:rsidR="00D55587" w:rsidRPr="00506650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1E7890" w14:textId="77777777" w:rsidR="00D55587" w:rsidRPr="00506650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0.26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E04259F" w14:textId="77777777" w:rsidR="00D55587" w:rsidRPr="00506650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0242185" w14:textId="77777777" w:rsidR="00D55587" w:rsidRPr="009047EC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0.31</w:t>
            </w:r>
          </w:p>
        </w:tc>
      </w:tr>
      <w:tr w:rsidR="00D55587" w14:paraId="6121D0F2" w14:textId="77777777" w:rsidTr="006846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68679A" w14:textId="77777777" w:rsidR="00D55587" w:rsidRDefault="00D55587" w:rsidP="00684656">
            <w:pPr>
              <w:spacing w:line="276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XGB6: medium ice</w:t>
            </w:r>
          </w:p>
        </w:tc>
        <w:tc>
          <w:tcPr>
            <w:tcW w:w="0" w:type="auto"/>
          </w:tcPr>
          <w:p w14:paraId="305B3C63" w14:textId="77777777" w:rsidR="00D55587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0.65</w:t>
            </w:r>
          </w:p>
        </w:tc>
        <w:tc>
          <w:tcPr>
            <w:tcW w:w="0" w:type="auto"/>
          </w:tcPr>
          <w:p w14:paraId="372879B5" w14:textId="77777777" w:rsidR="00D55587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0.20</w:t>
            </w:r>
          </w:p>
        </w:tc>
        <w:tc>
          <w:tcPr>
            <w:tcW w:w="0" w:type="auto"/>
          </w:tcPr>
          <w:p w14:paraId="26D1E321" w14:textId="77777777" w:rsidR="00D55587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0.45</w:t>
            </w:r>
          </w:p>
        </w:tc>
        <w:tc>
          <w:tcPr>
            <w:tcW w:w="0" w:type="auto"/>
          </w:tcPr>
          <w:p w14:paraId="5D0342AD" w14:textId="77777777" w:rsidR="00D55587" w:rsidRDefault="00D55587" w:rsidP="0068465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0.32</w:t>
            </w:r>
          </w:p>
        </w:tc>
      </w:tr>
      <w:tr w:rsidR="00D55587" w14:paraId="44B4BAF3" w14:textId="77777777" w:rsidTr="006846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59B58B" w14:textId="77777777" w:rsidR="00D55587" w:rsidRDefault="00D55587" w:rsidP="00684656">
            <w:pPr>
              <w:spacing w:line="276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XGB7: high ice</w:t>
            </w:r>
          </w:p>
        </w:tc>
        <w:tc>
          <w:tcPr>
            <w:tcW w:w="0" w:type="auto"/>
          </w:tcPr>
          <w:p w14:paraId="31968956" w14:textId="77777777" w:rsidR="00D55587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0.50</w:t>
            </w:r>
          </w:p>
        </w:tc>
        <w:tc>
          <w:tcPr>
            <w:tcW w:w="0" w:type="auto"/>
          </w:tcPr>
          <w:p w14:paraId="771F7B09" w14:textId="77777777" w:rsidR="00D55587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0.13</w:t>
            </w:r>
          </w:p>
        </w:tc>
        <w:tc>
          <w:tcPr>
            <w:tcW w:w="0" w:type="auto"/>
          </w:tcPr>
          <w:p w14:paraId="0DBFFD76" w14:textId="77777777" w:rsidR="00D55587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0.37</w:t>
            </w:r>
          </w:p>
        </w:tc>
        <w:tc>
          <w:tcPr>
            <w:tcW w:w="0" w:type="auto"/>
          </w:tcPr>
          <w:p w14:paraId="196B4EA4" w14:textId="77777777" w:rsidR="00D55587" w:rsidRDefault="00D55587" w:rsidP="0068465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0.28</w:t>
            </w:r>
          </w:p>
        </w:tc>
      </w:tr>
    </w:tbl>
    <w:p w14:paraId="6474E028" w14:textId="77777777" w:rsidR="006E164D" w:rsidRDefault="006E164D"/>
    <w:p w14:paraId="72C83D3D" w14:textId="77777777" w:rsidR="003E5848" w:rsidRDefault="003E5848"/>
    <w:p w14:paraId="71F0170A" w14:textId="77777777" w:rsidR="003E5848" w:rsidRDefault="003E5848" w:rsidP="009A44DB">
      <w:pPr>
        <w:spacing w:line="276" w:lineRule="auto"/>
      </w:pPr>
    </w:p>
    <w:sectPr w:rsidR="003E5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587"/>
    <w:rsid w:val="002C2788"/>
    <w:rsid w:val="002E4CFA"/>
    <w:rsid w:val="003E5848"/>
    <w:rsid w:val="00546A76"/>
    <w:rsid w:val="005C7C3B"/>
    <w:rsid w:val="006E164D"/>
    <w:rsid w:val="007B1263"/>
    <w:rsid w:val="00831C0A"/>
    <w:rsid w:val="009262D3"/>
    <w:rsid w:val="009A44DB"/>
    <w:rsid w:val="00AA4B14"/>
    <w:rsid w:val="00D5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ADB0E"/>
  <w15:chartTrackingRefBased/>
  <w15:docId w15:val="{3C4A9B1B-FAA2-42F6-BED7-E470BEA08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3">
    <w:name w:val="Plain Table 3"/>
    <w:basedOn w:val="TableNormal"/>
    <w:uiPriority w:val="43"/>
    <w:rsid w:val="00D55587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546A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9A44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468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Maryland</Company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Mullen</dc:creator>
  <cp:keywords/>
  <dc:description/>
  <cp:lastModifiedBy>Haley Mullen</cp:lastModifiedBy>
  <cp:revision>5</cp:revision>
  <dcterms:created xsi:type="dcterms:W3CDTF">2026-02-11T21:59:00Z</dcterms:created>
  <dcterms:modified xsi:type="dcterms:W3CDTF">2026-07-29T17:54:00Z</dcterms:modified>
</cp:coreProperties>
</file>