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F9D2" w14:textId="77777777" w:rsidR="00A058CE" w:rsidRDefault="002D2FB0">
      <w:pPr>
        <w:pStyle w:val="berschrift1"/>
        <w:numPr>
          <w:ilvl w:val="0"/>
          <w:numId w:val="0"/>
        </w:numPr>
      </w:pPr>
      <w:r>
        <w:t>Zusätzliches Onlinematerial (externes Dokument)</w:t>
      </w:r>
    </w:p>
    <w:p w14:paraId="0A34DC69" w14:textId="77777777" w:rsidR="00A058CE" w:rsidRDefault="002D2FB0">
      <w:pPr>
        <w:rPr>
          <w:rFonts w:cs="Times New Roman"/>
        </w:rPr>
      </w:pPr>
      <w:r>
        <w:rPr>
          <w:rFonts w:cs="Times New Roman"/>
        </w:rPr>
        <w:t>Onlinematerial 1: Kategoriensystem</w:t>
      </w:r>
    </w:p>
    <w:tbl>
      <w:tblPr>
        <w:tblStyle w:val="EinfacheTabelle1"/>
        <w:tblW w:w="5000" w:type="pct"/>
        <w:tblLook w:val="04A0" w:firstRow="1" w:lastRow="0" w:firstColumn="1" w:lastColumn="0" w:noHBand="0" w:noVBand="1"/>
      </w:tblPr>
      <w:tblGrid>
        <w:gridCol w:w="1979"/>
        <w:gridCol w:w="3261"/>
        <w:gridCol w:w="3822"/>
      </w:tblGrid>
      <w:tr w:rsidR="00A058CE" w14:paraId="18981470" w14:textId="77777777" w:rsidTr="00A058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28F869EF" w14:textId="77777777" w:rsidR="00A058CE" w:rsidRDefault="002D2FB0">
            <w:pPr>
              <w:spacing w:line="276" w:lineRule="auto"/>
              <w:rPr>
                <w:rFonts w:cs="Times New Roman"/>
                <w:sz w:val="22"/>
                <w:szCs w:val="22"/>
              </w:rPr>
            </w:pPr>
            <w:r>
              <w:rPr>
                <w:rFonts w:cs="Times New Roman"/>
                <w:sz w:val="22"/>
                <w:szCs w:val="22"/>
              </w:rPr>
              <w:t>Kategorie</w:t>
            </w:r>
          </w:p>
        </w:tc>
        <w:tc>
          <w:tcPr>
            <w:tcW w:w="1799" w:type="pct"/>
          </w:tcPr>
          <w:p w14:paraId="5D04BBBB" w14:textId="77777777" w:rsidR="00A058CE" w:rsidRDefault="002D2FB0">
            <w:pPr>
              <w:spacing w:line="276"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Definition</w:t>
            </w:r>
          </w:p>
        </w:tc>
        <w:tc>
          <w:tcPr>
            <w:tcW w:w="2109" w:type="pct"/>
          </w:tcPr>
          <w:p w14:paraId="19A2E0D5" w14:textId="77777777" w:rsidR="00A058CE" w:rsidRDefault="002D2FB0">
            <w:pPr>
              <w:spacing w:line="276" w:lineRule="auto"/>
              <w:cnfStyle w:val="100000000000" w:firstRow="1"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Ankerbeispiel</w:t>
            </w:r>
          </w:p>
        </w:tc>
      </w:tr>
      <w:tr w:rsidR="00A058CE" w14:paraId="57EF7655"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1D54C3FD" w14:textId="77777777" w:rsidR="00A058CE" w:rsidRDefault="002D2FB0">
            <w:pPr>
              <w:spacing w:line="276" w:lineRule="auto"/>
              <w:rPr>
                <w:rFonts w:cs="Times New Roman"/>
                <w:sz w:val="22"/>
                <w:szCs w:val="22"/>
              </w:rPr>
            </w:pPr>
            <w:r>
              <w:rPr>
                <w:rFonts w:cs="Times New Roman"/>
                <w:sz w:val="22"/>
                <w:szCs w:val="22"/>
              </w:rPr>
              <w:t>1 Potenziale bei der Anwendung von Planungstools</w:t>
            </w:r>
          </w:p>
        </w:tc>
      </w:tr>
      <w:tr w:rsidR="00A058CE" w14:paraId="74DC081D"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189B8847" w14:textId="77777777" w:rsidR="00A058CE" w:rsidRDefault="002D2FB0">
            <w:pPr>
              <w:spacing w:line="276" w:lineRule="auto"/>
              <w:jc w:val="left"/>
              <w:rPr>
                <w:rFonts w:cs="Times New Roman"/>
                <w:sz w:val="22"/>
                <w:szCs w:val="22"/>
              </w:rPr>
            </w:pPr>
            <w:r>
              <w:rPr>
                <w:rFonts w:cs="Times New Roman"/>
                <w:sz w:val="22"/>
                <w:szCs w:val="22"/>
              </w:rPr>
              <w:t>1.1 Intersektorale Zusammenarbeit und Netzwerkarbeit</w:t>
            </w:r>
          </w:p>
        </w:tc>
        <w:tc>
          <w:tcPr>
            <w:tcW w:w="1799" w:type="pct"/>
          </w:tcPr>
          <w:p w14:paraId="21C7C6C4" w14:textId="77777777" w:rsidR="00A058CE" w:rsidRDefault="002D2FB0">
            <w:pPr>
              <w:pStyle w:val="Listenabsatz"/>
              <w:numPr>
                <w:ilvl w:val="0"/>
                <w:numId w:val="14"/>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Potenziale, die sich im Rahmen der Anwendung von Planungstools für die intersektorale Zusammenarbeit und Netzwerkarbeit ergeben</w:t>
            </w:r>
          </w:p>
        </w:tc>
        <w:tc>
          <w:tcPr>
            <w:tcW w:w="2109" w:type="pct"/>
          </w:tcPr>
          <w:p w14:paraId="0820FECF"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„Also, das Tool erleichtert ja die total schwierige Zusammenarbeit.“ (B3: 17)</w:t>
            </w:r>
          </w:p>
        </w:tc>
      </w:tr>
      <w:tr w:rsidR="00A058CE" w14:paraId="44F8B560"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3830343A" w14:textId="77777777" w:rsidR="00A058CE" w:rsidRDefault="002D2FB0">
            <w:pPr>
              <w:spacing w:line="276" w:lineRule="auto"/>
              <w:jc w:val="left"/>
              <w:rPr>
                <w:rFonts w:cs="Times New Roman"/>
                <w:sz w:val="22"/>
                <w:szCs w:val="22"/>
              </w:rPr>
            </w:pPr>
            <w:r>
              <w:rPr>
                <w:rFonts w:cs="Times New Roman"/>
                <w:sz w:val="22"/>
                <w:szCs w:val="22"/>
              </w:rPr>
              <w:t>1.2 Partizipation</w:t>
            </w:r>
          </w:p>
        </w:tc>
        <w:tc>
          <w:tcPr>
            <w:tcW w:w="1799" w:type="pct"/>
          </w:tcPr>
          <w:p w14:paraId="2C5059EE" w14:textId="77777777" w:rsidR="00A058CE" w:rsidRDefault="002D2FB0">
            <w:pPr>
              <w:pStyle w:val="Listenabsatz"/>
              <w:numPr>
                <w:ilvl w:val="0"/>
                <w:numId w:val="13"/>
              </w:numPr>
              <w:spacing w:line="276" w:lineRule="auto"/>
              <w:ind w:left="268" w:hanging="223"/>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Potenziale von Planungstools, die Adressat*innengruppe im Rahmen von Planungsprozessen partizipativ einzubinden</w:t>
            </w:r>
          </w:p>
          <w:p w14:paraId="2196D688" w14:textId="77777777" w:rsidR="00A058CE" w:rsidRDefault="002D2FB0">
            <w:pPr>
              <w:pStyle w:val="Listenabsatz"/>
              <w:numPr>
                <w:ilvl w:val="0"/>
                <w:numId w:val="13"/>
              </w:numPr>
              <w:spacing w:line="276" w:lineRule="auto"/>
              <w:ind w:left="268" w:hanging="223"/>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partizipative Methoden, die im Rahmen von Planungstools angewendet werden</w:t>
            </w:r>
          </w:p>
        </w:tc>
        <w:tc>
          <w:tcPr>
            <w:tcW w:w="2109" w:type="pct"/>
          </w:tcPr>
          <w:p w14:paraId="32B0D56E" w14:textId="77777777" w:rsidR="00A058CE" w:rsidRDefault="002D2FB0">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 xml:space="preserve">„Also, dass sowas wie der Masterplan </w:t>
            </w:r>
            <w:proofErr w:type="spellStart"/>
            <w:r>
              <w:rPr>
                <w:rFonts w:cs="Times New Roman"/>
                <w:sz w:val="22"/>
                <w:szCs w:val="22"/>
              </w:rPr>
              <w:t>Physical</w:t>
            </w:r>
            <w:proofErr w:type="spellEnd"/>
            <w:r>
              <w:rPr>
                <w:rFonts w:cs="Times New Roman"/>
                <w:sz w:val="22"/>
                <w:szCs w:val="22"/>
              </w:rPr>
              <w:t xml:space="preserve"> </w:t>
            </w:r>
            <w:proofErr w:type="spellStart"/>
            <w:r>
              <w:rPr>
                <w:rFonts w:cs="Times New Roman"/>
                <w:sz w:val="22"/>
                <w:szCs w:val="22"/>
              </w:rPr>
              <w:t>Activity</w:t>
            </w:r>
            <w:proofErr w:type="spellEnd"/>
            <w:r>
              <w:rPr>
                <w:rFonts w:cs="Times New Roman"/>
                <w:sz w:val="22"/>
                <w:szCs w:val="22"/>
              </w:rPr>
              <w:t xml:space="preserve"> der WHO eigentlich in deinen Dimensionen zum Tragen kommt, dass </w:t>
            </w:r>
            <w:proofErr w:type="spellStart"/>
            <w:r>
              <w:rPr>
                <w:rFonts w:cs="Times New Roman"/>
                <w:sz w:val="22"/>
                <w:szCs w:val="22"/>
              </w:rPr>
              <w:t>Empowermentprozesse</w:t>
            </w:r>
            <w:proofErr w:type="spellEnd"/>
            <w:r>
              <w:rPr>
                <w:rFonts w:cs="Times New Roman"/>
                <w:sz w:val="22"/>
                <w:szCs w:val="22"/>
              </w:rPr>
              <w:t xml:space="preserve"> stattfinden, wenn gute Erfahrungen an Partizipation stattfinden.“ (B4: 34)</w:t>
            </w:r>
          </w:p>
        </w:tc>
      </w:tr>
      <w:tr w:rsidR="00A058CE" w14:paraId="7B1E0B0C"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14530A9B" w14:textId="77777777" w:rsidR="00A058CE" w:rsidRDefault="002D2FB0">
            <w:pPr>
              <w:spacing w:line="276" w:lineRule="auto"/>
              <w:jc w:val="left"/>
              <w:rPr>
                <w:rFonts w:cs="Times New Roman"/>
                <w:sz w:val="22"/>
                <w:szCs w:val="22"/>
              </w:rPr>
            </w:pPr>
            <w:r>
              <w:rPr>
                <w:rFonts w:cs="Times New Roman"/>
                <w:sz w:val="22"/>
                <w:szCs w:val="22"/>
              </w:rPr>
              <w:t>1.3 Aufbau und Elemente von Planungstools</w:t>
            </w:r>
          </w:p>
        </w:tc>
        <w:tc>
          <w:tcPr>
            <w:tcW w:w="1799" w:type="pct"/>
          </w:tcPr>
          <w:p w14:paraId="50CA90E8" w14:textId="77777777" w:rsidR="00A058CE" w:rsidRDefault="002D2FB0">
            <w:pPr>
              <w:pStyle w:val="Listenabsatz"/>
              <w:numPr>
                <w:ilvl w:val="0"/>
                <w:numId w:val="15"/>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die Beschreibung von Potenzialen in der Art des Aufbaus und in einzelnen Elementen von Planungstools</w:t>
            </w:r>
          </w:p>
        </w:tc>
        <w:tc>
          <w:tcPr>
            <w:tcW w:w="2109" w:type="pct"/>
          </w:tcPr>
          <w:p w14:paraId="062601C1"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„Und der andere Aspekt, der uns zumindest auch rückgemeldet wurde, was der Impulsgeber halt bietet, sind so Daten, Fakten, die dann die Akteure vor Ort einfach auch nutzen können und nicht erst jedes Mal wieder selber recherchieren müssen.“ (B9: 17)</w:t>
            </w:r>
          </w:p>
        </w:tc>
      </w:tr>
      <w:tr w:rsidR="00A058CE" w14:paraId="28590F15"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4A9AC591" w14:textId="77777777" w:rsidR="00A058CE" w:rsidRDefault="002D2FB0">
            <w:pPr>
              <w:spacing w:line="276" w:lineRule="auto"/>
              <w:jc w:val="left"/>
              <w:rPr>
                <w:rFonts w:cs="Times New Roman"/>
                <w:sz w:val="22"/>
                <w:szCs w:val="22"/>
              </w:rPr>
            </w:pPr>
            <w:r>
              <w:rPr>
                <w:rFonts w:cs="Times New Roman"/>
                <w:sz w:val="22"/>
                <w:szCs w:val="22"/>
              </w:rPr>
              <w:t>1.4 Inhaltliche Ausrichtung von Planungstools</w:t>
            </w:r>
          </w:p>
        </w:tc>
        <w:tc>
          <w:tcPr>
            <w:tcW w:w="1799" w:type="pct"/>
          </w:tcPr>
          <w:p w14:paraId="2E9A2F68" w14:textId="77777777" w:rsidR="00A058CE" w:rsidRDefault="002D2FB0">
            <w:pPr>
              <w:pStyle w:val="Listenabsatz"/>
              <w:numPr>
                <w:ilvl w:val="0"/>
                <w:numId w:val="15"/>
              </w:numPr>
              <w:spacing w:line="276" w:lineRule="auto"/>
              <w:ind w:left="268" w:hanging="223"/>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Potenziale bestimmter inhaltlicher Ausrichtungen von Planungstools</w:t>
            </w:r>
          </w:p>
        </w:tc>
        <w:tc>
          <w:tcPr>
            <w:tcW w:w="2109" w:type="pct"/>
          </w:tcPr>
          <w:p w14:paraId="6C19798D" w14:textId="77777777" w:rsidR="00A058CE" w:rsidRDefault="002D2FB0">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„Und habe da gerade mit dem ISEK sehr, sehr positive Erfahrungen macht. Das hängt aber mit der Leitbildsetzung ab, weil es von Anfang an unter dem Leitbild Gesundheit, gesundheitsfördernde Stadtentwicklung stand.“ (B4: 32)</w:t>
            </w:r>
          </w:p>
        </w:tc>
      </w:tr>
      <w:tr w:rsidR="00A058CE" w14:paraId="1A1DC66C"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7BA47204" w14:textId="77777777" w:rsidR="00A058CE" w:rsidRDefault="002D2FB0">
            <w:pPr>
              <w:spacing w:line="276" w:lineRule="auto"/>
              <w:jc w:val="left"/>
              <w:rPr>
                <w:rFonts w:cs="Times New Roman"/>
                <w:sz w:val="22"/>
                <w:szCs w:val="22"/>
              </w:rPr>
            </w:pPr>
            <w:r>
              <w:rPr>
                <w:rFonts w:cs="Times New Roman"/>
                <w:sz w:val="22"/>
                <w:szCs w:val="22"/>
              </w:rPr>
              <w:t>1.5 Fachkompetenzen</w:t>
            </w:r>
          </w:p>
        </w:tc>
        <w:tc>
          <w:tcPr>
            <w:tcW w:w="1799" w:type="pct"/>
          </w:tcPr>
          <w:p w14:paraId="6EB6F80A" w14:textId="77777777" w:rsidR="00A058CE" w:rsidRDefault="002D2FB0">
            <w:pPr>
              <w:pStyle w:val="Listenabsatz"/>
              <w:numPr>
                <w:ilvl w:val="0"/>
                <w:numId w:val="15"/>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Potenziale zu Fachkompetenzen für die Anwendung von Planungstools</w:t>
            </w:r>
          </w:p>
          <w:p w14:paraId="7C5689BF" w14:textId="77777777" w:rsidR="00A058CE" w:rsidRDefault="002D2FB0">
            <w:pPr>
              <w:pStyle w:val="Listenabsatz"/>
              <w:numPr>
                <w:ilvl w:val="0"/>
                <w:numId w:val="15"/>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Potenziale von Planungstools in der Förderung von Fachkompetenzen</w:t>
            </w:r>
          </w:p>
          <w:p w14:paraId="1EEF56CE" w14:textId="77777777" w:rsidR="00A058CE" w:rsidRDefault="002D2FB0">
            <w:pPr>
              <w:pStyle w:val="Listenabsatz"/>
              <w:numPr>
                <w:ilvl w:val="0"/>
                <w:numId w:val="15"/>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Potenziale von Planungstools hinsichtlich Wissensmanagement</w:t>
            </w:r>
          </w:p>
        </w:tc>
        <w:tc>
          <w:tcPr>
            <w:tcW w:w="2109" w:type="pct"/>
          </w:tcPr>
          <w:p w14:paraId="5EE1DE66"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"Aber aus meiner Sicht spielen Tools, also, eine extrem große Rolle. Auch in der / Also, für die breitere Ausrollung von Gesundheitsförderung. Und für die genaue Übertragung von Wissen, von Projekten auf andere. Genau, Wissensmanagement.“ (B5: 36)</w:t>
            </w:r>
          </w:p>
        </w:tc>
      </w:tr>
      <w:tr w:rsidR="00A058CE" w14:paraId="1ADDC87C"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0351EF23" w14:textId="77777777" w:rsidR="00A058CE" w:rsidRDefault="002D2FB0">
            <w:pPr>
              <w:spacing w:line="276" w:lineRule="auto"/>
              <w:jc w:val="left"/>
              <w:rPr>
                <w:rFonts w:cs="Times New Roman"/>
                <w:sz w:val="22"/>
                <w:szCs w:val="22"/>
              </w:rPr>
            </w:pPr>
            <w:r>
              <w:rPr>
                <w:rFonts w:cs="Times New Roman"/>
                <w:sz w:val="22"/>
                <w:szCs w:val="22"/>
              </w:rPr>
              <w:t>1.6 Standardisierung und Qualitätssicherung</w:t>
            </w:r>
          </w:p>
        </w:tc>
        <w:tc>
          <w:tcPr>
            <w:tcW w:w="1799" w:type="pct"/>
          </w:tcPr>
          <w:p w14:paraId="794FB348" w14:textId="77777777" w:rsidR="00A058CE" w:rsidRDefault="002D2FB0">
            <w:pPr>
              <w:pStyle w:val="Listenabsatz"/>
              <w:numPr>
                <w:ilvl w:val="0"/>
                <w:numId w:val="16"/>
              </w:numPr>
              <w:spacing w:line="276" w:lineRule="auto"/>
              <w:ind w:left="268" w:hanging="223"/>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Potenziale einer Standardisierung und Qualitätssicherung von Planungstools</w:t>
            </w:r>
          </w:p>
        </w:tc>
        <w:tc>
          <w:tcPr>
            <w:tcW w:w="2109" w:type="pct"/>
          </w:tcPr>
          <w:p w14:paraId="019DB963" w14:textId="77777777" w:rsidR="00A058CE" w:rsidRDefault="002D2FB0">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proofErr w:type="gramStart"/>
            <w:r>
              <w:rPr>
                <w:rFonts w:cs="Times New Roman"/>
                <w:sz w:val="22"/>
                <w:szCs w:val="22"/>
              </w:rPr>
              <w:t>„</w:t>
            </w:r>
            <w:proofErr w:type="gramEnd"/>
            <w:r>
              <w:rPr>
                <w:rFonts w:cs="Times New Roman"/>
                <w:sz w:val="22"/>
                <w:szCs w:val="22"/>
              </w:rPr>
              <w:t>dass es doch schön wäre, wenn es nicht 20 Tools gibt, ja, sondern (lacht) qualitätsgesichert dann vielleicht auch so Zusammenführung oder was Zentrales, da</w:t>
            </w:r>
            <w:r>
              <w:rPr>
                <w:rFonts w:cs="Times New Roman"/>
                <w:sz w:val="22"/>
                <w:szCs w:val="22"/>
              </w:rPr>
              <w:lastRenderedPageBreak/>
              <w:t>mit auch nicht jedes Bundesland vielleicht so ein Tool entwickeln muss.“ (B1: 47)</w:t>
            </w:r>
          </w:p>
        </w:tc>
      </w:tr>
      <w:tr w:rsidR="00A058CE" w14:paraId="0D3A9128"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4960F565" w14:textId="77777777" w:rsidR="00A058CE" w:rsidRDefault="002D2FB0">
            <w:pPr>
              <w:spacing w:line="276" w:lineRule="auto"/>
              <w:jc w:val="left"/>
              <w:rPr>
                <w:rFonts w:cs="Times New Roman"/>
                <w:sz w:val="22"/>
                <w:szCs w:val="22"/>
              </w:rPr>
            </w:pPr>
            <w:r>
              <w:rPr>
                <w:rFonts w:cs="Times New Roman"/>
                <w:sz w:val="22"/>
                <w:szCs w:val="22"/>
              </w:rPr>
              <w:lastRenderedPageBreak/>
              <w:t>1.7 Nutzen und Mehrwert von Planungstools</w:t>
            </w:r>
          </w:p>
        </w:tc>
        <w:tc>
          <w:tcPr>
            <w:tcW w:w="1799" w:type="pct"/>
          </w:tcPr>
          <w:p w14:paraId="27B2F973" w14:textId="77777777" w:rsidR="00A058CE" w:rsidRDefault="002D2FB0">
            <w:pPr>
              <w:pStyle w:val="Listenabsatz"/>
              <w:numPr>
                <w:ilvl w:val="0"/>
                <w:numId w:val="16"/>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 xml:space="preserve">Umfasst Aussagen zum Nutzen und Mehrwert von Planungstools </w:t>
            </w:r>
          </w:p>
          <w:p w14:paraId="1818732B" w14:textId="77777777" w:rsidR="00A058CE" w:rsidRDefault="002D2FB0">
            <w:pPr>
              <w:pStyle w:val="Listenabsatz"/>
              <w:numPr>
                <w:ilvl w:val="0"/>
                <w:numId w:val="16"/>
              </w:numPr>
              <w:spacing w:line="276" w:lineRule="auto"/>
              <w:ind w:left="268" w:hanging="223"/>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Aussagen zu Potenzialen von</w:t>
            </w:r>
            <w:r>
              <w:rPr>
                <w:rFonts w:cs="Times New Roman"/>
              </w:rPr>
              <w:t xml:space="preserve"> </w:t>
            </w:r>
            <w:r>
              <w:rPr>
                <w:rFonts w:cs="Times New Roman"/>
                <w:sz w:val="22"/>
                <w:szCs w:val="22"/>
              </w:rPr>
              <w:t>Planungstools, die einen sichtbaren Nutzen und Mehrwert bringen</w:t>
            </w:r>
          </w:p>
        </w:tc>
        <w:tc>
          <w:tcPr>
            <w:tcW w:w="2109" w:type="pct"/>
          </w:tcPr>
          <w:p w14:paraId="7D06E98C"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„Und wenn wir da konkrete Tools zur Verfügung haben, dann ist / sehe ich schon einen großen Mehrwert in Tools. Um einfach schneller zu einer guten Qualität zu kommen oder zu einer qualitätsvollen Planung.“ (B5: 36)</w:t>
            </w:r>
          </w:p>
        </w:tc>
      </w:tr>
      <w:tr w:rsidR="00A058CE" w14:paraId="043BB933"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Pr>
          <w:p w14:paraId="1ADF5139" w14:textId="77777777" w:rsidR="00A058CE" w:rsidRDefault="002D2FB0">
            <w:pPr>
              <w:spacing w:line="276" w:lineRule="auto"/>
              <w:jc w:val="left"/>
              <w:rPr>
                <w:rFonts w:cs="Times New Roman"/>
                <w:sz w:val="22"/>
                <w:szCs w:val="22"/>
              </w:rPr>
            </w:pPr>
            <w:r>
              <w:rPr>
                <w:rFonts w:cs="Times New Roman"/>
                <w:sz w:val="22"/>
                <w:szCs w:val="22"/>
              </w:rPr>
              <w:t>2 Herausforderungen bei der Anwendung von Planungstools</w:t>
            </w:r>
          </w:p>
        </w:tc>
      </w:tr>
      <w:tr w:rsidR="00A058CE" w14:paraId="49674B51"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023C8391" w14:textId="77777777" w:rsidR="00A058CE" w:rsidRDefault="002D2FB0">
            <w:pPr>
              <w:spacing w:line="276" w:lineRule="auto"/>
              <w:jc w:val="left"/>
              <w:rPr>
                <w:rFonts w:cs="Times New Roman"/>
                <w:sz w:val="22"/>
                <w:szCs w:val="22"/>
              </w:rPr>
            </w:pPr>
            <w:r>
              <w:rPr>
                <w:rFonts w:cs="Times New Roman"/>
                <w:sz w:val="22"/>
                <w:szCs w:val="22"/>
              </w:rPr>
              <w:t>2.1 Personelle Herausforderungen</w:t>
            </w:r>
          </w:p>
        </w:tc>
        <w:tc>
          <w:tcPr>
            <w:tcW w:w="1799" w:type="pct"/>
          </w:tcPr>
          <w:p w14:paraId="66900154" w14:textId="77777777" w:rsidR="00A058CE" w:rsidRDefault="002D2FB0">
            <w:pPr>
              <w:pStyle w:val="Listenabsatz"/>
              <w:numPr>
                <w:ilvl w:val="0"/>
                <w:numId w:val="17"/>
              </w:numPr>
              <w:spacing w:line="276" w:lineRule="auto"/>
              <w:ind w:left="272" w:hanging="218"/>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Herausforderungen, die sich auf personelle Ressourcen im Rahmen der Anwendung von Planungstools beziehen</w:t>
            </w:r>
          </w:p>
          <w:p w14:paraId="3D8FE170" w14:textId="77777777" w:rsidR="00A058CE" w:rsidRDefault="002D2FB0">
            <w:pPr>
              <w:pStyle w:val="Listenabsatz"/>
              <w:numPr>
                <w:ilvl w:val="0"/>
                <w:numId w:val="17"/>
              </w:numPr>
              <w:spacing w:line="276" w:lineRule="auto"/>
              <w:ind w:left="272" w:hanging="218"/>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Voraussetzungen, die das Personal zur Anwendung von Planungstools erfüllen müssen</w:t>
            </w:r>
          </w:p>
        </w:tc>
        <w:tc>
          <w:tcPr>
            <w:tcW w:w="2109" w:type="pct"/>
          </w:tcPr>
          <w:p w14:paraId="53C86213"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 xml:space="preserve">„Und die Personen, die es machen, weil das ist definitiv meine Erfahrung in der Gesundheitsberichterstattung, Gesundheitsplanung, Gesundheitsförderung. Das sind oft Personen, eine Person, die alles in Personalunion macht, nur wenige Kommunen, die sich da wirklich einzelne Personen für jede Aufgabe leisten. Und dann wird es mit diesen umfangreicheren Methoden wie auch so einem Community </w:t>
            </w:r>
            <w:proofErr w:type="spellStart"/>
            <w:r>
              <w:rPr>
                <w:rFonts w:cs="Times New Roman"/>
                <w:sz w:val="22"/>
                <w:szCs w:val="22"/>
              </w:rPr>
              <w:t>Readiness</w:t>
            </w:r>
            <w:proofErr w:type="spellEnd"/>
            <w:r>
              <w:rPr>
                <w:rFonts w:cs="Times New Roman"/>
                <w:sz w:val="22"/>
                <w:szCs w:val="22"/>
              </w:rPr>
              <w:t xml:space="preserve"> Assessment natürlich schwierig, weil man eigentlich gar keine Ressourcen hat, das umzusetzen.“ (B11: 5)</w:t>
            </w:r>
          </w:p>
        </w:tc>
      </w:tr>
      <w:tr w:rsidR="00A058CE" w14:paraId="665A6BCD"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1AC14928" w14:textId="77777777" w:rsidR="00A058CE" w:rsidRDefault="002D2FB0">
            <w:pPr>
              <w:spacing w:line="276" w:lineRule="auto"/>
              <w:jc w:val="left"/>
              <w:rPr>
                <w:rFonts w:cs="Times New Roman"/>
                <w:sz w:val="22"/>
                <w:szCs w:val="22"/>
              </w:rPr>
            </w:pPr>
            <w:r>
              <w:rPr>
                <w:rFonts w:cs="Times New Roman"/>
                <w:sz w:val="22"/>
                <w:szCs w:val="22"/>
              </w:rPr>
              <w:t>2.2 Finanzielle Herausforderungen</w:t>
            </w:r>
          </w:p>
        </w:tc>
        <w:tc>
          <w:tcPr>
            <w:tcW w:w="1799" w:type="pct"/>
          </w:tcPr>
          <w:p w14:paraId="04203823" w14:textId="77777777" w:rsidR="00A058CE" w:rsidRDefault="002D2FB0">
            <w:pPr>
              <w:pStyle w:val="Listenabsatz"/>
              <w:numPr>
                <w:ilvl w:val="0"/>
                <w:numId w:val="18"/>
              </w:numPr>
              <w:spacing w:line="276" w:lineRule="auto"/>
              <w:ind w:left="272" w:hanging="218"/>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Herausforderungen, die sich auf finanzielle Ressourcen im Rahmen der Anwendung von Planungstools beziehen</w:t>
            </w:r>
          </w:p>
        </w:tc>
        <w:tc>
          <w:tcPr>
            <w:tcW w:w="2109" w:type="pct"/>
          </w:tcPr>
          <w:p w14:paraId="63163775" w14:textId="77777777" w:rsidR="00A058CE" w:rsidRDefault="002D2FB0">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„man kriegt leichter Geld für Forschung und für Planung als für Umsetzung. Und das irgendwie in so einen Zyklus zu denken, also / und nicht nur irgendwie so einen Teil abzudecken. Oder eben nicht nur immer die Entwicklung von immer neuen Instrumenten zu finanzieren, sondern auch mal Umsetzung zu</w:t>
            </w:r>
            <w:r>
              <w:rPr>
                <w:rFonts w:cs="Times New Roman"/>
              </w:rPr>
              <w:t xml:space="preserve"> </w:t>
            </w:r>
            <w:r>
              <w:rPr>
                <w:rFonts w:cs="Times New Roman"/>
                <w:sz w:val="22"/>
                <w:szCs w:val="22"/>
              </w:rPr>
              <w:t>finanzieren. Das ist eine Herausforderung. Oder Planung zu prämieren. Also, zu sagen: "Okay, wenn jetzt Kommunen das machen, dann kriegen sie aus einem Topf XY Geld für die Umsetzung." Also, auch sowas gibt es nicht. Also, man wird nur hinterher für fertige Projekte (probiert?), die man aus irgendwelchen kommunalen Töpfen gemacht hat. Aber so, dass man mal so richtig auch irgendwie Umsetzung richtig befördert, ist eher selten.“ (B2: 49)</w:t>
            </w:r>
          </w:p>
        </w:tc>
      </w:tr>
      <w:tr w:rsidR="00A058CE" w14:paraId="5A79706A"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35E691AE" w14:textId="77777777" w:rsidR="00A058CE" w:rsidRDefault="002D2FB0">
            <w:pPr>
              <w:spacing w:line="276" w:lineRule="auto"/>
              <w:jc w:val="left"/>
              <w:rPr>
                <w:rFonts w:cs="Times New Roman"/>
                <w:sz w:val="22"/>
                <w:szCs w:val="22"/>
              </w:rPr>
            </w:pPr>
            <w:r>
              <w:rPr>
                <w:rFonts w:cs="Times New Roman"/>
                <w:sz w:val="22"/>
                <w:szCs w:val="22"/>
              </w:rPr>
              <w:t>2.3 Strukturelle Herausforderungen</w:t>
            </w:r>
          </w:p>
        </w:tc>
        <w:tc>
          <w:tcPr>
            <w:tcW w:w="1799" w:type="pct"/>
          </w:tcPr>
          <w:p w14:paraId="696FA3DD" w14:textId="77777777" w:rsidR="00A058CE" w:rsidRDefault="002D2FB0">
            <w:pPr>
              <w:pStyle w:val="Listenabsatz"/>
              <w:numPr>
                <w:ilvl w:val="0"/>
                <w:numId w:val="18"/>
              </w:numPr>
              <w:spacing w:line="276" w:lineRule="auto"/>
              <w:ind w:left="272" w:hanging="218"/>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 xml:space="preserve">Umfasst Herausforderungen, die auf struktureller Ebene im Rahmen der Anwendung von </w:t>
            </w:r>
            <w:r>
              <w:rPr>
                <w:rFonts w:cs="Times New Roman"/>
                <w:sz w:val="22"/>
                <w:szCs w:val="22"/>
              </w:rPr>
              <w:lastRenderedPageBreak/>
              <w:t>Planungstools identifiziert werden</w:t>
            </w:r>
          </w:p>
          <w:p w14:paraId="7AEE4573" w14:textId="77777777" w:rsidR="00A058CE" w:rsidRDefault="002D2FB0">
            <w:pPr>
              <w:pStyle w:val="Listenabsatz"/>
              <w:numPr>
                <w:ilvl w:val="0"/>
                <w:numId w:val="18"/>
              </w:numPr>
              <w:spacing w:line="276" w:lineRule="auto"/>
              <w:ind w:left="272" w:hanging="218"/>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Herausforderungen auf politischer Ebene</w:t>
            </w:r>
          </w:p>
        </w:tc>
        <w:tc>
          <w:tcPr>
            <w:tcW w:w="2109" w:type="pct"/>
          </w:tcPr>
          <w:p w14:paraId="21EB49C3"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lastRenderedPageBreak/>
              <w:t xml:space="preserve">„Das ist aber keine Pflichtaufgabe in den Kommunen. Deswegen steckt das immer noch in den Kinderschuhen, dieses </w:t>
            </w:r>
            <w:r>
              <w:rPr>
                <w:rFonts w:cs="Times New Roman"/>
                <w:sz w:val="22"/>
                <w:szCs w:val="22"/>
              </w:rPr>
              <w:lastRenderedPageBreak/>
              <w:t xml:space="preserve">Instrument, also eindeutig. Das wird ja jetzt auch vom LZG und von anderen </w:t>
            </w:r>
            <w:proofErr w:type="spellStart"/>
            <w:r>
              <w:rPr>
                <w:rFonts w:cs="Times New Roman"/>
                <w:sz w:val="22"/>
                <w:szCs w:val="22"/>
              </w:rPr>
              <w:t>seit</w:t>
            </w:r>
            <w:proofErr w:type="spellEnd"/>
            <w:r>
              <w:rPr>
                <w:rFonts w:cs="Times New Roman"/>
                <w:sz w:val="22"/>
                <w:szCs w:val="22"/>
              </w:rPr>
              <w:t>, also, mittlerweile über zehn Jahren, propagiert. Es sind aber noch keine / Ja, es hat sich noch nicht wirklich durchgesetzt. Deswegen weiß ich nicht, ob das wirklich Zukunft hat, dieses Tool der Fachplanung Gesundheit.“ (B8: 3)</w:t>
            </w:r>
          </w:p>
        </w:tc>
      </w:tr>
      <w:tr w:rsidR="00A058CE" w14:paraId="752A3057"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7FDA83A5" w14:textId="77777777" w:rsidR="00A058CE" w:rsidRDefault="002D2FB0">
            <w:pPr>
              <w:spacing w:line="276" w:lineRule="auto"/>
              <w:jc w:val="left"/>
              <w:rPr>
                <w:rFonts w:cs="Times New Roman"/>
                <w:sz w:val="22"/>
                <w:szCs w:val="22"/>
              </w:rPr>
            </w:pPr>
            <w:r>
              <w:rPr>
                <w:rFonts w:cs="Times New Roman"/>
                <w:sz w:val="22"/>
                <w:szCs w:val="22"/>
              </w:rPr>
              <w:lastRenderedPageBreak/>
              <w:t>2.4 Funktionale und methodische Herausforderungen</w:t>
            </w:r>
          </w:p>
        </w:tc>
        <w:tc>
          <w:tcPr>
            <w:tcW w:w="1799" w:type="pct"/>
          </w:tcPr>
          <w:p w14:paraId="7CF95BC8" w14:textId="77777777" w:rsidR="00A058CE" w:rsidRDefault="002D2FB0">
            <w:pPr>
              <w:pStyle w:val="Listenabsatz"/>
              <w:numPr>
                <w:ilvl w:val="0"/>
                <w:numId w:val="19"/>
              </w:numPr>
              <w:spacing w:line="276" w:lineRule="auto"/>
              <w:ind w:left="272" w:hanging="218"/>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Herausforderung, die sich auf die Funktionen oder den Aufbau von Planungstools beziehen</w:t>
            </w:r>
          </w:p>
        </w:tc>
        <w:tc>
          <w:tcPr>
            <w:tcW w:w="2109" w:type="pct"/>
          </w:tcPr>
          <w:p w14:paraId="0542F7D4" w14:textId="77777777" w:rsidR="00A058CE" w:rsidRDefault="002D2FB0">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„keins dieser Tools funktioniert, ohne, dass irgendjemand einen darin einführt, würde ich sagen, und das ist auch ein Vorteil und ein Nachteil. Das ist komplex. Man muss es nicht selber erfinden, aber man braucht irgendeine Form von Standard.“</w:t>
            </w:r>
            <w:r>
              <w:rPr>
                <w:rFonts w:cs="Times New Roman"/>
              </w:rPr>
              <w:t xml:space="preserve"> </w:t>
            </w:r>
            <w:r>
              <w:rPr>
                <w:rFonts w:cs="Times New Roman"/>
                <w:sz w:val="22"/>
                <w:szCs w:val="22"/>
              </w:rPr>
              <w:t>(B2: 25)</w:t>
            </w:r>
          </w:p>
        </w:tc>
      </w:tr>
      <w:tr w:rsidR="00A058CE" w14:paraId="2ADF94F1" w14:textId="77777777" w:rsidTr="00A058CE">
        <w:tc>
          <w:tcPr>
            <w:cnfStyle w:val="001000000000" w:firstRow="0" w:lastRow="0" w:firstColumn="1" w:lastColumn="0" w:oddVBand="0" w:evenVBand="0" w:oddHBand="0" w:evenHBand="0" w:firstRowFirstColumn="0" w:firstRowLastColumn="0" w:lastRowFirstColumn="0" w:lastRowLastColumn="0"/>
            <w:tcW w:w="1092" w:type="pct"/>
          </w:tcPr>
          <w:p w14:paraId="6E8D7FE0" w14:textId="77777777" w:rsidR="00A058CE" w:rsidRDefault="002D2FB0">
            <w:pPr>
              <w:spacing w:line="276" w:lineRule="auto"/>
              <w:jc w:val="left"/>
              <w:rPr>
                <w:rFonts w:cs="Times New Roman"/>
                <w:sz w:val="22"/>
                <w:szCs w:val="22"/>
              </w:rPr>
            </w:pPr>
            <w:r>
              <w:rPr>
                <w:rFonts w:cs="Times New Roman"/>
                <w:sz w:val="22"/>
                <w:szCs w:val="22"/>
              </w:rPr>
              <w:t>2.5 Integrierte Zusammenarbeit</w:t>
            </w:r>
          </w:p>
        </w:tc>
        <w:tc>
          <w:tcPr>
            <w:tcW w:w="1799" w:type="pct"/>
          </w:tcPr>
          <w:p w14:paraId="456FA165" w14:textId="77777777" w:rsidR="00A058CE" w:rsidRDefault="002D2FB0">
            <w:pPr>
              <w:pStyle w:val="Listenabsatz"/>
              <w:numPr>
                <w:ilvl w:val="0"/>
                <w:numId w:val="19"/>
              </w:numPr>
              <w:spacing w:line="276" w:lineRule="auto"/>
              <w:ind w:left="272" w:hanging="218"/>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Umfasst Herausforderungen, die sich im Rahmen der intersektoralen und integrierten Zusammenarbeit im Rahmen der Anwendung von Planungstools ergeben</w:t>
            </w:r>
          </w:p>
        </w:tc>
        <w:tc>
          <w:tcPr>
            <w:tcW w:w="2109" w:type="pct"/>
          </w:tcPr>
          <w:p w14:paraId="668F849E" w14:textId="77777777" w:rsidR="00A058CE" w:rsidRDefault="002D2FB0">
            <w:pPr>
              <w:spacing w:line="276" w:lineRule="auto"/>
              <w:jc w:val="left"/>
              <w:cnfStyle w:val="000000000000" w:firstRow="0" w:lastRow="0" w:firstColumn="0" w:lastColumn="0" w:oddVBand="0" w:evenVBand="0" w:oddHBand="0" w:evenHBand="0" w:firstRowFirstColumn="0" w:firstRowLastColumn="0" w:lastRowFirstColumn="0" w:lastRowLastColumn="0"/>
              <w:rPr>
                <w:rFonts w:cs="Times New Roman"/>
                <w:sz w:val="22"/>
                <w:szCs w:val="22"/>
              </w:rPr>
            </w:pPr>
            <w:r>
              <w:rPr>
                <w:rFonts w:cs="Times New Roman"/>
                <w:sz w:val="22"/>
                <w:szCs w:val="22"/>
              </w:rPr>
              <w:t>„Es braucht, also erstmal überhaupt eine Zustimmung, dass man integriert unterwegs sein möchte und auch ein Tool, ein Verfahren überhaupt anwenden möchte. Das reicht ja nicht, wenn man das aus dem Gesundheitsamt heraus möchte. Man müsste ja auch die anderen noch dafür begeistern. Und das war landesseitig einmal so eine Erfahrung, wo wir mit mehreren Akteuren und Ressorts zusammensaßen, wo eigentlich gar nicht klar war, dass es Gewinn bringt, das jetzt gemeinsam anzugehen. Also diese Klarheit braucht es natürlich“ (B11: 17)</w:t>
            </w:r>
          </w:p>
        </w:tc>
      </w:tr>
      <w:tr w:rsidR="00A058CE" w14:paraId="2AFE0611" w14:textId="77777777" w:rsidTr="00A058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2" w:type="pct"/>
          </w:tcPr>
          <w:p w14:paraId="5E619879" w14:textId="77777777" w:rsidR="00A058CE" w:rsidRDefault="002D2FB0">
            <w:pPr>
              <w:spacing w:line="276" w:lineRule="auto"/>
              <w:jc w:val="left"/>
              <w:rPr>
                <w:rFonts w:cs="Times New Roman"/>
                <w:sz w:val="22"/>
                <w:szCs w:val="22"/>
              </w:rPr>
            </w:pPr>
            <w:r>
              <w:rPr>
                <w:rFonts w:cs="Times New Roman"/>
                <w:sz w:val="22"/>
                <w:szCs w:val="22"/>
              </w:rPr>
              <w:t>2.5.1 Kommunikative Herausforderungen</w:t>
            </w:r>
          </w:p>
        </w:tc>
        <w:tc>
          <w:tcPr>
            <w:tcW w:w="1799" w:type="pct"/>
          </w:tcPr>
          <w:p w14:paraId="61233944" w14:textId="77777777" w:rsidR="00A058CE" w:rsidRDefault="002D2FB0">
            <w:pPr>
              <w:pStyle w:val="Listenabsatz"/>
              <w:numPr>
                <w:ilvl w:val="0"/>
                <w:numId w:val="19"/>
              </w:numPr>
              <w:spacing w:line="276" w:lineRule="auto"/>
              <w:ind w:left="272" w:hanging="218"/>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Umfasst Herausforderungen, die sich im Rahmen der intersektoralen und integrierten Zusammenarbeit auf kommunikativer Ebene ergeben</w:t>
            </w:r>
          </w:p>
        </w:tc>
        <w:tc>
          <w:tcPr>
            <w:tcW w:w="2109" w:type="pct"/>
          </w:tcPr>
          <w:p w14:paraId="1F58C158" w14:textId="77777777" w:rsidR="00A058CE" w:rsidRDefault="002D2FB0">
            <w:pPr>
              <w:spacing w:line="276" w:lineRule="auto"/>
              <w:jc w:val="left"/>
              <w:cnfStyle w:val="000000100000" w:firstRow="0" w:lastRow="0" w:firstColumn="0" w:lastColumn="0" w:oddVBand="0" w:evenVBand="0" w:oddHBand="1" w:evenHBand="0" w:firstRowFirstColumn="0" w:firstRowLastColumn="0" w:lastRowFirstColumn="0" w:lastRowLastColumn="0"/>
              <w:rPr>
                <w:rFonts w:cs="Times New Roman"/>
                <w:sz w:val="22"/>
                <w:szCs w:val="22"/>
              </w:rPr>
            </w:pPr>
            <w:r>
              <w:rPr>
                <w:rFonts w:cs="Times New Roman"/>
                <w:sz w:val="22"/>
                <w:szCs w:val="22"/>
              </w:rPr>
              <w:t>„Und da merke ich jetzt gerade, wir machen es, wir bezeichnen es aber nicht so. Wir nennen es nicht Planungstool.“ (B12: 35)</w:t>
            </w:r>
          </w:p>
        </w:tc>
      </w:tr>
    </w:tbl>
    <w:p w14:paraId="6E3B7D62" w14:textId="77777777" w:rsidR="00A058CE" w:rsidRDefault="00A058CE">
      <w:pPr>
        <w:rPr>
          <w:rFonts w:cs="Times New Roman"/>
        </w:rPr>
      </w:pPr>
    </w:p>
    <w:sectPr w:rsidR="00A058CE">
      <w:footerReference w:type="default" r:id="rId8"/>
      <w:pgSz w:w="11906" w:h="16838"/>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30DBE" w14:textId="77777777" w:rsidR="00D4129C" w:rsidRDefault="00D4129C">
      <w:pPr>
        <w:spacing w:after="0" w:line="240" w:lineRule="auto"/>
      </w:pPr>
      <w:r>
        <w:separator/>
      </w:r>
    </w:p>
  </w:endnote>
  <w:endnote w:type="continuationSeparator" w:id="0">
    <w:p w14:paraId="0E659CF2" w14:textId="77777777" w:rsidR="00D4129C" w:rsidRDefault="00D41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vanish/>
        <w:highlight w:val="yellow"/>
      </w:rPr>
      <w:id w:val="-1096016007"/>
      <w:docPartObj>
        <w:docPartGallery w:val="Page Numbers (Bottom of Page)"/>
        <w:docPartUnique/>
      </w:docPartObj>
    </w:sdtPr>
    <w:sdtEndPr/>
    <w:sdtContent>
      <w:p w14:paraId="4D003AAD" w14:textId="032643F9" w:rsidR="00A058CE" w:rsidRDefault="002D2FB0">
        <w:pPr>
          <w:pStyle w:val="Fuzeile"/>
          <w:jc w:val="right"/>
        </w:pPr>
        <w:r>
          <w:fldChar w:fldCharType="begin"/>
        </w:r>
        <w:r>
          <w:instrText>PAGE   \* MERGEFORMAT</w:instrText>
        </w:r>
        <w:r>
          <w:fldChar w:fldCharType="separate"/>
        </w:r>
        <w:r w:rsidR="00FF5577">
          <w:rPr>
            <w:noProof/>
          </w:rPr>
          <w:t>4</w:t>
        </w:r>
        <w:r>
          <w:fldChar w:fldCharType="end"/>
        </w:r>
      </w:p>
    </w:sdtContent>
  </w:sdt>
  <w:p w14:paraId="1CD7EECB" w14:textId="77777777" w:rsidR="00A058CE" w:rsidRDefault="00A058C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256D3" w14:textId="77777777" w:rsidR="00D4129C" w:rsidRDefault="00D4129C">
      <w:pPr>
        <w:spacing w:after="0" w:line="240" w:lineRule="auto"/>
      </w:pPr>
      <w:r>
        <w:separator/>
      </w:r>
    </w:p>
  </w:footnote>
  <w:footnote w:type="continuationSeparator" w:id="0">
    <w:p w14:paraId="53EC0204" w14:textId="77777777" w:rsidR="00D4129C" w:rsidRDefault="00D41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85F1F"/>
    <w:multiLevelType w:val="multilevel"/>
    <w:tmpl w:val="ABCAFB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D16B08"/>
    <w:multiLevelType w:val="multilevel"/>
    <w:tmpl w:val="E2BE567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2D02EE"/>
    <w:multiLevelType w:val="multilevel"/>
    <w:tmpl w:val="6A245A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C7D0D5E"/>
    <w:multiLevelType w:val="multilevel"/>
    <w:tmpl w:val="FBF478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E908AB"/>
    <w:multiLevelType w:val="multilevel"/>
    <w:tmpl w:val="789EE3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4B27D06"/>
    <w:multiLevelType w:val="multilevel"/>
    <w:tmpl w:val="97AAE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4CD772F"/>
    <w:multiLevelType w:val="multilevel"/>
    <w:tmpl w:val="73EA655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40A3425"/>
    <w:multiLevelType w:val="multilevel"/>
    <w:tmpl w:val="E2162188"/>
    <w:lvl w:ilvl="0">
      <w:start w:val="1"/>
      <w:numFmt w:val="upperRoman"/>
      <w:pStyle w:val="berschrift1"/>
      <w:lvlText w:val="%1."/>
      <w:lvlJc w:val="left"/>
      <w:pPr>
        <w:ind w:left="0" w:firstLine="0"/>
      </w:pPr>
    </w:lvl>
    <w:lvl w:ilvl="1">
      <w:start w:val="1"/>
      <w:numFmt w:val="upperLetter"/>
      <w:pStyle w:val="berschrift2"/>
      <w:lvlText w:val="%2."/>
      <w:lvlJc w:val="left"/>
      <w:pPr>
        <w:ind w:left="720" w:firstLine="0"/>
      </w:pPr>
    </w:lvl>
    <w:lvl w:ilvl="2">
      <w:start w:val="1"/>
      <w:numFmt w:val="decimal"/>
      <w:pStyle w:val="berschrift3"/>
      <w:lvlText w:val="%3."/>
      <w:lvlJc w:val="left"/>
      <w:pPr>
        <w:ind w:left="1440" w:firstLine="0"/>
      </w:pPr>
    </w:lvl>
    <w:lvl w:ilvl="3">
      <w:start w:val="1"/>
      <w:numFmt w:val="lowerLetter"/>
      <w:pStyle w:val="berschrift4"/>
      <w:lvlText w:val="%4)"/>
      <w:lvlJc w:val="left"/>
      <w:pPr>
        <w:ind w:left="2160" w:firstLine="0"/>
      </w:pPr>
    </w:lvl>
    <w:lvl w:ilvl="4">
      <w:start w:val="1"/>
      <w:numFmt w:val="decimal"/>
      <w:pStyle w:val="berschrift5"/>
      <w:lvlText w:val="(%5)"/>
      <w:lvlJc w:val="left"/>
      <w:pPr>
        <w:ind w:left="2880" w:firstLine="0"/>
      </w:pPr>
    </w:lvl>
    <w:lvl w:ilvl="5">
      <w:start w:val="1"/>
      <w:numFmt w:val="lowerLetter"/>
      <w:pStyle w:val="berschrift6"/>
      <w:lvlText w:val="(%6)"/>
      <w:lvlJc w:val="left"/>
      <w:pPr>
        <w:ind w:left="3600" w:firstLine="0"/>
      </w:pPr>
    </w:lvl>
    <w:lvl w:ilvl="6">
      <w:start w:val="1"/>
      <w:numFmt w:val="lowerRoman"/>
      <w:pStyle w:val="berschrift7"/>
      <w:lvlText w:val="(%7)"/>
      <w:lvlJc w:val="left"/>
      <w:pPr>
        <w:ind w:left="4320" w:firstLine="0"/>
      </w:pPr>
    </w:lvl>
    <w:lvl w:ilvl="7">
      <w:start w:val="1"/>
      <w:numFmt w:val="lowerLetter"/>
      <w:pStyle w:val="berschrift8"/>
      <w:lvlText w:val="(%8)"/>
      <w:lvlJc w:val="left"/>
      <w:pPr>
        <w:ind w:left="5040" w:firstLine="0"/>
      </w:pPr>
    </w:lvl>
    <w:lvl w:ilvl="8">
      <w:start w:val="1"/>
      <w:numFmt w:val="lowerRoman"/>
      <w:pStyle w:val="berschrift9"/>
      <w:lvlText w:val="(%9)"/>
      <w:lvlJc w:val="left"/>
      <w:pPr>
        <w:ind w:left="5760" w:firstLine="0"/>
      </w:pPr>
    </w:lvl>
  </w:abstractNum>
  <w:abstractNum w:abstractNumId="8" w15:restartNumberingAfterBreak="0">
    <w:nsid w:val="375F6D25"/>
    <w:multiLevelType w:val="multilevel"/>
    <w:tmpl w:val="C46AB134"/>
    <w:lvl w:ilvl="0">
      <w:start w:val="1"/>
      <w:numFmt w:val="decimal"/>
      <w:lvlText w:val="%1."/>
      <w:lvlJc w:val="left"/>
      <w:pPr>
        <w:ind w:left="709" w:hanging="432"/>
      </w:pPr>
    </w:lvl>
    <w:lvl w:ilvl="1">
      <w:start w:val="1"/>
      <w:numFmt w:val="decimal"/>
      <w:lvlText w:val="%1.%2."/>
      <w:lvlJc w:val="left"/>
      <w:pPr>
        <w:ind w:left="853" w:hanging="576"/>
      </w:pPr>
    </w:lvl>
    <w:lvl w:ilvl="2">
      <w:start w:val="1"/>
      <w:numFmt w:val="decimal"/>
      <w:lvlText w:val="%1.%2.%3."/>
      <w:lvlJc w:val="left"/>
      <w:pPr>
        <w:ind w:left="997" w:hanging="720"/>
      </w:pPr>
    </w:lvl>
    <w:lvl w:ilvl="3">
      <w:start w:val="1"/>
      <w:numFmt w:val="decimal"/>
      <w:lvlText w:val="%1.%2.%3.%4."/>
      <w:lvlJc w:val="left"/>
      <w:pPr>
        <w:ind w:left="1141" w:hanging="864"/>
      </w:pPr>
    </w:lvl>
    <w:lvl w:ilvl="4">
      <w:start w:val="1"/>
      <w:numFmt w:val="decimal"/>
      <w:lvlText w:val="%1.%2.%3.%4.%5."/>
      <w:lvlJc w:val="left"/>
      <w:pPr>
        <w:ind w:left="1285" w:hanging="1008"/>
      </w:pPr>
    </w:lvl>
    <w:lvl w:ilvl="5">
      <w:start w:val="1"/>
      <w:numFmt w:val="decimal"/>
      <w:lvlText w:val="%1.%2.%3.%4.%5.%6."/>
      <w:lvlJc w:val="left"/>
      <w:pPr>
        <w:ind w:left="1429" w:hanging="1152"/>
      </w:pPr>
    </w:lvl>
    <w:lvl w:ilvl="6">
      <w:start w:val="1"/>
      <w:numFmt w:val="decimal"/>
      <w:lvlText w:val="%1.%2.%3.%4.%5.%6.%7."/>
      <w:lvlJc w:val="left"/>
      <w:pPr>
        <w:ind w:left="1573" w:hanging="1296"/>
      </w:pPr>
    </w:lvl>
    <w:lvl w:ilvl="7">
      <w:start w:val="1"/>
      <w:numFmt w:val="decimal"/>
      <w:lvlText w:val="%1.%2.%3.%4.%5.%6.%7.%8."/>
      <w:lvlJc w:val="left"/>
      <w:pPr>
        <w:ind w:left="1717" w:hanging="1440"/>
      </w:pPr>
    </w:lvl>
    <w:lvl w:ilvl="8">
      <w:start w:val="1"/>
      <w:numFmt w:val="decimal"/>
      <w:lvlText w:val="%1.%2.%3.%4.%5.%6.%7.%8.%9."/>
      <w:lvlJc w:val="left"/>
      <w:pPr>
        <w:ind w:left="1861" w:hanging="1584"/>
      </w:pPr>
    </w:lvl>
  </w:abstractNum>
  <w:abstractNum w:abstractNumId="9" w15:restartNumberingAfterBreak="0">
    <w:nsid w:val="382C35BB"/>
    <w:multiLevelType w:val="multilevel"/>
    <w:tmpl w:val="CEF042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A8F5228"/>
    <w:multiLevelType w:val="multilevel"/>
    <w:tmpl w:val="DC82F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713C1A"/>
    <w:multiLevelType w:val="multilevel"/>
    <w:tmpl w:val="DD8A7DA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ED7BB0"/>
    <w:multiLevelType w:val="multilevel"/>
    <w:tmpl w:val="517ED6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58C42B0"/>
    <w:multiLevelType w:val="multilevel"/>
    <w:tmpl w:val="82A204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65A7492"/>
    <w:multiLevelType w:val="multilevel"/>
    <w:tmpl w:val="A60ED0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88069B4"/>
    <w:multiLevelType w:val="multilevel"/>
    <w:tmpl w:val="B0CAC6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DE439B3"/>
    <w:multiLevelType w:val="multilevel"/>
    <w:tmpl w:val="0E2AA2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CA26425"/>
    <w:multiLevelType w:val="multilevel"/>
    <w:tmpl w:val="17FA21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EEE61A8"/>
    <w:multiLevelType w:val="multilevel"/>
    <w:tmpl w:val="213C7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2173F08"/>
    <w:multiLevelType w:val="multilevel"/>
    <w:tmpl w:val="D59C6C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22E2EAD"/>
    <w:multiLevelType w:val="multilevel"/>
    <w:tmpl w:val="D49607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4327E92"/>
    <w:multiLevelType w:val="multilevel"/>
    <w:tmpl w:val="B628CB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6"/>
  </w:num>
  <w:num w:numId="4">
    <w:abstractNumId w:val="1"/>
  </w:num>
  <w:num w:numId="5">
    <w:abstractNumId w:val="11"/>
  </w:num>
  <w:num w:numId="6">
    <w:abstractNumId w:val="15"/>
  </w:num>
  <w:num w:numId="7">
    <w:abstractNumId w:val="21"/>
  </w:num>
  <w:num w:numId="8">
    <w:abstractNumId w:val="5"/>
  </w:num>
  <w:num w:numId="9">
    <w:abstractNumId w:val="16"/>
  </w:num>
  <w:num w:numId="10">
    <w:abstractNumId w:val="3"/>
  </w:num>
  <w:num w:numId="11">
    <w:abstractNumId w:val="4"/>
  </w:num>
  <w:num w:numId="12">
    <w:abstractNumId w:val="17"/>
  </w:num>
  <w:num w:numId="13">
    <w:abstractNumId w:val="18"/>
  </w:num>
  <w:num w:numId="14">
    <w:abstractNumId w:val="20"/>
  </w:num>
  <w:num w:numId="15">
    <w:abstractNumId w:val="9"/>
  </w:num>
  <w:num w:numId="16">
    <w:abstractNumId w:val="14"/>
  </w:num>
  <w:num w:numId="17">
    <w:abstractNumId w:val="13"/>
  </w:num>
  <w:num w:numId="18">
    <w:abstractNumId w:val="12"/>
  </w:num>
  <w:num w:numId="19">
    <w:abstractNumId w:val="2"/>
  </w:num>
  <w:num w:numId="20">
    <w:abstractNumId w:val="8"/>
  </w:num>
  <w:num w:numId="21">
    <w:abstractNumId w:val="19"/>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8CE"/>
    <w:rsid w:val="002D2FB0"/>
    <w:rsid w:val="00467EC4"/>
    <w:rsid w:val="004C0F9C"/>
    <w:rsid w:val="00682277"/>
    <w:rsid w:val="006A0E05"/>
    <w:rsid w:val="007D2761"/>
    <w:rsid w:val="00A058CE"/>
    <w:rsid w:val="00C03854"/>
    <w:rsid w:val="00C6054F"/>
    <w:rsid w:val="00C7327D"/>
    <w:rsid w:val="00C974C3"/>
    <w:rsid w:val="00CD5460"/>
    <w:rsid w:val="00D4129C"/>
    <w:rsid w:val="00DD57AC"/>
    <w:rsid w:val="00DE4538"/>
    <w:rsid w:val="00E61B3A"/>
    <w:rsid w:val="00E94F74"/>
    <w:rsid w:val="00EC6492"/>
    <w:rsid w:val="00ED173E"/>
    <w:rsid w:val="00FE5071"/>
    <w:rsid w:val="00FE65F3"/>
    <w:rsid w:val="00FF55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15FA"/>
  <w15:docId w15:val="{42118321-075D-4783-BD47-79CFD776E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jc w:val="both"/>
    </w:pPr>
    <w:rPr>
      <w:rFonts w:ascii="Times New Roman" w:hAnsi="Times New Roman"/>
    </w:rPr>
  </w:style>
  <w:style w:type="paragraph" w:styleId="berschrift1">
    <w:name w:val="heading 1"/>
    <w:basedOn w:val="Standard"/>
    <w:next w:val="Standard"/>
    <w:link w:val="berschrift1Zchn"/>
    <w:uiPriority w:val="9"/>
    <w:qFormat/>
    <w:pPr>
      <w:keepNext/>
      <w:keepLines/>
      <w:numPr>
        <w:numId w:val="22"/>
      </w:numPr>
      <w:spacing w:before="240" w:after="120"/>
      <w:outlineLvl w:val="0"/>
    </w:pPr>
    <w:rPr>
      <w:rFonts w:eastAsiaTheme="majorEastAsia" w:cstheme="majorBidi"/>
      <w:b/>
      <w:sz w:val="26"/>
      <w:szCs w:val="40"/>
    </w:rPr>
  </w:style>
  <w:style w:type="paragraph" w:styleId="berschrift2">
    <w:name w:val="heading 2"/>
    <w:basedOn w:val="Standard"/>
    <w:next w:val="Standard"/>
    <w:link w:val="berschrift2Zchn"/>
    <w:uiPriority w:val="9"/>
    <w:unhideWhenUsed/>
    <w:qFormat/>
    <w:pPr>
      <w:keepNext/>
      <w:keepLines/>
      <w:numPr>
        <w:ilvl w:val="1"/>
        <w:numId w:val="22"/>
      </w:numPr>
      <w:spacing w:before="240" w:after="120"/>
      <w:outlineLvl w:val="1"/>
    </w:pPr>
    <w:rPr>
      <w:rFonts w:eastAsiaTheme="majorEastAsia" w:cstheme="majorBidi"/>
      <w:b/>
      <w:szCs w:val="32"/>
    </w:rPr>
  </w:style>
  <w:style w:type="paragraph" w:styleId="berschrift3">
    <w:name w:val="heading 3"/>
    <w:basedOn w:val="Standard"/>
    <w:next w:val="Standard"/>
    <w:link w:val="berschrift3Zchn"/>
    <w:uiPriority w:val="9"/>
    <w:semiHidden/>
    <w:unhideWhenUsed/>
    <w:qFormat/>
    <w:pPr>
      <w:keepNext/>
      <w:keepLines/>
      <w:numPr>
        <w:ilvl w:val="2"/>
        <w:numId w:val="22"/>
      </w:numPr>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pPr>
      <w:keepNext/>
      <w:keepLines/>
      <w:numPr>
        <w:ilvl w:val="3"/>
        <w:numId w:val="22"/>
      </w:numPr>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pPr>
      <w:keepNext/>
      <w:keepLines/>
      <w:numPr>
        <w:ilvl w:val="4"/>
        <w:numId w:val="22"/>
      </w:numPr>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pPr>
      <w:keepNext/>
      <w:keepLines/>
      <w:numPr>
        <w:ilvl w:val="5"/>
        <w:numId w:val="22"/>
      </w:numPr>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pPr>
      <w:keepNext/>
      <w:keepLines/>
      <w:numPr>
        <w:ilvl w:val="6"/>
        <w:numId w:val="22"/>
      </w:numPr>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pPr>
      <w:keepNext/>
      <w:keepLines/>
      <w:numPr>
        <w:ilvl w:val="7"/>
        <w:numId w:val="22"/>
      </w:numPr>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pPr>
      <w:keepNext/>
      <w:keepLines/>
      <w:numPr>
        <w:ilvl w:val="8"/>
        <w:numId w:val="22"/>
      </w:numPr>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666666"/>
    </w:rPr>
  </w:style>
  <w:style w:type="character" w:customStyle="1" w:styleId="FootnoteTextChar">
    <w:name w:val="Footnote Text Char"/>
    <w:basedOn w:val="Absatz-Standardschriftart"/>
    <w:uiPriority w:val="99"/>
    <w:semiHidden/>
    <w:rPr>
      <w:sz w:val="20"/>
      <w:szCs w:val="20"/>
    </w:rPr>
  </w:style>
  <w:style w:type="character" w:customStyle="1" w:styleId="EndnoteTextChar">
    <w:name w:val="Endnote Text Char"/>
    <w:basedOn w:val="Absatz-Standardschriftart"/>
    <w:uiPriority w:val="99"/>
    <w:semiHidden/>
    <w:rPr>
      <w:sz w:val="20"/>
      <w:szCs w:val="20"/>
    </w:r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F5496"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F5496"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F5496" w:themeColor="accent1" w:themeShade="BF"/>
      <w:sz w:val="28"/>
      <w:szCs w:val="28"/>
    </w:rPr>
  </w:style>
  <w:style w:type="character" w:customStyle="1" w:styleId="Heading4Char">
    <w:name w:val="Heading 4 Char"/>
    <w:basedOn w:val="Absatz-Standardschriftart"/>
    <w:uiPriority w:val="9"/>
    <w:rPr>
      <w:rFonts w:ascii="Arial" w:eastAsia="Arial" w:hAnsi="Arial" w:cs="Arial"/>
      <w:i/>
      <w:iCs/>
      <w:color w:val="2F5496" w:themeColor="accent1" w:themeShade="BF"/>
    </w:rPr>
  </w:style>
  <w:style w:type="character" w:customStyle="1" w:styleId="Heading5Char">
    <w:name w:val="Heading 5 Char"/>
    <w:basedOn w:val="Absatz-Standardschriftart"/>
    <w:uiPriority w:val="9"/>
    <w:rPr>
      <w:rFonts w:ascii="Arial" w:eastAsia="Arial" w:hAnsi="Arial" w:cs="Arial"/>
      <w:color w:val="2F5496" w:themeColor="accent1" w:themeShade="BF"/>
    </w:rPr>
  </w:style>
  <w:style w:type="character" w:customStyle="1" w:styleId="Heading6Char">
    <w:name w:val="Heading 6 Char"/>
    <w:basedOn w:val="Absatz-Standardschriftart"/>
    <w:uiPriority w:val="9"/>
    <w:rPr>
      <w:rFonts w:ascii="Arial" w:eastAsia="Arial" w:hAnsi="Arial" w:cs="Arial"/>
      <w:i/>
      <w:iCs/>
      <w:color w:val="595959" w:themeColor="text1" w:themeTint="A6"/>
    </w:rPr>
  </w:style>
  <w:style w:type="character" w:customStyle="1" w:styleId="Heading7Char">
    <w:name w:val="Heading 7 Char"/>
    <w:basedOn w:val="Absatz-Standardschriftart"/>
    <w:uiPriority w:val="9"/>
    <w:rPr>
      <w:rFonts w:ascii="Arial" w:eastAsia="Arial" w:hAnsi="Arial" w:cs="Arial"/>
      <w:color w:val="595959" w:themeColor="text1" w:themeTint="A6"/>
    </w:rPr>
  </w:style>
  <w:style w:type="character" w:customStyle="1" w:styleId="Heading8Char">
    <w:name w:val="Heading 8 Char"/>
    <w:basedOn w:val="Absatz-Standardschriftart"/>
    <w:uiPriority w:val="9"/>
    <w:rPr>
      <w:rFonts w:ascii="Arial" w:eastAsia="Arial" w:hAnsi="Arial" w:cs="Arial"/>
      <w:i/>
      <w:iCs/>
      <w:color w:val="272727" w:themeColor="text1" w:themeTint="D8"/>
    </w:rPr>
  </w:style>
  <w:style w:type="character" w:customStyle="1" w:styleId="Heading9Char">
    <w:name w:val="Heading 9 Char"/>
    <w:basedOn w:val="Absatz-Standardschriftart"/>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character" w:customStyle="1" w:styleId="SubtitleChar">
    <w:name w:val="Subtitle Char"/>
    <w:basedOn w:val="Absatz-Standardschriftart"/>
    <w:uiPriority w:val="11"/>
    <w:rPr>
      <w:color w:val="595959" w:themeColor="text1" w:themeTint="A6"/>
      <w:spacing w:val="15"/>
      <w:sz w:val="28"/>
      <w:szCs w:val="28"/>
    </w:rPr>
  </w:style>
  <w:style w:type="character" w:customStyle="1" w:styleId="QuoteChar">
    <w:name w:val="Quote Char"/>
    <w:basedOn w:val="Absatz-Standardschriftart"/>
    <w:uiPriority w:val="29"/>
    <w:rPr>
      <w:i/>
      <w:iCs/>
      <w:color w:val="404040" w:themeColor="text1" w:themeTint="BF"/>
    </w:rPr>
  </w:style>
  <w:style w:type="character" w:customStyle="1" w:styleId="IntenseQuoteChar">
    <w:name w:val="Intense Quote Char"/>
    <w:basedOn w:val="Absatz-Standardschriftart"/>
    <w:uiPriority w:val="30"/>
    <w:rPr>
      <w:i/>
      <w:iCs/>
      <w:color w:val="2F5496" w:themeColor="accent1" w:themeShade="BF"/>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basedOn w:val="Absatz-Standardschriftart"/>
    <w:link w:val="berschrift1"/>
    <w:uiPriority w:val="9"/>
    <w:rPr>
      <w:rFonts w:asciiTheme="majorBidi" w:eastAsiaTheme="majorEastAsia" w:hAnsiTheme="majorBidi" w:cstheme="majorBidi"/>
      <w:b/>
      <w:sz w:val="26"/>
      <w:szCs w:val="40"/>
    </w:rPr>
  </w:style>
  <w:style w:type="character" w:customStyle="1" w:styleId="berschrift2Zchn">
    <w:name w:val="Überschrift 2 Zchn"/>
    <w:basedOn w:val="Absatz-Standardschriftart"/>
    <w:link w:val="berschrift2"/>
    <w:uiPriority w:val="9"/>
    <w:rPr>
      <w:rFonts w:asciiTheme="majorBidi" w:eastAsiaTheme="majorEastAsia" w:hAnsiTheme="majorBidi" w:cstheme="majorBidi"/>
      <w:b/>
      <w:szCs w:val="32"/>
    </w:rPr>
  </w:style>
  <w:style w:type="character" w:customStyle="1" w:styleId="berschrift3Zchn">
    <w:name w:val="Überschrift 3 Zchn"/>
    <w:basedOn w:val="Absatz-Standardschriftart"/>
    <w:link w:val="berschrift3"/>
    <w:uiPriority w:val="9"/>
    <w:semiHidden/>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Pr>
      <w:rFonts w:eastAsiaTheme="majorEastAsia" w:cstheme="majorBidi"/>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customStyle="1" w:styleId="Articletitle">
    <w:name w:val="Article title"/>
    <w:basedOn w:val="Standard"/>
    <w:next w:val="Standard"/>
    <w:qFormat/>
    <w:pPr>
      <w:spacing w:after="120"/>
    </w:pPr>
    <w:rPr>
      <w:rFonts w:eastAsia="Times New Roman" w:cs="Times New Roman"/>
      <w:b/>
      <w:sz w:val="28"/>
      <w:lang w:val="en-GB" w:eastAsia="en-GB"/>
      <w14:ligatures w14:val="none"/>
    </w:rPr>
  </w:style>
  <w:style w:type="paragraph" w:customStyle="1" w:styleId="Authornames">
    <w:name w:val="Author names"/>
    <w:basedOn w:val="Standard"/>
    <w:next w:val="Standard"/>
    <w:qFormat/>
    <w:pPr>
      <w:spacing w:before="240" w:after="0"/>
    </w:pPr>
    <w:rPr>
      <w:rFonts w:eastAsia="Times New Roman" w:cs="Times New Roman"/>
      <w:sz w:val="28"/>
      <w:lang w:val="en-GB" w:eastAsia="en-GB"/>
      <w14:ligatures w14:val="none"/>
    </w:rPr>
  </w:style>
  <w:style w:type="paragraph" w:customStyle="1" w:styleId="Affiliation">
    <w:name w:val="Affiliation"/>
    <w:basedOn w:val="Standard"/>
    <w:qFormat/>
    <w:pPr>
      <w:spacing w:before="240" w:after="0"/>
    </w:pPr>
    <w:rPr>
      <w:rFonts w:eastAsia="Times New Roman" w:cs="Times New Roman"/>
      <w:i/>
      <w:lang w:val="en-GB" w:eastAsia="en-GB"/>
      <w14:ligatures w14:val="none"/>
    </w:rPr>
  </w:style>
  <w:style w:type="paragraph" w:customStyle="1" w:styleId="Correspondencedetails">
    <w:name w:val="Correspondence details"/>
    <w:basedOn w:val="Standard"/>
    <w:qFormat/>
    <w:pPr>
      <w:spacing w:before="240" w:after="0"/>
    </w:pPr>
    <w:rPr>
      <w:rFonts w:eastAsia="Times New Roman" w:cs="Times New Roman"/>
      <w:lang w:val="en-GB" w:eastAsia="en-GB"/>
      <w14:ligatures w14:val="non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Pr>
      <w:rFonts w:asciiTheme="majorBidi" w:hAnsiTheme="majorBidi"/>
    </w:rPr>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rPr>
      <w:rFonts w:asciiTheme="majorBidi" w:hAnsiTheme="majorBidi"/>
    </w:rPr>
  </w:style>
  <w:style w:type="paragraph" w:customStyle="1" w:styleId="Newparagraph">
    <w:name w:val="New paragraph"/>
    <w:basedOn w:val="Standard"/>
    <w:qFormat/>
    <w:pPr>
      <w:spacing w:after="0" w:line="480" w:lineRule="auto"/>
      <w:ind w:firstLine="720"/>
    </w:pPr>
    <w:rPr>
      <w:rFonts w:eastAsia="Times New Roman" w:cs="Times New Roman"/>
      <w:lang w:val="en-GB" w:eastAsia="en-GB"/>
      <w14:ligatures w14:val="none"/>
    </w:rPr>
  </w:style>
  <w:style w:type="paragraph" w:styleId="Literaturverzeichnis">
    <w:name w:val="Bibliography"/>
    <w:basedOn w:val="Standard"/>
    <w:next w:val="Standard"/>
    <w:uiPriority w:val="37"/>
    <w:unhideWhenUsed/>
    <w:pPr>
      <w:tabs>
        <w:tab w:val="left" w:pos="384"/>
      </w:tabs>
      <w:spacing w:after="240" w:line="240" w:lineRule="auto"/>
      <w:ind w:left="384" w:hanging="384"/>
    </w:pPr>
  </w:style>
  <w:style w:type="table" w:styleId="Tabellenraster">
    <w:name w:val="Table Grid"/>
    <w:basedOn w:val="NormaleTabelle"/>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sing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berarbeitung">
    <w:name w:val="Revision"/>
    <w:hidden/>
    <w:uiPriority w:val="99"/>
    <w:semiHidden/>
    <w:pPr>
      <w:spacing w:after="0" w:line="240" w:lineRule="auto"/>
    </w:pPr>
    <w:rPr>
      <w:rFonts w:asciiTheme="majorBidi" w:hAnsi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BA864-8CDB-41E8-8ADC-063297D0D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904</Words>
  <Characters>5696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 Schönfeld</dc:creator>
  <cp:keywords/>
  <dc:description/>
  <cp:lastModifiedBy>Ines Schönfeld</cp:lastModifiedBy>
  <cp:revision>7</cp:revision>
  <dcterms:created xsi:type="dcterms:W3CDTF">2025-09-09T11:21:00Z</dcterms:created>
  <dcterms:modified xsi:type="dcterms:W3CDTF">2025-10-30T09:06:00Z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id="8m3y4pYJ"/&gt;&lt;style id="http://www.zotero.org/styles/pravention-und-gesundheitsforderung" hasBibliography="1" bibliographyStyleHasBeenSet="1"/&gt;&lt;prefs&gt;&lt;pref name="fieldType" value="Field"/&gt;&lt;pref nam</vt:lpwstr>
  </property>
  <property fmtid="{D5CDD505-2E9C-101B-9397-08002B2CF9AE}" pid="3" name="ZOTERO_PREF_2">
    <vt:lpwstr>e="automaticJournalAbbreviations" value="true"/&gt;&lt;/prefs&gt;&lt;/data&gt;</vt:lpwstr>
  </property>
</Properties>
</file>