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DD65C" w14:textId="77777777" w:rsidR="008C7B66" w:rsidRPr="00502B94" w:rsidRDefault="008C7B66" w:rsidP="008C7B66">
      <w:pPr>
        <w:tabs>
          <w:tab w:val="left" w:pos="340"/>
          <w:tab w:val="left" w:pos="720"/>
        </w:tabs>
        <w:autoSpaceDE w:val="0"/>
        <w:autoSpaceDN w:val="0"/>
        <w:adjustRightInd w:val="0"/>
        <w:rPr>
          <w:rFonts w:eastAsia="TimesNewRoman"/>
          <w:lang w:eastAsia="pl-PL"/>
        </w:rPr>
      </w:pPr>
      <w:r>
        <w:rPr>
          <w:rFonts w:eastAsia="STIX-Regular"/>
          <w:b/>
          <w:bCs/>
        </w:rPr>
        <w:t>Fig.</w:t>
      </w:r>
      <w:r w:rsidRPr="00502B94">
        <w:rPr>
          <w:b/>
          <w:bCs/>
        </w:rPr>
        <w:t xml:space="preserve"> </w:t>
      </w:r>
      <w:r>
        <w:rPr>
          <w:b/>
          <w:bCs/>
        </w:rPr>
        <w:t>S</w:t>
      </w:r>
      <w:r w:rsidRPr="00502B94">
        <w:rPr>
          <w:b/>
          <w:bCs/>
        </w:rPr>
        <w:t>1</w:t>
      </w:r>
      <w:r w:rsidRPr="00502B94">
        <w:rPr>
          <w:bCs/>
        </w:rPr>
        <w:t xml:space="preserve"> </w:t>
      </w:r>
      <w:r w:rsidRPr="00502B94">
        <w:t xml:space="preserve">50% majority-rule consensus tree from the Bayesian analysis of </w:t>
      </w:r>
      <w:r w:rsidRPr="00502B94">
        <w:rPr>
          <w:rFonts w:eastAsia="TimesNewRoman"/>
          <w:lang w:eastAsia="pl-PL"/>
        </w:rPr>
        <w:t>45S</w:t>
      </w:r>
      <w:r w:rsidRPr="00502B94">
        <w:t xml:space="preserve"> </w:t>
      </w:r>
      <w:r w:rsidRPr="00502B94">
        <w:rPr>
          <w:rFonts w:eastAsia="TimesNewRoman"/>
          <w:lang w:eastAsia="pl-PL"/>
        </w:rPr>
        <w:t xml:space="preserve">nuc rDNA </w:t>
      </w:r>
      <w:r w:rsidRPr="00502B94">
        <w:t xml:space="preserve">sequences of </w:t>
      </w:r>
      <w:r w:rsidRPr="00502B94">
        <w:rPr>
          <w:i/>
          <w:iCs/>
        </w:rPr>
        <w:t>Complexispora multistratosa</w:t>
      </w:r>
      <w:r w:rsidRPr="00502B94">
        <w:rPr>
          <w:rFonts w:eastAsia="TimesNewRoman"/>
          <w:lang w:eastAsia="pl-PL"/>
        </w:rPr>
        <w:t xml:space="preserve">, </w:t>
      </w:r>
      <w:r w:rsidRPr="00502B94">
        <w:rPr>
          <w:i/>
          <w:iCs/>
        </w:rPr>
        <w:t>C. mediterranea</w:t>
      </w:r>
      <w:r w:rsidRPr="00502B94">
        <w:rPr>
          <w:rFonts w:eastAsia="TimesNewRoman"/>
          <w:lang w:eastAsia="pl-PL"/>
        </w:rPr>
        <w:t xml:space="preserve">, </w:t>
      </w:r>
      <w:r w:rsidRPr="00502B94">
        <w:rPr>
          <w:rFonts w:eastAsia="TimesNewRoman"/>
          <w:i/>
          <w:iCs/>
          <w:lang w:eastAsia="pl-PL"/>
        </w:rPr>
        <w:t>Epigeocarpum japonicum</w:t>
      </w:r>
      <w:r w:rsidRPr="00502B94">
        <w:t xml:space="preserve">, 23 other species of 17 genera of </w:t>
      </w:r>
      <w:r w:rsidRPr="002648B4">
        <w:rPr>
          <w:i/>
          <w:iCs/>
        </w:rPr>
        <w:t>Glomeraceae</w:t>
      </w:r>
      <w:r w:rsidRPr="00502B94">
        <w:t xml:space="preserve">, and three </w:t>
      </w:r>
      <w:r w:rsidRPr="00502B94">
        <w:rPr>
          <w:i/>
          <w:iCs/>
        </w:rPr>
        <w:t>Diversispora</w:t>
      </w:r>
      <w:r w:rsidRPr="00502B94">
        <w:t xml:space="preserve"> species (</w:t>
      </w:r>
      <w:r w:rsidRPr="002648B4">
        <w:rPr>
          <w:i/>
          <w:iCs/>
        </w:rPr>
        <w:t>Diversisporaceae</w:t>
      </w:r>
      <w:r w:rsidRPr="00502B94">
        <w:t xml:space="preserve">) serving as outgroup. The three new species are in bold font. </w:t>
      </w:r>
      <w:r w:rsidRPr="00502B94">
        <w:rPr>
          <w:rFonts w:eastAsia="TimesNewRoman"/>
          <w:lang w:eastAsia="pl-PL"/>
        </w:rPr>
        <w:t xml:space="preserve">The Bayesian posterior probabilities ≥0.90 and ML bootstrap values ≥50% are shown near the branches, respectively. Bar indicates </w:t>
      </w:r>
      <w:r w:rsidRPr="00502B94">
        <w:t xml:space="preserve">0.1 </w:t>
      </w:r>
      <w:r w:rsidRPr="00502B94">
        <w:rPr>
          <w:rFonts w:eastAsia="TimesNewRoman"/>
          <w:lang w:eastAsia="pl-PL"/>
        </w:rPr>
        <w:t xml:space="preserve">expected change per site per branch </w:t>
      </w:r>
    </w:p>
    <w:p w14:paraId="00D7791A" w14:textId="28FBD665" w:rsidR="00DB49FC" w:rsidRDefault="00D37873">
      <w:r>
        <w:rPr>
          <w:noProof/>
        </w:rPr>
        <w:drawing>
          <wp:inline distT="0" distB="0" distL="0" distR="0" wp14:anchorId="3A171531" wp14:editId="30DF9BC8">
            <wp:extent cx="6645910" cy="8355330"/>
            <wp:effectExtent l="0" t="0" r="2540" b="762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355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B49FC" w:rsidSect="00151A4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3E6C36" w14:textId="77777777" w:rsidR="00A4181F" w:rsidRDefault="00A4181F" w:rsidP="00151A41">
      <w:r>
        <w:separator/>
      </w:r>
    </w:p>
  </w:endnote>
  <w:endnote w:type="continuationSeparator" w:id="0">
    <w:p w14:paraId="15850C28" w14:textId="77777777" w:rsidR="00A4181F" w:rsidRDefault="00A4181F" w:rsidP="00151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TIX-Regular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TimesNewRoman"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3056D0" w14:textId="77777777" w:rsidR="00A4181F" w:rsidRDefault="00A4181F" w:rsidP="00151A41">
      <w:r>
        <w:separator/>
      </w:r>
    </w:p>
  </w:footnote>
  <w:footnote w:type="continuationSeparator" w:id="0">
    <w:p w14:paraId="0C64507B" w14:textId="77777777" w:rsidR="00A4181F" w:rsidRDefault="00A4181F" w:rsidP="00151A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A41"/>
    <w:rsid w:val="00151A41"/>
    <w:rsid w:val="006E4523"/>
    <w:rsid w:val="007C0C10"/>
    <w:rsid w:val="008C7B66"/>
    <w:rsid w:val="00A11C13"/>
    <w:rsid w:val="00A4181F"/>
    <w:rsid w:val="00B94CEE"/>
    <w:rsid w:val="00D37873"/>
    <w:rsid w:val="00DB49FC"/>
    <w:rsid w:val="00DD0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1093F9"/>
  <w15:chartTrackingRefBased/>
  <w15:docId w15:val="{7D7F34E3-B2A8-4A5F-B0ED-851EB58DA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7B66"/>
    <w:rPr>
      <w:rFonts w:eastAsia="Times New Roman" w:cs="Times New Roman"/>
      <w:szCs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426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 Błaszkowski</dc:creator>
  <cp:keywords/>
  <dc:description/>
  <cp:lastModifiedBy>Janusz Błaszkowski</cp:lastModifiedBy>
  <cp:revision>5</cp:revision>
  <dcterms:created xsi:type="dcterms:W3CDTF">2022-12-13T13:32:00Z</dcterms:created>
  <dcterms:modified xsi:type="dcterms:W3CDTF">2023-03-03T11:36:00Z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45193-57ff-457d-9504-518e9bfb59a9_Enabled">
    <vt:lpwstr>true</vt:lpwstr>
  </property>
  <property fmtid="{D5CDD505-2E9C-101B-9397-08002B2CF9AE}" pid="3" name="MSIP_Label_50945193-57ff-457d-9504-518e9bfb59a9_SetDate">
    <vt:lpwstr>2022-12-13T13:32:38Z</vt:lpwstr>
  </property>
  <property fmtid="{D5CDD505-2E9C-101B-9397-08002B2CF9AE}" pid="4" name="MSIP_Label_50945193-57ff-457d-9504-518e9bfb59a9_Method">
    <vt:lpwstr>Standard</vt:lpwstr>
  </property>
  <property fmtid="{D5CDD505-2E9C-101B-9397-08002B2CF9AE}" pid="5" name="MSIP_Label_50945193-57ff-457d-9504-518e9bfb59a9_Name">
    <vt:lpwstr>ZUT</vt:lpwstr>
  </property>
  <property fmtid="{D5CDD505-2E9C-101B-9397-08002B2CF9AE}" pid="6" name="MSIP_Label_50945193-57ff-457d-9504-518e9bfb59a9_SiteId">
    <vt:lpwstr>0aa66ad4-f98f-4515-b7c9-b60fd37ad027</vt:lpwstr>
  </property>
  <property fmtid="{D5CDD505-2E9C-101B-9397-08002B2CF9AE}" pid="7" name="MSIP_Label_50945193-57ff-457d-9504-518e9bfb59a9_ActionId">
    <vt:lpwstr>feb25cf5-973b-43cb-aad6-5963574db7f9</vt:lpwstr>
  </property>
  <property fmtid="{D5CDD505-2E9C-101B-9397-08002B2CF9AE}" pid="8" name="MSIP_Label_50945193-57ff-457d-9504-518e9bfb59a9_ContentBits">
    <vt:lpwstr>0</vt:lpwstr>
  </property>
</Properties>
</file>