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29AC9" w14:textId="77777777" w:rsidR="00CE4B0D" w:rsidRPr="00502B94" w:rsidRDefault="00CE4B0D" w:rsidP="00CE4B0D">
      <w:pPr>
        <w:tabs>
          <w:tab w:val="left" w:pos="340"/>
          <w:tab w:val="left" w:pos="720"/>
        </w:tabs>
        <w:autoSpaceDE w:val="0"/>
        <w:autoSpaceDN w:val="0"/>
        <w:adjustRightInd w:val="0"/>
        <w:rPr>
          <w:rFonts w:eastAsia="TimesNewRoman"/>
          <w:lang w:eastAsia="pl-PL"/>
        </w:rPr>
      </w:pPr>
      <w:r>
        <w:rPr>
          <w:rFonts w:eastAsia="STIX-Regular"/>
          <w:b/>
          <w:bCs/>
        </w:rPr>
        <w:t>Fig. S</w:t>
      </w:r>
      <w:r w:rsidRPr="00502B94">
        <w:rPr>
          <w:b/>
          <w:bCs/>
        </w:rPr>
        <w:t>2</w:t>
      </w:r>
      <w:r w:rsidRPr="00502B94">
        <w:rPr>
          <w:bCs/>
        </w:rPr>
        <w:t xml:space="preserve"> </w:t>
      </w:r>
      <w:r w:rsidRPr="00502B94">
        <w:t xml:space="preserve">50% majority-rule consensus tree from the Bayesian analysis of </w:t>
      </w:r>
      <w:r w:rsidRPr="00502B94">
        <w:rPr>
          <w:rFonts w:eastAsia="TimesNewRoman"/>
          <w:i/>
          <w:iCs/>
          <w:lang w:eastAsia="pl-PL"/>
        </w:rPr>
        <w:t>RPB1</w:t>
      </w:r>
      <w:r w:rsidRPr="00502B94">
        <w:rPr>
          <w:rFonts w:eastAsia="TimesNewRoman"/>
          <w:lang w:eastAsia="pl-PL"/>
        </w:rPr>
        <w:t xml:space="preserve"> </w:t>
      </w:r>
      <w:r w:rsidRPr="00502B94">
        <w:t xml:space="preserve">sequences of </w:t>
      </w:r>
      <w:r w:rsidRPr="00502B94">
        <w:rPr>
          <w:i/>
          <w:iCs/>
        </w:rPr>
        <w:t>Complexispora multistratosa</w:t>
      </w:r>
      <w:r w:rsidRPr="00502B94">
        <w:rPr>
          <w:rFonts w:eastAsia="TimesNewRoman"/>
          <w:lang w:eastAsia="pl-PL"/>
        </w:rPr>
        <w:t xml:space="preserve">, </w:t>
      </w:r>
      <w:r w:rsidRPr="00502B94">
        <w:rPr>
          <w:i/>
          <w:iCs/>
        </w:rPr>
        <w:t>C. mediterranea</w:t>
      </w:r>
      <w:r w:rsidRPr="00502B94">
        <w:rPr>
          <w:rFonts w:eastAsia="TimesNewRoman"/>
          <w:lang w:eastAsia="pl-PL"/>
        </w:rPr>
        <w:t xml:space="preserve">, </w:t>
      </w:r>
      <w:r w:rsidRPr="00502B94">
        <w:rPr>
          <w:rFonts w:eastAsia="TimesNewRoman"/>
          <w:i/>
          <w:iCs/>
          <w:lang w:eastAsia="pl-PL"/>
        </w:rPr>
        <w:t>Epigeocarpum japonicum</w:t>
      </w:r>
      <w:r w:rsidRPr="00502B94">
        <w:t xml:space="preserve">, 19 other species of 15 genera of </w:t>
      </w:r>
      <w:r w:rsidRPr="002648B4">
        <w:rPr>
          <w:i/>
          <w:iCs/>
        </w:rPr>
        <w:t>Glomeraceae</w:t>
      </w:r>
      <w:r w:rsidRPr="00502B94">
        <w:t xml:space="preserve">, and three </w:t>
      </w:r>
      <w:r w:rsidRPr="00502B94">
        <w:rPr>
          <w:i/>
          <w:iCs/>
        </w:rPr>
        <w:t>Diversispora</w:t>
      </w:r>
      <w:r w:rsidRPr="00502B94">
        <w:t xml:space="preserve"> species (</w:t>
      </w:r>
      <w:r w:rsidRPr="002648B4">
        <w:rPr>
          <w:i/>
          <w:iCs/>
        </w:rPr>
        <w:t>Diversisporaceae</w:t>
      </w:r>
      <w:r w:rsidRPr="00502B94">
        <w:t xml:space="preserve">) serving as outgroup. The three new species are in bold font. </w:t>
      </w:r>
      <w:r w:rsidRPr="00502B94">
        <w:rPr>
          <w:rFonts w:eastAsia="TimesNewRoman"/>
          <w:lang w:eastAsia="pl-PL"/>
        </w:rPr>
        <w:t xml:space="preserve">The Bayesian posterior probabilities ≥0.90 and ML bootstrap values ≥50% are shown near the branches, respectively. Bar indicates </w:t>
      </w:r>
      <w:r w:rsidRPr="00502B94">
        <w:t xml:space="preserve">0.1 </w:t>
      </w:r>
      <w:r w:rsidRPr="00502B94">
        <w:rPr>
          <w:rFonts w:eastAsia="TimesNewRoman"/>
          <w:lang w:eastAsia="pl-PL"/>
        </w:rPr>
        <w:t>expected change per site per branch</w:t>
      </w:r>
    </w:p>
    <w:p w14:paraId="2ACDAC4A" w14:textId="646288AA" w:rsidR="00DB49FC" w:rsidRDefault="006163E8">
      <w:r>
        <w:rPr>
          <w:noProof/>
        </w:rPr>
        <w:drawing>
          <wp:inline distT="0" distB="0" distL="0" distR="0" wp14:anchorId="258D14F7" wp14:editId="6C02B6CF">
            <wp:extent cx="6645910" cy="8194040"/>
            <wp:effectExtent l="0" t="0" r="254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19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B49FC" w:rsidSect="00C329B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389D7D" w14:textId="77777777" w:rsidR="00A9527C" w:rsidRDefault="00A9527C" w:rsidP="00C329B7">
      <w:r>
        <w:separator/>
      </w:r>
    </w:p>
  </w:endnote>
  <w:endnote w:type="continuationSeparator" w:id="0">
    <w:p w14:paraId="5A9BBA6F" w14:textId="77777777" w:rsidR="00A9527C" w:rsidRDefault="00A9527C" w:rsidP="00C32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TIX-Regular">
    <w:panose1 w:val="00000000000000000000"/>
    <w:charset w:val="00"/>
    <w:family w:val="roman"/>
    <w:notTrueType/>
    <w:pitch w:val="default"/>
  </w:font>
  <w:font w:name="TimesNewRoman"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AD48B" w14:textId="77777777" w:rsidR="00A9527C" w:rsidRDefault="00A9527C" w:rsidP="00C329B7">
      <w:r>
        <w:separator/>
      </w:r>
    </w:p>
  </w:footnote>
  <w:footnote w:type="continuationSeparator" w:id="0">
    <w:p w14:paraId="131B23C6" w14:textId="77777777" w:rsidR="00A9527C" w:rsidRDefault="00A9527C" w:rsidP="00C329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9B7"/>
    <w:rsid w:val="006163E8"/>
    <w:rsid w:val="00851CE8"/>
    <w:rsid w:val="00874338"/>
    <w:rsid w:val="00A9527C"/>
    <w:rsid w:val="00C329B7"/>
    <w:rsid w:val="00C508E1"/>
    <w:rsid w:val="00CE4B0D"/>
    <w:rsid w:val="00D14319"/>
    <w:rsid w:val="00DB49FC"/>
    <w:rsid w:val="00F50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212755"/>
  <w15:chartTrackingRefBased/>
  <w15:docId w15:val="{00334E33-34FA-458E-900F-CA33D5224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29B7"/>
    <w:rPr>
      <w:rFonts w:eastAsia="Times New Roman" w:cs="Times New Roman"/>
      <w:szCs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418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 Błaszkowski</dc:creator>
  <cp:keywords/>
  <dc:description/>
  <cp:lastModifiedBy>Janusz Błaszkowski</cp:lastModifiedBy>
  <cp:revision>5</cp:revision>
  <dcterms:created xsi:type="dcterms:W3CDTF">2022-12-13T13:34:00Z</dcterms:created>
  <dcterms:modified xsi:type="dcterms:W3CDTF">2023-03-03T11:37:00Z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45193-57ff-457d-9504-518e9bfb59a9_Enabled">
    <vt:lpwstr>true</vt:lpwstr>
  </property>
  <property fmtid="{D5CDD505-2E9C-101B-9397-08002B2CF9AE}" pid="3" name="MSIP_Label_50945193-57ff-457d-9504-518e9bfb59a9_SetDate">
    <vt:lpwstr>2022-12-13T13:34:01Z</vt:lpwstr>
  </property>
  <property fmtid="{D5CDD505-2E9C-101B-9397-08002B2CF9AE}" pid="4" name="MSIP_Label_50945193-57ff-457d-9504-518e9bfb59a9_Method">
    <vt:lpwstr>Standard</vt:lpwstr>
  </property>
  <property fmtid="{D5CDD505-2E9C-101B-9397-08002B2CF9AE}" pid="5" name="MSIP_Label_50945193-57ff-457d-9504-518e9bfb59a9_Name">
    <vt:lpwstr>ZUT</vt:lpwstr>
  </property>
  <property fmtid="{D5CDD505-2E9C-101B-9397-08002B2CF9AE}" pid="6" name="MSIP_Label_50945193-57ff-457d-9504-518e9bfb59a9_SiteId">
    <vt:lpwstr>0aa66ad4-f98f-4515-b7c9-b60fd37ad027</vt:lpwstr>
  </property>
  <property fmtid="{D5CDD505-2E9C-101B-9397-08002B2CF9AE}" pid="7" name="MSIP_Label_50945193-57ff-457d-9504-518e9bfb59a9_ActionId">
    <vt:lpwstr>fd6bad47-3280-4ab1-969a-f579e8057219</vt:lpwstr>
  </property>
  <property fmtid="{D5CDD505-2E9C-101B-9397-08002B2CF9AE}" pid="8" name="MSIP_Label_50945193-57ff-457d-9504-518e9bfb59a9_ContentBits">
    <vt:lpwstr>0</vt:lpwstr>
  </property>
</Properties>
</file>