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52F79" w14:textId="523B9850" w:rsidR="00132E3A" w:rsidRPr="00CD2E6D" w:rsidRDefault="00132E3A" w:rsidP="00E5632D">
      <w:pPr>
        <w:adjustRightInd w:val="0"/>
        <w:snapToGrid w:val="0"/>
        <w:spacing w:after="120"/>
        <w:jc w:val="both"/>
        <w:rPr>
          <w:rFonts w:ascii="Garamond" w:hAnsi="Garamond" w:cs="Times New Roman"/>
          <w:b/>
          <w:bCs/>
        </w:rPr>
      </w:pPr>
      <w:r w:rsidRPr="00CD2E6D">
        <w:rPr>
          <w:rFonts w:ascii="Garamond" w:hAnsi="Garamond" w:cs="Times New Roman"/>
          <w:b/>
          <w:bCs/>
        </w:rPr>
        <w:t>Appendix</w:t>
      </w:r>
    </w:p>
    <w:p w14:paraId="63DB9AC1" w14:textId="77777777" w:rsidR="00E440E2" w:rsidRDefault="00E440E2" w:rsidP="00E5632D">
      <w:pPr>
        <w:adjustRightInd w:val="0"/>
        <w:snapToGrid w:val="0"/>
        <w:spacing w:after="120"/>
        <w:jc w:val="both"/>
        <w:rPr>
          <w:rFonts w:ascii="Garamond" w:hAnsi="Garamond" w:cs="Times New Roman"/>
        </w:rPr>
      </w:pPr>
    </w:p>
    <w:p w14:paraId="62D35408" w14:textId="77777777" w:rsidR="00B570E1" w:rsidRPr="00285EA7" w:rsidRDefault="00B570E1" w:rsidP="00E5632D">
      <w:pPr>
        <w:adjustRightInd w:val="0"/>
        <w:snapToGrid w:val="0"/>
        <w:spacing w:after="120"/>
        <w:jc w:val="both"/>
        <w:rPr>
          <w:rFonts w:ascii="Garamond" w:hAnsi="Garamond" w:cs="Times New Roman"/>
        </w:rPr>
      </w:pPr>
    </w:p>
    <w:p w14:paraId="4554D617" w14:textId="7BFAF955" w:rsidR="00742C7D" w:rsidRPr="00CD2E6D" w:rsidRDefault="00742C7D" w:rsidP="00E5632D">
      <w:pPr>
        <w:adjustRightInd w:val="0"/>
        <w:snapToGrid w:val="0"/>
        <w:spacing w:after="120"/>
        <w:jc w:val="both"/>
        <w:rPr>
          <w:rFonts w:ascii="Garamond" w:hAnsi="Garamond" w:cs="Times New Roman"/>
        </w:rPr>
      </w:pPr>
      <w:r w:rsidRPr="00CD2E6D">
        <w:rPr>
          <w:rFonts w:ascii="Garamond" w:hAnsi="Garamond" w:cs="Times New Roman"/>
        </w:rPr>
        <w:t>A.1. Formal transparency</w:t>
      </w:r>
    </w:p>
    <w:p w14:paraId="3147F500" w14:textId="648430BD" w:rsidR="000275BA" w:rsidRPr="00CD2E6D" w:rsidRDefault="000275BA" w:rsidP="00E5632D">
      <w:pPr>
        <w:adjustRightInd w:val="0"/>
        <w:snapToGrid w:val="0"/>
        <w:spacing w:after="120"/>
        <w:jc w:val="both"/>
        <w:rPr>
          <w:rFonts w:ascii="Garamond" w:hAnsi="Garamond" w:cs="Times New Roman"/>
        </w:rPr>
      </w:pPr>
      <w:r w:rsidRPr="00CD2E6D">
        <w:rPr>
          <w:rFonts w:ascii="Garamond" w:hAnsi="Garamond" w:cs="Times New Roman"/>
        </w:rPr>
        <w:t xml:space="preserve">A.2. Impact of upcoming elections </w:t>
      </w:r>
      <w:r w:rsidR="00725C89" w:rsidRPr="00CD2E6D">
        <w:rPr>
          <w:rFonts w:ascii="Garamond" w:hAnsi="Garamond" w:cs="Times New Roman"/>
        </w:rPr>
        <w:t>(Hypothesis 2a)</w:t>
      </w:r>
    </w:p>
    <w:p w14:paraId="7272A9F1" w14:textId="0C16FB48" w:rsidR="00E606E0" w:rsidRPr="00CD2E6D" w:rsidRDefault="00E606E0" w:rsidP="00E5632D">
      <w:pPr>
        <w:adjustRightInd w:val="0"/>
        <w:snapToGrid w:val="0"/>
        <w:spacing w:after="120"/>
        <w:jc w:val="both"/>
        <w:rPr>
          <w:rFonts w:ascii="Garamond" w:hAnsi="Garamond" w:cs="Times New Roman"/>
        </w:rPr>
      </w:pPr>
      <w:r w:rsidRPr="00CD2E6D">
        <w:rPr>
          <w:rFonts w:ascii="Garamond" w:hAnsi="Garamond" w:cs="Times New Roman"/>
        </w:rPr>
        <w:t>A.</w:t>
      </w:r>
      <w:r w:rsidR="00FB70C9" w:rsidRPr="00CD2E6D">
        <w:rPr>
          <w:rFonts w:ascii="Garamond" w:hAnsi="Garamond" w:cs="Times New Roman"/>
        </w:rPr>
        <w:t>3</w:t>
      </w:r>
      <w:r w:rsidRPr="00CD2E6D">
        <w:rPr>
          <w:rFonts w:ascii="Garamond" w:hAnsi="Garamond" w:cs="Times New Roman"/>
        </w:rPr>
        <w:t>. Euroscepticism metrics (H2b)</w:t>
      </w:r>
    </w:p>
    <w:p w14:paraId="281FBECF" w14:textId="2DD3E1AD" w:rsidR="00FB70C9" w:rsidRPr="00CD2E6D" w:rsidRDefault="00FB70C9" w:rsidP="00E5632D">
      <w:pPr>
        <w:adjustRightInd w:val="0"/>
        <w:snapToGrid w:val="0"/>
        <w:spacing w:after="120"/>
        <w:jc w:val="both"/>
        <w:rPr>
          <w:rFonts w:ascii="Garamond" w:hAnsi="Garamond" w:cs="Times New Roman"/>
        </w:rPr>
      </w:pPr>
      <w:r w:rsidRPr="00CD2E6D">
        <w:rPr>
          <w:rFonts w:ascii="Garamond" w:hAnsi="Garamond" w:cs="Times New Roman"/>
        </w:rPr>
        <w:t>A.4. Council formations (H2c)</w:t>
      </w:r>
    </w:p>
    <w:p w14:paraId="73376F58" w14:textId="01C7EB29" w:rsidR="000275BA" w:rsidRPr="00CD2E6D" w:rsidRDefault="00F14BE0" w:rsidP="00E5632D">
      <w:pPr>
        <w:adjustRightInd w:val="0"/>
        <w:snapToGrid w:val="0"/>
        <w:spacing w:after="120"/>
        <w:jc w:val="both"/>
        <w:rPr>
          <w:rFonts w:ascii="Garamond" w:hAnsi="Garamond" w:cs="Times New Roman"/>
        </w:rPr>
      </w:pPr>
      <w:r w:rsidRPr="00CD2E6D">
        <w:rPr>
          <w:rFonts w:ascii="Garamond" w:hAnsi="Garamond" w:cs="Times New Roman"/>
        </w:rPr>
        <w:t>A.</w:t>
      </w:r>
      <w:r w:rsidR="00FB0D58" w:rsidRPr="00CD2E6D">
        <w:rPr>
          <w:rFonts w:ascii="Garamond" w:hAnsi="Garamond" w:cs="Times New Roman"/>
        </w:rPr>
        <w:t>5</w:t>
      </w:r>
      <w:r w:rsidRPr="00CD2E6D">
        <w:rPr>
          <w:rFonts w:ascii="Garamond" w:hAnsi="Garamond" w:cs="Times New Roman"/>
        </w:rPr>
        <w:t>. Co</w:t>
      </w:r>
      <w:r w:rsidR="001F4E0C">
        <w:rPr>
          <w:rFonts w:ascii="Garamond" w:hAnsi="Garamond" w:cs="Times New Roman"/>
        </w:rPr>
        <w:t>llinearity</w:t>
      </w:r>
      <w:r w:rsidRPr="00CD2E6D">
        <w:rPr>
          <w:rFonts w:ascii="Garamond" w:hAnsi="Garamond" w:cs="Times New Roman"/>
        </w:rPr>
        <w:t xml:space="preserve"> </w:t>
      </w:r>
      <w:r w:rsidR="003F6E22">
        <w:rPr>
          <w:rFonts w:ascii="Garamond" w:hAnsi="Garamond" w:cs="Times New Roman"/>
        </w:rPr>
        <w:t>test</w:t>
      </w:r>
    </w:p>
    <w:p w14:paraId="4CE225C3" w14:textId="371B3AF2" w:rsidR="00742C7D" w:rsidRPr="00CD2E6D" w:rsidRDefault="00742C7D" w:rsidP="00E5632D">
      <w:pPr>
        <w:adjustRightInd w:val="0"/>
        <w:snapToGrid w:val="0"/>
        <w:spacing w:after="120"/>
        <w:jc w:val="both"/>
        <w:rPr>
          <w:rFonts w:ascii="Garamond" w:hAnsi="Garamond" w:cs="Times New Roman"/>
        </w:rPr>
      </w:pPr>
      <w:r w:rsidRPr="00CD2E6D">
        <w:rPr>
          <w:rFonts w:ascii="Garamond" w:hAnsi="Garamond" w:cs="Times New Roman"/>
        </w:rPr>
        <w:t>A.</w:t>
      </w:r>
      <w:r w:rsidR="00A72516" w:rsidRPr="00CD2E6D">
        <w:rPr>
          <w:rFonts w:ascii="Garamond" w:hAnsi="Garamond" w:cs="Times New Roman"/>
        </w:rPr>
        <w:t>6</w:t>
      </w:r>
      <w:r w:rsidRPr="00CD2E6D">
        <w:rPr>
          <w:rFonts w:ascii="Garamond" w:hAnsi="Garamond" w:cs="Times New Roman"/>
        </w:rPr>
        <w:t>. Transparency culture</w:t>
      </w:r>
    </w:p>
    <w:p w14:paraId="174F2CED" w14:textId="77F16524" w:rsidR="00742C7D" w:rsidRPr="00CD2E6D" w:rsidRDefault="00742C7D" w:rsidP="00E5632D">
      <w:pPr>
        <w:adjustRightInd w:val="0"/>
        <w:snapToGrid w:val="0"/>
        <w:spacing w:after="120"/>
        <w:jc w:val="both"/>
        <w:rPr>
          <w:rFonts w:ascii="Garamond" w:hAnsi="Garamond" w:cs="Times New Roman"/>
        </w:rPr>
      </w:pPr>
      <w:r w:rsidRPr="00CD2E6D">
        <w:rPr>
          <w:rFonts w:ascii="Garamond" w:hAnsi="Garamond" w:cs="Times New Roman"/>
        </w:rPr>
        <w:t>A.</w:t>
      </w:r>
      <w:r w:rsidR="00A72516" w:rsidRPr="00CD2E6D">
        <w:rPr>
          <w:rFonts w:ascii="Garamond" w:hAnsi="Garamond" w:cs="Times New Roman"/>
        </w:rPr>
        <w:t>7</w:t>
      </w:r>
      <w:r w:rsidRPr="00CD2E6D">
        <w:rPr>
          <w:rFonts w:ascii="Garamond" w:hAnsi="Garamond" w:cs="Times New Roman"/>
        </w:rPr>
        <w:t xml:space="preserve">. Regional country allocations </w:t>
      </w:r>
      <w:r w:rsidR="00161A42">
        <w:rPr>
          <w:rFonts w:ascii="Garamond" w:hAnsi="Garamond" w:cs="Times New Roman"/>
        </w:rPr>
        <w:t>(for the Council Presidency control variable)</w:t>
      </w:r>
    </w:p>
    <w:p w14:paraId="3969871D" w14:textId="772E8621" w:rsidR="00742C7D" w:rsidRPr="00CD2E6D" w:rsidRDefault="00CB31DB" w:rsidP="00E5632D">
      <w:pPr>
        <w:adjustRightInd w:val="0"/>
        <w:snapToGrid w:val="0"/>
        <w:spacing w:after="120"/>
        <w:jc w:val="both"/>
        <w:rPr>
          <w:rFonts w:ascii="Garamond" w:hAnsi="Garamond" w:cs="Times New Roman"/>
        </w:rPr>
      </w:pPr>
      <w:r w:rsidRPr="00CD2E6D">
        <w:rPr>
          <w:rFonts w:ascii="Garamond" w:hAnsi="Garamond" w:cs="Times New Roman"/>
        </w:rPr>
        <w:t>A.</w:t>
      </w:r>
      <w:r w:rsidR="002267C7" w:rsidRPr="00CD2E6D">
        <w:rPr>
          <w:rFonts w:ascii="Garamond" w:hAnsi="Garamond" w:cs="Times New Roman"/>
        </w:rPr>
        <w:t>8</w:t>
      </w:r>
      <w:r w:rsidRPr="00CD2E6D">
        <w:rPr>
          <w:rFonts w:ascii="Garamond" w:hAnsi="Garamond" w:cs="Times New Roman"/>
        </w:rPr>
        <w:t>. Agenda items</w:t>
      </w:r>
    </w:p>
    <w:p w14:paraId="202F6D52" w14:textId="5E0EDCB3" w:rsidR="00362BB1" w:rsidRPr="00CD2E6D" w:rsidRDefault="00362BB1" w:rsidP="00E5632D">
      <w:pPr>
        <w:adjustRightInd w:val="0"/>
        <w:snapToGrid w:val="0"/>
        <w:spacing w:after="120"/>
        <w:jc w:val="both"/>
        <w:rPr>
          <w:rFonts w:ascii="Garamond" w:hAnsi="Garamond" w:cs="Times New Roman"/>
        </w:rPr>
      </w:pPr>
      <w:r w:rsidRPr="00CD2E6D">
        <w:rPr>
          <w:rFonts w:ascii="Garamond" w:hAnsi="Garamond" w:cs="Times New Roman"/>
        </w:rPr>
        <w:t>A.9. Time series considerations</w:t>
      </w:r>
    </w:p>
    <w:p w14:paraId="1DEDE132" w14:textId="051EBF57" w:rsidR="00CB31DB" w:rsidRPr="00CD2E6D" w:rsidRDefault="00CB31DB" w:rsidP="00E5632D">
      <w:pPr>
        <w:adjustRightInd w:val="0"/>
        <w:snapToGrid w:val="0"/>
        <w:spacing w:after="120"/>
        <w:jc w:val="both"/>
        <w:rPr>
          <w:rFonts w:ascii="Garamond" w:hAnsi="Garamond" w:cs="Times New Roman"/>
        </w:rPr>
      </w:pPr>
      <w:r w:rsidRPr="00CD2E6D">
        <w:rPr>
          <w:rFonts w:ascii="Garamond" w:hAnsi="Garamond" w:cs="Times New Roman"/>
        </w:rPr>
        <w:t>A.</w:t>
      </w:r>
      <w:r w:rsidR="007E429E" w:rsidRPr="00CD2E6D">
        <w:rPr>
          <w:rFonts w:ascii="Garamond" w:hAnsi="Garamond" w:cs="Times New Roman"/>
        </w:rPr>
        <w:t>10</w:t>
      </w:r>
      <w:r w:rsidRPr="00CD2E6D">
        <w:rPr>
          <w:rFonts w:ascii="Garamond" w:hAnsi="Garamond" w:cs="Times New Roman"/>
        </w:rPr>
        <w:t>. European Parliament</w:t>
      </w:r>
    </w:p>
    <w:p w14:paraId="12E74F66" w14:textId="77777777" w:rsidR="00CB31DB" w:rsidRPr="00CD2E6D" w:rsidRDefault="00CB31DB" w:rsidP="00E5632D">
      <w:pPr>
        <w:adjustRightInd w:val="0"/>
        <w:snapToGrid w:val="0"/>
        <w:spacing w:after="120"/>
        <w:jc w:val="both"/>
        <w:rPr>
          <w:rFonts w:ascii="Garamond" w:hAnsi="Garamond"/>
        </w:rPr>
      </w:pPr>
      <w:r w:rsidRPr="00CD2E6D">
        <w:rPr>
          <w:rFonts w:ascii="Garamond" w:hAnsi="Garamond"/>
        </w:rPr>
        <w:t>A.11 Logistic and zero-inflated Poisson regressions</w:t>
      </w:r>
    </w:p>
    <w:p w14:paraId="6474DBA9" w14:textId="06FF803D" w:rsidR="00CB31DB" w:rsidRPr="00CD2E6D" w:rsidRDefault="00CB31DB" w:rsidP="00E5632D">
      <w:pPr>
        <w:adjustRightInd w:val="0"/>
        <w:snapToGrid w:val="0"/>
        <w:spacing w:after="120"/>
        <w:jc w:val="both"/>
        <w:rPr>
          <w:rFonts w:ascii="Garamond" w:hAnsi="Garamond"/>
        </w:rPr>
      </w:pPr>
      <w:r w:rsidRPr="00CD2E6D">
        <w:rPr>
          <w:rFonts w:ascii="Garamond" w:hAnsi="Garamond"/>
        </w:rPr>
        <w:t>A.12. Semester granularity</w:t>
      </w:r>
    </w:p>
    <w:p w14:paraId="50153EE5" w14:textId="6D577DDC" w:rsidR="00ED17FE" w:rsidRPr="00CD2E6D" w:rsidRDefault="00ED17FE" w:rsidP="00E5632D">
      <w:pPr>
        <w:adjustRightInd w:val="0"/>
        <w:snapToGrid w:val="0"/>
        <w:spacing w:after="120"/>
        <w:jc w:val="both"/>
        <w:rPr>
          <w:rFonts w:ascii="Garamond" w:hAnsi="Garamond" w:cs="Times New Roman"/>
        </w:rPr>
      </w:pPr>
      <w:r w:rsidRPr="00CD2E6D">
        <w:rPr>
          <w:rFonts w:ascii="Garamond" w:hAnsi="Garamond" w:cs="Times New Roman"/>
        </w:rPr>
        <w:t>A.13. Overdispersion tests for the Poisson regressions</w:t>
      </w:r>
    </w:p>
    <w:p w14:paraId="5CBCC865" w14:textId="77777777" w:rsidR="00CB31DB" w:rsidRPr="00CD2E6D" w:rsidRDefault="00CB31DB" w:rsidP="00E5632D">
      <w:pPr>
        <w:adjustRightInd w:val="0"/>
        <w:snapToGrid w:val="0"/>
        <w:spacing w:after="120"/>
        <w:jc w:val="both"/>
        <w:rPr>
          <w:rFonts w:ascii="Garamond" w:hAnsi="Garamond"/>
        </w:rPr>
      </w:pPr>
      <w:r w:rsidRPr="00CD2E6D">
        <w:rPr>
          <w:rFonts w:ascii="Garamond" w:hAnsi="Garamond"/>
        </w:rPr>
        <w:t>A.14. Interrupted time series</w:t>
      </w:r>
    </w:p>
    <w:p w14:paraId="009AECDB" w14:textId="77777777" w:rsidR="00CB31DB" w:rsidRPr="00CD2E6D" w:rsidRDefault="2710CE82" w:rsidP="00E5632D">
      <w:pPr>
        <w:adjustRightInd w:val="0"/>
        <w:snapToGrid w:val="0"/>
        <w:spacing w:after="120"/>
        <w:jc w:val="both"/>
        <w:rPr>
          <w:rFonts w:ascii="Garamond" w:hAnsi="Garamond" w:cs="Times New Roman"/>
        </w:rPr>
      </w:pPr>
      <w:r w:rsidRPr="04AF3EF3">
        <w:rPr>
          <w:rFonts w:ascii="Garamond" w:hAnsi="Garamond" w:cs="Times New Roman"/>
        </w:rPr>
        <w:t>A.15. Single transparency variable</w:t>
      </w:r>
    </w:p>
    <w:p w14:paraId="40FA0BF6" w14:textId="7793B899" w:rsidR="5D3BD01F" w:rsidRDefault="5D3BD01F" w:rsidP="04AF3EF3">
      <w:pPr>
        <w:spacing w:after="120"/>
        <w:jc w:val="both"/>
        <w:rPr>
          <w:rFonts w:ascii="Garamond" w:hAnsi="Garamond" w:cs="Times New Roman"/>
        </w:rPr>
      </w:pPr>
      <w:r w:rsidRPr="04AF3EF3">
        <w:rPr>
          <w:rFonts w:ascii="Garamond" w:hAnsi="Garamond" w:cs="Times New Roman"/>
        </w:rPr>
        <w:t>A.16. Financial crisis</w:t>
      </w:r>
    </w:p>
    <w:p w14:paraId="4925C66C" w14:textId="77777777" w:rsidR="00CB31DB" w:rsidRPr="00CD2E6D" w:rsidRDefault="00CB31DB" w:rsidP="00E5632D">
      <w:pPr>
        <w:adjustRightInd w:val="0"/>
        <w:snapToGrid w:val="0"/>
        <w:spacing w:after="120"/>
        <w:jc w:val="both"/>
        <w:rPr>
          <w:rFonts w:ascii="Garamond" w:hAnsi="Garamond"/>
        </w:rPr>
      </w:pPr>
    </w:p>
    <w:p w14:paraId="618294DF" w14:textId="77777777" w:rsidR="00CB31DB" w:rsidRPr="00CD2E6D" w:rsidRDefault="00CB31DB" w:rsidP="00E5632D">
      <w:pPr>
        <w:adjustRightInd w:val="0"/>
        <w:snapToGrid w:val="0"/>
        <w:spacing w:after="120"/>
        <w:jc w:val="both"/>
        <w:rPr>
          <w:rFonts w:ascii="Garamond" w:hAnsi="Garamond"/>
        </w:rPr>
      </w:pPr>
    </w:p>
    <w:p w14:paraId="6C6B3526" w14:textId="77777777" w:rsidR="00CB31DB" w:rsidRPr="00CD2E6D" w:rsidRDefault="00CB31DB" w:rsidP="00E5632D">
      <w:pPr>
        <w:adjustRightInd w:val="0"/>
        <w:snapToGrid w:val="0"/>
        <w:spacing w:after="120"/>
        <w:jc w:val="both"/>
        <w:rPr>
          <w:rFonts w:ascii="Garamond" w:hAnsi="Garamond"/>
        </w:rPr>
      </w:pPr>
    </w:p>
    <w:p w14:paraId="367F11E5" w14:textId="77777777" w:rsidR="00CB31DB" w:rsidRPr="00CD2E6D" w:rsidRDefault="00CB31DB" w:rsidP="00E5632D">
      <w:pPr>
        <w:adjustRightInd w:val="0"/>
        <w:snapToGrid w:val="0"/>
        <w:spacing w:after="120"/>
        <w:jc w:val="both"/>
        <w:rPr>
          <w:rFonts w:ascii="Garamond" w:hAnsi="Garamond" w:cs="Times New Roman"/>
        </w:rPr>
      </w:pPr>
    </w:p>
    <w:p w14:paraId="33915A72" w14:textId="77777777" w:rsidR="00742C7D" w:rsidRPr="00CD2E6D" w:rsidRDefault="00742C7D" w:rsidP="00E5632D">
      <w:pPr>
        <w:adjustRightInd w:val="0"/>
        <w:snapToGrid w:val="0"/>
        <w:spacing w:after="120"/>
        <w:jc w:val="both"/>
        <w:rPr>
          <w:rFonts w:ascii="Garamond" w:hAnsi="Garamond" w:cs="Times New Roman"/>
        </w:rPr>
      </w:pPr>
    </w:p>
    <w:p w14:paraId="346B136D" w14:textId="77777777" w:rsidR="00742C7D" w:rsidRPr="00CD2E6D" w:rsidRDefault="00742C7D" w:rsidP="00E5632D">
      <w:pPr>
        <w:adjustRightInd w:val="0"/>
        <w:snapToGrid w:val="0"/>
        <w:spacing w:after="120"/>
        <w:jc w:val="both"/>
        <w:rPr>
          <w:rFonts w:ascii="Garamond" w:hAnsi="Garamond" w:cs="Times New Roman"/>
        </w:rPr>
      </w:pPr>
    </w:p>
    <w:p w14:paraId="6163A7C3" w14:textId="77777777" w:rsidR="00D41429" w:rsidRDefault="00D41429" w:rsidP="00B570E1">
      <w:pPr>
        <w:adjustRightInd w:val="0"/>
        <w:snapToGrid w:val="0"/>
        <w:spacing w:after="120"/>
        <w:jc w:val="both"/>
        <w:rPr>
          <w:rFonts w:ascii="Garamond" w:hAnsi="Garamond" w:cs="Times New Roman"/>
        </w:rPr>
      </w:pPr>
      <w:r>
        <w:rPr>
          <w:rFonts w:ascii="Garamond" w:hAnsi="Garamond" w:cs="Times New Roman"/>
        </w:rPr>
        <w:br w:type="page"/>
      </w:r>
    </w:p>
    <w:p w14:paraId="46D2C933" w14:textId="24BB4DDE" w:rsidR="00673F3D" w:rsidRPr="00B570E1" w:rsidRDefault="00673F3D" w:rsidP="00E5632D">
      <w:pPr>
        <w:adjustRightInd w:val="0"/>
        <w:snapToGrid w:val="0"/>
        <w:spacing w:after="120"/>
        <w:jc w:val="both"/>
        <w:rPr>
          <w:rFonts w:ascii="Garamond" w:hAnsi="Garamond" w:cs="Times New Roman"/>
          <w:b/>
          <w:bCs/>
        </w:rPr>
      </w:pPr>
      <w:r w:rsidRPr="00B570E1">
        <w:rPr>
          <w:rFonts w:ascii="Garamond" w:hAnsi="Garamond" w:cs="Times New Roman"/>
          <w:b/>
          <w:bCs/>
        </w:rPr>
        <w:lastRenderedPageBreak/>
        <w:t xml:space="preserve">A.1. </w:t>
      </w:r>
      <w:r w:rsidR="00974418" w:rsidRPr="00B570E1">
        <w:rPr>
          <w:rFonts w:ascii="Garamond" w:hAnsi="Garamond" w:cs="Times New Roman"/>
          <w:b/>
          <w:bCs/>
        </w:rPr>
        <w:t xml:space="preserve">Formal </w:t>
      </w:r>
      <w:r w:rsidR="00742C7D" w:rsidRPr="00B570E1">
        <w:rPr>
          <w:rFonts w:ascii="Garamond" w:hAnsi="Garamond" w:cs="Times New Roman"/>
          <w:b/>
          <w:bCs/>
        </w:rPr>
        <w:t>t</w:t>
      </w:r>
      <w:r w:rsidR="00974418" w:rsidRPr="00B570E1">
        <w:rPr>
          <w:rFonts w:ascii="Garamond" w:hAnsi="Garamond" w:cs="Times New Roman"/>
          <w:b/>
          <w:bCs/>
        </w:rPr>
        <w:t>ransparency</w:t>
      </w:r>
    </w:p>
    <w:p w14:paraId="16E78341" w14:textId="77777777" w:rsidR="00947F39" w:rsidRPr="00CD2E6D" w:rsidRDefault="00947F39" w:rsidP="00E5632D">
      <w:pPr>
        <w:adjustRightInd w:val="0"/>
        <w:snapToGrid w:val="0"/>
        <w:spacing w:after="120"/>
        <w:jc w:val="both"/>
        <w:rPr>
          <w:rFonts w:ascii="Garamond" w:hAnsi="Garamond" w:cs="Times New Roman"/>
        </w:rPr>
      </w:pPr>
    </w:p>
    <w:p w14:paraId="2C31955E" w14:textId="7A6A9504" w:rsidR="00673F3D" w:rsidRPr="00CD2E6D" w:rsidRDefault="00673F3D" w:rsidP="00E5632D">
      <w:pPr>
        <w:adjustRightInd w:val="0"/>
        <w:snapToGrid w:val="0"/>
        <w:spacing w:after="120"/>
        <w:jc w:val="both"/>
        <w:rPr>
          <w:rFonts w:ascii="Garamond" w:hAnsi="Garamond" w:cs="Arial"/>
        </w:rPr>
      </w:pPr>
      <w:r w:rsidRPr="00CD2E6D">
        <w:rPr>
          <w:rFonts w:ascii="Garamond" w:eastAsia="Times New Roman" w:hAnsi="Garamond" w:cs="Arial"/>
          <w:color w:val="212121"/>
        </w:rPr>
        <w:t xml:space="preserve">The formal transparency measure is based on changes in formal transparency rules (reviewed in article section 3) that obligated the Council to publish documents (e.g., minutes) and livestream meetings. These formal changes are the 1995 Guardian judgment, the 2001 Council transparency regulation, and the 2009 Lisbon Treaty. Accordingly, </w:t>
      </w:r>
      <w:r w:rsidRPr="00CD2E6D">
        <w:rPr>
          <w:rFonts w:ascii="Garamond" w:hAnsi="Garamond" w:cs="Arial"/>
        </w:rPr>
        <w:t>the measure is a cardinal variable with a value of 1 from 1990 to 19 October 1995, a value of 2 until 30 May 2001, 3 until 1 December 2009, and 4 after that. Separately, we also modeled these effects using three discrete binary treatments (i.e., as interrupted time series), one for each of the transparency changes (see A</w:t>
      </w:r>
      <w:r w:rsidR="008F5B99" w:rsidRPr="00CD2E6D">
        <w:rPr>
          <w:rFonts w:ascii="Garamond" w:hAnsi="Garamond" w:cs="Arial"/>
        </w:rPr>
        <w:t>.14.</w:t>
      </w:r>
      <w:r w:rsidRPr="00CD2E6D">
        <w:rPr>
          <w:rFonts w:ascii="Garamond" w:hAnsi="Garamond" w:cs="Arial"/>
        </w:rPr>
        <w:t>)</w:t>
      </w:r>
      <w:r w:rsidR="00E13C95" w:rsidRPr="00CD2E6D">
        <w:rPr>
          <w:rFonts w:ascii="Garamond" w:hAnsi="Garamond" w:cs="Arial"/>
        </w:rPr>
        <w:t>.</w:t>
      </w:r>
    </w:p>
    <w:p w14:paraId="31273969" w14:textId="0CEFA445" w:rsidR="00ED6F87" w:rsidRPr="00CD2E6D" w:rsidRDefault="00673F3D" w:rsidP="00E5632D">
      <w:pPr>
        <w:adjustRightInd w:val="0"/>
        <w:snapToGrid w:val="0"/>
        <w:spacing w:after="120"/>
        <w:jc w:val="both"/>
        <w:rPr>
          <w:rFonts w:ascii="Garamond" w:eastAsia="Times New Roman" w:hAnsi="Garamond" w:cs="Arial"/>
          <w:color w:val="212121"/>
        </w:rPr>
      </w:pPr>
      <w:r w:rsidRPr="00CD2E6D">
        <w:rPr>
          <w:rFonts w:ascii="Garamond" w:hAnsi="Garamond" w:cs="Arial"/>
        </w:rPr>
        <w:t xml:space="preserve">In addition to these important legal changes, the Council also voluntarily committed to greater transparency. </w:t>
      </w:r>
      <w:r w:rsidR="00AB664B" w:rsidRPr="00CD2E6D">
        <w:rPr>
          <w:rFonts w:ascii="Garamond" w:hAnsi="Garamond" w:cs="Arial"/>
        </w:rPr>
        <w:t xml:space="preserve">Among these </w:t>
      </w:r>
      <w:r w:rsidR="00EA710C" w:rsidRPr="00CD2E6D">
        <w:rPr>
          <w:rFonts w:ascii="Garamond" w:hAnsi="Garamond" w:cs="Arial"/>
        </w:rPr>
        <w:t>pledges</w:t>
      </w:r>
      <w:r w:rsidR="00AB664B" w:rsidRPr="00CD2E6D">
        <w:rPr>
          <w:rFonts w:ascii="Garamond" w:hAnsi="Garamond" w:cs="Arial"/>
        </w:rPr>
        <w:t xml:space="preserve">, the </w:t>
      </w:r>
      <w:r w:rsidRPr="00CD2E6D">
        <w:rPr>
          <w:rFonts w:ascii="Garamond" w:hAnsi="Garamond" w:cs="Arial"/>
        </w:rPr>
        <w:t>2006 “Overall Policy on Transparency” committed the Council to holding more public debates on legislative items</w:t>
      </w:r>
      <w:r w:rsidR="00D33502">
        <w:rPr>
          <w:rFonts w:ascii="Garamond" w:hAnsi="Garamond" w:cs="Arial"/>
        </w:rPr>
        <w:t>.</w:t>
      </w:r>
      <w:r w:rsidR="009864C2">
        <w:rPr>
          <w:rFonts w:ascii="Garamond" w:hAnsi="Garamond"/>
        </w:rPr>
        <w:t xml:space="preserve"> </w:t>
      </w:r>
      <w:r w:rsidR="00ED6F87" w:rsidRPr="00CD2E6D">
        <w:rPr>
          <w:rFonts w:ascii="Garamond" w:hAnsi="Garamond"/>
        </w:rPr>
        <w:t xml:space="preserve">To </w:t>
      </w:r>
      <w:r w:rsidRPr="00CD2E6D">
        <w:rPr>
          <w:rFonts w:ascii="Garamond" w:hAnsi="Garamond"/>
        </w:rPr>
        <w:t xml:space="preserve">evaluate the significance of this </w:t>
      </w:r>
      <w:r w:rsidR="00F03B0F">
        <w:rPr>
          <w:rFonts w:ascii="Garamond" w:hAnsi="Garamond"/>
        </w:rPr>
        <w:t>policy</w:t>
      </w:r>
      <w:r w:rsidR="00ED6F87" w:rsidRPr="00CD2E6D">
        <w:rPr>
          <w:rFonts w:ascii="Garamond" w:hAnsi="Garamond"/>
        </w:rPr>
        <w:t xml:space="preserve">, </w:t>
      </w:r>
      <w:r w:rsidR="00ED6F87" w:rsidRPr="00CD2E6D">
        <w:rPr>
          <w:rFonts w:ascii="Garamond" w:eastAsia="Times New Roman" w:hAnsi="Garamond" w:cs="Arial"/>
          <w:color w:val="212121"/>
        </w:rPr>
        <w:t>we first constructed versions of our models in which the original formal transparency indicator was replaced with an enhanced indicator containing an additional transparency increment in June 2006 (the date of the relevant European Council meeting)</w:t>
      </w:r>
      <w:r w:rsidR="176AF06B" w:rsidRPr="00CD2E6D">
        <w:rPr>
          <w:rFonts w:ascii="Garamond" w:eastAsia="Times New Roman" w:hAnsi="Garamond" w:cs="Arial"/>
          <w:color w:val="212121"/>
        </w:rPr>
        <w:t xml:space="preserve">. </w:t>
      </w:r>
      <w:r w:rsidR="00ED6F87" w:rsidRPr="00CD2E6D">
        <w:rPr>
          <w:rFonts w:ascii="Garamond" w:eastAsia="Times New Roman" w:hAnsi="Garamond" w:cs="Arial"/>
          <w:color w:val="212121"/>
        </w:rPr>
        <w:t>The statistical significance of this new indicator was no worse than that of our original independent variable, but nor was it better (</w:t>
      </w:r>
      <w:r w:rsidR="00ED6F87" w:rsidRPr="764C7FBC">
        <w:rPr>
          <w:rFonts w:ascii="Garamond" w:eastAsia="Times New Roman" w:hAnsi="Garamond" w:cs="Arial"/>
          <w:i/>
          <w:iCs/>
          <w:color w:val="212121"/>
        </w:rPr>
        <w:t>p</w:t>
      </w:r>
      <w:r w:rsidR="00ED6F87" w:rsidRPr="00CD2E6D">
        <w:rPr>
          <w:rFonts w:ascii="Garamond" w:eastAsia="Times New Roman" w:hAnsi="Garamond" w:cs="Arial"/>
          <w:color w:val="212121"/>
        </w:rPr>
        <w:t xml:space="preserve"> &lt; 0.001 in both cases)</w:t>
      </w:r>
      <w:r w:rsidR="28739754" w:rsidRPr="00CD2E6D">
        <w:rPr>
          <w:rFonts w:ascii="Garamond" w:eastAsia="Times New Roman" w:hAnsi="Garamond" w:cs="Arial"/>
          <w:color w:val="212121"/>
        </w:rPr>
        <w:t xml:space="preserve">. </w:t>
      </w:r>
      <w:bookmarkStart w:id="0" w:name="_Int_pQAKmvPp"/>
      <w:r w:rsidR="00ED6F87" w:rsidRPr="00CD2E6D">
        <w:rPr>
          <w:rFonts w:ascii="Garamond" w:eastAsia="Times New Roman" w:hAnsi="Garamond" w:cs="Arial"/>
          <w:color w:val="212121"/>
        </w:rPr>
        <w:t>Similar results</w:t>
      </w:r>
      <w:bookmarkEnd w:id="0"/>
      <w:r w:rsidR="00ED6F87" w:rsidRPr="00CD2E6D">
        <w:rPr>
          <w:rFonts w:ascii="Garamond" w:eastAsia="Times New Roman" w:hAnsi="Garamond" w:cs="Arial"/>
          <w:color w:val="212121"/>
        </w:rPr>
        <w:t xml:space="preserve"> were observed when the revised transparency metric was substituted into models 2 and 3 – with one notable exception: the strength and significance of our de facto transparency measure (reflecting the number of delegations in attendance) decreased when regressed alongside the 2006-inclusive indicator. </w:t>
      </w:r>
      <w:r w:rsidR="004A215E">
        <w:rPr>
          <w:rFonts w:ascii="Garamond" w:eastAsia="Times New Roman" w:hAnsi="Garamond" w:cs="Arial"/>
          <w:color w:val="212121"/>
        </w:rPr>
        <w:t>In a separate test</w:t>
      </w:r>
      <w:r w:rsidR="00ED6F87" w:rsidRPr="00CD2E6D">
        <w:rPr>
          <w:rFonts w:ascii="Garamond" w:eastAsia="Times New Roman" w:hAnsi="Garamond" w:cs="Arial"/>
          <w:color w:val="212121"/>
        </w:rPr>
        <w:t xml:space="preserve">, we employed a binary variable </w:t>
      </w:r>
      <w:r w:rsidR="004A215E">
        <w:rPr>
          <w:rFonts w:ascii="Garamond" w:eastAsia="Times New Roman" w:hAnsi="Garamond" w:cs="Arial"/>
          <w:color w:val="212121"/>
        </w:rPr>
        <w:t>(</w:t>
      </w:r>
      <w:r w:rsidR="00ED6F87" w:rsidRPr="00CD2E6D">
        <w:rPr>
          <w:rFonts w:ascii="Garamond" w:eastAsia="Times New Roman" w:hAnsi="Garamond" w:cs="Arial"/>
          <w:color w:val="212121"/>
        </w:rPr>
        <w:t xml:space="preserve">alongside </w:t>
      </w:r>
      <w:r w:rsidR="004A215E">
        <w:rPr>
          <w:rFonts w:ascii="Garamond" w:eastAsia="Times New Roman" w:hAnsi="Garamond" w:cs="Arial"/>
          <w:color w:val="212121"/>
        </w:rPr>
        <w:t>the original formal transparency measure)</w:t>
      </w:r>
      <w:r w:rsidR="00ED6F87" w:rsidRPr="00CD2E6D">
        <w:rPr>
          <w:rFonts w:ascii="Garamond" w:eastAsia="Times New Roman" w:hAnsi="Garamond" w:cs="Arial"/>
          <w:color w:val="212121"/>
        </w:rPr>
        <w:t xml:space="preserve"> corresponding to the 2006 guidance</w:t>
      </w:r>
      <w:r w:rsidR="208F21E8" w:rsidRPr="00CD2E6D">
        <w:rPr>
          <w:rFonts w:ascii="Garamond" w:eastAsia="Times New Roman" w:hAnsi="Garamond" w:cs="Arial"/>
          <w:color w:val="212121"/>
        </w:rPr>
        <w:t xml:space="preserve">. </w:t>
      </w:r>
      <w:r w:rsidR="00ED6F87" w:rsidRPr="00CD2E6D">
        <w:rPr>
          <w:rFonts w:ascii="Garamond" w:eastAsia="Times New Roman" w:hAnsi="Garamond" w:cs="Arial"/>
          <w:color w:val="212121"/>
        </w:rPr>
        <w:t xml:space="preserve">This variable fared less well; when included alongside either or </w:t>
      </w:r>
      <w:bookmarkStart w:id="1" w:name="_Int_aM8eESNh"/>
      <w:r w:rsidR="00ED6F87" w:rsidRPr="00CD2E6D">
        <w:rPr>
          <w:rFonts w:ascii="Garamond" w:eastAsia="Times New Roman" w:hAnsi="Garamond" w:cs="Arial"/>
          <w:color w:val="212121"/>
        </w:rPr>
        <w:t>both of the original</w:t>
      </w:r>
      <w:bookmarkEnd w:id="1"/>
      <w:r w:rsidR="00ED6F87" w:rsidRPr="00CD2E6D">
        <w:rPr>
          <w:rFonts w:ascii="Garamond" w:eastAsia="Times New Roman" w:hAnsi="Garamond" w:cs="Arial"/>
          <w:color w:val="212121"/>
        </w:rPr>
        <w:t xml:space="preserve"> transparency variables (formal and/or de facto) the model preferred the original(s), and the significance of the new indicator ranged from </w:t>
      </w:r>
      <w:r w:rsidR="00ED6F87" w:rsidRPr="764C7FBC">
        <w:rPr>
          <w:rFonts w:ascii="Garamond" w:eastAsia="Times New Roman" w:hAnsi="Garamond" w:cs="Arial"/>
          <w:i/>
          <w:iCs/>
          <w:color w:val="212121"/>
        </w:rPr>
        <w:t>p</w:t>
      </w:r>
      <w:r w:rsidR="00ED6F87" w:rsidRPr="00CD2E6D">
        <w:rPr>
          <w:rFonts w:ascii="Garamond" w:eastAsia="Times New Roman" w:hAnsi="Garamond" w:cs="Arial"/>
          <w:color w:val="212121"/>
        </w:rPr>
        <w:t xml:space="preserve"> = 0.24 to 0.90.  </w:t>
      </w:r>
    </w:p>
    <w:p w14:paraId="1C59DBD2" w14:textId="410EC993" w:rsidR="00382CA0" w:rsidRPr="00B570E1" w:rsidRDefault="37298A3A" w:rsidP="00E5632D">
      <w:pPr>
        <w:adjustRightInd w:val="0"/>
        <w:snapToGrid w:val="0"/>
        <w:spacing w:after="120"/>
        <w:jc w:val="both"/>
        <w:rPr>
          <w:rFonts w:ascii="Garamond" w:hAnsi="Garamond" w:cs="Times New Roman"/>
          <w:b/>
          <w:bCs/>
        </w:rPr>
      </w:pPr>
      <w:r>
        <w:rPr>
          <w:rFonts w:ascii="Garamond" w:eastAsia="Times New Roman" w:hAnsi="Garamond" w:cs="Arial"/>
          <w:color w:val="212121"/>
        </w:rPr>
        <w:t xml:space="preserve">These </w:t>
      </w:r>
      <w:r w:rsidR="4C143CA3">
        <w:rPr>
          <w:rFonts w:ascii="Garamond" w:eastAsia="Times New Roman" w:hAnsi="Garamond" w:cs="Arial"/>
          <w:color w:val="212121"/>
        </w:rPr>
        <w:t xml:space="preserve">null </w:t>
      </w:r>
      <w:r>
        <w:rPr>
          <w:rFonts w:ascii="Garamond" w:eastAsia="Times New Roman" w:hAnsi="Garamond" w:cs="Arial"/>
          <w:color w:val="212121"/>
        </w:rPr>
        <w:t>results are unsurprising</w:t>
      </w:r>
      <w:r w:rsidR="4C143CA3">
        <w:rPr>
          <w:rFonts w:ascii="Garamond" w:eastAsia="Times New Roman" w:hAnsi="Garamond" w:cs="Arial"/>
          <w:color w:val="212121"/>
        </w:rPr>
        <w:t xml:space="preserve"> </w:t>
      </w:r>
      <w:r w:rsidR="56325981">
        <w:rPr>
          <w:rFonts w:ascii="Garamond" w:eastAsia="Times New Roman" w:hAnsi="Garamond" w:cs="Arial"/>
          <w:color w:val="212121"/>
        </w:rPr>
        <w:t xml:space="preserve">given the context of the policy. </w:t>
      </w:r>
      <w:r w:rsidR="54D14446" w:rsidRPr="00EA1F42">
        <w:rPr>
          <w:rFonts w:ascii="Garamond" w:eastAsia="Times New Roman" w:hAnsi="Garamond" w:cs="Times New Roman"/>
          <w:color w:val="212121"/>
        </w:rPr>
        <w:t>The Council’s 2006 rules of procedure grant broad discretion regarding the public accessibility of legislative debates, st</w:t>
      </w:r>
      <w:r w:rsidR="198E5632">
        <w:rPr>
          <w:rFonts w:ascii="Garamond" w:eastAsia="Times New Roman" w:hAnsi="Garamond" w:cs="Times New Roman"/>
          <w:color w:val="212121"/>
        </w:rPr>
        <w:t>ipulating</w:t>
      </w:r>
      <w:r w:rsidR="54D14446" w:rsidRPr="00EA1F42">
        <w:rPr>
          <w:rFonts w:ascii="Garamond" w:eastAsia="Times New Roman" w:hAnsi="Garamond" w:cs="Times New Roman"/>
          <w:color w:val="212121"/>
        </w:rPr>
        <w:t xml:space="preserve"> that legislative debates should be open “unless, on a case-by-case basis, the Council or </w:t>
      </w:r>
      <w:proofErr w:type="spellStart"/>
      <w:r w:rsidR="54D14446" w:rsidRPr="00EA1F42">
        <w:rPr>
          <w:rFonts w:ascii="Garamond" w:eastAsia="Times New Roman" w:hAnsi="Garamond" w:cs="Times New Roman"/>
          <w:color w:val="212121"/>
        </w:rPr>
        <w:t>Coreper</w:t>
      </w:r>
      <w:proofErr w:type="spellEnd"/>
      <w:r w:rsidR="54D14446" w:rsidRPr="00EA1F42">
        <w:rPr>
          <w:rFonts w:ascii="Garamond" w:eastAsia="Times New Roman" w:hAnsi="Garamond" w:cs="Times New Roman"/>
          <w:color w:val="212121"/>
        </w:rPr>
        <w:t xml:space="preserve"> decides otherwise” (Art. 8; Paragraph 1c). Our qualitative research</w:t>
      </w:r>
      <w:r w:rsidR="5B72D42C">
        <w:rPr>
          <w:rFonts w:ascii="Garamond" w:eastAsia="Times New Roman" w:hAnsi="Garamond" w:cs="Times New Roman"/>
          <w:color w:val="212121"/>
        </w:rPr>
        <w:t xml:space="preserve"> </w:t>
      </w:r>
      <w:r w:rsidR="54D14446" w:rsidRPr="00EA1F42">
        <w:rPr>
          <w:rFonts w:ascii="Garamond" w:eastAsia="Times New Roman" w:hAnsi="Garamond" w:cs="Times New Roman"/>
          <w:color w:val="212121"/>
        </w:rPr>
        <w:t xml:space="preserve">confirms that the Council made ample use of </w:t>
      </w:r>
      <w:r w:rsidR="54D14446">
        <w:rPr>
          <w:rFonts w:ascii="Garamond" w:eastAsia="Times New Roman" w:hAnsi="Garamond" w:cs="Times New Roman"/>
          <w:color w:val="212121"/>
        </w:rPr>
        <w:t>this</w:t>
      </w:r>
      <w:r w:rsidR="54D14446" w:rsidRPr="00EA1F42">
        <w:rPr>
          <w:rFonts w:ascii="Garamond" w:eastAsia="Times New Roman" w:hAnsi="Garamond" w:cs="Times New Roman"/>
          <w:color w:val="212121"/>
        </w:rPr>
        <w:t xml:space="preserve"> discretion. Only fifty percent of all legislative debates </w:t>
      </w:r>
      <w:r w:rsidR="54D14446">
        <w:rPr>
          <w:rFonts w:ascii="Garamond" w:eastAsia="Times New Roman" w:hAnsi="Garamond" w:cs="Times New Roman"/>
          <w:color w:val="212121"/>
        </w:rPr>
        <w:t xml:space="preserve">that were supposed to be open per “2006 policy” </w:t>
      </w:r>
      <w:r w:rsidR="54D14446" w:rsidRPr="00EA1F42">
        <w:rPr>
          <w:rFonts w:ascii="Garamond" w:eastAsia="Times New Roman" w:hAnsi="Garamond" w:cs="Times New Roman"/>
          <w:color w:val="212121"/>
        </w:rPr>
        <w:t xml:space="preserve">were indeed </w:t>
      </w:r>
      <w:r w:rsidR="54D14446">
        <w:rPr>
          <w:rFonts w:ascii="Garamond" w:eastAsia="Times New Roman" w:hAnsi="Garamond" w:cs="Times New Roman"/>
          <w:color w:val="212121"/>
        </w:rPr>
        <w:t>made</w:t>
      </w:r>
      <w:r w:rsidR="54D14446" w:rsidRPr="00EA1F42">
        <w:rPr>
          <w:rFonts w:ascii="Garamond" w:eastAsia="Times New Roman" w:hAnsi="Garamond" w:cs="Times New Roman"/>
          <w:color w:val="212121"/>
        </w:rPr>
        <w:t xml:space="preserve"> public.</w:t>
      </w:r>
      <w:r w:rsidR="00925D8E" w:rsidRPr="00CD2E6D">
        <w:rPr>
          <w:rStyle w:val="FootnoteReference"/>
          <w:rFonts w:ascii="Garamond" w:eastAsia="Times New Roman" w:hAnsi="Garamond" w:cs="Arial"/>
          <w:color w:val="212121"/>
        </w:rPr>
        <w:footnoteReference w:id="2"/>
      </w:r>
      <w:r w:rsidR="54D14446" w:rsidRPr="00EA1F42">
        <w:rPr>
          <w:rFonts w:ascii="Garamond" w:eastAsia="Times New Roman" w:hAnsi="Garamond" w:cs="Times New Roman"/>
          <w:color w:val="212121"/>
        </w:rPr>
        <w:t xml:space="preserve"> This selective approach suggests</w:t>
      </w:r>
      <w:r w:rsidR="54D14446">
        <w:rPr>
          <w:rFonts w:ascii="Garamond" w:eastAsia="Times New Roman" w:hAnsi="Garamond" w:cs="Times New Roman"/>
          <w:color w:val="212121"/>
        </w:rPr>
        <w:t xml:space="preserve"> </w:t>
      </w:r>
      <w:r w:rsidR="54D14446" w:rsidRPr="00EA1F42">
        <w:rPr>
          <w:rFonts w:ascii="Garamond" w:eastAsia="Times New Roman" w:hAnsi="Garamond" w:cs="Times New Roman"/>
          <w:color w:val="212121"/>
        </w:rPr>
        <w:t>that legislative debates remained closed on sensitive matters and</w:t>
      </w:r>
      <w:r w:rsidR="213E5EB4">
        <w:rPr>
          <w:rFonts w:ascii="Garamond" w:eastAsia="Times New Roman" w:hAnsi="Garamond" w:cs="Times New Roman"/>
          <w:color w:val="212121"/>
        </w:rPr>
        <w:t xml:space="preserve"> </w:t>
      </w:r>
      <w:r w:rsidR="54D14446" w:rsidRPr="00EA1F42">
        <w:rPr>
          <w:rFonts w:ascii="Garamond" w:eastAsia="Times New Roman" w:hAnsi="Garamond" w:cs="Times New Roman"/>
          <w:color w:val="212121"/>
        </w:rPr>
        <w:t xml:space="preserve">generated minimal impact on </w:t>
      </w:r>
      <w:r w:rsidR="54D14446">
        <w:rPr>
          <w:rFonts w:ascii="Garamond" w:eastAsia="Times New Roman" w:hAnsi="Garamond" w:cs="Times New Roman"/>
          <w:color w:val="212121"/>
        </w:rPr>
        <w:t>government</w:t>
      </w:r>
      <w:r w:rsidR="00BD5EF2">
        <w:rPr>
          <w:rFonts w:ascii="Garamond" w:eastAsia="Times New Roman" w:hAnsi="Garamond" w:cs="Times New Roman"/>
          <w:color w:val="212121"/>
        </w:rPr>
        <w:t>al</w:t>
      </w:r>
      <w:r w:rsidR="54D14446">
        <w:rPr>
          <w:rFonts w:ascii="Garamond" w:eastAsia="Times New Roman" w:hAnsi="Garamond" w:cs="Times New Roman"/>
          <w:color w:val="212121"/>
        </w:rPr>
        <w:t xml:space="preserve"> demand</w:t>
      </w:r>
      <w:r w:rsidR="004A215E">
        <w:rPr>
          <w:rFonts w:ascii="Garamond" w:eastAsia="Times New Roman" w:hAnsi="Garamond" w:cs="Times New Roman"/>
          <w:color w:val="212121"/>
        </w:rPr>
        <w:t>s</w:t>
      </w:r>
      <w:r w:rsidR="54D14446">
        <w:rPr>
          <w:rFonts w:ascii="Garamond" w:eastAsia="Times New Roman" w:hAnsi="Garamond" w:cs="Times New Roman"/>
          <w:color w:val="212121"/>
        </w:rPr>
        <w:t xml:space="preserve"> for alternative </w:t>
      </w:r>
      <w:r w:rsidR="54D14446" w:rsidRPr="00EA1F42">
        <w:rPr>
          <w:rFonts w:ascii="Garamond" w:eastAsia="Times New Roman" w:hAnsi="Garamond" w:cs="Times New Roman"/>
          <w:color w:val="212121"/>
        </w:rPr>
        <w:t>confidential</w:t>
      </w:r>
      <w:r w:rsidR="54D14446">
        <w:rPr>
          <w:rFonts w:ascii="Garamond" w:eastAsia="Times New Roman" w:hAnsi="Garamond" w:cs="Times New Roman"/>
          <w:color w:val="212121"/>
        </w:rPr>
        <w:t xml:space="preserve"> venues</w:t>
      </w:r>
      <w:r w:rsidR="54D14446" w:rsidRPr="00EA1F42">
        <w:rPr>
          <w:rFonts w:ascii="Garamond" w:eastAsia="Times New Roman" w:hAnsi="Garamond" w:cs="Times New Roman"/>
          <w:color w:val="212121"/>
        </w:rPr>
        <w:t>.</w:t>
      </w:r>
      <w:r w:rsidR="221E07E7">
        <w:rPr>
          <w:rFonts w:ascii="Garamond" w:eastAsia="Times New Roman" w:hAnsi="Garamond" w:cs="Times New Roman"/>
          <w:color w:val="212121"/>
        </w:rPr>
        <w:t xml:space="preserve"> </w:t>
      </w:r>
      <w:r w:rsidR="3A23F59D" w:rsidRPr="00CD2E6D">
        <w:rPr>
          <w:rFonts w:ascii="Garamond" w:eastAsia="Times New Roman" w:hAnsi="Garamond" w:cs="Arial"/>
          <w:color w:val="212121"/>
        </w:rPr>
        <w:t>Such patterns suggest the effects of the 2006 policy may have been transient, aligning with the observation by Hillebrandt et</w:t>
      </w:r>
      <w:r w:rsidR="0A84F3FD" w:rsidRPr="00CD2E6D">
        <w:rPr>
          <w:rFonts w:ascii="Garamond" w:eastAsia="Times New Roman" w:hAnsi="Garamond" w:cs="Arial"/>
          <w:color w:val="212121"/>
        </w:rPr>
        <w:t>.</w:t>
      </w:r>
      <w:r w:rsidR="3A23F59D" w:rsidRPr="00CD2E6D">
        <w:rPr>
          <w:rFonts w:ascii="Garamond" w:eastAsia="Times New Roman" w:hAnsi="Garamond" w:cs="Arial"/>
          <w:color w:val="212121"/>
        </w:rPr>
        <w:t xml:space="preserve"> </w:t>
      </w:r>
      <w:r w:rsidR="41855755" w:rsidRPr="00CD2E6D">
        <w:rPr>
          <w:rFonts w:ascii="Garamond" w:eastAsia="Times New Roman" w:hAnsi="Garamond" w:cs="Arial"/>
          <w:color w:val="212121"/>
        </w:rPr>
        <w:t>a</w:t>
      </w:r>
      <w:r w:rsidR="3A23F59D" w:rsidRPr="00CD2E6D">
        <w:rPr>
          <w:rFonts w:ascii="Garamond" w:eastAsia="Times New Roman" w:hAnsi="Garamond" w:cs="Arial"/>
          <w:color w:val="212121"/>
        </w:rPr>
        <w:t>l</w:t>
      </w:r>
      <w:r w:rsidR="59B5766A" w:rsidRPr="00CD2E6D">
        <w:rPr>
          <w:rFonts w:ascii="Garamond" w:eastAsia="Times New Roman" w:hAnsi="Garamond" w:cs="Arial"/>
          <w:color w:val="212121"/>
        </w:rPr>
        <w:t>.</w:t>
      </w:r>
      <w:r w:rsidR="3A23F59D" w:rsidRPr="00CD2E6D">
        <w:rPr>
          <w:rFonts w:ascii="Garamond" w:eastAsia="Times New Roman" w:hAnsi="Garamond" w:cs="Arial"/>
          <w:color w:val="212121"/>
        </w:rPr>
        <w:t xml:space="preserve"> (2014, 15) of a post-2006 transparency fatigue.</w:t>
      </w:r>
      <w:r w:rsidR="00974418" w:rsidRPr="00CD2E6D">
        <w:rPr>
          <w:rFonts w:ascii="Garamond" w:hAnsi="Garamond" w:cs="Times New Roman"/>
        </w:rPr>
        <w:br w:type="page"/>
      </w:r>
      <w:r w:rsidR="5A1E516E" w:rsidRPr="00B570E1">
        <w:rPr>
          <w:rFonts w:ascii="Garamond" w:hAnsi="Garamond" w:cs="Times New Roman"/>
          <w:b/>
          <w:bCs/>
        </w:rPr>
        <w:lastRenderedPageBreak/>
        <w:t>A.2. Impact of upcoming elections (H2a)</w:t>
      </w:r>
    </w:p>
    <w:p w14:paraId="72DFC90D" w14:textId="77777777" w:rsidR="008C6CAE" w:rsidRPr="00CD2E6D" w:rsidRDefault="008C6CAE" w:rsidP="00E5632D">
      <w:pPr>
        <w:adjustRightInd w:val="0"/>
        <w:snapToGrid w:val="0"/>
        <w:spacing w:after="120"/>
        <w:jc w:val="both"/>
        <w:rPr>
          <w:rFonts w:ascii="Garamond" w:hAnsi="Garamond" w:cs="Times New Roman"/>
        </w:rPr>
      </w:pPr>
    </w:p>
    <w:p w14:paraId="3BA63B44" w14:textId="50D5DC0D" w:rsidR="00382CA0" w:rsidRDefault="5A1E516E" w:rsidP="00E5632D">
      <w:pPr>
        <w:adjustRightInd w:val="0"/>
        <w:snapToGrid w:val="0"/>
        <w:spacing w:after="120"/>
        <w:jc w:val="both"/>
        <w:rPr>
          <w:rFonts w:ascii="Garamond" w:hAnsi="Garamond" w:cs="Times New Roman"/>
        </w:rPr>
      </w:pPr>
      <w:r w:rsidRPr="1CF6FB43">
        <w:rPr>
          <w:rFonts w:ascii="Garamond" w:hAnsi="Garamond" w:cs="Times New Roman"/>
        </w:rPr>
        <w:t>We extrapolated dat</w:t>
      </w:r>
      <w:r w:rsidR="7C033E4C" w:rsidRPr="1CF6FB43">
        <w:rPr>
          <w:rFonts w:ascii="Garamond" w:hAnsi="Garamond" w:cs="Times New Roman"/>
        </w:rPr>
        <w:t>a</w:t>
      </w:r>
      <w:r w:rsidRPr="1CF6FB43">
        <w:rPr>
          <w:rFonts w:ascii="Garamond" w:hAnsi="Garamond" w:cs="Times New Roman"/>
        </w:rPr>
        <w:t xml:space="preserve"> from the Comparative Manifesto Project (</w:t>
      </w:r>
      <w:hyperlink r:id="rId8">
        <w:r w:rsidRPr="1CF6FB43">
          <w:rPr>
            <w:rFonts w:ascii="Garamond" w:hAnsi="Garamond" w:cs="Times New Roman"/>
          </w:rPr>
          <w:t>https://wzb.eu/en/research/dynamics-of-political-systems/center-for-civil-society-research/projects/the-manifesto-project</w:t>
        </w:r>
      </w:hyperlink>
      <w:r w:rsidRPr="1CF6FB43">
        <w:rPr>
          <w:rFonts w:ascii="Garamond" w:hAnsi="Garamond" w:cs="Times New Roman"/>
        </w:rPr>
        <w:t xml:space="preserve">) relating to </w:t>
      </w:r>
      <w:bookmarkStart w:id="2" w:name="_Int_oSo0i1XC"/>
      <w:r w:rsidRPr="1CF6FB43">
        <w:rPr>
          <w:rFonts w:ascii="Garamond" w:hAnsi="Garamond" w:cs="Times New Roman"/>
        </w:rPr>
        <w:t>EU</w:t>
      </w:r>
      <w:bookmarkEnd w:id="2"/>
      <w:r w:rsidRPr="1CF6FB43">
        <w:rPr>
          <w:rFonts w:ascii="Garamond" w:hAnsi="Garamond" w:cs="Times New Roman"/>
        </w:rPr>
        <w:t xml:space="preserve"> elections dating back to the beginning of our dataset.  In addition to an overall count of upcoming elections at each point in time, we ran regressions against the number of upcoming "big" elections (i.e., those occurring in Germany, Italy, France, or the </w:t>
      </w:r>
      <w:bookmarkStart w:id="3" w:name="_Int_C3QnAgnx"/>
      <w:r w:rsidRPr="1CF6FB43">
        <w:rPr>
          <w:rFonts w:ascii="Garamond" w:hAnsi="Garamond" w:cs="Times New Roman"/>
        </w:rPr>
        <w:t>UK</w:t>
      </w:r>
      <w:bookmarkEnd w:id="3"/>
      <w:r w:rsidRPr="1CF6FB43">
        <w:rPr>
          <w:rFonts w:ascii="Garamond" w:hAnsi="Garamond" w:cs="Times New Roman"/>
        </w:rPr>
        <w:t xml:space="preserve">), the number of </w:t>
      </w:r>
      <w:r w:rsidR="64907AA0" w:rsidRPr="1CF6FB43">
        <w:rPr>
          <w:rFonts w:ascii="Garamond" w:hAnsi="Garamond" w:cs="Times New Roman"/>
        </w:rPr>
        <w:t xml:space="preserve">upcoming </w:t>
      </w:r>
      <w:r w:rsidRPr="1CF6FB43">
        <w:rPr>
          <w:rFonts w:ascii="Garamond" w:hAnsi="Garamond" w:cs="Times New Roman"/>
        </w:rPr>
        <w:t xml:space="preserve">"close" elections (in which the winning party received less than five percent more votes than the runner-up), and whether it was a Eurosceptic election (in which the winning party’s manifesto was coded as Eurosceptic by the Manifesto Project). When regressed in sequence, the counts pertaining to the </w:t>
      </w:r>
      <w:bookmarkStart w:id="4" w:name="_Int_pEycjVgA"/>
      <w:r w:rsidRPr="1CF6FB43">
        <w:rPr>
          <w:rFonts w:ascii="Garamond" w:hAnsi="Garamond" w:cs="Times New Roman"/>
        </w:rPr>
        <w:t>closely contested</w:t>
      </w:r>
      <w:bookmarkEnd w:id="4"/>
      <w:r w:rsidRPr="1CF6FB43">
        <w:rPr>
          <w:rFonts w:ascii="Garamond" w:hAnsi="Garamond" w:cs="Times New Roman"/>
        </w:rPr>
        <w:t xml:space="preserve"> elections were more statistically significant (see below), and these significances further improved (to </w:t>
      </w:r>
      <w:r w:rsidRPr="1CF6FB43">
        <w:rPr>
          <w:rFonts w:ascii="Garamond" w:hAnsi="Garamond" w:cs="Times New Roman"/>
          <w:i/>
          <w:iCs/>
        </w:rPr>
        <w:t>p</w:t>
      </w:r>
      <w:r w:rsidRPr="1CF6FB43">
        <w:rPr>
          <w:rFonts w:ascii="Garamond" w:hAnsi="Garamond" w:cs="Times New Roman"/>
        </w:rPr>
        <w:t xml:space="preserve"> = 0.002 and 0.06) when the date variable is omitted from the regressions</w:t>
      </w:r>
      <w:r w:rsidR="39D7C402" w:rsidRPr="1CF6FB43">
        <w:rPr>
          <w:rFonts w:ascii="Garamond" w:hAnsi="Garamond" w:cs="Times New Roman"/>
        </w:rPr>
        <w:t xml:space="preserve">. </w:t>
      </w:r>
    </w:p>
    <w:p w14:paraId="3E52C328" w14:textId="11D276BB" w:rsidR="00382CA0" w:rsidRDefault="00382CA0" w:rsidP="00E5632D">
      <w:pPr>
        <w:adjustRightInd w:val="0"/>
        <w:snapToGrid w:val="0"/>
        <w:spacing w:after="120"/>
        <w:jc w:val="both"/>
        <w:rPr>
          <w:rFonts w:ascii="Garamond" w:hAnsi="Garamond" w:cs="Times New Roman"/>
        </w:rPr>
      </w:pPr>
      <w:r w:rsidRPr="764C7FBC">
        <w:rPr>
          <w:rFonts w:ascii="Garamond" w:hAnsi="Garamond" w:cs="Times New Roman"/>
        </w:rPr>
        <w:t>Although these results are not as compelling as the Euroscepticism results, they hint that uncertainty surrounding elections may be a contributing factor in the decision to deliberate over meals on such occasions</w:t>
      </w:r>
      <w:r w:rsidR="4A5CE449" w:rsidRPr="764C7FBC">
        <w:rPr>
          <w:rFonts w:ascii="Garamond" w:hAnsi="Garamond" w:cs="Times New Roman"/>
        </w:rPr>
        <w:t xml:space="preserve">. </w:t>
      </w:r>
      <w:r w:rsidRPr="764C7FBC">
        <w:rPr>
          <w:rFonts w:ascii="Garamond" w:hAnsi="Garamond" w:cs="Times New Roman"/>
        </w:rPr>
        <w:t xml:space="preserve">We included the “big close” indicator in Model 3; it also bears mention that none of the election treatments </w:t>
      </w:r>
      <w:bookmarkStart w:id="5" w:name="_Int_POt0nE7c"/>
      <w:r w:rsidRPr="764C7FBC">
        <w:rPr>
          <w:rFonts w:ascii="Garamond" w:hAnsi="Garamond" w:cs="Times New Roman"/>
        </w:rPr>
        <w:t>substantially reduced</w:t>
      </w:r>
      <w:bookmarkEnd w:id="5"/>
      <w:r w:rsidRPr="764C7FBC">
        <w:rPr>
          <w:rFonts w:ascii="Garamond" w:hAnsi="Garamond" w:cs="Times New Roman"/>
        </w:rPr>
        <w:t xml:space="preserve"> the effects of the main independent variables in that model.</w:t>
      </w:r>
    </w:p>
    <w:p w14:paraId="290C2399" w14:textId="77777777" w:rsidR="008C6CAE" w:rsidRPr="00CD2E6D" w:rsidRDefault="008C6CAE" w:rsidP="00E5632D">
      <w:pPr>
        <w:adjustRightInd w:val="0"/>
        <w:snapToGrid w:val="0"/>
        <w:spacing w:after="120"/>
        <w:jc w:val="both"/>
        <w:rPr>
          <w:rFonts w:ascii="Garamond" w:hAnsi="Garamond" w:cs="Times New Roman"/>
        </w:rPr>
      </w:pPr>
    </w:p>
    <w:p w14:paraId="0815B465" w14:textId="4F62245F" w:rsidR="00382CA0" w:rsidRPr="00123559" w:rsidRDefault="00070B48" w:rsidP="00E5632D">
      <w:pPr>
        <w:adjustRightInd w:val="0"/>
        <w:snapToGrid w:val="0"/>
        <w:spacing w:after="120"/>
        <w:jc w:val="both"/>
        <w:rPr>
          <w:rFonts w:ascii="Garamond" w:hAnsi="Garamond" w:cs="Times New Roman"/>
          <w:b/>
          <w:bCs/>
          <w:sz w:val="20"/>
          <w:szCs w:val="20"/>
        </w:rPr>
      </w:pPr>
      <w:r w:rsidRPr="6100115E">
        <w:rPr>
          <w:rFonts w:ascii="Garamond" w:hAnsi="Garamond" w:cs="Times New Roman"/>
          <w:b/>
          <w:bCs/>
          <w:sz w:val="20"/>
          <w:szCs w:val="20"/>
        </w:rPr>
        <w:t>Table A.2.: Upcoming election measures</w:t>
      </w:r>
      <w:r w:rsidR="497E44CA" w:rsidRPr="6100115E">
        <w:rPr>
          <w:rFonts w:ascii="Garamond" w:hAnsi="Garamond" w:cs="Times New Roman"/>
          <w:b/>
          <w:bCs/>
          <w:sz w:val="20"/>
          <w:szCs w:val="20"/>
        </w:rPr>
        <w:t xml:space="preserve"> (</w:t>
      </w:r>
      <w:r w:rsidR="497E44CA" w:rsidRPr="001B5A87">
        <w:rPr>
          <w:rFonts w:ascii="Garamond" w:hAnsi="Garamond" w:cs="Times New Roman"/>
          <w:b/>
          <w:bCs/>
          <w:i/>
          <w:iCs/>
          <w:sz w:val="20"/>
          <w:szCs w:val="20"/>
        </w:rPr>
        <w:t>n</w:t>
      </w:r>
      <w:r w:rsidR="497E44CA" w:rsidRPr="6100115E">
        <w:rPr>
          <w:rFonts w:ascii="Garamond" w:hAnsi="Garamond" w:cs="Times New Roman"/>
          <w:b/>
          <w:bCs/>
          <w:sz w:val="20"/>
          <w:szCs w:val="20"/>
        </w:rPr>
        <w:t xml:space="preserve"> = 2336; </w:t>
      </w:r>
      <w:proofErr w:type="spellStart"/>
      <w:r w:rsidR="497E44CA" w:rsidRPr="001B5A87">
        <w:rPr>
          <w:rFonts w:ascii="Garamond" w:hAnsi="Garamond" w:cs="Times New Roman"/>
          <w:b/>
          <w:bCs/>
          <w:i/>
          <w:iCs/>
          <w:sz w:val="20"/>
          <w:szCs w:val="20"/>
        </w:rPr>
        <w:t>df</w:t>
      </w:r>
      <w:proofErr w:type="spellEnd"/>
      <w:r w:rsidR="497E44CA" w:rsidRPr="6100115E">
        <w:rPr>
          <w:rFonts w:ascii="Garamond" w:hAnsi="Garamond" w:cs="Times New Roman"/>
          <w:b/>
          <w:bCs/>
          <w:sz w:val="20"/>
          <w:szCs w:val="20"/>
        </w:rPr>
        <w:t xml:space="preserve"> = 2333)</w:t>
      </w:r>
    </w:p>
    <w:p w14:paraId="43B63885" w14:textId="77777777" w:rsidR="00382CA0" w:rsidRPr="00CD2E6D" w:rsidRDefault="00382CA0" w:rsidP="00E5632D">
      <w:pPr>
        <w:adjustRightInd w:val="0"/>
        <w:snapToGrid w:val="0"/>
        <w:spacing w:after="120"/>
        <w:jc w:val="both"/>
        <w:rPr>
          <w:rFonts w:ascii="Garamond" w:hAnsi="Garamond"/>
        </w:rPr>
      </w:pPr>
      <w:r w:rsidRPr="00CD2E6D">
        <w:rPr>
          <w:rFonts w:ascii="Garamond" w:hAnsi="Garamond"/>
          <w:noProof/>
        </w:rPr>
        <w:drawing>
          <wp:inline distT="0" distB="0" distL="0" distR="0" wp14:anchorId="0A8E96B0" wp14:editId="2D6ABB87">
            <wp:extent cx="5074920" cy="3040644"/>
            <wp:effectExtent l="0" t="0" r="5080" b="0"/>
            <wp:docPr id="97555718" name="Picture 97555718"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96640" name="Picture 503396640" descr="A table with numbers and text&#10;&#10;Description automatically generated"/>
                    <pic:cNvPicPr/>
                  </pic:nvPicPr>
                  <pic:blipFill rotWithShape="1">
                    <a:blip r:embed="rId9">
                      <a:extLst>
                        <a:ext uri="{28A0092B-C50C-407E-A947-70E740481C1C}">
                          <a14:useLocalDpi xmlns:a14="http://schemas.microsoft.com/office/drawing/2010/main" val="0"/>
                        </a:ext>
                      </a:extLst>
                    </a:blip>
                    <a:srcRect t="6928"/>
                    <a:stretch/>
                  </pic:blipFill>
                  <pic:spPr bwMode="auto">
                    <a:xfrm>
                      <a:off x="0" y="0"/>
                      <a:ext cx="5075068" cy="3040733"/>
                    </a:xfrm>
                    <a:prstGeom prst="rect">
                      <a:avLst/>
                    </a:prstGeom>
                    <a:ln>
                      <a:noFill/>
                    </a:ln>
                    <a:extLst>
                      <a:ext uri="{53640926-AAD7-44D8-BBD7-CCE9431645EC}">
                        <a14:shadowObscured xmlns:a14="http://schemas.microsoft.com/office/drawing/2010/main"/>
                      </a:ext>
                    </a:extLst>
                  </pic:spPr>
                </pic:pic>
              </a:graphicData>
            </a:graphic>
          </wp:inline>
        </w:drawing>
      </w:r>
    </w:p>
    <w:p w14:paraId="286DC8AF" w14:textId="76D0B573" w:rsidR="00DE7D69" w:rsidRPr="00B570E1" w:rsidRDefault="00382CA0" w:rsidP="00E5632D">
      <w:pPr>
        <w:adjustRightInd w:val="0"/>
        <w:snapToGrid w:val="0"/>
        <w:spacing w:after="120"/>
        <w:jc w:val="both"/>
        <w:rPr>
          <w:rFonts w:ascii="Garamond" w:hAnsi="Garamond" w:cs="Times New Roman"/>
          <w:b/>
          <w:bCs/>
        </w:rPr>
      </w:pPr>
      <w:r w:rsidRPr="00CD2E6D">
        <w:rPr>
          <w:rFonts w:ascii="Garamond" w:hAnsi="Garamond" w:cs="Times New Roman"/>
        </w:rPr>
        <w:br w:type="page"/>
      </w:r>
      <w:r w:rsidR="00DE7D69" w:rsidRPr="00B570E1">
        <w:rPr>
          <w:rFonts w:ascii="Garamond" w:hAnsi="Garamond" w:cs="Times New Roman"/>
          <w:b/>
          <w:bCs/>
        </w:rPr>
        <w:lastRenderedPageBreak/>
        <w:t>A.3. Euroscepticism metrics (H2b)</w:t>
      </w:r>
    </w:p>
    <w:p w14:paraId="29121560" w14:textId="77777777" w:rsidR="008C6CAE" w:rsidRPr="00CD2E6D" w:rsidRDefault="008C6CAE" w:rsidP="00E5632D">
      <w:pPr>
        <w:adjustRightInd w:val="0"/>
        <w:snapToGrid w:val="0"/>
        <w:spacing w:after="120"/>
        <w:jc w:val="both"/>
        <w:rPr>
          <w:rFonts w:ascii="Garamond" w:hAnsi="Garamond" w:cs="Times New Roman"/>
        </w:rPr>
      </w:pPr>
    </w:p>
    <w:p w14:paraId="16B89760" w14:textId="6B44BAB4" w:rsidR="00DE7D69" w:rsidRPr="00CD2E6D" w:rsidRDefault="00DE7D69" w:rsidP="00E5632D">
      <w:pPr>
        <w:adjustRightInd w:val="0"/>
        <w:snapToGrid w:val="0"/>
        <w:spacing w:after="120"/>
        <w:jc w:val="both"/>
        <w:rPr>
          <w:rFonts w:ascii="Garamond" w:hAnsi="Garamond" w:cs="Times New Roman"/>
        </w:rPr>
      </w:pPr>
      <w:r w:rsidRPr="764C7FBC">
        <w:rPr>
          <w:rFonts w:ascii="Garamond" w:hAnsi="Garamond" w:cs="Times New Roman"/>
        </w:rPr>
        <w:t>The measure of Euroscepticism used in this paper is the percentage of member states in which more citizens believe the EU to be detrimental than beneficial</w:t>
      </w:r>
      <w:r w:rsidRPr="764C7FBC">
        <w:rPr>
          <w:rFonts w:ascii="Garamond" w:eastAsia="Garamond" w:hAnsi="Garamond" w:cs="Garamond"/>
        </w:rPr>
        <w:t xml:space="preserve">. Other </w:t>
      </w:r>
      <w:r w:rsidRPr="764C7FBC">
        <w:rPr>
          <w:rFonts w:ascii="Garamond" w:hAnsi="Garamond" w:cs="Times New Roman"/>
        </w:rPr>
        <w:t>metrics a</w:t>
      </w:r>
      <w:r w:rsidRPr="764C7FBC">
        <w:rPr>
          <w:rFonts w:ascii="Garamond" w:eastAsia="Garamond" w:hAnsi="Garamond" w:cs="Garamond"/>
        </w:rPr>
        <w:t xml:space="preserve">re available (including positive or negative “image” of the EU, </w:t>
      </w:r>
      <w:r w:rsidRPr="764C7FBC">
        <w:rPr>
          <w:rFonts w:ascii="Garamond" w:hAnsi="Garamond" w:cs="Times New Roman"/>
        </w:rPr>
        <w:t>or</w:t>
      </w:r>
      <w:r w:rsidRPr="764C7FBC">
        <w:rPr>
          <w:rFonts w:ascii="Garamond" w:eastAsia="Garamond" w:hAnsi="Garamond" w:cs="Garamond"/>
        </w:rPr>
        <w:t xml:space="preserve"> whether EU membership is believed to be </w:t>
      </w:r>
      <w:r w:rsidRPr="764C7FBC">
        <w:rPr>
          <w:rFonts w:ascii="Garamond" w:hAnsi="Garamond" w:cs="Times New Roman"/>
        </w:rPr>
        <w:t>good or bad</w:t>
      </w:r>
      <w:r w:rsidRPr="764C7FBC">
        <w:rPr>
          <w:rFonts w:ascii="Garamond" w:eastAsia="Garamond" w:hAnsi="Garamond" w:cs="Garamond"/>
        </w:rPr>
        <w:t>), as a</w:t>
      </w:r>
      <w:r w:rsidRPr="764C7FBC">
        <w:rPr>
          <w:rFonts w:ascii="Garamond" w:hAnsi="Garamond" w:cs="Times New Roman"/>
        </w:rPr>
        <w:t xml:space="preserve">re </w:t>
      </w:r>
      <w:r w:rsidRPr="764C7FBC">
        <w:rPr>
          <w:rFonts w:ascii="Garamond" w:eastAsia="Garamond" w:hAnsi="Garamond" w:cs="Garamond"/>
        </w:rPr>
        <w:t xml:space="preserve">other methodologies (for instance a population-weighted </w:t>
      </w:r>
      <w:r w:rsidRPr="764C7FBC">
        <w:rPr>
          <w:rFonts w:ascii="Garamond" w:hAnsi="Garamond" w:cs="Times New Roman"/>
        </w:rPr>
        <w:t>percentage of member states</w:t>
      </w:r>
      <w:r w:rsidRPr="764C7FBC">
        <w:rPr>
          <w:rFonts w:ascii="Garamond" w:eastAsia="Garamond" w:hAnsi="Garamond" w:cs="Garamond"/>
        </w:rPr>
        <w:t xml:space="preserve">, or an </w:t>
      </w:r>
      <w:r w:rsidRPr="764C7FBC">
        <w:rPr>
          <w:rFonts w:ascii="Garamond" w:hAnsi="Garamond" w:cs="Times New Roman"/>
        </w:rPr>
        <w:t>aggregated differential of the Eurosceptic percentages</w:t>
      </w:r>
      <w:r w:rsidRPr="764C7FBC">
        <w:rPr>
          <w:rFonts w:ascii="Garamond" w:eastAsia="Garamond" w:hAnsi="Garamond" w:cs="Garamond"/>
        </w:rPr>
        <w:t>)</w:t>
      </w:r>
      <w:r w:rsidR="4AA57124" w:rsidRPr="764C7FBC">
        <w:rPr>
          <w:rFonts w:ascii="Garamond" w:eastAsia="Garamond" w:hAnsi="Garamond" w:cs="Garamond"/>
        </w:rPr>
        <w:t xml:space="preserve">. </w:t>
      </w:r>
      <w:r w:rsidRPr="764C7FBC">
        <w:rPr>
          <w:rFonts w:ascii="Garamond" w:hAnsi="Garamond" w:cs="Times New Roman"/>
        </w:rPr>
        <w:t xml:space="preserve">However, </w:t>
      </w:r>
      <w:r w:rsidRPr="764C7FBC">
        <w:rPr>
          <w:rFonts w:ascii="Garamond" w:eastAsia="Garamond" w:hAnsi="Garamond" w:cs="Garamond"/>
        </w:rPr>
        <w:t>we elected to use</w:t>
      </w:r>
      <w:r w:rsidRPr="764C7FBC">
        <w:rPr>
          <w:rFonts w:ascii="Garamond" w:hAnsi="Garamond" w:cs="Times New Roman"/>
        </w:rPr>
        <w:t xml:space="preserve"> the “detrimental” metric on the assumption that it is particularly likely to be reflected at the political level in the Council, and we used unweighted rather than weighted percentage-differences, in accordance with findings from Thomson (2011) about the intergovernmental balance of power within the Council.</w:t>
      </w:r>
    </w:p>
    <w:p w14:paraId="42940163" w14:textId="77777777" w:rsidR="00DE7D69" w:rsidRPr="00CD2E6D" w:rsidRDefault="00DE7D69" w:rsidP="00E5632D">
      <w:pPr>
        <w:adjustRightInd w:val="0"/>
        <w:snapToGrid w:val="0"/>
        <w:spacing w:after="120"/>
        <w:jc w:val="both"/>
        <w:rPr>
          <w:rFonts w:ascii="Garamond" w:hAnsi="Garamond" w:cs="Times New Roman"/>
        </w:rPr>
      </w:pPr>
    </w:p>
    <w:p w14:paraId="62D3B5D5" w14:textId="53078C77" w:rsidR="00DE7D69" w:rsidRPr="00B570E1" w:rsidRDefault="00DE7D69" w:rsidP="00E5632D">
      <w:pPr>
        <w:adjustRightInd w:val="0"/>
        <w:snapToGrid w:val="0"/>
        <w:spacing w:after="120"/>
        <w:jc w:val="both"/>
        <w:rPr>
          <w:rFonts w:ascii="Garamond" w:hAnsi="Garamond" w:cs="Times New Roman"/>
          <w:b/>
          <w:bCs/>
        </w:rPr>
      </w:pPr>
      <w:r w:rsidRPr="00CD2E6D">
        <w:rPr>
          <w:rFonts w:ascii="Garamond" w:hAnsi="Garamond" w:cs="Times New Roman"/>
        </w:rPr>
        <w:br w:type="page"/>
      </w:r>
      <w:r w:rsidRPr="00B570E1">
        <w:rPr>
          <w:rFonts w:ascii="Garamond" w:hAnsi="Garamond" w:cs="Times New Roman"/>
          <w:b/>
          <w:bCs/>
        </w:rPr>
        <w:lastRenderedPageBreak/>
        <w:t>A.4. Council formations (H2c)</w:t>
      </w:r>
    </w:p>
    <w:p w14:paraId="6A9C014F" w14:textId="77777777" w:rsidR="008C6CAE" w:rsidRPr="00CD2E6D" w:rsidRDefault="008C6CAE" w:rsidP="00E5632D">
      <w:pPr>
        <w:adjustRightInd w:val="0"/>
        <w:snapToGrid w:val="0"/>
        <w:spacing w:after="120"/>
        <w:jc w:val="both"/>
        <w:rPr>
          <w:rFonts w:ascii="Garamond" w:hAnsi="Garamond" w:cs="Times New Roman"/>
        </w:rPr>
      </w:pPr>
    </w:p>
    <w:p w14:paraId="6EF3962D" w14:textId="7A3AC5F8" w:rsidR="00DE7D69" w:rsidRPr="00CD2E6D" w:rsidRDefault="00DE7D69" w:rsidP="00E5632D">
      <w:pPr>
        <w:adjustRightInd w:val="0"/>
        <w:snapToGrid w:val="0"/>
        <w:spacing w:after="120"/>
        <w:jc w:val="both"/>
        <w:rPr>
          <w:rFonts w:ascii="Garamond" w:hAnsi="Garamond" w:cs="Times New Roman"/>
        </w:rPr>
      </w:pPr>
      <w:r w:rsidRPr="764C7FBC">
        <w:rPr>
          <w:rFonts w:ascii="Garamond" w:hAnsi="Garamond" w:cs="Times New Roman"/>
        </w:rPr>
        <w:t xml:space="preserve">The Council of the EU is a single legal entity with ten configurations: Agriculture and Fisheries (AGRIFISH); Competitiveness (COMPET); Economic and </w:t>
      </w:r>
      <w:r w:rsidR="004A215E">
        <w:rPr>
          <w:rFonts w:ascii="Garamond" w:hAnsi="Garamond" w:cs="Times New Roman"/>
        </w:rPr>
        <w:t>F</w:t>
      </w:r>
      <w:r w:rsidRPr="764C7FBC">
        <w:rPr>
          <w:rFonts w:ascii="Garamond" w:hAnsi="Garamond" w:cs="Times New Roman"/>
        </w:rPr>
        <w:t xml:space="preserve">inancial </w:t>
      </w:r>
      <w:r w:rsidR="00F36432">
        <w:rPr>
          <w:rFonts w:ascii="Garamond" w:hAnsi="Garamond" w:cs="Times New Roman"/>
        </w:rPr>
        <w:t>A</w:t>
      </w:r>
      <w:r w:rsidRPr="764C7FBC">
        <w:rPr>
          <w:rFonts w:ascii="Garamond" w:hAnsi="Garamond" w:cs="Times New Roman"/>
        </w:rPr>
        <w:t xml:space="preserve">ffairs (ECOFIN); Environment (ENVI); Employment, </w:t>
      </w:r>
      <w:r w:rsidR="004A215E">
        <w:rPr>
          <w:rFonts w:ascii="Garamond" w:hAnsi="Garamond" w:cs="Times New Roman"/>
        </w:rPr>
        <w:t>S</w:t>
      </w:r>
      <w:r w:rsidRPr="764C7FBC">
        <w:rPr>
          <w:rFonts w:ascii="Garamond" w:hAnsi="Garamond" w:cs="Times New Roman"/>
        </w:rPr>
        <w:t xml:space="preserve">ocial </w:t>
      </w:r>
      <w:r w:rsidR="004A215E">
        <w:rPr>
          <w:rFonts w:ascii="Garamond" w:hAnsi="Garamond" w:cs="Times New Roman"/>
        </w:rPr>
        <w:t>P</w:t>
      </w:r>
      <w:r w:rsidRPr="764C7FBC">
        <w:rPr>
          <w:rFonts w:ascii="Garamond" w:hAnsi="Garamond" w:cs="Times New Roman"/>
        </w:rPr>
        <w:t xml:space="preserve">olicy, </w:t>
      </w:r>
      <w:r w:rsidR="004A215E">
        <w:rPr>
          <w:rFonts w:ascii="Garamond" w:hAnsi="Garamond" w:cs="Times New Roman"/>
        </w:rPr>
        <w:t>H</w:t>
      </w:r>
      <w:r w:rsidRPr="764C7FBC">
        <w:rPr>
          <w:rFonts w:ascii="Garamond" w:hAnsi="Garamond" w:cs="Times New Roman"/>
        </w:rPr>
        <w:t xml:space="preserve">ealth and </w:t>
      </w:r>
      <w:r w:rsidR="004A215E">
        <w:rPr>
          <w:rFonts w:ascii="Garamond" w:hAnsi="Garamond" w:cs="Times New Roman"/>
        </w:rPr>
        <w:t>C</w:t>
      </w:r>
      <w:r w:rsidRPr="764C7FBC">
        <w:rPr>
          <w:rFonts w:ascii="Garamond" w:hAnsi="Garamond" w:cs="Times New Roman"/>
        </w:rPr>
        <w:t xml:space="preserve">onsumer </w:t>
      </w:r>
      <w:r w:rsidR="004A215E">
        <w:rPr>
          <w:rFonts w:ascii="Garamond" w:hAnsi="Garamond" w:cs="Times New Roman"/>
        </w:rPr>
        <w:t>A</w:t>
      </w:r>
      <w:r w:rsidRPr="764C7FBC">
        <w:rPr>
          <w:rFonts w:ascii="Garamond" w:hAnsi="Garamond" w:cs="Times New Roman"/>
        </w:rPr>
        <w:t xml:space="preserve">ffairs (EPSCO); Education, </w:t>
      </w:r>
      <w:r w:rsidR="004A215E">
        <w:rPr>
          <w:rFonts w:ascii="Garamond" w:hAnsi="Garamond" w:cs="Times New Roman"/>
        </w:rPr>
        <w:t>Y</w:t>
      </w:r>
      <w:r w:rsidRPr="764C7FBC">
        <w:rPr>
          <w:rFonts w:ascii="Garamond" w:hAnsi="Garamond" w:cs="Times New Roman"/>
        </w:rPr>
        <w:t xml:space="preserve">outh, </w:t>
      </w:r>
      <w:r w:rsidR="004A215E">
        <w:rPr>
          <w:rFonts w:ascii="Garamond" w:hAnsi="Garamond" w:cs="Times New Roman"/>
        </w:rPr>
        <w:t>C</w:t>
      </w:r>
      <w:r w:rsidRPr="764C7FBC">
        <w:rPr>
          <w:rFonts w:ascii="Garamond" w:hAnsi="Garamond" w:cs="Times New Roman"/>
        </w:rPr>
        <w:t xml:space="preserve">ulture and </w:t>
      </w:r>
      <w:r w:rsidR="004A215E">
        <w:rPr>
          <w:rFonts w:ascii="Garamond" w:hAnsi="Garamond" w:cs="Times New Roman"/>
        </w:rPr>
        <w:t>S</w:t>
      </w:r>
      <w:r w:rsidRPr="764C7FBC">
        <w:rPr>
          <w:rFonts w:ascii="Garamond" w:hAnsi="Garamond" w:cs="Times New Roman"/>
        </w:rPr>
        <w:t xml:space="preserve">port (EYCS); Foreign </w:t>
      </w:r>
      <w:r w:rsidR="004A215E">
        <w:rPr>
          <w:rFonts w:ascii="Garamond" w:hAnsi="Garamond" w:cs="Times New Roman"/>
        </w:rPr>
        <w:t>A</w:t>
      </w:r>
      <w:r w:rsidRPr="764C7FBC">
        <w:rPr>
          <w:rFonts w:ascii="Garamond" w:hAnsi="Garamond" w:cs="Times New Roman"/>
        </w:rPr>
        <w:t xml:space="preserve">ffairs (FAC); General </w:t>
      </w:r>
      <w:r w:rsidR="004A215E">
        <w:rPr>
          <w:rFonts w:ascii="Garamond" w:hAnsi="Garamond" w:cs="Times New Roman"/>
        </w:rPr>
        <w:t>A</w:t>
      </w:r>
      <w:r w:rsidRPr="764C7FBC">
        <w:rPr>
          <w:rFonts w:ascii="Garamond" w:hAnsi="Garamond" w:cs="Times New Roman"/>
        </w:rPr>
        <w:t xml:space="preserve">ffairs (GAC); Justice and </w:t>
      </w:r>
      <w:r w:rsidR="004A215E">
        <w:rPr>
          <w:rFonts w:ascii="Garamond" w:hAnsi="Garamond" w:cs="Times New Roman"/>
        </w:rPr>
        <w:t>H</w:t>
      </w:r>
      <w:r w:rsidRPr="764C7FBC">
        <w:rPr>
          <w:rFonts w:ascii="Garamond" w:hAnsi="Garamond" w:cs="Times New Roman"/>
        </w:rPr>
        <w:t xml:space="preserve">ome </w:t>
      </w:r>
      <w:r w:rsidR="004A215E">
        <w:rPr>
          <w:rFonts w:ascii="Garamond" w:hAnsi="Garamond" w:cs="Times New Roman"/>
        </w:rPr>
        <w:t>A</w:t>
      </w:r>
      <w:r w:rsidRPr="764C7FBC">
        <w:rPr>
          <w:rFonts w:ascii="Garamond" w:hAnsi="Garamond" w:cs="Times New Roman"/>
        </w:rPr>
        <w:t xml:space="preserve">ffairs (JHA); Transport, </w:t>
      </w:r>
      <w:r w:rsidR="004A215E">
        <w:rPr>
          <w:rFonts w:ascii="Garamond" w:hAnsi="Garamond" w:cs="Times New Roman"/>
        </w:rPr>
        <w:t>T</w:t>
      </w:r>
      <w:r w:rsidRPr="764C7FBC">
        <w:rPr>
          <w:rFonts w:ascii="Garamond" w:hAnsi="Garamond" w:cs="Times New Roman"/>
        </w:rPr>
        <w:t xml:space="preserve">elecommunication and </w:t>
      </w:r>
      <w:r w:rsidR="004A215E">
        <w:rPr>
          <w:rFonts w:ascii="Garamond" w:hAnsi="Garamond" w:cs="Times New Roman"/>
        </w:rPr>
        <w:t>E</w:t>
      </w:r>
      <w:r w:rsidRPr="764C7FBC">
        <w:rPr>
          <w:rFonts w:ascii="Garamond" w:hAnsi="Garamond" w:cs="Times New Roman"/>
        </w:rPr>
        <w:t xml:space="preserve">nergy (TTE). As the EU </w:t>
      </w:r>
      <w:bookmarkStart w:id="6" w:name="_Int_YBLPJiJU"/>
      <w:proofErr w:type="gramStart"/>
      <w:r w:rsidRPr="764C7FBC">
        <w:rPr>
          <w:rFonts w:ascii="Garamond" w:hAnsi="Garamond" w:cs="Times New Roman"/>
        </w:rPr>
        <w:t>grew in size</w:t>
      </w:r>
      <w:bookmarkEnd w:id="6"/>
      <w:proofErr w:type="gramEnd"/>
      <w:r w:rsidRPr="764C7FBC">
        <w:rPr>
          <w:rFonts w:ascii="Garamond" w:hAnsi="Garamond" w:cs="Times New Roman"/>
        </w:rPr>
        <w:t xml:space="preserve"> and importance</w:t>
      </w:r>
      <w:r w:rsidR="00B67B9D">
        <w:rPr>
          <w:rFonts w:ascii="Garamond" w:hAnsi="Garamond" w:cs="Times New Roman"/>
        </w:rPr>
        <w:t>,</w:t>
      </w:r>
      <w:r w:rsidRPr="764C7FBC">
        <w:rPr>
          <w:rFonts w:ascii="Garamond" w:hAnsi="Garamond" w:cs="Times New Roman"/>
        </w:rPr>
        <w:t xml:space="preserve"> the number of formations proliferated, until in 2002 the Council limited itself to ten. The then General Affairs and External Relations Council (GAERC) was split into two configurations, the General </w:t>
      </w:r>
      <w:r w:rsidR="79286F4B" w:rsidRPr="764C7FBC">
        <w:rPr>
          <w:rFonts w:ascii="Garamond" w:hAnsi="Garamond" w:cs="Times New Roman"/>
        </w:rPr>
        <w:t>Affairs</w:t>
      </w:r>
      <w:r w:rsidR="004A215E">
        <w:rPr>
          <w:rFonts w:ascii="Garamond" w:hAnsi="Garamond" w:cs="Times New Roman"/>
        </w:rPr>
        <w:t xml:space="preserve"> Council</w:t>
      </w:r>
      <w:r w:rsidRPr="764C7FBC">
        <w:rPr>
          <w:rFonts w:ascii="Garamond" w:hAnsi="Garamond" w:cs="Times New Roman"/>
        </w:rPr>
        <w:t xml:space="preserve"> and the Foreign Affairs Council.</w:t>
      </w:r>
    </w:p>
    <w:p w14:paraId="193497E2" w14:textId="665E6136" w:rsidR="000D616C" w:rsidRPr="00CD2E6D" w:rsidRDefault="00DE7D69" w:rsidP="00E5632D">
      <w:pPr>
        <w:adjustRightInd w:val="0"/>
        <w:snapToGrid w:val="0"/>
        <w:spacing w:after="120"/>
        <w:jc w:val="both"/>
        <w:rPr>
          <w:rFonts w:ascii="Garamond" w:hAnsi="Garamond" w:cs="Times New Roman"/>
        </w:rPr>
      </w:pPr>
      <w:r w:rsidRPr="3766A608">
        <w:rPr>
          <w:rFonts w:ascii="Garamond" w:hAnsi="Garamond" w:cs="Times New Roman"/>
        </w:rPr>
        <w:t xml:space="preserve">In testing Hypothesis 2c, we ran a model </w:t>
      </w:r>
      <w:r w:rsidR="00525972" w:rsidRPr="3766A608">
        <w:rPr>
          <w:rFonts w:ascii="Garamond" w:hAnsi="Garamond" w:cs="Times New Roman"/>
        </w:rPr>
        <w:t>(</w:t>
      </w:r>
      <w:r w:rsidR="00106421" w:rsidRPr="3766A608">
        <w:rPr>
          <w:rFonts w:ascii="Garamond" w:hAnsi="Garamond" w:cs="Times New Roman"/>
        </w:rPr>
        <w:t xml:space="preserve">Model 4, </w:t>
      </w:r>
      <w:r w:rsidR="00525972" w:rsidRPr="3766A608">
        <w:rPr>
          <w:rFonts w:ascii="Garamond" w:hAnsi="Garamond" w:cs="Times New Roman"/>
        </w:rPr>
        <w:t xml:space="preserve">see section </w:t>
      </w:r>
      <w:r w:rsidR="00106421" w:rsidRPr="3766A608">
        <w:rPr>
          <w:rFonts w:ascii="Garamond" w:hAnsi="Garamond" w:cs="Times New Roman"/>
        </w:rPr>
        <w:t xml:space="preserve">6) </w:t>
      </w:r>
      <w:r w:rsidRPr="3766A608">
        <w:rPr>
          <w:rFonts w:ascii="Garamond" w:hAnsi="Garamond" w:cs="Times New Roman"/>
        </w:rPr>
        <w:t>excluding the meetings of the Justice and Home Affairs; Education, Youth, Culture and Sport; and Foreign Affairs Council / GAERC formations</w:t>
      </w:r>
      <w:r w:rsidR="000D616C" w:rsidRPr="3766A608">
        <w:rPr>
          <w:rFonts w:ascii="Garamond" w:hAnsi="Garamond" w:cs="Times New Roman"/>
        </w:rPr>
        <w:t xml:space="preserve"> that are </w:t>
      </w:r>
      <w:r w:rsidR="005B5023" w:rsidRPr="3766A608">
        <w:rPr>
          <w:rFonts w:ascii="Garamond" w:hAnsi="Garamond" w:cs="Times New Roman"/>
        </w:rPr>
        <w:t>less subject to interest group lobbying than formations pertaining to single market issues</w:t>
      </w:r>
      <w:r w:rsidRPr="3766A608">
        <w:rPr>
          <w:rFonts w:ascii="Garamond" w:hAnsi="Garamond" w:cs="Times New Roman"/>
        </w:rPr>
        <w:t>.</w:t>
      </w:r>
      <w:r w:rsidR="000D616C" w:rsidRPr="3766A608">
        <w:rPr>
          <w:rFonts w:ascii="Garamond" w:hAnsi="Garamond" w:cs="Times New Roman"/>
        </w:rPr>
        <w:t xml:space="preserve"> </w:t>
      </w:r>
    </w:p>
    <w:p w14:paraId="37EC0383" w14:textId="1AB61103" w:rsidR="7A451208" w:rsidRDefault="7A451208" w:rsidP="3766A608">
      <w:pPr>
        <w:spacing w:after="120"/>
        <w:jc w:val="both"/>
        <w:rPr>
          <w:rFonts w:ascii="Garamond" w:hAnsi="Garamond" w:cs="Times New Roman"/>
        </w:rPr>
      </w:pPr>
      <w:r w:rsidRPr="3766A608">
        <w:rPr>
          <w:rFonts w:ascii="Garamond" w:hAnsi="Garamond" w:cs="Times New Roman"/>
        </w:rPr>
        <w:t xml:space="preserve">Note that there is a distinction between the expected frequency of meal breaks from one formation to the next, and the strength of the relationship between transparency and meals within each formation. Testing for the former measure reveals that JHA, GAERC/FAC, and ECOFIN have the highest baseline propensities for recorded meal breaks, with break frequencies higher than 40% in all cases. The latter measure speaks more directly to the theory we are trying to test, and hence informs the construction of Model 4. In this model we compare the results of our main (Council formation agnostic) models, with a regression run against only the formations that are likelier to negotiate matters relating to the single market. These results show a stronger correlation between transparency and recorded meal breaks for the latter group, in support of </w:t>
      </w:r>
      <w:r w:rsidR="004A215E">
        <w:rPr>
          <w:rFonts w:ascii="Garamond" w:hAnsi="Garamond" w:cs="Times New Roman"/>
        </w:rPr>
        <w:t>H</w:t>
      </w:r>
      <w:r w:rsidRPr="3766A608">
        <w:rPr>
          <w:rFonts w:ascii="Garamond" w:hAnsi="Garamond" w:cs="Times New Roman"/>
        </w:rPr>
        <w:t>ypothesis 2c. However, it is also the case that two of the three non-single market relevant Council formations (JHA and GAERC, listed above) are two of the three formations that are most likely to record meal breaks overall</w:t>
      </w:r>
      <w:r w:rsidR="25D52ECE" w:rsidRPr="3766A608">
        <w:rPr>
          <w:rFonts w:ascii="Garamond" w:hAnsi="Garamond" w:cs="Times New Roman"/>
        </w:rPr>
        <w:t>,</w:t>
      </w:r>
      <w:r w:rsidRPr="3766A608">
        <w:rPr>
          <w:rFonts w:ascii="Garamond" w:hAnsi="Garamond" w:cs="Times New Roman"/>
        </w:rPr>
        <w:t xml:space="preserve"> which hints at a difference between the baseline appetite for breaks within each formation, </w:t>
      </w:r>
      <w:r w:rsidR="004A215E">
        <w:rPr>
          <w:rFonts w:ascii="Garamond" w:hAnsi="Garamond" w:cs="Times New Roman"/>
        </w:rPr>
        <w:t>and</w:t>
      </w:r>
      <w:r w:rsidRPr="3766A608">
        <w:rPr>
          <w:rFonts w:ascii="Garamond" w:hAnsi="Garamond" w:cs="Times New Roman"/>
        </w:rPr>
        <w:t xml:space="preserve"> the sensitivity of each formation to changes in transparency.</w:t>
      </w:r>
    </w:p>
    <w:p w14:paraId="11D52879" w14:textId="11B376EC" w:rsidR="00DE7D69" w:rsidRPr="00CD2E6D" w:rsidRDefault="00DE7D69" w:rsidP="00E5632D">
      <w:pPr>
        <w:adjustRightInd w:val="0"/>
        <w:snapToGrid w:val="0"/>
        <w:spacing w:after="120"/>
        <w:jc w:val="both"/>
        <w:rPr>
          <w:rFonts w:ascii="Garamond" w:hAnsi="Garamond" w:cs="Times New Roman"/>
        </w:rPr>
      </w:pPr>
    </w:p>
    <w:p w14:paraId="397E61A1" w14:textId="01CB52FE" w:rsidR="00DE7D69" w:rsidRPr="00123559" w:rsidRDefault="00A854E7" w:rsidP="00E5632D">
      <w:pPr>
        <w:adjustRightInd w:val="0"/>
        <w:snapToGrid w:val="0"/>
        <w:spacing w:after="120"/>
        <w:jc w:val="both"/>
        <w:rPr>
          <w:rFonts w:ascii="Garamond" w:hAnsi="Garamond" w:cs="Times New Roman"/>
          <w:b/>
          <w:bCs/>
          <w:sz w:val="20"/>
          <w:szCs w:val="20"/>
        </w:rPr>
      </w:pPr>
      <w:r w:rsidRPr="00123559">
        <w:rPr>
          <w:rFonts w:ascii="Garamond" w:hAnsi="Garamond" w:cs="Times New Roman"/>
          <w:b/>
          <w:bCs/>
          <w:sz w:val="20"/>
          <w:szCs w:val="20"/>
        </w:rPr>
        <w:t>Graph A.4.: Recorded meals per Council configuration, 1990-2019</w:t>
      </w:r>
      <w:r w:rsidR="005B5023" w:rsidRPr="1F732457">
        <w:rPr>
          <w:rFonts w:ascii="Garamond" w:hAnsi="Garamond" w:cs="Times New Roman"/>
          <w:b/>
          <w:bCs/>
          <w:sz w:val="20"/>
          <w:szCs w:val="20"/>
        </w:rPr>
        <w:t xml:space="preserve">, </w:t>
      </w:r>
      <w:r w:rsidR="7BD1FFC6" w:rsidRPr="1F732457">
        <w:rPr>
          <w:rFonts w:ascii="Garamond" w:hAnsi="Garamond" w:cs="Times New Roman"/>
          <w:b/>
          <w:bCs/>
          <w:sz w:val="20"/>
          <w:szCs w:val="20"/>
        </w:rPr>
        <w:t xml:space="preserve">annual </w:t>
      </w:r>
      <w:r w:rsidR="005B5023" w:rsidRPr="1F732457">
        <w:rPr>
          <w:rFonts w:ascii="Garamond" w:hAnsi="Garamond" w:cs="Times New Roman"/>
          <w:b/>
          <w:bCs/>
          <w:sz w:val="20"/>
          <w:szCs w:val="20"/>
        </w:rPr>
        <w:t>granularity</w:t>
      </w:r>
    </w:p>
    <w:p w14:paraId="407435C1" w14:textId="77777777" w:rsidR="00DE7D69" w:rsidRPr="00CD2E6D" w:rsidRDefault="00DE7D69" w:rsidP="00E5632D">
      <w:pPr>
        <w:adjustRightInd w:val="0"/>
        <w:snapToGrid w:val="0"/>
        <w:spacing w:after="120"/>
        <w:jc w:val="both"/>
        <w:rPr>
          <w:rFonts w:ascii="Garamond" w:hAnsi="Garamond"/>
        </w:rPr>
      </w:pPr>
      <w:r w:rsidRPr="00CD2E6D">
        <w:rPr>
          <w:rFonts w:ascii="Garamond" w:hAnsi="Garamond"/>
          <w:noProof/>
        </w:rPr>
        <w:lastRenderedPageBreak/>
        <w:drawing>
          <wp:inline distT="0" distB="0" distL="0" distR="0" wp14:anchorId="604960BC" wp14:editId="4076C057">
            <wp:extent cx="5848670" cy="3292940"/>
            <wp:effectExtent l="0" t="0" r="0" b="0"/>
            <wp:docPr id="212563072" name="Picture 212563072" descr="A graph showing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12768" name="Picture 1838012768" descr="A graph showing a line graph&#10;&#10;Description automatically generated"/>
                    <pic:cNvPicPr/>
                  </pic:nvPicPr>
                  <pic:blipFill rotWithShape="1">
                    <a:blip r:embed="rId10">
                      <a:extLst>
                        <a:ext uri="{28A0092B-C50C-407E-A947-70E740481C1C}">
                          <a14:useLocalDpi xmlns:a14="http://schemas.microsoft.com/office/drawing/2010/main" val="0"/>
                        </a:ext>
                      </a:extLst>
                    </a:blip>
                    <a:srcRect t="9007"/>
                    <a:stretch/>
                  </pic:blipFill>
                  <pic:spPr bwMode="auto">
                    <a:xfrm>
                      <a:off x="0" y="0"/>
                      <a:ext cx="5849504" cy="3293410"/>
                    </a:xfrm>
                    <a:prstGeom prst="rect">
                      <a:avLst/>
                    </a:prstGeom>
                    <a:ln>
                      <a:noFill/>
                    </a:ln>
                    <a:extLst>
                      <a:ext uri="{53640926-AAD7-44D8-BBD7-CCE9431645EC}">
                        <a14:shadowObscured xmlns:a14="http://schemas.microsoft.com/office/drawing/2010/main"/>
                      </a:ext>
                    </a:extLst>
                  </pic:spPr>
                </pic:pic>
              </a:graphicData>
            </a:graphic>
          </wp:inline>
        </w:drawing>
      </w:r>
    </w:p>
    <w:p w14:paraId="6D7C57CA" w14:textId="4EAF0227" w:rsidR="00DE7D69" w:rsidRPr="00B570E1" w:rsidRDefault="00DE7D69" w:rsidP="00E5632D">
      <w:pPr>
        <w:adjustRightInd w:val="0"/>
        <w:snapToGrid w:val="0"/>
        <w:spacing w:after="120"/>
        <w:jc w:val="both"/>
        <w:rPr>
          <w:rFonts w:ascii="Garamond" w:hAnsi="Garamond" w:cs="Times New Roman"/>
          <w:b/>
          <w:bCs/>
        </w:rPr>
      </w:pPr>
      <w:r w:rsidRPr="00CD2E6D">
        <w:rPr>
          <w:rFonts w:ascii="Garamond" w:hAnsi="Garamond" w:cs="Times New Roman"/>
        </w:rPr>
        <w:br w:type="page"/>
      </w:r>
      <w:r w:rsidRPr="00B570E1">
        <w:rPr>
          <w:rFonts w:ascii="Garamond" w:hAnsi="Garamond" w:cs="Times New Roman"/>
          <w:b/>
          <w:bCs/>
        </w:rPr>
        <w:lastRenderedPageBreak/>
        <w:t>A.5. Co</w:t>
      </w:r>
      <w:r w:rsidR="001F4E0C">
        <w:rPr>
          <w:rFonts w:ascii="Garamond" w:hAnsi="Garamond" w:cs="Times New Roman"/>
          <w:b/>
          <w:bCs/>
        </w:rPr>
        <w:t>llinearity</w:t>
      </w:r>
      <w:r w:rsidRPr="00B570E1">
        <w:rPr>
          <w:rFonts w:ascii="Garamond" w:hAnsi="Garamond" w:cs="Times New Roman"/>
          <w:b/>
          <w:bCs/>
        </w:rPr>
        <w:t xml:space="preserve"> </w:t>
      </w:r>
      <w:r w:rsidR="003F6E22">
        <w:rPr>
          <w:rFonts w:ascii="Garamond" w:hAnsi="Garamond" w:cs="Times New Roman"/>
          <w:b/>
          <w:bCs/>
        </w:rPr>
        <w:t>test</w:t>
      </w:r>
    </w:p>
    <w:p w14:paraId="5640C4DC" w14:textId="77777777" w:rsidR="00DE7D69" w:rsidRDefault="00DE7D69" w:rsidP="00E5632D">
      <w:pPr>
        <w:adjustRightInd w:val="0"/>
        <w:snapToGrid w:val="0"/>
        <w:spacing w:after="120"/>
        <w:jc w:val="both"/>
        <w:rPr>
          <w:rFonts w:ascii="Garamond" w:hAnsi="Garamond" w:cs="Times New Roman"/>
        </w:rPr>
      </w:pPr>
    </w:p>
    <w:p w14:paraId="7D57A072" w14:textId="77777777" w:rsidR="00B570E1" w:rsidRDefault="00B570E1" w:rsidP="00B570E1">
      <w:pPr>
        <w:adjustRightInd w:val="0"/>
        <w:snapToGrid w:val="0"/>
        <w:spacing w:after="120"/>
        <w:jc w:val="both"/>
        <w:rPr>
          <w:rFonts w:ascii="Garamond" w:hAnsi="Garamond" w:cs="Times New Roman"/>
        </w:rPr>
      </w:pPr>
      <w:r w:rsidRPr="764C7FBC">
        <w:rPr>
          <w:rFonts w:ascii="Garamond" w:hAnsi="Garamond" w:cs="Times New Roman"/>
        </w:rPr>
        <w:t xml:space="preserve">The </w:t>
      </w:r>
      <w:r>
        <w:rPr>
          <w:rFonts w:ascii="Garamond" w:hAnsi="Garamond" w:cs="Times New Roman"/>
        </w:rPr>
        <w:t>correlation grid</w:t>
      </w:r>
      <w:r w:rsidRPr="764C7FBC">
        <w:rPr>
          <w:rFonts w:ascii="Garamond" w:hAnsi="Garamond" w:cs="Times New Roman"/>
        </w:rPr>
        <w:t xml:space="preserve"> reveals some evidence of collinearity between formal and de facto transparency. Neither variable is mechanistically derived from the other, but their level of correlation does raise the question of whether an indirect causal relationship exists, or whether the two measures are jointly motivated by an omitted variable. Intuitively, one possibility is that EU enlargement tends to produce increases in formal transparency; but the putative mechanism that would underpin such a relationship is not clear or obvious enough to warrant the removal of either variable from our regressions.</w:t>
      </w:r>
    </w:p>
    <w:p w14:paraId="64A20ED3" w14:textId="77777777" w:rsidR="00B570E1" w:rsidRPr="00CD2E6D" w:rsidRDefault="00B570E1" w:rsidP="00B570E1">
      <w:pPr>
        <w:adjustRightInd w:val="0"/>
        <w:snapToGrid w:val="0"/>
        <w:spacing w:after="120"/>
        <w:jc w:val="both"/>
        <w:rPr>
          <w:rFonts w:ascii="Garamond" w:hAnsi="Garamond"/>
        </w:rPr>
      </w:pPr>
    </w:p>
    <w:p w14:paraId="6F2519B1" w14:textId="763ED922" w:rsidR="00B570E1" w:rsidRPr="00B570E1" w:rsidRDefault="00B570E1" w:rsidP="00E5632D">
      <w:pPr>
        <w:adjustRightInd w:val="0"/>
        <w:snapToGrid w:val="0"/>
        <w:spacing w:after="120"/>
        <w:jc w:val="both"/>
        <w:rPr>
          <w:rFonts w:ascii="Garamond" w:hAnsi="Garamond" w:cs="Times New Roman"/>
          <w:b/>
          <w:bCs/>
          <w:sz w:val="20"/>
          <w:szCs w:val="20"/>
        </w:rPr>
      </w:pPr>
      <w:r w:rsidRPr="00B570E1">
        <w:rPr>
          <w:rFonts w:ascii="Garamond" w:hAnsi="Garamond" w:cs="Times New Roman"/>
          <w:b/>
          <w:bCs/>
          <w:sz w:val="20"/>
          <w:szCs w:val="20"/>
        </w:rPr>
        <w:t>Table A.5. Correlation grid for primary independent and control variables</w:t>
      </w:r>
    </w:p>
    <w:p w14:paraId="0DCD1C18" w14:textId="77777777" w:rsidR="00DE7D69" w:rsidRPr="00CD2E6D" w:rsidRDefault="00DE7D69" w:rsidP="00E5632D">
      <w:pPr>
        <w:adjustRightInd w:val="0"/>
        <w:snapToGrid w:val="0"/>
        <w:spacing w:after="120"/>
        <w:jc w:val="both"/>
        <w:rPr>
          <w:rFonts w:ascii="Garamond" w:hAnsi="Garamond"/>
        </w:rPr>
      </w:pPr>
      <w:r w:rsidRPr="00CD2E6D">
        <w:rPr>
          <w:rFonts w:ascii="Garamond" w:hAnsi="Garamond"/>
          <w:noProof/>
        </w:rPr>
        <w:drawing>
          <wp:inline distT="0" distB="0" distL="0" distR="0" wp14:anchorId="7B222BDB" wp14:editId="76BA2FEA">
            <wp:extent cx="5419818" cy="3489008"/>
            <wp:effectExtent l="0" t="0" r="0" b="0"/>
            <wp:docPr id="867948219" name="Picture 86794821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48219" name="Picture 867948219" descr="A screenshot of a graph&#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19818" cy="3489008"/>
                    </a:xfrm>
                    <a:prstGeom prst="rect">
                      <a:avLst/>
                    </a:prstGeom>
                  </pic:spPr>
                </pic:pic>
              </a:graphicData>
            </a:graphic>
          </wp:inline>
        </w:drawing>
      </w:r>
    </w:p>
    <w:p w14:paraId="02834D67" w14:textId="77777777" w:rsidR="00DE7D69" w:rsidRPr="00CD2E6D" w:rsidRDefault="00DE7D69" w:rsidP="00E5632D">
      <w:pPr>
        <w:adjustRightInd w:val="0"/>
        <w:snapToGrid w:val="0"/>
        <w:spacing w:after="120"/>
        <w:jc w:val="both"/>
        <w:rPr>
          <w:rFonts w:ascii="Garamond" w:hAnsi="Garamond" w:cs="Times New Roman"/>
        </w:rPr>
      </w:pPr>
      <w:r w:rsidRPr="00CD2E6D">
        <w:rPr>
          <w:rFonts w:ascii="Garamond" w:hAnsi="Garamond" w:cs="Times New Roman"/>
        </w:rPr>
        <w:br w:type="page"/>
      </w:r>
    </w:p>
    <w:p w14:paraId="3DA1050E" w14:textId="0070A89D" w:rsidR="00673F3D" w:rsidRPr="00B570E1" w:rsidRDefault="00974418" w:rsidP="00E5632D">
      <w:pPr>
        <w:adjustRightInd w:val="0"/>
        <w:snapToGrid w:val="0"/>
        <w:spacing w:after="120"/>
        <w:jc w:val="both"/>
        <w:rPr>
          <w:rFonts w:ascii="Garamond" w:hAnsi="Garamond" w:cs="Times New Roman"/>
          <w:b/>
          <w:bCs/>
        </w:rPr>
      </w:pPr>
      <w:r w:rsidRPr="00B570E1">
        <w:rPr>
          <w:rFonts w:ascii="Garamond" w:hAnsi="Garamond" w:cs="Times New Roman"/>
          <w:b/>
          <w:bCs/>
        </w:rPr>
        <w:lastRenderedPageBreak/>
        <w:t>A.</w:t>
      </w:r>
      <w:r w:rsidR="00DE7D69" w:rsidRPr="00B570E1">
        <w:rPr>
          <w:rFonts w:ascii="Garamond" w:hAnsi="Garamond" w:cs="Times New Roman"/>
          <w:b/>
          <w:bCs/>
        </w:rPr>
        <w:t>6</w:t>
      </w:r>
      <w:r w:rsidRPr="00B570E1">
        <w:rPr>
          <w:rFonts w:ascii="Garamond" w:hAnsi="Garamond" w:cs="Times New Roman"/>
          <w:b/>
          <w:bCs/>
        </w:rPr>
        <w:t xml:space="preserve">. </w:t>
      </w:r>
      <w:r w:rsidR="00673F3D" w:rsidRPr="00B570E1">
        <w:rPr>
          <w:rFonts w:ascii="Garamond" w:hAnsi="Garamond" w:cs="Times New Roman"/>
          <w:b/>
          <w:bCs/>
        </w:rPr>
        <w:t>Transparency culture</w:t>
      </w:r>
    </w:p>
    <w:p w14:paraId="26522DF3" w14:textId="77777777" w:rsidR="008A75BF" w:rsidRPr="00CD2E6D" w:rsidRDefault="008A75BF" w:rsidP="00E5632D">
      <w:pPr>
        <w:adjustRightInd w:val="0"/>
        <w:snapToGrid w:val="0"/>
        <w:spacing w:after="120"/>
        <w:jc w:val="both"/>
        <w:rPr>
          <w:rFonts w:ascii="Garamond" w:hAnsi="Garamond" w:cs="Times New Roman"/>
        </w:rPr>
      </w:pPr>
    </w:p>
    <w:p w14:paraId="654BC0DA" w14:textId="5E80759B" w:rsidR="00673F3D" w:rsidRPr="00CD2E6D" w:rsidRDefault="00673F3D" w:rsidP="00E5632D">
      <w:pPr>
        <w:adjustRightInd w:val="0"/>
        <w:snapToGrid w:val="0"/>
        <w:spacing w:after="120"/>
        <w:jc w:val="both"/>
        <w:rPr>
          <w:rFonts w:ascii="Garamond" w:hAnsi="Garamond" w:cs="Times New Roman"/>
        </w:rPr>
      </w:pPr>
      <w:r w:rsidRPr="764C7FBC">
        <w:rPr>
          <w:rFonts w:ascii="Garamond" w:hAnsi="Garamond" w:cs="Times New Roman"/>
        </w:rPr>
        <w:t>To account for the possibility that “transparency cultures” might be transmitted to the Council through the evolving national composition of its membership, we sought external, national-level measures of transparency to use as controls</w:t>
      </w:r>
      <w:r w:rsidR="00758AAF" w:rsidRPr="764C7FBC">
        <w:rPr>
          <w:rFonts w:ascii="Garamond" w:hAnsi="Garamond" w:cs="Times New Roman"/>
        </w:rPr>
        <w:t xml:space="preserve">. </w:t>
      </w:r>
      <w:r w:rsidRPr="764C7FBC">
        <w:rPr>
          <w:rFonts w:ascii="Garamond" w:hAnsi="Garamond" w:cs="Times New Roman"/>
        </w:rPr>
        <w:t>The relative merits of different transparency indicators have received attention in the literature, and we considered metrics described by Hollyer et al. (2014), Alt et al., (2014), Fisman and Miguel (2007), and Williams (2015).</w:t>
      </w:r>
    </w:p>
    <w:p w14:paraId="26325213" w14:textId="30F0A9E6" w:rsidR="00673F3D" w:rsidRDefault="67E17600" w:rsidP="00E5632D">
      <w:pPr>
        <w:adjustRightInd w:val="0"/>
        <w:snapToGrid w:val="0"/>
        <w:spacing w:after="120"/>
        <w:jc w:val="both"/>
        <w:rPr>
          <w:rFonts w:ascii="Garamond" w:hAnsi="Garamond" w:cs="Times New Roman"/>
        </w:rPr>
      </w:pPr>
      <w:r w:rsidRPr="04AF3EF3">
        <w:rPr>
          <w:rFonts w:ascii="Garamond" w:hAnsi="Garamond" w:cs="Times New Roman"/>
        </w:rPr>
        <w:t>However, most were constrained either in time (unavailable for recent years), in location (unavailable for all member states), or in scope (</w:t>
      </w:r>
      <w:r w:rsidR="09528190" w:rsidRPr="04AF3EF3">
        <w:rPr>
          <w:rFonts w:ascii="Garamond" w:hAnsi="Garamond" w:cs="Times New Roman"/>
        </w:rPr>
        <w:t>e.g.,</w:t>
      </w:r>
      <w:r w:rsidRPr="04AF3EF3">
        <w:rPr>
          <w:rFonts w:ascii="Garamond" w:hAnsi="Garamond" w:cs="Times New Roman"/>
        </w:rPr>
        <w:t xml:space="preserve"> dealing only with financial disclosures), and we therefore elected to use the CPI index published by Transparency International in view of its longstanding usage in studies of transparency and corruption</w:t>
      </w:r>
      <w:r w:rsidR="60E3EE30" w:rsidRPr="04AF3EF3">
        <w:rPr>
          <w:rFonts w:ascii="Garamond" w:hAnsi="Garamond" w:cs="Times New Roman"/>
        </w:rPr>
        <w:t>.</w:t>
      </w:r>
      <w:r w:rsidR="125A1E4B" w:rsidRPr="04AF3EF3">
        <w:rPr>
          <w:rFonts w:ascii="Garamond" w:hAnsi="Garamond" w:cs="Times New Roman"/>
        </w:rPr>
        <w:t xml:space="preserve"> </w:t>
      </w:r>
      <w:r w:rsidR="45D7E799" w:rsidRPr="04AF3EF3">
        <w:rPr>
          <w:rFonts w:ascii="Garamond" w:hAnsi="Garamond" w:cs="Times New Roman"/>
        </w:rPr>
        <w:t xml:space="preserve">(Note that CPI is </w:t>
      </w:r>
      <w:r w:rsidR="0B81D115" w:rsidRPr="04AF3EF3">
        <w:rPr>
          <w:rFonts w:ascii="Garamond" w:hAnsi="Garamond" w:cs="Times New Roman"/>
        </w:rPr>
        <w:t xml:space="preserve">not perfect either as it only started in 1995; </w:t>
      </w:r>
      <w:r w:rsidR="4D22F78B" w:rsidRPr="04AF3EF3">
        <w:rPr>
          <w:rFonts w:ascii="Garamond" w:hAnsi="Garamond" w:cs="Times New Roman"/>
        </w:rPr>
        <w:t>accordingly</w:t>
      </w:r>
      <w:r w:rsidR="68361B9D" w:rsidRPr="04AF3EF3">
        <w:rPr>
          <w:rFonts w:ascii="Garamond" w:hAnsi="Garamond" w:cs="Times New Roman"/>
        </w:rPr>
        <w:t>,</w:t>
      </w:r>
      <w:r w:rsidR="4D22F78B" w:rsidRPr="04AF3EF3">
        <w:rPr>
          <w:rFonts w:ascii="Garamond" w:hAnsi="Garamond" w:cs="Times New Roman"/>
        </w:rPr>
        <w:t xml:space="preserve"> we have extrapolated backwards for the </w:t>
      </w:r>
      <w:r w:rsidR="76D4789B" w:rsidRPr="04AF3EF3">
        <w:rPr>
          <w:rFonts w:ascii="Garamond" w:hAnsi="Garamond" w:cs="Times New Roman"/>
        </w:rPr>
        <w:t>years 1990-1994</w:t>
      </w:r>
      <w:r w:rsidR="4D22F78B" w:rsidRPr="04AF3EF3">
        <w:rPr>
          <w:rFonts w:ascii="Garamond" w:hAnsi="Garamond" w:cs="Times New Roman"/>
        </w:rPr>
        <w:t>.</w:t>
      </w:r>
      <w:r w:rsidR="65540623" w:rsidRPr="04AF3EF3">
        <w:rPr>
          <w:rFonts w:ascii="Garamond" w:hAnsi="Garamond" w:cs="Times New Roman"/>
        </w:rPr>
        <w:t>)</w:t>
      </w:r>
      <w:r w:rsidR="60E3EE30" w:rsidRPr="04AF3EF3">
        <w:rPr>
          <w:rFonts w:ascii="Garamond" w:hAnsi="Garamond" w:cs="Times New Roman"/>
        </w:rPr>
        <w:t xml:space="preserve"> </w:t>
      </w:r>
      <w:r w:rsidRPr="04AF3EF3">
        <w:rPr>
          <w:rFonts w:ascii="Garamond" w:hAnsi="Garamond" w:cs="Times New Roman"/>
        </w:rPr>
        <w:t>For the sake of comparison, we also include results from Williams’ Quality of Government Transparency measure below, though note that this metric was not calculated for the final third of the time span under consideration.</w:t>
      </w:r>
    </w:p>
    <w:p w14:paraId="0D612F7D" w14:textId="77777777" w:rsidR="008A75BF" w:rsidRPr="00CD2E6D" w:rsidRDefault="008A75BF" w:rsidP="00E5632D">
      <w:pPr>
        <w:adjustRightInd w:val="0"/>
        <w:snapToGrid w:val="0"/>
        <w:spacing w:after="120"/>
        <w:jc w:val="both"/>
        <w:rPr>
          <w:rFonts w:ascii="Garamond" w:hAnsi="Garamond" w:cs="Times New Roman"/>
        </w:rPr>
      </w:pPr>
    </w:p>
    <w:p w14:paraId="1D9CCA10" w14:textId="51E4C09A" w:rsidR="0037515B" w:rsidRPr="00123559" w:rsidRDefault="66418C43" w:rsidP="00E5632D">
      <w:pPr>
        <w:adjustRightInd w:val="0"/>
        <w:snapToGrid w:val="0"/>
        <w:spacing w:after="120"/>
        <w:jc w:val="both"/>
        <w:rPr>
          <w:rFonts w:ascii="Garamond" w:hAnsi="Garamond" w:cs="Times New Roman"/>
          <w:b/>
          <w:bCs/>
          <w:sz w:val="20"/>
          <w:szCs w:val="20"/>
        </w:rPr>
      </w:pPr>
      <w:r w:rsidRPr="1CF6FB43">
        <w:rPr>
          <w:rFonts w:ascii="Garamond" w:hAnsi="Garamond" w:cs="Times New Roman"/>
          <w:b/>
          <w:bCs/>
          <w:sz w:val="20"/>
          <w:szCs w:val="20"/>
        </w:rPr>
        <w:t>Table A.</w:t>
      </w:r>
      <w:r w:rsidR="6DBA55C3" w:rsidRPr="1CF6FB43">
        <w:rPr>
          <w:rFonts w:ascii="Garamond" w:hAnsi="Garamond" w:cs="Times New Roman"/>
          <w:b/>
          <w:bCs/>
          <w:sz w:val="20"/>
          <w:szCs w:val="20"/>
        </w:rPr>
        <w:t>6</w:t>
      </w:r>
      <w:r w:rsidRPr="1CF6FB43">
        <w:rPr>
          <w:rFonts w:ascii="Garamond" w:hAnsi="Garamond" w:cs="Times New Roman"/>
          <w:b/>
          <w:bCs/>
          <w:sz w:val="20"/>
          <w:szCs w:val="20"/>
        </w:rPr>
        <w:t xml:space="preserve">. </w:t>
      </w:r>
      <w:r w:rsidRPr="00C826F1">
        <w:rPr>
          <w:rFonts w:ascii="Garamond" w:hAnsi="Garamond" w:cs="Times New Roman"/>
          <w:b/>
          <w:bCs/>
          <w:sz w:val="20"/>
          <w:szCs w:val="20"/>
        </w:rPr>
        <w:t>P</w:t>
      </w:r>
      <w:r w:rsidRPr="1CF6FB43">
        <w:rPr>
          <w:rFonts w:ascii="Garamond" w:hAnsi="Garamond" w:cs="Times New Roman"/>
          <w:b/>
          <w:bCs/>
          <w:sz w:val="20"/>
          <w:szCs w:val="20"/>
        </w:rPr>
        <w:t xml:space="preserve">-value comparison of cultural transparency measures (CPI vs </w:t>
      </w:r>
      <w:proofErr w:type="spellStart"/>
      <w:r w:rsidRPr="1CF6FB43">
        <w:rPr>
          <w:rFonts w:ascii="Garamond" w:hAnsi="Garamond" w:cs="Times New Roman"/>
          <w:b/>
          <w:bCs/>
          <w:sz w:val="20"/>
          <w:szCs w:val="20"/>
        </w:rPr>
        <w:t>QoG</w:t>
      </w:r>
      <w:proofErr w:type="spellEnd"/>
      <w:r w:rsidR="4D1793A4" w:rsidRPr="1CF6FB43">
        <w:rPr>
          <w:rFonts w:ascii="Garamond" w:hAnsi="Garamond" w:cs="Times New Roman"/>
          <w:b/>
          <w:bCs/>
          <w:sz w:val="20"/>
          <w:szCs w:val="20"/>
        </w:rPr>
        <w:t xml:space="preserve">; </w:t>
      </w:r>
      <w:r w:rsidR="4D1793A4" w:rsidRPr="1CF6FB43">
        <w:rPr>
          <w:rFonts w:ascii="Garamond" w:hAnsi="Garamond" w:cs="Times New Roman"/>
          <w:b/>
          <w:bCs/>
          <w:i/>
          <w:iCs/>
          <w:sz w:val="20"/>
          <w:szCs w:val="20"/>
        </w:rPr>
        <w:t>n</w:t>
      </w:r>
      <w:r w:rsidR="4D1793A4" w:rsidRPr="1CF6FB43">
        <w:rPr>
          <w:rFonts w:ascii="Garamond" w:hAnsi="Garamond" w:cs="Times New Roman"/>
          <w:b/>
          <w:bCs/>
          <w:sz w:val="20"/>
          <w:szCs w:val="20"/>
        </w:rPr>
        <w:t xml:space="preserve"> = 2336; </w:t>
      </w:r>
      <w:proofErr w:type="spellStart"/>
      <w:r w:rsidR="4D1793A4" w:rsidRPr="1CF6FB43">
        <w:rPr>
          <w:rFonts w:ascii="Garamond" w:hAnsi="Garamond" w:cs="Times New Roman"/>
          <w:b/>
          <w:bCs/>
          <w:i/>
          <w:iCs/>
          <w:sz w:val="20"/>
          <w:szCs w:val="20"/>
        </w:rPr>
        <w:t>df</w:t>
      </w:r>
      <w:proofErr w:type="spellEnd"/>
      <w:r w:rsidR="4D1793A4" w:rsidRPr="1CF6FB43">
        <w:rPr>
          <w:rFonts w:ascii="Garamond" w:hAnsi="Garamond" w:cs="Times New Roman"/>
          <w:b/>
          <w:bCs/>
          <w:sz w:val="20"/>
          <w:szCs w:val="20"/>
        </w:rPr>
        <w:t xml:space="preserve"> = 2330</w:t>
      </w:r>
      <w:r w:rsidRPr="1CF6FB43">
        <w:rPr>
          <w:rFonts w:ascii="Garamond" w:hAnsi="Garamond" w:cs="Times New Roman"/>
          <w:b/>
          <w:bCs/>
          <w:sz w:val="20"/>
          <w:szCs w:val="20"/>
        </w:rPr>
        <w:t>)</w:t>
      </w:r>
      <w:r w:rsidR="7E82D930" w:rsidRPr="1CF6FB43">
        <w:rPr>
          <w:rFonts w:ascii="Garamond" w:hAnsi="Garamond" w:cs="Times New Roman"/>
          <w:b/>
          <w:bCs/>
          <w:sz w:val="20"/>
          <w:szCs w:val="20"/>
        </w:rPr>
        <w:t xml:space="preserve">  </w:t>
      </w:r>
    </w:p>
    <w:p w14:paraId="73836570" w14:textId="346010C5" w:rsidR="00673F3D" w:rsidRPr="00123559" w:rsidRDefault="00F36432" w:rsidP="00E5632D">
      <w:pPr>
        <w:adjustRightInd w:val="0"/>
        <w:snapToGrid w:val="0"/>
        <w:spacing w:after="120"/>
        <w:jc w:val="both"/>
        <w:rPr>
          <w:rFonts w:ascii="Garamond" w:hAnsi="Garamond"/>
        </w:rPr>
      </w:pPr>
      <w:r w:rsidRPr="00F36432">
        <w:rPr>
          <w:rFonts w:ascii="Garamond" w:hAnsi="Garamond"/>
          <w:noProof/>
        </w:rPr>
        <w:drawing>
          <wp:inline distT="0" distB="0" distL="0" distR="0" wp14:anchorId="647035D9" wp14:editId="2579A32B">
            <wp:extent cx="4257675" cy="2588114"/>
            <wp:effectExtent l="0" t="0" r="0" b="3175"/>
            <wp:docPr id="413726180" name="Picture 1" descr="A screenshot of 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6180" name="Picture 1" descr="A screenshot of a report&#10;&#10;Description automatically generated"/>
                    <pic:cNvPicPr/>
                  </pic:nvPicPr>
                  <pic:blipFill>
                    <a:blip r:embed="rId12"/>
                    <a:stretch>
                      <a:fillRect/>
                    </a:stretch>
                  </pic:blipFill>
                  <pic:spPr>
                    <a:xfrm>
                      <a:off x="0" y="0"/>
                      <a:ext cx="4268146" cy="2594479"/>
                    </a:xfrm>
                    <a:prstGeom prst="rect">
                      <a:avLst/>
                    </a:prstGeom>
                  </pic:spPr>
                </pic:pic>
              </a:graphicData>
            </a:graphic>
          </wp:inline>
        </w:drawing>
      </w:r>
    </w:p>
    <w:p w14:paraId="41D631C8" w14:textId="677980F5" w:rsidR="001A51D6" w:rsidRPr="00B570E1" w:rsidRDefault="00673F3D" w:rsidP="00E5632D">
      <w:pPr>
        <w:adjustRightInd w:val="0"/>
        <w:snapToGrid w:val="0"/>
        <w:spacing w:after="120"/>
        <w:jc w:val="both"/>
        <w:rPr>
          <w:rFonts w:ascii="Garamond" w:hAnsi="Garamond" w:cs="Times New Roman"/>
          <w:b/>
          <w:bCs/>
        </w:rPr>
      </w:pPr>
      <w:r w:rsidRPr="00CD2E6D">
        <w:rPr>
          <w:rFonts w:ascii="Garamond" w:hAnsi="Garamond" w:cs="Times New Roman"/>
        </w:rPr>
        <w:br w:type="page"/>
      </w:r>
      <w:r w:rsidR="001A51D6" w:rsidRPr="00B570E1">
        <w:rPr>
          <w:rFonts w:ascii="Garamond" w:hAnsi="Garamond" w:cs="Times New Roman"/>
          <w:b/>
          <w:bCs/>
        </w:rPr>
        <w:lastRenderedPageBreak/>
        <w:t>A.</w:t>
      </w:r>
      <w:r w:rsidR="00DE7D69" w:rsidRPr="00B570E1">
        <w:rPr>
          <w:rFonts w:ascii="Garamond" w:hAnsi="Garamond" w:cs="Times New Roman"/>
          <w:b/>
          <w:bCs/>
        </w:rPr>
        <w:t>7</w:t>
      </w:r>
      <w:r w:rsidR="001A51D6" w:rsidRPr="00B570E1">
        <w:rPr>
          <w:rFonts w:ascii="Garamond" w:hAnsi="Garamond" w:cs="Times New Roman"/>
          <w:b/>
          <w:bCs/>
        </w:rPr>
        <w:t xml:space="preserve">. Regional country allocations (for the Council </w:t>
      </w:r>
      <w:r w:rsidR="00161A42">
        <w:rPr>
          <w:rFonts w:ascii="Garamond" w:hAnsi="Garamond" w:cs="Times New Roman"/>
          <w:b/>
          <w:bCs/>
        </w:rPr>
        <w:t>P</w:t>
      </w:r>
      <w:r w:rsidR="001A51D6" w:rsidRPr="00B570E1">
        <w:rPr>
          <w:rFonts w:ascii="Garamond" w:hAnsi="Garamond" w:cs="Times New Roman"/>
          <w:b/>
          <w:bCs/>
        </w:rPr>
        <w:t>residency control variable)</w:t>
      </w:r>
    </w:p>
    <w:p w14:paraId="1F30F6D7" w14:textId="77777777" w:rsidR="00C80D9E" w:rsidRPr="00CD2E6D" w:rsidRDefault="00C80D9E" w:rsidP="00E5632D">
      <w:pPr>
        <w:adjustRightInd w:val="0"/>
        <w:snapToGrid w:val="0"/>
        <w:spacing w:after="120"/>
        <w:jc w:val="both"/>
        <w:rPr>
          <w:rFonts w:ascii="Garamond" w:hAnsi="Garamond" w:cs="Times New Roman"/>
        </w:rPr>
      </w:pPr>
    </w:p>
    <w:p w14:paraId="51408FD6" w14:textId="77777777" w:rsidR="001A51D6" w:rsidRPr="00CD2E6D" w:rsidRDefault="001A51D6" w:rsidP="00E5632D">
      <w:pPr>
        <w:adjustRightInd w:val="0"/>
        <w:snapToGrid w:val="0"/>
        <w:spacing w:after="120"/>
        <w:jc w:val="both"/>
        <w:rPr>
          <w:rFonts w:ascii="Garamond" w:hAnsi="Garamond" w:cs="Times New Roman"/>
        </w:rPr>
      </w:pPr>
      <w:r w:rsidRPr="00CD2E6D">
        <w:rPr>
          <w:rFonts w:ascii="Garamond" w:hAnsi="Garamond" w:cs="Times New Roman"/>
        </w:rPr>
        <w:t>Northern = Denmark, Sweden, Finland; Western = Austria, Belgium, France, Germany, Ireland, Luxembourg, Netherlands, United Kingdom; Southern = Cyprus, Greece, Italy, Malta, Portugal, Spain; Central and Eastern European (CEE) = Bulgaria, Czechia, Estonia, Hungary, Latvia, Lithuania, Poland, Romania, Slovakia, Slovenia. No Croatian presidencies in this (pre-2020) dataset.</w:t>
      </w:r>
    </w:p>
    <w:p w14:paraId="34DAD7D7" w14:textId="455D002D" w:rsidR="001A51D6" w:rsidRDefault="65488507" w:rsidP="00E5632D">
      <w:pPr>
        <w:adjustRightInd w:val="0"/>
        <w:snapToGrid w:val="0"/>
        <w:spacing w:after="120"/>
        <w:jc w:val="both"/>
        <w:rPr>
          <w:rFonts w:ascii="Garamond" w:hAnsi="Garamond" w:cs="Times New Roman"/>
        </w:rPr>
      </w:pPr>
      <w:r w:rsidRPr="1CF6FB43">
        <w:rPr>
          <w:rFonts w:ascii="Garamond" w:hAnsi="Garamond" w:cs="Times New Roman"/>
        </w:rPr>
        <w:t>The foregoing regional categorizations were tested sequentially in Model 2, in which we subject Hypothesis 1 to a battery of robustness checks</w:t>
      </w:r>
      <w:r w:rsidR="448274CE" w:rsidRPr="1CF6FB43">
        <w:rPr>
          <w:rFonts w:ascii="Garamond" w:hAnsi="Garamond" w:cs="Times New Roman"/>
        </w:rPr>
        <w:t xml:space="preserve">. </w:t>
      </w:r>
      <w:r w:rsidRPr="1CF6FB43">
        <w:rPr>
          <w:rFonts w:ascii="Garamond" w:hAnsi="Garamond" w:cs="Times New Roman"/>
        </w:rPr>
        <w:t xml:space="preserve">We </w:t>
      </w:r>
      <w:bookmarkStart w:id="7" w:name="_Int_2YMl7jpU"/>
      <w:r w:rsidRPr="1CF6FB43">
        <w:rPr>
          <w:rFonts w:ascii="Garamond" w:hAnsi="Garamond" w:cs="Times New Roman"/>
        </w:rPr>
        <w:t>elected to</w:t>
      </w:r>
      <w:bookmarkEnd w:id="7"/>
      <w:r w:rsidRPr="1CF6FB43">
        <w:rPr>
          <w:rFonts w:ascii="Garamond" w:hAnsi="Garamond" w:cs="Times New Roman"/>
        </w:rPr>
        <w:t xml:space="preserve"> group member states by region, rather than regress them individually, as the latter would result in small-</w:t>
      </w:r>
      <w:r w:rsidRPr="00DF770F">
        <w:rPr>
          <w:rFonts w:ascii="Garamond" w:hAnsi="Garamond" w:cs="Times New Roman"/>
          <w:i/>
          <w:iCs/>
        </w:rPr>
        <w:t>n</w:t>
      </w:r>
      <w:r w:rsidRPr="1CF6FB43">
        <w:rPr>
          <w:rFonts w:ascii="Garamond" w:hAnsi="Garamond" w:cs="Times New Roman"/>
        </w:rPr>
        <w:t xml:space="preserve"> samples, particularly in the later years, as more countries joined the EU.</w:t>
      </w:r>
    </w:p>
    <w:p w14:paraId="2B1E23C1" w14:textId="77777777" w:rsidR="00C80D9E" w:rsidRPr="00CD2E6D" w:rsidRDefault="00C80D9E" w:rsidP="00E5632D">
      <w:pPr>
        <w:adjustRightInd w:val="0"/>
        <w:snapToGrid w:val="0"/>
        <w:spacing w:after="120"/>
        <w:jc w:val="both"/>
        <w:rPr>
          <w:rFonts w:ascii="Garamond" w:hAnsi="Garamond" w:cs="Times New Roman"/>
        </w:rPr>
      </w:pPr>
    </w:p>
    <w:p w14:paraId="6EE1EEF7" w14:textId="72C5D34A" w:rsidR="00BD50E0" w:rsidRPr="00123559" w:rsidRDefault="00BD50E0" w:rsidP="00E5632D">
      <w:pPr>
        <w:adjustRightInd w:val="0"/>
        <w:snapToGrid w:val="0"/>
        <w:spacing w:after="120"/>
        <w:jc w:val="both"/>
        <w:rPr>
          <w:rFonts w:ascii="Garamond" w:hAnsi="Garamond" w:cs="Times New Roman"/>
          <w:b/>
          <w:bCs/>
          <w:sz w:val="20"/>
          <w:szCs w:val="20"/>
        </w:rPr>
      </w:pPr>
      <w:r w:rsidRPr="00123559">
        <w:rPr>
          <w:rFonts w:ascii="Garamond" w:hAnsi="Garamond" w:cs="Times New Roman"/>
          <w:b/>
          <w:bCs/>
          <w:sz w:val="20"/>
          <w:szCs w:val="20"/>
        </w:rPr>
        <w:t>Table A.</w:t>
      </w:r>
      <w:r w:rsidRPr="00CD2E6D">
        <w:rPr>
          <w:rFonts w:ascii="Garamond" w:hAnsi="Garamond" w:cs="Times New Roman"/>
          <w:b/>
          <w:bCs/>
          <w:sz w:val="20"/>
          <w:szCs w:val="20"/>
        </w:rPr>
        <w:t>7</w:t>
      </w:r>
      <w:r w:rsidRPr="00123559">
        <w:rPr>
          <w:rFonts w:ascii="Garamond" w:hAnsi="Garamond" w:cs="Times New Roman"/>
          <w:b/>
          <w:bCs/>
          <w:sz w:val="20"/>
          <w:szCs w:val="20"/>
        </w:rPr>
        <w:t>.: Northern Council Presidencies</w:t>
      </w:r>
    </w:p>
    <w:p w14:paraId="216B16B4" w14:textId="2E274758" w:rsidR="001A51D6" w:rsidRPr="00CD2E6D" w:rsidRDefault="001A51D6" w:rsidP="3766A608">
      <w:pPr>
        <w:adjustRightInd w:val="0"/>
        <w:snapToGrid w:val="0"/>
        <w:spacing w:after="120"/>
        <w:jc w:val="both"/>
      </w:pPr>
    </w:p>
    <w:p w14:paraId="7BAF9464" w14:textId="14917F68" w:rsidR="00C5246C" w:rsidRPr="00B570E1" w:rsidRDefault="7D61CD47" w:rsidP="001075E5">
      <w:pPr>
        <w:adjustRightInd w:val="0"/>
        <w:snapToGrid w:val="0"/>
        <w:spacing w:after="120"/>
        <w:jc w:val="both"/>
        <w:rPr>
          <w:rFonts w:ascii="Garamond" w:hAnsi="Garamond"/>
          <w:b/>
          <w:bCs/>
        </w:rPr>
      </w:pPr>
      <w:r>
        <w:rPr>
          <w:noProof/>
        </w:rPr>
        <w:drawing>
          <wp:inline distT="0" distB="0" distL="0" distR="0" wp14:anchorId="40009DDB" wp14:editId="4AFFACF3">
            <wp:extent cx="5000625" cy="2599195"/>
            <wp:effectExtent l="0" t="0" r="0" b="0"/>
            <wp:docPr id="1340939688" name="Picture 134093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000625" cy="2599195"/>
                    </a:xfrm>
                    <a:prstGeom prst="rect">
                      <a:avLst/>
                    </a:prstGeom>
                  </pic:spPr>
                </pic:pic>
              </a:graphicData>
            </a:graphic>
          </wp:inline>
        </w:drawing>
      </w:r>
    </w:p>
    <w:p w14:paraId="2131D62E" w14:textId="5068CFCE" w:rsidR="00C5246C" w:rsidRPr="00B570E1" w:rsidRDefault="001A51D6" w:rsidP="6100115E">
      <w:pPr>
        <w:adjustRightInd w:val="0"/>
        <w:snapToGrid w:val="0"/>
        <w:spacing w:after="120"/>
        <w:jc w:val="both"/>
        <w:rPr>
          <w:rFonts w:ascii="Garamond" w:hAnsi="Garamond"/>
          <w:b/>
          <w:bCs/>
        </w:rPr>
      </w:pPr>
      <w:r w:rsidRPr="6100115E">
        <w:rPr>
          <w:rFonts w:ascii="Garamond" w:hAnsi="Garamond" w:cs="Times New Roman"/>
        </w:rPr>
        <w:br w:type="page"/>
      </w:r>
      <w:r w:rsidR="00C5246C" w:rsidRPr="6100115E">
        <w:rPr>
          <w:rFonts w:ascii="Garamond" w:hAnsi="Garamond"/>
          <w:b/>
          <w:bCs/>
        </w:rPr>
        <w:lastRenderedPageBreak/>
        <w:t>A.</w:t>
      </w:r>
      <w:r w:rsidR="00DE7D69" w:rsidRPr="6100115E">
        <w:rPr>
          <w:rFonts w:ascii="Garamond" w:hAnsi="Garamond"/>
          <w:b/>
          <w:bCs/>
        </w:rPr>
        <w:t>8</w:t>
      </w:r>
      <w:r w:rsidR="00C5246C" w:rsidRPr="6100115E">
        <w:rPr>
          <w:rFonts w:ascii="Garamond" w:hAnsi="Garamond"/>
          <w:b/>
          <w:bCs/>
        </w:rPr>
        <w:t>. Agenda items</w:t>
      </w:r>
    </w:p>
    <w:p w14:paraId="0FF25DFC" w14:textId="77777777" w:rsidR="00C5246C" w:rsidRPr="00CD2E6D" w:rsidRDefault="00C5246C" w:rsidP="00E5632D">
      <w:pPr>
        <w:adjustRightInd w:val="0"/>
        <w:snapToGrid w:val="0"/>
        <w:spacing w:after="120"/>
        <w:jc w:val="both"/>
        <w:rPr>
          <w:rFonts w:ascii="Garamond" w:hAnsi="Garamond"/>
        </w:rPr>
      </w:pPr>
    </w:p>
    <w:p w14:paraId="5A98B499" w14:textId="77777777" w:rsidR="002E0D47" w:rsidRDefault="00C5246C" w:rsidP="002E0D47">
      <w:pPr>
        <w:adjustRightInd w:val="0"/>
        <w:snapToGrid w:val="0"/>
        <w:spacing w:after="120"/>
        <w:jc w:val="both"/>
        <w:rPr>
          <w:rFonts w:ascii="Garamond" w:hAnsi="Garamond" w:cs="Arial"/>
        </w:rPr>
      </w:pPr>
      <w:r w:rsidRPr="46B242CB">
        <w:rPr>
          <w:rFonts w:ascii="Garamond" w:hAnsi="Garamond"/>
        </w:rPr>
        <w:t xml:space="preserve">The dependent variable in this study is the </w:t>
      </w:r>
      <w:r w:rsidR="0D88A0BA" w:rsidRPr="46B242CB">
        <w:rPr>
          <w:rFonts w:ascii="Garamond" w:hAnsi="Garamond"/>
        </w:rPr>
        <w:t>incidence of meal breaks</w:t>
      </w:r>
      <w:r w:rsidRPr="46B242CB">
        <w:rPr>
          <w:rFonts w:ascii="Garamond" w:hAnsi="Garamond"/>
        </w:rPr>
        <w:t xml:space="preserve"> recorded by the Council Secretariat. </w:t>
      </w:r>
      <w:r w:rsidR="328C5EC6" w:rsidRPr="46B242CB">
        <w:rPr>
          <w:rFonts w:ascii="Garamond" w:hAnsi="Garamond" w:cs="Arial"/>
        </w:rPr>
        <w:t xml:space="preserve">Although </w:t>
      </w:r>
      <w:r w:rsidR="55C7AC03" w:rsidRPr="46B242CB">
        <w:rPr>
          <w:rFonts w:ascii="Garamond" w:hAnsi="Garamond" w:cs="Arial"/>
        </w:rPr>
        <w:t xml:space="preserve">it is customary to </w:t>
      </w:r>
      <w:r w:rsidR="1705BEC8" w:rsidRPr="46B242CB">
        <w:rPr>
          <w:rFonts w:ascii="Garamond" w:hAnsi="Garamond" w:cs="Arial"/>
        </w:rPr>
        <w:t xml:space="preserve">adjourn </w:t>
      </w:r>
      <w:r w:rsidR="55C7AC03" w:rsidRPr="46B242CB">
        <w:rPr>
          <w:rFonts w:ascii="Garamond" w:hAnsi="Garamond" w:cs="Arial"/>
        </w:rPr>
        <w:t>for lunch</w:t>
      </w:r>
      <w:r w:rsidRPr="46B242CB">
        <w:rPr>
          <w:rFonts w:ascii="Garamond" w:hAnsi="Garamond" w:cs="Arial"/>
        </w:rPr>
        <w:t xml:space="preserve">, the Council Secretariat only </w:t>
      </w:r>
      <w:r w:rsidR="35DF1212" w:rsidRPr="46B242CB">
        <w:rPr>
          <w:rFonts w:ascii="Garamond" w:hAnsi="Garamond" w:cs="Arial"/>
        </w:rPr>
        <w:t xml:space="preserve">makes an official note of these breaks </w:t>
      </w:r>
      <w:r w:rsidRPr="46B242CB">
        <w:rPr>
          <w:rFonts w:ascii="Garamond" w:hAnsi="Garamond" w:cs="Arial"/>
        </w:rPr>
        <w:t>when they deem the</w:t>
      </w:r>
      <w:r w:rsidR="75F7854A" w:rsidRPr="46B242CB">
        <w:rPr>
          <w:rFonts w:ascii="Garamond" w:hAnsi="Garamond" w:cs="Arial"/>
        </w:rPr>
        <w:t xml:space="preserve"> attendant</w:t>
      </w:r>
      <w:r w:rsidRPr="46B242CB">
        <w:rPr>
          <w:rFonts w:ascii="Garamond" w:hAnsi="Garamond" w:cs="Arial"/>
        </w:rPr>
        <w:t xml:space="preserve"> discussions</w:t>
      </w:r>
      <w:r w:rsidR="4251EA46" w:rsidRPr="46B242CB">
        <w:rPr>
          <w:rFonts w:ascii="Garamond" w:hAnsi="Garamond" w:cs="Arial"/>
        </w:rPr>
        <w:t xml:space="preserve"> to be</w:t>
      </w:r>
      <w:r w:rsidRPr="46B242CB">
        <w:rPr>
          <w:rFonts w:ascii="Garamond" w:hAnsi="Garamond" w:cs="Arial"/>
        </w:rPr>
        <w:t xml:space="preserve"> of public interest. As a result, the dependent variable measures </w:t>
      </w:r>
      <w:bookmarkStart w:id="8" w:name="_Int_gnfH9e9O"/>
      <w:r w:rsidRPr="46B242CB">
        <w:rPr>
          <w:rFonts w:ascii="Garamond" w:hAnsi="Garamond" w:cs="Arial"/>
        </w:rPr>
        <w:t>not</w:t>
      </w:r>
      <w:bookmarkEnd w:id="8"/>
      <w:r w:rsidRPr="46B242CB">
        <w:rPr>
          <w:rFonts w:ascii="Garamond" w:hAnsi="Garamond" w:cs="Arial"/>
        </w:rPr>
        <w:t xml:space="preserve"> the occurrence of informal meal breaks per se, but more specifically informal meal breaks that the ministers used to discuss EU affairs (thereby excluding breaks that were solely used for sustenance).</w:t>
      </w:r>
      <w:r w:rsidR="002E0D47">
        <w:rPr>
          <w:rFonts w:ascii="Garamond" w:hAnsi="Garamond" w:cs="Arial"/>
        </w:rPr>
        <w:t xml:space="preserve"> Since lunch breaks are an integral part of each Council meeting, there is little risk that governments manipulate the agenda to create opportunities for lunch breaks (“post-treatment bias”).</w:t>
      </w:r>
    </w:p>
    <w:p w14:paraId="35317A43" w14:textId="6F21C31F" w:rsidR="00C5246C" w:rsidRDefault="00C5246C" w:rsidP="00E5632D">
      <w:pPr>
        <w:adjustRightInd w:val="0"/>
        <w:snapToGrid w:val="0"/>
        <w:spacing w:after="120"/>
        <w:jc w:val="both"/>
        <w:rPr>
          <w:rFonts w:ascii="Garamond" w:hAnsi="Garamond" w:cs="Arial"/>
        </w:rPr>
      </w:pPr>
      <w:r w:rsidRPr="764C7FBC">
        <w:rPr>
          <w:rFonts w:ascii="Garamond" w:hAnsi="Garamond" w:cs="Arial"/>
        </w:rPr>
        <w:t xml:space="preserve">To </w:t>
      </w:r>
      <w:bookmarkStart w:id="9" w:name="_Int_ntygyNYS"/>
      <w:r w:rsidRPr="764C7FBC">
        <w:rPr>
          <w:rFonts w:ascii="Garamond" w:hAnsi="Garamond" w:cs="Arial"/>
        </w:rPr>
        <w:t>control for</w:t>
      </w:r>
      <w:bookmarkEnd w:id="9"/>
      <w:r w:rsidRPr="764C7FBC">
        <w:rPr>
          <w:rFonts w:ascii="Garamond" w:hAnsi="Garamond" w:cs="Arial"/>
        </w:rPr>
        <w:t xml:space="preserve"> the number of sensitive items that governments must deal with in each Council session, we collected data on the number of agenda items per session. Considering that several sensitive items could in principle be discussed during the same meal break, we use the natural log of agenda items, </w:t>
      </w:r>
      <w:r w:rsidR="59653DA9" w:rsidRPr="764C7FBC">
        <w:rPr>
          <w:rFonts w:ascii="Garamond" w:hAnsi="Garamond" w:cs="Arial"/>
        </w:rPr>
        <w:t>to account for</w:t>
      </w:r>
      <w:r w:rsidRPr="764C7FBC">
        <w:rPr>
          <w:rFonts w:ascii="Garamond" w:hAnsi="Garamond" w:cs="Arial"/>
        </w:rPr>
        <w:t xml:space="preserve"> the fact that the relationship between the chances of encountering </w:t>
      </w:r>
      <w:r w:rsidRPr="00F94C64">
        <w:rPr>
          <w:rFonts w:ascii="Garamond" w:hAnsi="Garamond" w:cs="Arial"/>
        </w:rPr>
        <w:t>a sensitive item and the use of meal breaks is</w:t>
      </w:r>
      <w:r w:rsidR="3DFD10EB" w:rsidRPr="00F94C64">
        <w:rPr>
          <w:rFonts w:ascii="Garamond" w:hAnsi="Garamond" w:cs="Arial"/>
        </w:rPr>
        <w:t xml:space="preserve"> nonlinear</w:t>
      </w:r>
      <w:r w:rsidRPr="00F94C64">
        <w:rPr>
          <w:rFonts w:ascii="Garamond" w:hAnsi="Garamond" w:cs="Arial"/>
        </w:rPr>
        <w:t>.</w:t>
      </w:r>
    </w:p>
    <w:p w14:paraId="1C97B0DB" w14:textId="77777777" w:rsidR="00357303" w:rsidRPr="00F94C64" w:rsidRDefault="00357303" w:rsidP="00E5632D">
      <w:pPr>
        <w:adjustRightInd w:val="0"/>
        <w:snapToGrid w:val="0"/>
        <w:spacing w:after="120"/>
        <w:jc w:val="both"/>
        <w:rPr>
          <w:rFonts w:ascii="Garamond" w:hAnsi="Garamond" w:cs="Arial"/>
        </w:rPr>
      </w:pPr>
    </w:p>
    <w:p w14:paraId="5330728C" w14:textId="7738D3CC" w:rsidR="00DE7D69" w:rsidRPr="00B570E1" w:rsidRDefault="00C5246C" w:rsidP="00E5632D">
      <w:pPr>
        <w:adjustRightInd w:val="0"/>
        <w:snapToGrid w:val="0"/>
        <w:spacing w:after="120"/>
        <w:jc w:val="both"/>
        <w:rPr>
          <w:rFonts w:ascii="Garamond" w:hAnsi="Garamond" w:cs="Times New Roman"/>
          <w:b/>
          <w:bCs/>
        </w:rPr>
      </w:pPr>
      <w:r w:rsidRPr="00CD2E6D">
        <w:rPr>
          <w:rFonts w:ascii="Garamond" w:hAnsi="Garamond"/>
          <w:b/>
          <w:bCs/>
        </w:rPr>
        <w:br w:type="page"/>
      </w:r>
      <w:r w:rsidR="00DE7D69" w:rsidRPr="00B570E1">
        <w:rPr>
          <w:rFonts w:ascii="Garamond" w:hAnsi="Garamond" w:cs="Times New Roman"/>
          <w:b/>
          <w:bCs/>
        </w:rPr>
        <w:lastRenderedPageBreak/>
        <w:t>A.9. Time series considerations</w:t>
      </w:r>
    </w:p>
    <w:p w14:paraId="2E2C0E86" w14:textId="77777777" w:rsidR="00C80D9E" w:rsidRPr="00CD2E6D" w:rsidRDefault="00C80D9E" w:rsidP="00E5632D">
      <w:pPr>
        <w:adjustRightInd w:val="0"/>
        <w:snapToGrid w:val="0"/>
        <w:spacing w:after="120"/>
        <w:jc w:val="both"/>
        <w:rPr>
          <w:rFonts w:ascii="Garamond" w:hAnsi="Garamond" w:cs="Times New Roman"/>
        </w:rPr>
      </w:pPr>
    </w:p>
    <w:p w14:paraId="33BF6D3A" w14:textId="7703E41B" w:rsidR="00DE7D69" w:rsidRPr="00CD2E6D" w:rsidRDefault="3269B9B8" w:rsidP="00E5632D">
      <w:pPr>
        <w:adjustRightInd w:val="0"/>
        <w:snapToGrid w:val="0"/>
        <w:spacing w:after="120"/>
        <w:jc w:val="both"/>
        <w:rPr>
          <w:rFonts w:ascii="Garamond" w:hAnsi="Garamond" w:cs="Times New Roman"/>
        </w:rPr>
      </w:pPr>
      <w:r w:rsidRPr="1CF6FB43">
        <w:rPr>
          <w:rFonts w:ascii="Garamond" w:hAnsi="Garamond" w:cs="Times New Roman"/>
        </w:rPr>
        <w:t xml:space="preserve">As our dataset is a time-series, and certain of our variables are – broadly speaking – increasing over time, we ran checks to assess the influence of time and to remove its effects from our analysis.  To test for </w:t>
      </w:r>
      <w:r w:rsidR="41D9E799" w:rsidRPr="1CF6FB43">
        <w:rPr>
          <w:rFonts w:ascii="Garamond" w:hAnsi="Garamond" w:cs="Times New Roman"/>
        </w:rPr>
        <w:t>stationarity,</w:t>
      </w:r>
      <w:r w:rsidRPr="1CF6FB43">
        <w:rPr>
          <w:rFonts w:ascii="Garamond" w:hAnsi="Garamond" w:cs="Times New Roman"/>
        </w:rPr>
        <w:t xml:space="preserve"> we ran an augmented Dickey-Fuller (ADF) test against the meal count data, and its test statistic (-10.1</w:t>
      </w:r>
      <w:r w:rsidR="2DE321EF" w:rsidRPr="1CF6FB43">
        <w:rPr>
          <w:rFonts w:ascii="Garamond" w:hAnsi="Garamond" w:cs="Times New Roman"/>
        </w:rPr>
        <w:t>4</w:t>
      </w:r>
      <w:r w:rsidRPr="1CF6FB43">
        <w:rPr>
          <w:rFonts w:ascii="Garamond" w:hAnsi="Garamond" w:cs="Times New Roman"/>
        </w:rPr>
        <w:t xml:space="preserve">) and p-value (&lt;0.01) did not provide conclusive evidence of </w:t>
      </w:r>
      <w:r w:rsidRPr="1CF6FB43">
        <w:rPr>
          <w:rFonts w:ascii="Garamond" w:hAnsi="Garamond" w:cs="Times New Roman"/>
          <w:i/>
          <w:iCs/>
        </w:rPr>
        <w:t>non</w:t>
      </w:r>
      <w:r w:rsidRPr="1CF6FB43">
        <w:rPr>
          <w:rFonts w:ascii="Garamond" w:hAnsi="Garamond" w:cs="Times New Roman"/>
        </w:rPr>
        <w:t>-stationarity</w:t>
      </w:r>
      <w:r w:rsidR="4CFA7D0F" w:rsidRPr="1CF6FB43">
        <w:rPr>
          <w:rFonts w:ascii="Garamond" w:hAnsi="Garamond" w:cs="Times New Roman"/>
        </w:rPr>
        <w:t xml:space="preserve">. </w:t>
      </w:r>
      <w:r w:rsidRPr="1CF6FB43">
        <w:rPr>
          <w:rFonts w:ascii="Garamond" w:hAnsi="Garamond" w:cs="Times New Roman"/>
        </w:rPr>
        <w:t xml:space="preserve">However, a similar test applied to aggregated (semester-level) meal data did suggest non-stationarity (with </w:t>
      </w:r>
      <w:r w:rsidRPr="00DF770F">
        <w:rPr>
          <w:rFonts w:ascii="Garamond" w:hAnsi="Garamond" w:cs="Times New Roman"/>
          <w:i/>
          <w:iCs/>
        </w:rPr>
        <w:t>p</w:t>
      </w:r>
      <w:r w:rsidRPr="1CF6FB43">
        <w:rPr>
          <w:rFonts w:ascii="Garamond" w:hAnsi="Garamond" w:cs="Times New Roman"/>
        </w:rPr>
        <w:t xml:space="preserve"> = 0.9025)</w:t>
      </w:r>
      <w:r w:rsidR="7F01B592" w:rsidRPr="1CF6FB43">
        <w:rPr>
          <w:rFonts w:ascii="Garamond" w:hAnsi="Garamond" w:cs="Times New Roman"/>
        </w:rPr>
        <w:t xml:space="preserve">. </w:t>
      </w:r>
    </w:p>
    <w:p w14:paraId="72CF5761" w14:textId="6D3DB030" w:rsidR="00DE7D69" w:rsidRPr="00CD2E6D" w:rsidRDefault="00DE7D69" w:rsidP="00E5632D">
      <w:pPr>
        <w:adjustRightInd w:val="0"/>
        <w:snapToGrid w:val="0"/>
        <w:spacing w:after="120"/>
        <w:jc w:val="both"/>
        <w:rPr>
          <w:rFonts w:ascii="Garamond" w:hAnsi="Garamond" w:cs="Times New Roman"/>
        </w:rPr>
      </w:pPr>
      <w:r w:rsidRPr="764C7FBC">
        <w:rPr>
          <w:rFonts w:ascii="Garamond" w:hAnsi="Garamond" w:cs="Times New Roman"/>
        </w:rPr>
        <w:t xml:space="preserve">To check for </w:t>
      </w:r>
      <w:proofErr w:type="gramStart"/>
      <w:r w:rsidRPr="764C7FBC">
        <w:rPr>
          <w:rFonts w:ascii="Garamond" w:hAnsi="Garamond" w:cs="Times New Roman"/>
        </w:rPr>
        <w:t>auto-correlation</w:t>
      </w:r>
      <w:proofErr w:type="gramEnd"/>
      <w:r w:rsidRPr="764C7FBC">
        <w:rPr>
          <w:rFonts w:ascii="Garamond" w:hAnsi="Garamond" w:cs="Times New Roman"/>
        </w:rPr>
        <w:t xml:space="preserve"> we plotted (using the </w:t>
      </w:r>
      <w:proofErr w:type="spellStart"/>
      <w:r w:rsidRPr="764C7FBC">
        <w:rPr>
          <w:rFonts w:ascii="Garamond" w:hAnsi="Garamond" w:cs="Times New Roman"/>
          <w:i/>
          <w:iCs/>
        </w:rPr>
        <w:t>acf</w:t>
      </w:r>
      <w:proofErr w:type="spellEnd"/>
      <w:r w:rsidRPr="764C7FBC">
        <w:rPr>
          <w:rFonts w:ascii="Garamond" w:hAnsi="Garamond" w:cs="Times New Roman"/>
          <w:i/>
          <w:iCs/>
        </w:rPr>
        <w:t xml:space="preserve"> </w:t>
      </w:r>
      <w:r w:rsidRPr="764C7FBC">
        <w:rPr>
          <w:rFonts w:ascii="Garamond" w:hAnsi="Garamond" w:cs="Times New Roman"/>
        </w:rPr>
        <w:t xml:space="preserve">function implemented in the </w:t>
      </w:r>
      <w:proofErr w:type="spellStart"/>
      <w:r w:rsidRPr="764C7FBC">
        <w:rPr>
          <w:rFonts w:ascii="Garamond" w:hAnsi="Garamond" w:cs="Times New Roman"/>
          <w:i/>
          <w:iCs/>
        </w:rPr>
        <w:t>tseries</w:t>
      </w:r>
      <w:proofErr w:type="spellEnd"/>
      <w:r w:rsidRPr="764C7FBC">
        <w:rPr>
          <w:rFonts w:ascii="Garamond" w:hAnsi="Garamond" w:cs="Times New Roman"/>
          <w:i/>
          <w:iCs/>
        </w:rPr>
        <w:t xml:space="preserve"> </w:t>
      </w:r>
      <w:r w:rsidRPr="764C7FBC">
        <w:rPr>
          <w:rFonts w:ascii="Garamond" w:hAnsi="Garamond" w:cs="Times New Roman"/>
        </w:rPr>
        <w:t xml:space="preserve">R package) lagged auto-correlation, </w:t>
      </w:r>
      <w:r w:rsidR="208142E6" w:rsidRPr="764C7FBC">
        <w:rPr>
          <w:rFonts w:ascii="Garamond" w:hAnsi="Garamond" w:cs="Times New Roman"/>
        </w:rPr>
        <w:t>i.e.,</w:t>
      </w:r>
      <w:r w:rsidRPr="764C7FBC">
        <w:rPr>
          <w:rFonts w:ascii="Garamond" w:hAnsi="Garamond" w:cs="Times New Roman"/>
        </w:rPr>
        <w:t xml:space="preserve"> meal counts compared to lagged meal counts, against degrees of lag</w:t>
      </w:r>
      <w:r w:rsidR="257F9BC2" w:rsidRPr="764C7FBC">
        <w:rPr>
          <w:rFonts w:ascii="Garamond" w:hAnsi="Garamond" w:cs="Times New Roman"/>
        </w:rPr>
        <w:t xml:space="preserve">. </w:t>
      </w:r>
      <w:r w:rsidRPr="764C7FBC">
        <w:rPr>
          <w:rFonts w:ascii="Garamond" w:hAnsi="Garamond" w:cs="Times New Roman"/>
        </w:rPr>
        <w:t>These results did indicate a positive auto-correlation that tailed into negative territory about a third of the way through our time series; a partial auto-correlation (</w:t>
      </w:r>
      <w:proofErr w:type="spellStart"/>
      <w:r w:rsidRPr="764C7FBC">
        <w:rPr>
          <w:rFonts w:ascii="Garamond" w:hAnsi="Garamond" w:cs="Times New Roman"/>
          <w:i/>
          <w:iCs/>
        </w:rPr>
        <w:t>pacf</w:t>
      </w:r>
      <w:proofErr w:type="spellEnd"/>
      <w:r w:rsidRPr="764C7FBC">
        <w:rPr>
          <w:rFonts w:ascii="Garamond" w:hAnsi="Garamond" w:cs="Times New Roman"/>
        </w:rPr>
        <w:t xml:space="preserve">) test also indicated temporary (and erratic) levels of auto-correlation at small degrees of lag; and an </w:t>
      </w:r>
      <w:proofErr w:type="spellStart"/>
      <w:r w:rsidRPr="764C7FBC">
        <w:rPr>
          <w:rFonts w:ascii="Garamond" w:hAnsi="Garamond" w:cs="Times New Roman"/>
          <w:i/>
          <w:iCs/>
        </w:rPr>
        <w:t>acf</w:t>
      </w:r>
      <w:proofErr w:type="spellEnd"/>
      <w:r w:rsidRPr="764C7FBC">
        <w:rPr>
          <w:rFonts w:ascii="Garamond" w:hAnsi="Garamond" w:cs="Times New Roman"/>
        </w:rPr>
        <w:t xml:space="preserve"> plot using differenced meal counts (our dependent variable less its value at T-1), suggested that our dataset’s first order difference is not auto-correlated.  </w:t>
      </w:r>
    </w:p>
    <w:p w14:paraId="04A75209" w14:textId="4B258772" w:rsidR="00DE7D69" w:rsidRPr="00CD2E6D" w:rsidRDefault="3269B9B8" w:rsidP="00E5632D">
      <w:pPr>
        <w:adjustRightInd w:val="0"/>
        <w:snapToGrid w:val="0"/>
        <w:spacing w:after="120"/>
        <w:jc w:val="both"/>
        <w:rPr>
          <w:rFonts w:ascii="Garamond" w:hAnsi="Garamond" w:cs="Times New Roman"/>
        </w:rPr>
      </w:pPr>
      <w:r w:rsidRPr="1CF6FB43">
        <w:rPr>
          <w:rFonts w:ascii="Garamond" w:hAnsi="Garamond" w:cs="Times New Roman"/>
        </w:rPr>
        <w:t xml:space="preserve">It is important to note that non-stationarity and/or first-order </w:t>
      </w:r>
      <w:proofErr w:type="gramStart"/>
      <w:r w:rsidRPr="1CF6FB43">
        <w:rPr>
          <w:rFonts w:ascii="Garamond" w:hAnsi="Garamond" w:cs="Times New Roman"/>
        </w:rPr>
        <w:t>auto-correlation</w:t>
      </w:r>
      <w:proofErr w:type="gramEnd"/>
      <w:r w:rsidRPr="1CF6FB43">
        <w:rPr>
          <w:rFonts w:ascii="Garamond" w:hAnsi="Garamond" w:cs="Times New Roman"/>
        </w:rPr>
        <w:t xml:space="preserve"> are entirely compatible with the hypotheses we are testing, as most of our independent variables also increase with time</w:t>
      </w:r>
      <w:r w:rsidR="0343201F" w:rsidRPr="1CF6FB43">
        <w:rPr>
          <w:rFonts w:ascii="Garamond" w:hAnsi="Garamond" w:cs="Times New Roman"/>
        </w:rPr>
        <w:t xml:space="preserve">. </w:t>
      </w:r>
      <w:r w:rsidRPr="1CF6FB43">
        <w:rPr>
          <w:rFonts w:ascii="Garamond" w:hAnsi="Garamond" w:cs="Times New Roman"/>
        </w:rPr>
        <w:t>Indeed, we would expect their non-stationarities to be transmitted to our dependent variables; the question is how to remove their time-driven components from our regressions</w:t>
      </w:r>
      <w:r w:rsidR="134590B1" w:rsidRPr="1CF6FB43">
        <w:rPr>
          <w:rFonts w:ascii="Garamond" w:hAnsi="Garamond" w:cs="Times New Roman"/>
        </w:rPr>
        <w:t xml:space="preserve">. </w:t>
      </w:r>
      <w:r w:rsidRPr="1CF6FB43">
        <w:rPr>
          <w:rFonts w:ascii="Garamond" w:hAnsi="Garamond" w:cs="Times New Roman"/>
        </w:rPr>
        <w:t xml:space="preserve">To do this we tested the inclusion of a lagged dependent variable on the right side of our equations, however the statistical significances of these tests (for example </w:t>
      </w:r>
      <w:r w:rsidRPr="00DF770F">
        <w:rPr>
          <w:rFonts w:ascii="Garamond" w:hAnsi="Garamond" w:cs="Times New Roman"/>
          <w:i/>
          <w:iCs/>
        </w:rPr>
        <w:t>p</w:t>
      </w:r>
      <w:r w:rsidRPr="1CF6FB43">
        <w:rPr>
          <w:rFonts w:ascii="Garamond" w:hAnsi="Garamond" w:cs="Times New Roman"/>
        </w:rPr>
        <w:t xml:space="preserve"> = 0.476 in Model 1) suggested that this is an insufficient way of accounting for the non-stationarity that we observe</w:t>
      </w:r>
      <w:r w:rsidR="25B30C93" w:rsidRPr="1CF6FB43">
        <w:rPr>
          <w:rFonts w:ascii="Garamond" w:hAnsi="Garamond" w:cs="Times New Roman"/>
        </w:rPr>
        <w:t xml:space="preserve">. </w:t>
      </w:r>
      <w:r w:rsidRPr="1CF6FB43">
        <w:rPr>
          <w:rFonts w:ascii="Garamond" w:hAnsi="Garamond" w:cs="Times New Roman"/>
        </w:rPr>
        <w:t xml:space="preserve">This is not surprising given the inconclusive results of our initial </w:t>
      </w:r>
      <w:bookmarkStart w:id="10" w:name="_Int_kDDdi6u3"/>
      <w:r w:rsidRPr="1CF6FB43">
        <w:rPr>
          <w:rFonts w:ascii="Garamond" w:hAnsi="Garamond" w:cs="Times New Roman"/>
        </w:rPr>
        <w:t>stationarity</w:t>
      </w:r>
      <w:bookmarkEnd w:id="10"/>
      <w:r w:rsidRPr="1CF6FB43">
        <w:rPr>
          <w:rFonts w:ascii="Garamond" w:hAnsi="Garamond" w:cs="Times New Roman"/>
        </w:rPr>
        <w:t xml:space="preserve"> </w:t>
      </w:r>
      <w:bookmarkStart w:id="11" w:name="_Int_iptmNWs1"/>
      <w:proofErr w:type="gramStart"/>
      <w:r w:rsidRPr="1CF6FB43">
        <w:rPr>
          <w:rFonts w:ascii="Garamond" w:hAnsi="Garamond" w:cs="Times New Roman"/>
        </w:rPr>
        <w:t>tests, and</w:t>
      </w:r>
      <w:bookmarkEnd w:id="11"/>
      <w:proofErr w:type="gramEnd"/>
      <w:r w:rsidRPr="1CF6FB43">
        <w:rPr>
          <w:rFonts w:ascii="Garamond" w:hAnsi="Garamond" w:cs="Times New Roman"/>
        </w:rPr>
        <w:t xml:space="preserve"> given that our dataset consists of a lengthy set of low, countable numbers with a mode (most common value) of 0</w:t>
      </w:r>
      <w:r w:rsidR="15B7B8B1" w:rsidRPr="1CF6FB43">
        <w:rPr>
          <w:rFonts w:ascii="Garamond" w:hAnsi="Garamond" w:cs="Times New Roman"/>
        </w:rPr>
        <w:t xml:space="preserve">. </w:t>
      </w:r>
      <w:r w:rsidRPr="1CF6FB43">
        <w:rPr>
          <w:rFonts w:ascii="Garamond" w:hAnsi="Garamond" w:cs="Times New Roman"/>
        </w:rPr>
        <w:t>(This feature of our dataset also prevented us from regressing against the differenced meal counts, as negative numbers are incompatible with Poisson regressions.)  We therefore elected to use time as an independent variable on the left side of our equations, and in this approach the significance of the control variable, across all models, was much improved.</w:t>
      </w:r>
    </w:p>
    <w:p w14:paraId="2202C956" w14:textId="77777777" w:rsidR="00DE7D69" w:rsidRPr="00CD2E6D" w:rsidRDefault="00DE7D69" w:rsidP="00E5632D">
      <w:pPr>
        <w:pStyle w:val="ListParagraph"/>
        <w:adjustRightInd w:val="0"/>
        <w:snapToGrid w:val="0"/>
        <w:spacing w:after="120"/>
        <w:ind w:left="0"/>
        <w:contextualSpacing w:val="0"/>
        <w:jc w:val="both"/>
        <w:rPr>
          <w:rFonts w:ascii="Garamond" w:hAnsi="Garamond" w:cs="Times New Roman"/>
        </w:rPr>
      </w:pPr>
    </w:p>
    <w:p w14:paraId="72D2A216" w14:textId="5FF2A635" w:rsidR="00C5246C" w:rsidRPr="00CD2E6D" w:rsidRDefault="00DE7D69" w:rsidP="00B570E1">
      <w:pPr>
        <w:adjustRightInd w:val="0"/>
        <w:snapToGrid w:val="0"/>
        <w:spacing w:after="120"/>
        <w:jc w:val="both"/>
        <w:rPr>
          <w:rFonts w:ascii="Garamond" w:hAnsi="Garamond"/>
          <w:b/>
          <w:bCs/>
        </w:rPr>
      </w:pPr>
      <w:r w:rsidRPr="00CD2E6D">
        <w:rPr>
          <w:rFonts w:ascii="Garamond" w:hAnsi="Garamond" w:cs="Times New Roman"/>
        </w:rPr>
        <w:br w:type="page"/>
      </w:r>
    </w:p>
    <w:p w14:paraId="17264223" w14:textId="5A2223A8" w:rsidR="001A51D6" w:rsidRPr="00B570E1" w:rsidRDefault="001A51D6" w:rsidP="00E5632D">
      <w:pPr>
        <w:adjustRightInd w:val="0"/>
        <w:snapToGrid w:val="0"/>
        <w:spacing w:after="120"/>
        <w:jc w:val="both"/>
        <w:rPr>
          <w:rFonts w:ascii="Garamond" w:hAnsi="Garamond" w:cs="Times New Roman"/>
          <w:b/>
          <w:bCs/>
        </w:rPr>
      </w:pPr>
      <w:r w:rsidRPr="00B570E1">
        <w:rPr>
          <w:rFonts w:ascii="Garamond" w:hAnsi="Garamond" w:cs="Times New Roman"/>
          <w:b/>
          <w:bCs/>
        </w:rPr>
        <w:lastRenderedPageBreak/>
        <w:t>A.</w:t>
      </w:r>
      <w:r w:rsidR="00DE7D69" w:rsidRPr="00B570E1">
        <w:rPr>
          <w:rFonts w:ascii="Garamond" w:hAnsi="Garamond" w:cs="Times New Roman"/>
          <w:b/>
          <w:bCs/>
        </w:rPr>
        <w:t>10</w:t>
      </w:r>
      <w:r w:rsidRPr="00B570E1">
        <w:rPr>
          <w:rFonts w:ascii="Garamond" w:hAnsi="Garamond" w:cs="Times New Roman"/>
          <w:b/>
          <w:bCs/>
        </w:rPr>
        <w:t>. European Parliament</w:t>
      </w:r>
    </w:p>
    <w:p w14:paraId="1CE008BC" w14:textId="77777777" w:rsidR="00C80D9E" w:rsidRPr="00CD2E6D" w:rsidRDefault="00C80D9E" w:rsidP="00E5632D">
      <w:pPr>
        <w:adjustRightInd w:val="0"/>
        <w:snapToGrid w:val="0"/>
        <w:spacing w:after="120"/>
        <w:jc w:val="both"/>
        <w:rPr>
          <w:rFonts w:ascii="Garamond" w:hAnsi="Garamond" w:cs="Times New Roman"/>
        </w:rPr>
      </w:pPr>
    </w:p>
    <w:p w14:paraId="31C3EB5E" w14:textId="67948CB2" w:rsidR="001A51D6" w:rsidRDefault="001A51D6" w:rsidP="00E5632D">
      <w:pPr>
        <w:adjustRightInd w:val="0"/>
        <w:snapToGrid w:val="0"/>
        <w:spacing w:after="120"/>
        <w:jc w:val="both"/>
        <w:rPr>
          <w:rFonts w:ascii="Garamond" w:hAnsi="Garamond" w:cs="Times New Roman"/>
        </w:rPr>
      </w:pPr>
      <w:r w:rsidRPr="764C7FBC">
        <w:rPr>
          <w:rFonts w:ascii="Garamond" w:hAnsi="Garamond" w:cs="Times New Roman"/>
        </w:rPr>
        <w:t>A concern regarding our measure of the power of the European Parliament was its correlation (0.95) with our formal transparency metric</w:t>
      </w:r>
      <w:r w:rsidR="61AF2046" w:rsidRPr="764C7FBC">
        <w:rPr>
          <w:rFonts w:ascii="Garamond" w:hAnsi="Garamond" w:cs="Times New Roman"/>
        </w:rPr>
        <w:t xml:space="preserve">. </w:t>
      </w:r>
      <w:r w:rsidRPr="764C7FBC">
        <w:rPr>
          <w:rFonts w:ascii="Garamond" w:hAnsi="Garamond" w:cs="Times New Roman"/>
        </w:rPr>
        <w:t>However, the latter yielded stronger and more statistically significant results, both in side-by-side modelling (below) and in the multivariate models that we ran (where the EP’s statistical significance weakened to 0.095)</w:t>
      </w:r>
      <w:r w:rsidR="28DA83F8" w:rsidRPr="764C7FBC">
        <w:rPr>
          <w:rFonts w:ascii="Garamond" w:hAnsi="Garamond" w:cs="Times New Roman"/>
        </w:rPr>
        <w:t xml:space="preserve">. </w:t>
      </w:r>
      <w:r w:rsidRPr="764C7FBC">
        <w:rPr>
          <w:rFonts w:ascii="Garamond" w:hAnsi="Garamond" w:cs="Times New Roman"/>
        </w:rPr>
        <w:t>For this reason, we elected to use the formal transparency metric in most models so as not to overload them with duplicative indicators.</w:t>
      </w:r>
    </w:p>
    <w:p w14:paraId="7D31823B" w14:textId="77777777" w:rsidR="00C80D9E" w:rsidRPr="00CD2E6D" w:rsidRDefault="00C80D9E" w:rsidP="00E5632D">
      <w:pPr>
        <w:adjustRightInd w:val="0"/>
        <w:snapToGrid w:val="0"/>
        <w:spacing w:after="120"/>
        <w:jc w:val="both"/>
        <w:rPr>
          <w:rFonts w:ascii="Garamond" w:hAnsi="Garamond" w:cs="Times New Roman"/>
        </w:rPr>
      </w:pPr>
    </w:p>
    <w:p w14:paraId="6F4D52D1" w14:textId="3F4BF987" w:rsidR="00EC6274" w:rsidRPr="00123559" w:rsidRDefault="00EC6274" w:rsidP="00E5632D">
      <w:pPr>
        <w:adjustRightInd w:val="0"/>
        <w:snapToGrid w:val="0"/>
        <w:spacing w:after="120"/>
        <w:jc w:val="both"/>
        <w:rPr>
          <w:rFonts w:ascii="Garamond" w:hAnsi="Garamond" w:cs="Times New Roman"/>
          <w:b/>
          <w:bCs/>
          <w:sz w:val="20"/>
          <w:szCs w:val="20"/>
        </w:rPr>
      </w:pPr>
      <w:r w:rsidRPr="6100115E">
        <w:rPr>
          <w:rFonts w:ascii="Garamond" w:hAnsi="Garamond" w:cs="Times New Roman"/>
          <w:b/>
          <w:bCs/>
          <w:sz w:val="20"/>
          <w:szCs w:val="20"/>
        </w:rPr>
        <w:t>Table</w:t>
      </w:r>
      <w:r w:rsidR="00BF7DD6" w:rsidRPr="6100115E">
        <w:rPr>
          <w:rFonts w:ascii="Garamond" w:hAnsi="Garamond" w:cs="Times New Roman"/>
          <w:b/>
          <w:bCs/>
          <w:sz w:val="20"/>
          <w:szCs w:val="20"/>
        </w:rPr>
        <w:t xml:space="preserve"> A</w:t>
      </w:r>
      <w:r w:rsidR="5377CE94" w:rsidRPr="6100115E">
        <w:rPr>
          <w:rFonts w:ascii="Garamond" w:hAnsi="Garamond" w:cs="Times New Roman"/>
          <w:b/>
          <w:bCs/>
          <w:sz w:val="20"/>
          <w:szCs w:val="20"/>
        </w:rPr>
        <w:t>10</w:t>
      </w:r>
      <w:r w:rsidR="00BF7DD6" w:rsidRPr="6100115E">
        <w:rPr>
          <w:rFonts w:ascii="Garamond" w:hAnsi="Garamond" w:cs="Times New Roman"/>
          <w:b/>
          <w:bCs/>
          <w:sz w:val="20"/>
          <w:szCs w:val="20"/>
        </w:rPr>
        <w:t xml:space="preserve">: P-value comparison of Formal Transparency and </w:t>
      </w:r>
      <w:bookmarkStart w:id="12" w:name="_Int_lSQfFMqk"/>
      <w:r w:rsidR="00BF7DD6" w:rsidRPr="6100115E">
        <w:rPr>
          <w:rFonts w:ascii="Garamond" w:hAnsi="Garamond" w:cs="Times New Roman"/>
          <w:b/>
          <w:bCs/>
          <w:sz w:val="20"/>
          <w:szCs w:val="20"/>
        </w:rPr>
        <w:t>EP</w:t>
      </w:r>
      <w:bookmarkEnd w:id="12"/>
      <w:r w:rsidR="00BF7DD6" w:rsidRPr="6100115E">
        <w:rPr>
          <w:rFonts w:ascii="Garamond" w:hAnsi="Garamond" w:cs="Times New Roman"/>
          <w:b/>
          <w:bCs/>
          <w:sz w:val="20"/>
          <w:szCs w:val="20"/>
        </w:rPr>
        <w:t xml:space="preserve"> Power</w:t>
      </w:r>
      <w:r w:rsidR="7D13EFC1" w:rsidRPr="6100115E">
        <w:rPr>
          <w:rFonts w:ascii="Garamond" w:hAnsi="Garamond" w:cs="Times New Roman"/>
          <w:b/>
          <w:bCs/>
          <w:sz w:val="20"/>
          <w:szCs w:val="20"/>
        </w:rPr>
        <w:t xml:space="preserve"> (</w:t>
      </w:r>
      <w:r w:rsidR="7D13EFC1" w:rsidRPr="001B5A87">
        <w:rPr>
          <w:rFonts w:ascii="Garamond" w:hAnsi="Garamond" w:cs="Times New Roman"/>
          <w:b/>
          <w:bCs/>
          <w:i/>
          <w:iCs/>
          <w:sz w:val="20"/>
          <w:szCs w:val="20"/>
        </w:rPr>
        <w:t>n</w:t>
      </w:r>
      <w:r w:rsidR="7D13EFC1" w:rsidRPr="6100115E">
        <w:rPr>
          <w:rFonts w:ascii="Garamond" w:hAnsi="Garamond" w:cs="Times New Roman"/>
          <w:b/>
          <w:bCs/>
          <w:sz w:val="20"/>
          <w:szCs w:val="20"/>
        </w:rPr>
        <w:t xml:space="preserve"> = 2336; </w:t>
      </w:r>
      <w:proofErr w:type="spellStart"/>
      <w:r w:rsidR="7D13EFC1" w:rsidRPr="001B5A87">
        <w:rPr>
          <w:rFonts w:ascii="Garamond" w:hAnsi="Garamond" w:cs="Times New Roman"/>
          <w:b/>
          <w:bCs/>
          <w:i/>
          <w:iCs/>
          <w:sz w:val="20"/>
          <w:szCs w:val="20"/>
        </w:rPr>
        <w:t>df</w:t>
      </w:r>
      <w:proofErr w:type="spellEnd"/>
      <w:r w:rsidR="7D13EFC1" w:rsidRPr="6100115E">
        <w:rPr>
          <w:rFonts w:ascii="Garamond" w:hAnsi="Garamond" w:cs="Times New Roman"/>
          <w:b/>
          <w:bCs/>
          <w:sz w:val="20"/>
          <w:szCs w:val="20"/>
        </w:rPr>
        <w:t xml:space="preserve"> = 2332)</w:t>
      </w:r>
    </w:p>
    <w:p w14:paraId="442946E5" w14:textId="77777777" w:rsidR="001A51D6" w:rsidRPr="00CD2E6D" w:rsidRDefault="001A51D6" w:rsidP="00E5632D">
      <w:pPr>
        <w:adjustRightInd w:val="0"/>
        <w:snapToGrid w:val="0"/>
        <w:spacing w:after="120"/>
        <w:jc w:val="both"/>
        <w:rPr>
          <w:rFonts w:ascii="Garamond" w:hAnsi="Garamond"/>
        </w:rPr>
      </w:pPr>
      <w:r w:rsidRPr="00CD2E6D">
        <w:rPr>
          <w:rFonts w:ascii="Garamond" w:hAnsi="Garamond"/>
          <w:noProof/>
        </w:rPr>
        <w:drawing>
          <wp:inline distT="0" distB="0" distL="0" distR="0" wp14:anchorId="2005A57B" wp14:editId="09DCE744">
            <wp:extent cx="4380963" cy="2320466"/>
            <wp:effectExtent l="0" t="0" r="635" b="3810"/>
            <wp:docPr id="80987149" name="Picture 80987149"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7149" name="Picture 80987149" descr="A screenshot of a table&#10;&#10;Description automatically generated"/>
                    <pic:cNvPicPr/>
                  </pic:nvPicPr>
                  <pic:blipFill rotWithShape="1">
                    <a:blip r:embed="rId14">
                      <a:extLst>
                        <a:ext uri="{28A0092B-C50C-407E-A947-70E740481C1C}">
                          <a14:useLocalDpi xmlns:a14="http://schemas.microsoft.com/office/drawing/2010/main" val="0"/>
                        </a:ext>
                      </a:extLst>
                    </a:blip>
                    <a:srcRect t="10478"/>
                    <a:stretch/>
                  </pic:blipFill>
                  <pic:spPr bwMode="auto">
                    <a:xfrm>
                      <a:off x="0" y="0"/>
                      <a:ext cx="4381500" cy="2320751"/>
                    </a:xfrm>
                    <a:prstGeom prst="rect">
                      <a:avLst/>
                    </a:prstGeom>
                    <a:ln>
                      <a:noFill/>
                    </a:ln>
                    <a:extLst>
                      <a:ext uri="{53640926-AAD7-44D8-BBD7-CCE9431645EC}">
                        <a14:shadowObscured xmlns:a14="http://schemas.microsoft.com/office/drawing/2010/main"/>
                      </a:ext>
                    </a:extLst>
                  </pic:spPr>
                </pic:pic>
              </a:graphicData>
            </a:graphic>
          </wp:inline>
        </w:drawing>
      </w:r>
    </w:p>
    <w:p w14:paraId="7E919F8C" w14:textId="77777777" w:rsidR="001A51D6" w:rsidRPr="00CD2E6D" w:rsidRDefault="001A51D6" w:rsidP="00E5632D">
      <w:pPr>
        <w:adjustRightInd w:val="0"/>
        <w:snapToGrid w:val="0"/>
        <w:spacing w:after="120"/>
        <w:jc w:val="both"/>
        <w:rPr>
          <w:rFonts w:ascii="Garamond" w:hAnsi="Garamond" w:cs="Times New Roman"/>
        </w:rPr>
      </w:pPr>
    </w:p>
    <w:p w14:paraId="33A2AE54" w14:textId="77777777" w:rsidR="001A51D6" w:rsidRPr="00CD2E6D" w:rsidRDefault="001A51D6" w:rsidP="00B570E1">
      <w:pPr>
        <w:adjustRightInd w:val="0"/>
        <w:snapToGrid w:val="0"/>
        <w:spacing w:after="120"/>
        <w:jc w:val="both"/>
        <w:rPr>
          <w:rFonts w:ascii="Garamond" w:hAnsi="Garamond" w:cs="Times New Roman"/>
        </w:rPr>
      </w:pPr>
      <w:r w:rsidRPr="00CD2E6D">
        <w:rPr>
          <w:rFonts w:ascii="Garamond" w:hAnsi="Garamond" w:cs="Times New Roman"/>
        </w:rPr>
        <w:br w:type="page"/>
      </w:r>
    </w:p>
    <w:p w14:paraId="6DF3D53C" w14:textId="798B81CC" w:rsidR="004E2CEA" w:rsidRPr="00B570E1" w:rsidRDefault="004E2CEA" w:rsidP="00E5632D">
      <w:pPr>
        <w:adjustRightInd w:val="0"/>
        <w:snapToGrid w:val="0"/>
        <w:spacing w:after="120"/>
        <w:jc w:val="both"/>
        <w:rPr>
          <w:rFonts w:ascii="Garamond" w:hAnsi="Garamond"/>
          <w:b/>
          <w:bCs/>
        </w:rPr>
      </w:pPr>
      <w:r w:rsidRPr="00B570E1">
        <w:rPr>
          <w:rFonts w:ascii="Garamond" w:hAnsi="Garamond"/>
          <w:b/>
          <w:bCs/>
        </w:rPr>
        <w:lastRenderedPageBreak/>
        <w:t>A.1</w:t>
      </w:r>
      <w:r w:rsidR="00D278DB" w:rsidRPr="00B570E1">
        <w:rPr>
          <w:rFonts w:ascii="Garamond" w:hAnsi="Garamond"/>
          <w:b/>
          <w:bCs/>
        </w:rPr>
        <w:t>1</w:t>
      </w:r>
      <w:r w:rsidRPr="00B570E1">
        <w:rPr>
          <w:rFonts w:ascii="Garamond" w:hAnsi="Garamond"/>
          <w:b/>
          <w:bCs/>
        </w:rPr>
        <w:t xml:space="preserve"> Logistic and </w:t>
      </w:r>
      <w:r w:rsidR="004A215E">
        <w:rPr>
          <w:rFonts w:ascii="Garamond" w:hAnsi="Garamond"/>
          <w:b/>
          <w:bCs/>
        </w:rPr>
        <w:t>Z</w:t>
      </w:r>
      <w:r w:rsidRPr="00B570E1">
        <w:rPr>
          <w:rFonts w:ascii="Garamond" w:hAnsi="Garamond"/>
          <w:b/>
          <w:bCs/>
        </w:rPr>
        <w:t>ero-inflated Poisson regressions</w:t>
      </w:r>
    </w:p>
    <w:p w14:paraId="5B51E874" w14:textId="77777777" w:rsidR="00C80D9E" w:rsidRPr="00CD2E6D" w:rsidRDefault="00C80D9E" w:rsidP="00E5632D">
      <w:pPr>
        <w:adjustRightInd w:val="0"/>
        <w:snapToGrid w:val="0"/>
        <w:spacing w:after="120"/>
        <w:jc w:val="both"/>
        <w:rPr>
          <w:rFonts w:ascii="Garamond" w:hAnsi="Garamond"/>
        </w:rPr>
      </w:pPr>
    </w:p>
    <w:p w14:paraId="3E485256" w14:textId="454FED6A" w:rsidR="004E2CEA" w:rsidRDefault="004E2CEA" w:rsidP="00E5632D">
      <w:pPr>
        <w:adjustRightInd w:val="0"/>
        <w:snapToGrid w:val="0"/>
        <w:spacing w:after="120"/>
        <w:jc w:val="both"/>
        <w:rPr>
          <w:rFonts w:ascii="Garamond" w:hAnsi="Garamond"/>
        </w:rPr>
      </w:pPr>
      <w:r w:rsidRPr="764C7FBC">
        <w:rPr>
          <w:rFonts w:ascii="Garamond" w:hAnsi="Garamond"/>
        </w:rPr>
        <w:t>Per section 6, we chiefly employ standard Poisson regressions in which the dependent variable is the number of recorded breaks in each session</w:t>
      </w:r>
      <w:r w:rsidR="1B31FBAB" w:rsidRPr="764C7FBC">
        <w:rPr>
          <w:rFonts w:ascii="Garamond" w:hAnsi="Garamond"/>
        </w:rPr>
        <w:t xml:space="preserve">. </w:t>
      </w:r>
      <w:r w:rsidRPr="764C7FBC">
        <w:rPr>
          <w:rFonts w:ascii="Garamond" w:hAnsi="Garamond"/>
        </w:rPr>
        <w:t>For the sake of robustness, however, we also run logistic (logit) regressions that consider whether each session had a recorded break or not (i.e., a binary rather than countable dependent variable)</w:t>
      </w:r>
      <w:r w:rsidR="37065393" w:rsidRPr="764C7FBC">
        <w:rPr>
          <w:rFonts w:ascii="Garamond" w:hAnsi="Garamond"/>
        </w:rPr>
        <w:t xml:space="preserve">. </w:t>
      </w:r>
      <w:r w:rsidRPr="764C7FBC">
        <w:rPr>
          <w:rFonts w:ascii="Garamond" w:hAnsi="Garamond"/>
        </w:rPr>
        <w:t>These results were mixed, as the below table illustrates, with some independent variables increasing and other decreasing in explanatory power.</w:t>
      </w:r>
    </w:p>
    <w:p w14:paraId="43325126" w14:textId="77777777" w:rsidR="00C80D9E" w:rsidRPr="00CD2E6D" w:rsidRDefault="00C80D9E" w:rsidP="00E5632D">
      <w:pPr>
        <w:adjustRightInd w:val="0"/>
        <w:snapToGrid w:val="0"/>
        <w:spacing w:after="120"/>
        <w:jc w:val="both"/>
        <w:rPr>
          <w:rFonts w:ascii="Garamond" w:hAnsi="Garamond"/>
        </w:rPr>
      </w:pPr>
    </w:p>
    <w:p w14:paraId="778B8AAD" w14:textId="2A6EF61C" w:rsidR="004E2CEA" w:rsidRPr="001B5A87" w:rsidRDefault="3A15EAF2" w:rsidP="6100115E">
      <w:pPr>
        <w:adjustRightInd w:val="0"/>
        <w:snapToGrid w:val="0"/>
        <w:spacing w:after="120"/>
        <w:jc w:val="both"/>
        <w:rPr>
          <w:rFonts w:ascii="Garamond" w:hAnsi="Garamond"/>
          <w:b/>
          <w:bCs/>
        </w:rPr>
      </w:pPr>
      <w:r w:rsidRPr="0ACA3E53">
        <w:rPr>
          <w:rFonts w:ascii="Garamond" w:hAnsi="Garamond"/>
          <w:b/>
          <w:bCs/>
          <w:sz w:val="20"/>
          <w:szCs w:val="20"/>
        </w:rPr>
        <w:t>Table A.1</w:t>
      </w:r>
      <w:r w:rsidR="52EC2FE0" w:rsidRPr="0ACA3E53">
        <w:rPr>
          <w:rFonts w:ascii="Garamond" w:hAnsi="Garamond"/>
          <w:b/>
          <w:bCs/>
          <w:sz w:val="20"/>
          <w:szCs w:val="20"/>
        </w:rPr>
        <w:t>1</w:t>
      </w:r>
      <w:r w:rsidRPr="0ACA3E53">
        <w:rPr>
          <w:rFonts w:ascii="Garamond" w:hAnsi="Garamond"/>
          <w:b/>
          <w:bCs/>
          <w:sz w:val="20"/>
          <w:szCs w:val="20"/>
        </w:rPr>
        <w:t>.</w:t>
      </w:r>
      <w:r w:rsidR="52EC2FE0" w:rsidRPr="0ACA3E53">
        <w:rPr>
          <w:rFonts w:ascii="Garamond" w:hAnsi="Garamond"/>
          <w:b/>
          <w:bCs/>
          <w:sz w:val="20"/>
          <w:szCs w:val="20"/>
        </w:rPr>
        <w:t>1.: Logistic regression</w:t>
      </w:r>
      <w:r w:rsidR="3AD74CC4" w:rsidRPr="0ACA3E53">
        <w:rPr>
          <w:rFonts w:ascii="Garamond" w:hAnsi="Garamond"/>
          <w:b/>
          <w:bCs/>
          <w:sz w:val="20"/>
          <w:szCs w:val="20"/>
        </w:rPr>
        <w:t>;</w:t>
      </w:r>
      <w:r w:rsidR="52EC2FE0" w:rsidRPr="0ACA3E53">
        <w:rPr>
          <w:rFonts w:ascii="Garamond" w:hAnsi="Garamond"/>
          <w:b/>
          <w:bCs/>
          <w:sz w:val="20"/>
          <w:szCs w:val="20"/>
        </w:rPr>
        <w:t xml:space="preserve"> DV indicates whether a break occurred or not</w:t>
      </w:r>
    </w:p>
    <w:p w14:paraId="3F53FC18" w14:textId="18CAE146" w:rsidR="004E2CEA" w:rsidRPr="00123559" w:rsidRDefault="1F3D5B94" w:rsidP="0ACA3E53">
      <w:pPr>
        <w:adjustRightInd w:val="0"/>
        <w:snapToGrid w:val="0"/>
        <w:spacing w:after="120"/>
        <w:jc w:val="both"/>
      </w:pPr>
      <w:r>
        <w:rPr>
          <w:noProof/>
        </w:rPr>
        <w:drawing>
          <wp:inline distT="0" distB="0" distL="0" distR="0" wp14:anchorId="42A9C866" wp14:editId="08A8CCCA">
            <wp:extent cx="5486400" cy="3419475"/>
            <wp:effectExtent l="0" t="0" r="0" b="0"/>
            <wp:docPr id="1481433707" name="Picture 148143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486400" cy="3419475"/>
                    </a:xfrm>
                    <a:prstGeom prst="rect">
                      <a:avLst/>
                    </a:prstGeom>
                  </pic:spPr>
                </pic:pic>
              </a:graphicData>
            </a:graphic>
          </wp:inline>
        </w:drawing>
      </w:r>
    </w:p>
    <w:p w14:paraId="63DE0061" w14:textId="3FE8E30B" w:rsidR="004E2CEA" w:rsidRPr="00CD2E6D" w:rsidRDefault="758E8FAD" w:rsidP="74C9EB85">
      <w:pPr>
        <w:adjustRightInd w:val="0"/>
        <w:snapToGrid w:val="0"/>
        <w:spacing w:after="120"/>
        <w:jc w:val="both"/>
      </w:pPr>
      <w:r>
        <w:rPr>
          <w:noProof/>
        </w:rPr>
        <w:lastRenderedPageBreak/>
        <w:drawing>
          <wp:inline distT="0" distB="0" distL="0" distR="0" wp14:anchorId="3BA40AA6" wp14:editId="75211B8E">
            <wp:extent cx="5476874" cy="2876344"/>
            <wp:effectExtent l="0" t="0" r="0" b="0"/>
            <wp:docPr id="1084405802" name="Picture 108440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476874" cy="2876344"/>
                    </a:xfrm>
                    <a:prstGeom prst="rect">
                      <a:avLst/>
                    </a:prstGeom>
                  </pic:spPr>
                </pic:pic>
              </a:graphicData>
            </a:graphic>
          </wp:inline>
        </w:drawing>
      </w:r>
    </w:p>
    <w:p w14:paraId="1E13107D" w14:textId="7E30FECA" w:rsidR="004E2CEA" w:rsidRPr="00CD2E6D" w:rsidRDefault="2B883EEB" w:rsidP="0ACA3E53">
      <w:pPr>
        <w:adjustRightInd w:val="0"/>
        <w:snapToGrid w:val="0"/>
        <w:spacing w:after="120"/>
        <w:jc w:val="both"/>
        <w:rPr>
          <w:rFonts w:ascii="Garamond" w:hAnsi="Garamond"/>
        </w:rPr>
      </w:pPr>
      <w:r w:rsidRPr="0ACA3E53">
        <w:rPr>
          <w:rFonts w:ascii="Garamond" w:hAnsi="Garamond"/>
        </w:rPr>
        <w:t xml:space="preserve">A concern with this approach is that if ministers have more cause to deliberate in secret, and this prompts them to take more breaks, then this may entail more than one break </w:t>
      </w:r>
      <w:bookmarkStart w:id="13" w:name="_Int_aYb6wt2u"/>
      <w:r w:rsidRPr="0ACA3E53">
        <w:rPr>
          <w:rFonts w:ascii="Garamond" w:hAnsi="Garamond"/>
        </w:rPr>
        <w:t>in a given</w:t>
      </w:r>
      <w:bookmarkEnd w:id="13"/>
      <w:r w:rsidRPr="0ACA3E53">
        <w:rPr>
          <w:rFonts w:ascii="Garamond" w:hAnsi="Garamond"/>
        </w:rPr>
        <w:t xml:space="preserve"> session</w:t>
      </w:r>
      <w:r w:rsidR="208ABCAC" w:rsidRPr="0ACA3E53">
        <w:rPr>
          <w:rFonts w:ascii="Garamond" w:hAnsi="Garamond"/>
        </w:rPr>
        <w:t xml:space="preserve">. </w:t>
      </w:r>
      <w:r w:rsidRPr="0ACA3E53">
        <w:rPr>
          <w:rFonts w:ascii="Garamond" w:hAnsi="Garamond"/>
        </w:rPr>
        <w:t>Since switching to a binary variable runs the risk of dampening or even concealing this effect, we opted to continue with Poisson regressions for the analysis in the paper.</w:t>
      </w:r>
    </w:p>
    <w:p w14:paraId="5C6C3F56" w14:textId="4AD647CC" w:rsidR="004E2CEA" w:rsidRPr="00CD2E6D" w:rsidRDefault="004E2CEA" w:rsidP="3766A608">
      <w:pPr>
        <w:spacing w:after="120" w:line="259" w:lineRule="auto"/>
        <w:jc w:val="both"/>
        <w:rPr>
          <w:rFonts w:ascii="Garamond" w:hAnsi="Garamond"/>
        </w:rPr>
      </w:pPr>
      <w:r w:rsidRPr="3766A608">
        <w:rPr>
          <w:rFonts w:ascii="Garamond" w:hAnsi="Garamond"/>
        </w:rPr>
        <w:t>Another family of regressions to consider is Zero-inflated Poisson, which is often employed when a set of observations contains numerous “zeroes” (as indeed ours does).  The purpose of Zero-inflated Poisson is to distinguish between “true zeroes” (driven by the independent variables of interest) and zeroes that might be motivated by some other structural factor</w:t>
      </w:r>
      <w:r w:rsidR="71A55822" w:rsidRPr="3766A608">
        <w:rPr>
          <w:rFonts w:ascii="Garamond" w:hAnsi="Garamond"/>
        </w:rPr>
        <w:t xml:space="preserve">. </w:t>
      </w:r>
      <w:r w:rsidRPr="3766A608">
        <w:rPr>
          <w:rFonts w:ascii="Garamond" w:hAnsi="Garamond"/>
        </w:rPr>
        <w:t xml:space="preserve">Amongst our array of independent </w:t>
      </w:r>
      <w:proofErr w:type="gramStart"/>
      <w:r w:rsidRPr="3766A608">
        <w:rPr>
          <w:rFonts w:ascii="Garamond" w:hAnsi="Garamond"/>
        </w:rPr>
        <w:t>variables</w:t>
      </w:r>
      <w:proofErr w:type="gramEnd"/>
      <w:r w:rsidRPr="3766A608">
        <w:rPr>
          <w:rFonts w:ascii="Garamond" w:hAnsi="Garamond"/>
        </w:rPr>
        <w:t xml:space="preserve"> the most likely candidate for this latter effect would be the count of agenda items per meeting, and so we run a model that first uses that count to predict whether each session breaks at all (a binomial), and then uses the transparency variables to predict the number of breaks in sessions where at least one break does occur.  This model indicates that the variables in the two halves of the zero-inflated regression structure are indeed statistically significant, but they are not more significant than in the original model, in which both the agenda items and the transparency variables are regressed as predictors of the same (non-binary) outcome</w:t>
      </w:r>
      <w:r w:rsidR="1AC4AC9D" w:rsidRPr="3766A608">
        <w:rPr>
          <w:rFonts w:ascii="Garamond" w:hAnsi="Garamond"/>
        </w:rPr>
        <w:t xml:space="preserve">. </w:t>
      </w:r>
      <w:r w:rsidR="604DD995" w:rsidRPr="3766A608">
        <w:rPr>
          <w:rFonts w:ascii="Garamond" w:hAnsi="Garamond"/>
        </w:rPr>
        <w:t xml:space="preserve">The sensitivity of these models to </w:t>
      </w:r>
      <w:r w:rsidR="50121D18" w:rsidRPr="3766A608">
        <w:rPr>
          <w:rFonts w:ascii="Garamond" w:hAnsi="Garamond"/>
        </w:rPr>
        <w:t xml:space="preserve">regressor scaling and to correlation </w:t>
      </w:r>
      <w:r w:rsidR="604DD995" w:rsidRPr="3766A608">
        <w:rPr>
          <w:rFonts w:ascii="Garamond" w:hAnsi="Garamond"/>
        </w:rPr>
        <w:t xml:space="preserve">prevented us from running </w:t>
      </w:r>
      <w:r w:rsidR="343D5CE8" w:rsidRPr="3766A608">
        <w:rPr>
          <w:rFonts w:ascii="Garamond" w:hAnsi="Garamond"/>
        </w:rPr>
        <w:t xml:space="preserve">a more extensive battery of tests, and in any </w:t>
      </w:r>
      <w:proofErr w:type="gramStart"/>
      <w:r w:rsidR="343D5CE8" w:rsidRPr="3766A608">
        <w:rPr>
          <w:rFonts w:ascii="Garamond" w:hAnsi="Garamond"/>
        </w:rPr>
        <w:t>case</w:t>
      </w:r>
      <w:proofErr w:type="gramEnd"/>
      <w:r w:rsidR="343D5CE8" w:rsidRPr="3766A608">
        <w:rPr>
          <w:rFonts w:ascii="Garamond" w:hAnsi="Garamond"/>
        </w:rPr>
        <w:t xml:space="preserve"> </w:t>
      </w:r>
      <w:r w:rsidRPr="3766A608">
        <w:rPr>
          <w:rFonts w:ascii="Garamond" w:hAnsi="Garamond"/>
        </w:rPr>
        <w:t xml:space="preserve">we could not discern an intuitive </w:t>
      </w:r>
      <w:bookmarkStart w:id="14" w:name="_Int_RbYUJpDt"/>
      <w:r w:rsidRPr="3766A608">
        <w:rPr>
          <w:rFonts w:ascii="Garamond" w:hAnsi="Garamond"/>
        </w:rPr>
        <w:t>reason why</w:t>
      </w:r>
      <w:bookmarkEnd w:id="14"/>
      <w:r w:rsidRPr="3766A608">
        <w:rPr>
          <w:rFonts w:ascii="Garamond" w:hAnsi="Garamond"/>
        </w:rPr>
        <w:t>, within the zero-break sessions, some would be structurally different from others</w:t>
      </w:r>
      <w:r w:rsidR="346CE522" w:rsidRPr="3766A608">
        <w:rPr>
          <w:rFonts w:ascii="Garamond" w:hAnsi="Garamond"/>
        </w:rPr>
        <w:t>; hence</w:t>
      </w:r>
      <w:r w:rsidRPr="3766A608">
        <w:rPr>
          <w:rFonts w:ascii="Garamond" w:hAnsi="Garamond"/>
        </w:rPr>
        <w:t xml:space="preserve"> we opted not to use Zero-inflated Poisson for the models described in the paper.</w:t>
      </w:r>
    </w:p>
    <w:p w14:paraId="6A31C4C3" w14:textId="1EFE6161" w:rsidR="00805A87" w:rsidRPr="00CD2E6D" w:rsidRDefault="00805A87" w:rsidP="00B570E1">
      <w:pPr>
        <w:adjustRightInd w:val="0"/>
        <w:snapToGrid w:val="0"/>
        <w:spacing w:after="120"/>
        <w:jc w:val="both"/>
        <w:rPr>
          <w:rFonts w:ascii="Garamond" w:hAnsi="Garamond"/>
        </w:rPr>
      </w:pPr>
    </w:p>
    <w:p w14:paraId="540E2B63" w14:textId="5326A5FE" w:rsidR="00805A87" w:rsidRPr="00123559" w:rsidRDefault="00805A87" w:rsidP="6100115E">
      <w:pPr>
        <w:adjustRightInd w:val="0"/>
        <w:snapToGrid w:val="0"/>
        <w:spacing w:after="120"/>
        <w:jc w:val="both"/>
        <w:rPr>
          <w:rFonts w:ascii="Garamond" w:hAnsi="Garamond"/>
          <w:b/>
          <w:bCs/>
          <w:sz w:val="20"/>
          <w:szCs w:val="20"/>
        </w:rPr>
      </w:pPr>
      <w:r w:rsidRPr="6100115E">
        <w:rPr>
          <w:rFonts w:ascii="Garamond" w:hAnsi="Garamond"/>
          <w:b/>
          <w:bCs/>
          <w:sz w:val="20"/>
          <w:szCs w:val="20"/>
        </w:rPr>
        <w:t>Table A.11.2.: Zero-inflated model (</w:t>
      </w:r>
      <w:r w:rsidRPr="001B5A87">
        <w:rPr>
          <w:rFonts w:ascii="Garamond" w:hAnsi="Garamond"/>
          <w:b/>
          <w:bCs/>
          <w:i/>
          <w:iCs/>
          <w:sz w:val="20"/>
          <w:szCs w:val="20"/>
        </w:rPr>
        <w:t>n</w:t>
      </w:r>
      <w:r w:rsidR="12649E55" w:rsidRPr="6100115E">
        <w:rPr>
          <w:rFonts w:ascii="Garamond" w:hAnsi="Garamond"/>
          <w:b/>
          <w:bCs/>
          <w:sz w:val="20"/>
          <w:szCs w:val="20"/>
        </w:rPr>
        <w:t xml:space="preserve"> </w:t>
      </w:r>
      <w:r w:rsidR="008036B1" w:rsidRPr="6100115E">
        <w:rPr>
          <w:rFonts w:ascii="Garamond" w:hAnsi="Garamond"/>
          <w:b/>
          <w:bCs/>
          <w:sz w:val="20"/>
          <w:szCs w:val="20"/>
        </w:rPr>
        <w:t>=</w:t>
      </w:r>
      <w:r w:rsidR="12649E55" w:rsidRPr="6100115E">
        <w:rPr>
          <w:rFonts w:ascii="Garamond" w:hAnsi="Garamond"/>
          <w:b/>
          <w:bCs/>
          <w:sz w:val="20"/>
          <w:szCs w:val="20"/>
        </w:rPr>
        <w:t xml:space="preserve"> </w:t>
      </w:r>
      <w:r w:rsidR="008036B1" w:rsidRPr="6100115E">
        <w:rPr>
          <w:rFonts w:ascii="Garamond" w:hAnsi="Garamond"/>
          <w:b/>
          <w:bCs/>
          <w:sz w:val="20"/>
          <w:szCs w:val="20"/>
        </w:rPr>
        <w:t>2336</w:t>
      </w:r>
      <w:r w:rsidR="18D1D3C1" w:rsidRPr="6100115E">
        <w:rPr>
          <w:rFonts w:ascii="Garamond" w:hAnsi="Garamond"/>
          <w:b/>
          <w:bCs/>
          <w:sz w:val="20"/>
          <w:szCs w:val="20"/>
        </w:rPr>
        <w:t xml:space="preserve">; </w:t>
      </w:r>
      <w:r w:rsidR="18D1D3C1" w:rsidRPr="001B5A87">
        <w:rPr>
          <w:rFonts w:ascii="Garamond" w:eastAsia="Garamond" w:hAnsi="Garamond" w:cs="Garamond"/>
          <w:b/>
          <w:bCs/>
          <w:sz w:val="20"/>
          <w:szCs w:val="20"/>
        </w:rPr>
        <w:t xml:space="preserve">log-likelihood = -1653 on 4 </w:t>
      </w:r>
      <w:proofErr w:type="spellStart"/>
      <w:r w:rsidR="18D1D3C1" w:rsidRPr="001B5A87">
        <w:rPr>
          <w:rFonts w:ascii="Garamond" w:eastAsia="Garamond" w:hAnsi="Garamond" w:cs="Garamond"/>
          <w:b/>
          <w:bCs/>
          <w:i/>
          <w:iCs/>
          <w:sz w:val="20"/>
          <w:szCs w:val="20"/>
        </w:rPr>
        <w:t>df</w:t>
      </w:r>
      <w:proofErr w:type="spellEnd"/>
      <w:r w:rsidR="008036B1" w:rsidRPr="6100115E">
        <w:rPr>
          <w:rFonts w:ascii="Garamond" w:hAnsi="Garamond"/>
          <w:b/>
          <w:bCs/>
          <w:sz w:val="20"/>
          <w:szCs w:val="20"/>
        </w:rPr>
        <w:t>)</w:t>
      </w:r>
    </w:p>
    <w:p w14:paraId="3FC69B5C" w14:textId="77777777" w:rsidR="004E2CEA" w:rsidRPr="00123559" w:rsidRDefault="004E2CEA" w:rsidP="00B570E1">
      <w:pPr>
        <w:adjustRightInd w:val="0"/>
        <w:snapToGrid w:val="0"/>
        <w:spacing w:after="120"/>
        <w:jc w:val="both"/>
        <w:rPr>
          <w:rFonts w:ascii="Garamond" w:hAnsi="Garamond"/>
        </w:rPr>
      </w:pPr>
      <w:r w:rsidRPr="00123559">
        <w:rPr>
          <w:rFonts w:ascii="Garamond" w:hAnsi="Garamond"/>
          <w:noProof/>
        </w:rPr>
        <w:lastRenderedPageBreak/>
        <w:drawing>
          <wp:inline distT="0" distB="0" distL="0" distR="0" wp14:anchorId="17E91D58" wp14:editId="2658CF1E">
            <wp:extent cx="3571733" cy="2439192"/>
            <wp:effectExtent l="0" t="0" r="0" b="0"/>
            <wp:docPr id="1110562685" name="Picture 1110562685" descr="A table with numbers and a number of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62685" name="Picture 1110562685" descr="A table with numbers and a number of text&#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t="11206"/>
                    <a:stretch/>
                  </pic:blipFill>
                  <pic:spPr bwMode="auto">
                    <a:xfrm>
                      <a:off x="0" y="0"/>
                      <a:ext cx="3571875" cy="2439289"/>
                    </a:xfrm>
                    <a:prstGeom prst="rect">
                      <a:avLst/>
                    </a:prstGeom>
                    <a:ln>
                      <a:noFill/>
                    </a:ln>
                    <a:extLst>
                      <a:ext uri="{53640926-AAD7-44D8-BBD7-CCE9431645EC}">
                        <a14:shadowObscured xmlns:a14="http://schemas.microsoft.com/office/drawing/2010/main"/>
                      </a:ext>
                    </a:extLst>
                  </pic:spPr>
                </pic:pic>
              </a:graphicData>
            </a:graphic>
          </wp:inline>
        </w:drawing>
      </w:r>
    </w:p>
    <w:p w14:paraId="4142FF73" w14:textId="77777777" w:rsidR="004E2CEA" w:rsidRPr="00CD2E6D" w:rsidRDefault="004E2CEA" w:rsidP="00B570E1">
      <w:pPr>
        <w:adjustRightInd w:val="0"/>
        <w:snapToGrid w:val="0"/>
        <w:spacing w:after="120"/>
        <w:jc w:val="both"/>
        <w:rPr>
          <w:rFonts w:ascii="Garamond" w:hAnsi="Garamond"/>
        </w:rPr>
      </w:pPr>
    </w:p>
    <w:p w14:paraId="74C189C2" w14:textId="424EAF40" w:rsidR="00CA2EE3" w:rsidRPr="00CD2E6D" w:rsidRDefault="00CA2EE3" w:rsidP="00B570E1">
      <w:pPr>
        <w:adjustRightInd w:val="0"/>
        <w:snapToGrid w:val="0"/>
        <w:spacing w:after="120"/>
        <w:jc w:val="both"/>
        <w:rPr>
          <w:rFonts w:ascii="Garamond" w:hAnsi="Garamond" w:cs="Times New Roman"/>
        </w:rPr>
      </w:pPr>
    </w:p>
    <w:p w14:paraId="7F0405A5" w14:textId="0826D37D" w:rsidR="00406CDE" w:rsidRPr="00B570E1" w:rsidRDefault="004E2CEA" w:rsidP="00B570E1">
      <w:pPr>
        <w:adjustRightInd w:val="0"/>
        <w:snapToGrid w:val="0"/>
        <w:spacing w:after="120"/>
        <w:jc w:val="both"/>
        <w:rPr>
          <w:rFonts w:ascii="Garamond" w:hAnsi="Garamond"/>
          <w:b/>
          <w:bCs/>
        </w:rPr>
      </w:pPr>
      <w:r w:rsidRPr="00CD2E6D">
        <w:rPr>
          <w:rFonts w:ascii="Garamond" w:hAnsi="Garamond" w:cs="Times New Roman"/>
        </w:rPr>
        <w:br w:type="page"/>
      </w:r>
      <w:r w:rsidR="00406CDE" w:rsidRPr="00B570E1">
        <w:rPr>
          <w:rFonts w:ascii="Garamond" w:hAnsi="Garamond"/>
          <w:b/>
          <w:bCs/>
        </w:rPr>
        <w:lastRenderedPageBreak/>
        <w:t>A.1</w:t>
      </w:r>
      <w:r w:rsidR="00120C9A" w:rsidRPr="00B570E1">
        <w:rPr>
          <w:rFonts w:ascii="Garamond" w:hAnsi="Garamond"/>
          <w:b/>
          <w:bCs/>
        </w:rPr>
        <w:t>2</w:t>
      </w:r>
      <w:r w:rsidR="00406CDE" w:rsidRPr="00B570E1">
        <w:rPr>
          <w:rFonts w:ascii="Garamond" w:hAnsi="Garamond"/>
          <w:b/>
          <w:bCs/>
        </w:rPr>
        <w:t>. Semester granularity</w:t>
      </w:r>
    </w:p>
    <w:p w14:paraId="1D58FDA4" w14:textId="77777777" w:rsidR="00E445A5" w:rsidRPr="00CD2E6D" w:rsidRDefault="00E445A5" w:rsidP="00B570E1">
      <w:pPr>
        <w:adjustRightInd w:val="0"/>
        <w:snapToGrid w:val="0"/>
        <w:spacing w:after="120"/>
        <w:jc w:val="both"/>
        <w:rPr>
          <w:rFonts w:ascii="Garamond" w:hAnsi="Garamond"/>
        </w:rPr>
      </w:pPr>
    </w:p>
    <w:p w14:paraId="58597590" w14:textId="60754BD1" w:rsidR="00406CDE" w:rsidRPr="00CD2E6D" w:rsidRDefault="00406CDE" w:rsidP="00B570E1">
      <w:pPr>
        <w:adjustRightInd w:val="0"/>
        <w:snapToGrid w:val="0"/>
        <w:spacing w:after="120"/>
        <w:jc w:val="both"/>
        <w:rPr>
          <w:rFonts w:ascii="Garamond" w:hAnsi="Garamond"/>
        </w:rPr>
      </w:pPr>
      <w:r w:rsidRPr="3766A608">
        <w:rPr>
          <w:rFonts w:ascii="Garamond" w:hAnsi="Garamond"/>
        </w:rPr>
        <w:t>Although our dependent variable (along with the agenda control) is captured at session-level granularity, several of our independent variables and controls are observed less frequently.  Elections occur erratically throughout the year, the Council Presidency rotates with each new EU semester, certain measures of transparency and Euroscepticism are recorded annually, and the political events that drive EU expansion and transparency reform are less frequent still.  To round out our analysis</w:t>
      </w:r>
      <w:r w:rsidR="2FF7F123" w:rsidRPr="3766A608">
        <w:rPr>
          <w:rFonts w:ascii="Garamond" w:hAnsi="Garamond"/>
        </w:rPr>
        <w:t>,</w:t>
      </w:r>
      <w:r w:rsidRPr="3766A608">
        <w:rPr>
          <w:rFonts w:ascii="Garamond" w:hAnsi="Garamond"/>
        </w:rPr>
        <w:t xml:space="preserve"> we</w:t>
      </w:r>
      <w:r w:rsidR="151DE940" w:rsidRPr="3766A608">
        <w:rPr>
          <w:rFonts w:ascii="Garamond" w:hAnsi="Garamond"/>
        </w:rPr>
        <w:t xml:space="preserve"> </w:t>
      </w:r>
      <w:r w:rsidRPr="3766A608">
        <w:rPr>
          <w:rFonts w:ascii="Garamond" w:hAnsi="Garamond"/>
        </w:rPr>
        <w:t>run additional models at semester granularity, as this is the most granular level at which the above variables can be expressed or approximated.</w:t>
      </w:r>
      <w:r w:rsidR="72DCB1E0" w:rsidRPr="3766A608">
        <w:rPr>
          <w:rFonts w:ascii="Garamond" w:hAnsi="Garamond"/>
        </w:rPr>
        <w:t xml:space="preserve">  To calculate the semester-level averages we </w:t>
      </w:r>
      <w:r w:rsidR="530307D4" w:rsidRPr="3766A608">
        <w:rPr>
          <w:rFonts w:ascii="Garamond" w:hAnsi="Garamond"/>
        </w:rPr>
        <w:t xml:space="preserve">sum </w:t>
      </w:r>
      <w:r w:rsidR="72DCB1E0" w:rsidRPr="3766A608">
        <w:rPr>
          <w:rFonts w:ascii="Garamond" w:hAnsi="Garamond"/>
        </w:rPr>
        <w:t xml:space="preserve">the </w:t>
      </w:r>
      <w:r w:rsidR="13DFE505" w:rsidRPr="3766A608">
        <w:rPr>
          <w:rFonts w:ascii="Garamond" w:hAnsi="Garamond"/>
        </w:rPr>
        <w:t xml:space="preserve">total </w:t>
      </w:r>
      <w:r w:rsidR="72DCB1E0" w:rsidRPr="3766A608">
        <w:rPr>
          <w:rFonts w:ascii="Garamond" w:hAnsi="Garamond"/>
        </w:rPr>
        <w:t xml:space="preserve">number of meal breaks </w:t>
      </w:r>
      <w:r w:rsidR="19DBF257" w:rsidRPr="3766A608">
        <w:rPr>
          <w:rFonts w:ascii="Garamond" w:hAnsi="Garamond"/>
        </w:rPr>
        <w:t xml:space="preserve">in each </w:t>
      </w:r>
      <w:r w:rsidR="72DCB1E0" w:rsidRPr="3766A608">
        <w:rPr>
          <w:rFonts w:ascii="Garamond" w:hAnsi="Garamond"/>
        </w:rPr>
        <w:t xml:space="preserve">semester, and </w:t>
      </w:r>
      <w:r w:rsidR="27BC59C6" w:rsidRPr="3766A608">
        <w:rPr>
          <w:rFonts w:ascii="Garamond" w:hAnsi="Garamond"/>
        </w:rPr>
        <w:t xml:space="preserve">then divide </w:t>
      </w:r>
      <w:r w:rsidR="124E75FF" w:rsidRPr="3766A608">
        <w:rPr>
          <w:rFonts w:ascii="Garamond" w:hAnsi="Garamond"/>
        </w:rPr>
        <w:t xml:space="preserve">each sum </w:t>
      </w:r>
      <w:r w:rsidR="72DCB1E0" w:rsidRPr="3766A608">
        <w:rPr>
          <w:rFonts w:ascii="Garamond" w:hAnsi="Garamond"/>
        </w:rPr>
        <w:t xml:space="preserve">by the number of sessions </w:t>
      </w:r>
      <w:r w:rsidR="12792B83" w:rsidRPr="3766A608">
        <w:rPr>
          <w:rFonts w:ascii="Garamond" w:hAnsi="Garamond"/>
        </w:rPr>
        <w:t>in the same semester</w:t>
      </w:r>
      <w:r w:rsidR="69F829A6" w:rsidRPr="3766A608">
        <w:rPr>
          <w:rFonts w:ascii="Garamond" w:hAnsi="Garamond"/>
        </w:rPr>
        <w:t>, with agenda items added as an optional control variable</w:t>
      </w:r>
      <w:r w:rsidR="12792B83" w:rsidRPr="3766A608">
        <w:rPr>
          <w:rFonts w:ascii="Garamond" w:hAnsi="Garamond"/>
        </w:rPr>
        <w:t>.</w:t>
      </w:r>
      <w:r w:rsidR="69B76FEF" w:rsidRPr="3766A608">
        <w:rPr>
          <w:rFonts w:ascii="Garamond" w:hAnsi="Garamond"/>
        </w:rPr>
        <w:t xml:space="preserve">  In contrast to alternative approaches</w:t>
      </w:r>
      <w:r w:rsidR="745FE791" w:rsidRPr="3766A608">
        <w:rPr>
          <w:rFonts w:ascii="Garamond" w:hAnsi="Garamond"/>
        </w:rPr>
        <w:t>, e.g. weighting each average by a control variable, this approach allows for the most consistent comparison with the session-level methodolog</w:t>
      </w:r>
      <w:r w:rsidR="34BB26BB" w:rsidRPr="3766A608">
        <w:rPr>
          <w:rFonts w:ascii="Garamond" w:hAnsi="Garamond"/>
        </w:rPr>
        <w:t>y</w:t>
      </w:r>
      <w:r w:rsidR="745FE791" w:rsidRPr="3766A608">
        <w:rPr>
          <w:rFonts w:ascii="Garamond" w:hAnsi="Garamond"/>
        </w:rPr>
        <w:t>.</w:t>
      </w:r>
    </w:p>
    <w:p w14:paraId="7B00016E" w14:textId="77777777" w:rsidR="00406CDE" w:rsidRPr="00CD2E6D" w:rsidRDefault="00406CDE" w:rsidP="00B570E1">
      <w:pPr>
        <w:adjustRightInd w:val="0"/>
        <w:snapToGrid w:val="0"/>
        <w:spacing w:after="120"/>
        <w:jc w:val="both"/>
        <w:rPr>
          <w:rFonts w:ascii="Garamond" w:hAnsi="Garamond"/>
        </w:rPr>
      </w:pPr>
    </w:p>
    <w:p w14:paraId="52F55440" w14:textId="649804E6" w:rsidR="00406CDE" w:rsidRPr="00123559" w:rsidRDefault="008036B1" w:rsidP="6100115E">
      <w:pPr>
        <w:adjustRightInd w:val="0"/>
        <w:snapToGrid w:val="0"/>
        <w:spacing w:after="120"/>
        <w:jc w:val="both"/>
      </w:pPr>
      <w:r w:rsidRPr="00123559">
        <w:rPr>
          <w:rFonts w:ascii="Garamond" w:hAnsi="Garamond"/>
          <w:b/>
          <w:bCs/>
          <w:sz w:val="20"/>
          <w:szCs w:val="20"/>
        </w:rPr>
        <w:t>Table A.12.: Semester-level results</w:t>
      </w:r>
    </w:p>
    <w:p w14:paraId="48E0E57F" w14:textId="5822A649" w:rsidR="00406CDE" w:rsidRPr="00123559" w:rsidRDefault="0131D6DD" w:rsidP="001B5A87">
      <w:pPr>
        <w:adjustRightInd w:val="0"/>
        <w:snapToGrid w:val="0"/>
        <w:spacing w:after="120"/>
        <w:jc w:val="both"/>
      </w:pPr>
      <w:r>
        <w:rPr>
          <w:noProof/>
        </w:rPr>
        <w:drawing>
          <wp:inline distT="0" distB="0" distL="0" distR="0" wp14:anchorId="76AF57D4" wp14:editId="03164FA6">
            <wp:extent cx="5133976" cy="3152775"/>
            <wp:effectExtent l="0" t="0" r="0" b="0"/>
            <wp:docPr id="436613939" name="Picture 43661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133976" cy="3152775"/>
                    </a:xfrm>
                    <a:prstGeom prst="rect">
                      <a:avLst/>
                    </a:prstGeom>
                  </pic:spPr>
                </pic:pic>
              </a:graphicData>
            </a:graphic>
          </wp:inline>
        </w:drawing>
      </w:r>
    </w:p>
    <w:p w14:paraId="1AF71287" w14:textId="57EFF56B" w:rsidR="6100115E" w:rsidRDefault="6100115E" w:rsidP="6100115E">
      <w:pPr>
        <w:spacing w:after="120"/>
        <w:jc w:val="both"/>
      </w:pPr>
    </w:p>
    <w:p w14:paraId="288D0AF8" w14:textId="394067AF" w:rsidR="00406CDE" w:rsidRPr="00CD2E6D" w:rsidRDefault="00406CDE" w:rsidP="00B570E1">
      <w:pPr>
        <w:adjustRightInd w:val="0"/>
        <w:snapToGrid w:val="0"/>
        <w:spacing w:after="120"/>
        <w:jc w:val="both"/>
        <w:rPr>
          <w:rFonts w:ascii="Garamond" w:hAnsi="Garamond"/>
        </w:rPr>
      </w:pPr>
      <w:r w:rsidRPr="764C7FBC">
        <w:rPr>
          <w:rFonts w:ascii="Garamond" w:hAnsi="Garamond"/>
        </w:rPr>
        <w:t>In the main, these results corroborate the key findings from the paper</w:t>
      </w:r>
      <w:r w:rsidR="2BC6ABB7" w:rsidRPr="764C7FBC">
        <w:rPr>
          <w:rFonts w:ascii="Garamond" w:hAnsi="Garamond"/>
        </w:rPr>
        <w:t xml:space="preserve">. </w:t>
      </w:r>
      <w:r w:rsidRPr="764C7FBC">
        <w:rPr>
          <w:rFonts w:ascii="Garamond" w:hAnsi="Garamond"/>
        </w:rPr>
        <w:t>We include them here for robustness, however for the other models in the paper we continue to employ session granularity</w:t>
      </w:r>
      <w:r w:rsidR="0FE8D0A9" w:rsidRPr="764C7FBC">
        <w:rPr>
          <w:rFonts w:ascii="Garamond" w:hAnsi="Garamond"/>
        </w:rPr>
        <w:t xml:space="preserve">. </w:t>
      </w:r>
      <w:r w:rsidRPr="764C7FBC">
        <w:rPr>
          <w:rFonts w:ascii="Garamond" w:hAnsi="Garamond"/>
        </w:rPr>
        <w:t xml:space="preserve">This is because semester-level analysis omits variation from one session to the next, effectively precludes election-level analysis, and partially misrepresents the timing of key intra-year events including the EU’s </w:t>
      </w:r>
      <w:r w:rsidR="001A7D12">
        <w:rPr>
          <w:rFonts w:ascii="Garamond" w:hAnsi="Garamond"/>
        </w:rPr>
        <w:t>E</w:t>
      </w:r>
      <w:r w:rsidR="001A7D12" w:rsidRPr="764C7FBC">
        <w:rPr>
          <w:rFonts w:ascii="Garamond" w:hAnsi="Garamond"/>
        </w:rPr>
        <w:t xml:space="preserve">astern </w:t>
      </w:r>
      <w:r w:rsidRPr="764C7FBC">
        <w:rPr>
          <w:rFonts w:ascii="Garamond" w:hAnsi="Garamond"/>
        </w:rPr>
        <w:t>enlargement and formal transparency increases.</w:t>
      </w:r>
    </w:p>
    <w:p w14:paraId="46707A9C" w14:textId="6673D029" w:rsidR="00C44794" w:rsidRDefault="00406CDE" w:rsidP="00C44794">
      <w:pPr>
        <w:adjustRightInd w:val="0"/>
        <w:snapToGrid w:val="0"/>
        <w:spacing w:after="120"/>
        <w:jc w:val="both"/>
        <w:rPr>
          <w:rFonts w:ascii="Garamond" w:hAnsi="Garamond"/>
        </w:rPr>
      </w:pPr>
      <w:r w:rsidRPr="764C7FBC">
        <w:rPr>
          <w:rFonts w:ascii="Garamond" w:hAnsi="Garamond"/>
        </w:rPr>
        <w:t xml:space="preserve">Due to the mismatch between the granularities of the variables, it should be noted that there is a degree of heteroskedasticity in the residuals of variables such as the transparency indicators, and hence standard errors may be understated in the models at session granularity; the coefficients themselves are not affected by this </w:t>
      </w:r>
      <w:r w:rsidR="7E0A855E" w:rsidRPr="764C7FBC">
        <w:rPr>
          <w:rFonts w:ascii="Garamond" w:hAnsi="Garamond"/>
        </w:rPr>
        <w:t xml:space="preserve">phenomenon. </w:t>
      </w:r>
      <w:r w:rsidR="00C44794">
        <w:rPr>
          <w:rFonts w:ascii="Garamond" w:hAnsi="Garamond"/>
        </w:rPr>
        <w:br w:type="page"/>
      </w:r>
    </w:p>
    <w:p w14:paraId="73533B93" w14:textId="77D70D25" w:rsidR="00DE7D69" w:rsidRPr="00B570E1" w:rsidRDefault="00DE7D69" w:rsidP="00E5632D">
      <w:pPr>
        <w:adjustRightInd w:val="0"/>
        <w:snapToGrid w:val="0"/>
        <w:spacing w:after="120"/>
        <w:jc w:val="both"/>
        <w:rPr>
          <w:rFonts w:ascii="Garamond" w:hAnsi="Garamond" w:cs="Times New Roman"/>
          <w:b/>
          <w:bCs/>
        </w:rPr>
      </w:pPr>
      <w:r w:rsidRPr="00B570E1">
        <w:rPr>
          <w:rFonts w:ascii="Garamond" w:hAnsi="Garamond" w:cs="Times New Roman"/>
          <w:b/>
          <w:bCs/>
        </w:rPr>
        <w:lastRenderedPageBreak/>
        <w:t>A.1</w:t>
      </w:r>
      <w:r w:rsidR="00996D90" w:rsidRPr="00B570E1">
        <w:rPr>
          <w:rFonts w:ascii="Garamond" w:hAnsi="Garamond" w:cs="Times New Roman"/>
          <w:b/>
          <w:bCs/>
        </w:rPr>
        <w:t>3</w:t>
      </w:r>
      <w:r w:rsidRPr="00B570E1">
        <w:rPr>
          <w:rFonts w:ascii="Garamond" w:hAnsi="Garamond" w:cs="Times New Roman"/>
          <w:b/>
          <w:bCs/>
        </w:rPr>
        <w:t>. Overdispersion tests for the Poisson regressions</w:t>
      </w:r>
    </w:p>
    <w:p w14:paraId="5B216478" w14:textId="77777777" w:rsidR="00DE7D69" w:rsidRDefault="00DE7D69" w:rsidP="00E5632D">
      <w:pPr>
        <w:adjustRightInd w:val="0"/>
        <w:snapToGrid w:val="0"/>
        <w:spacing w:after="120"/>
        <w:jc w:val="both"/>
        <w:rPr>
          <w:rFonts w:ascii="Garamond" w:hAnsi="Garamond"/>
        </w:rPr>
      </w:pPr>
    </w:p>
    <w:p w14:paraId="2DEAD7A1" w14:textId="77777777" w:rsidR="00B570E1" w:rsidRPr="00CD2E6D" w:rsidRDefault="00B570E1" w:rsidP="00B570E1">
      <w:pPr>
        <w:adjustRightInd w:val="0"/>
        <w:snapToGrid w:val="0"/>
        <w:spacing w:after="120"/>
        <w:jc w:val="both"/>
        <w:rPr>
          <w:rFonts w:ascii="Garamond" w:hAnsi="Garamond" w:cs="Times New Roman"/>
        </w:rPr>
      </w:pPr>
      <w:r w:rsidRPr="764C7FBC">
        <w:rPr>
          <w:rFonts w:ascii="Garamond" w:hAnsi="Garamond" w:cs="Times New Roman"/>
        </w:rPr>
        <w:t xml:space="preserve">We test for overdispersion in order to assess whether negative binomial regressions would be more appropriate than Poisson, however the meal count data are found not to be </w:t>
      </w:r>
      <w:proofErr w:type="spellStart"/>
      <w:r w:rsidRPr="764C7FBC">
        <w:rPr>
          <w:rFonts w:ascii="Garamond" w:hAnsi="Garamond" w:cs="Times New Roman"/>
        </w:rPr>
        <w:t>overdispersed</w:t>
      </w:r>
      <w:proofErr w:type="spellEnd"/>
      <w:r w:rsidRPr="764C7FBC">
        <w:rPr>
          <w:rFonts w:ascii="Garamond" w:hAnsi="Garamond" w:cs="Times New Roman"/>
        </w:rPr>
        <w:t xml:space="preserve"> in any of the relevant models. The overall variance of the number of recorded meals in each session (σ</w:t>
      </w:r>
      <w:r w:rsidRPr="764C7FBC">
        <w:rPr>
          <w:rFonts w:ascii="Garamond" w:hAnsi="Garamond" w:cs="Times New Roman"/>
          <w:vertAlign w:val="superscript"/>
        </w:rPr>
        <w:t>2</w:t>
      </w:r>
      <w:r w:rsidRPr="764C7FBC">
        <w:rPr>
          <w:rFonts w:ascii="Garamond" w:hAnsi="Garamond" w:cs="Times New Roman"/>
        </w:rPr>
        <w:t xml:space="preserve"> = 0.31) is just under the mean (µ = 0.36), for a quotient of 0.86, and for each of the models we run, the residual deviance is lower than the number of degrees of freedom.</w:t>
      </w:r>
    </w:p>
    <w:p w14:paraId="4C7A372B" w14:textId="77777777" w:rsidR="00B570E1" w:rsidRPr="00123559" w:rsidRDefault="00B570E1" w:rsidP="00E5632D">
      <w:pPr>
        <w:adjustRightInd w:val="0"/>
        <w:snapToGrid w:val="0"/>
        <w:spacing w:after="120"/>
        <w:jc w:val="both"/>
        <w:rPr>
          <w:rFonts w:ascii="Garamond" w:hAnsi="Garamond"/>
        </w:rPr>
      </w:pPr>
    </w:p>
    <w:p w14:paraId="6E65FC74" w14:textId="16473958" w:rsidR="00987473" w:rsidRPr="00123559" w:rsidRDefault="00987473" w:rsidP="00E5632D">
      <w:pPr>
        <w:adjustRightInd w:val="0"/>
        <w:snapToGrid w:val="0"/>
        <w:spacing w:after="120"/>
        <w:jc w:val="both"/>
        <w:rPr>
          <w:rFonts w:ascii="Garamond" w:hAnsi="Garamond"/>
          <w:b/>
          <w:bCs/>
          <w:sz w:val="20"/>
          <w:szCs w:val="20"/>
        </w:rPr>
      </w:pPr>
      <w:r w:rsidRPr="00123559">
        <w:rPr>
          <w:rFonts w:ascii="Garamond" w:hAnsi="Garamond"/>
          <w:b/>
          <w:bCs/>
          <w:sz w:val="20"/>
          <w:szCs w:val="20"/>
        </w:rPr>
        <w:t xml:space="preserve">Table A.13.: </w:t>
      </w:r>
      <w:r w:rsidR="00032BF8" w:rsidRPr="00123559">
        <w:rPr>
          <w:rFonts w:ascii="Garamond" w:hAnsi="Garamond"/>
          <w:b/>
          <w:bCs/>
          <w:sz w:val="20"/>
          <w:szCs w:val="20"/>
        </w:rPr>
        <w:t>Overdispersion tests</w:t>
      </w:r>
    </w:p>
    <w:p w14:paraId="2B18495B" w14:textId="6F9F5C32" w:rsidR="00DE7D69" w:rsidRPr="00123559" w:rsidRDefault="00DE7D69" w:rsidP="00E5632D">
      <w:pPr>
        <w:adjustRightInd w:val="0"/>
        <w:snapToGrid w:val="0"/>
        <w:spacing w:after="120"/>
        <w:jc w:val="both"/>
        <w:rPr>
          <w:rFonts w:ascii="Garamond" w:hAnsi="Garamond"/>
        </w:rPr>
      </w:pPr>
    </w:p>
    <w:p w14:paraId="58399767" w14:textId="57A18034" w:rsidR="12EEE777" w:rsidRDefault="12EEE777" w:rsidP="001075E5">
      <w:pPr>
        <w:spacing w:after="120"/>
        <w:jc w:val="both"/>
      </w:pPr>
      <w:r>
        <w:rPr>
          <w:noProof/>
        </w:rPr>
        <w:drawing>
          <wp:inline distT="0" distB="0" distL="0" distR="0" wp14:anchorId="34F0921E" wp14:editId="4D5219B9">
            <wp:extent cx="4619624" cy="1675014"/>
            <wp:effectExtent l="0" t="0" r="0" b="0"/>
            <wp:docPr id="1115588672" name="Picture 111558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619624" cy="1675014"/>
                    </a:xfrm>
                    <a:prstGeom prst="rect">
                      <a:avLst/>
                    </a:prstGeom>
                  </pic:spPr>
                </pic:pic>
              </a:graphicData>
            </a:graphic>
          </wp:inline>
        </w:drawing>
      </w:r>
    </w:p>
    <w:p w14:paraId="18613D74" w14:textId="77777777" w:rsidR="00DE7D69" w:rsidRPr="00CD2E6D" w:rsidRDefault="00DE7D69" w:rsidP="00E5632D">
      <w:pPr>
        <w:adjustRightInd w:val="0"/>
        <w:snapToGrid w:val="0"/>
        <w:spacing w:after="120"/>
        <w:jc w:val="both"/>
        <w:rPr>
          <w:rFonts w:ascii="Garamond" w:hAnsi="Garamond" w:cs="Times New Roman"/>
        </w:rPr>
      </w:pPr>
    </w:p>
    <w:p w14:paraId="45EA9094" w14:textId="657F3925" w:rsidR="00406CDE" w:rsidRPr="00CD2E6D" w:rsidRDefault="00DE7D69" w:rsidP="00B570E1">
      <w:pPr>
        <w:adjustRightInd w:val="0"/>
        <w:snapToGrid w:val="0"/>
        <w:spacing w:after="120"/>
        <w:jc w:val="both"/>
        <w:rPr>
          <w:rFonts w:ascii="Garamond" w:hAnsi="Garamond"/>
        </w:rPr>
      </w:pPr>
      <w:r w:rsidRPr="00CD2E6D">
        <w:rPr>
          <w:rFonts w:ascii="Garamond" w:hAnsi="Garamond" w:cs="Times New Roman"/>
        </w:rPr>
        <w:br w:type="page"/>
      </w:r>
    </w:p>
    <w:p w14:paraId="4EBEA362" w14:textId="7573D9C4" w:rsidR="00473622" w:rsidRPr="00B570E1" w:rsidRDefault="00473622" w:rsidP="00E5632D">
      <w:pPr>
        <w:adjustRightInd w:val="0"/>
        <w:snapToGrid w:val="0"/>
        <w:spacing w:after="120"/>
        <w:jc w:val="both"/>
        <w:rPr>
          <w:rFonts w:ascii="Garamond" w:hAnsi="Garamond"/>
          <w:b/>
          <w:bCs/>
        </w:rPr>
      </w:pPr>
      <w:r w:rsidRPr="00B570E1">
        <w:rPr>
          <w:rFonts w:ascii="Garamond" w:hAnsi="Garamond"/>
          <w:b/>
          <w:bCs/>
        </w:rPr>
        <w:lastRenderedPageBreak/>
        <w:t>A.1</w:t>
      </w:r>
      <w:r w:rsidR="00120C9A" w:rsidRPr="00B570E1">
        <w:rPr>
          <w:rFonts w:ascii="Garamond" w:hAnsi="Garamond"/>
          <w:b/>
          <w:bCs/>
        </w:rPr>
        <w:t>4</w:t>
      </w:r>
      <w:r w:rsidRPr="00B570E1">
        <w:rPr>
          <w:rFonts w:ascii="Garamond" w:hAnsi="Garamond"/>
          <w:b/>
          <w:bCs/>
        </w:rPr>
        <w:t>. Interrupted time series</w:t>
      </w:r>
    </w:p>
    <w:p w14:paraId="338EFAFD" w14:textId="77777777" w:rsidR="00E445A5" w:rsidRPr="00CD2E6D" w:rsidRDefault="00E445A5" w:rsidP="00E5632D">
      <w:pPr>
        <w:adjustRightInd w:val="0"/>
        <w:snapToGrid w:val="0"/>
        <w:spacing w:after="120"/>
        <w:jc w:val="both"/>
        <w:rPr>
          <w:rFonts w:ascii="Garamond" w:hAnsi="Garamond"/>
        </w:rPr>
      </w:pPr>
    </w:p>
    <w:p w14:paraId="028EB50E" w14:textId="7E1352EB" w:rsidR="00473622" w:rsidRDefault="6B148D34" w:rsidP="00E5632D">
      <w:pPr>
        <w:adjustRightInd w:val="0"/>
        <w:snapToGrid w:val="0"/>
        <w:spacing w:after="120"/>
        <w:jc w:val="both"/>
        <w:rPr>
          <w:rFonts w:ascii="Garamond" w:hAnsi="Garamond" w:cs="Times New Roman"/>
        </w:rPr>
      </w:pPr>
      <w:r w:rsidRPr="04AF3EF3">
        <w:rPr>
          <w:rFonts w:ascii="Garamond" w:hAnsi="Garamond" w:cs="Times New Roman"/>
        </w:rPr>
        <w:t xml:space="preserve">As mentioned in section </w:t>
      </w:r>
      <w:r w:rsidR="458ED8A7" w:rsidRPr="04AF3EF3">
        <w:rPr>
          <w:rFonts w:ascii="Garamond" w:hAnsi="Garamond" w:cs="Times New Roman"/>
        </w:rPr>
        <w:t>6</w:t>
      </w:r>
      <w:r w:rsidR="05EF9D10" w:rsidRPr="04AF3EF3">
        <w:rPr>
          <w:rFonts w:ascii="Garamond" w:hAnsi="Garamond" w:cs="Times New Roman"/>
        </w:rPr>
        <w:t xml:space="preserve"> and A.1.</w:t>
      </w:r>
      <w:r w:rsidRPr="04AF3EF3">
        <w:rPr>
          <w:rFonts w:ascii="Garamond" w:hAnsi="Garamond" w:cs="Times New Roman"/>
        </w:rPr>
        <w:t>, we also ran models examining the effects of each discrete change in formal transparency</w:t>
      </w:r>
      <w:r w:rsidR="65C5147D" w:rsidRPr="04AF3EF3">
        <w:rPr>
          <w:rFonts w:ascii="Garamond" w:hAnsi="Garamond" w:cs="Times New Roman"/>
        </w:rPr>
        <w:t xml:space="preserve">. </w:t>
      </w:r>
      <w:r w:rsidRPr="04AF3EF3">
        <w:rPr>
          <w:rFonts w:ascii="Garamond" w:hAnsi="Garamond" w:cs="Times New Roman"/>
        </w:rPr>
        <w:t>This “interrupted time series” approach utilizes a binary treatment variable to represent each transparency increment, as well as an interaction term that measures whether these transparency changes, in conjunction with time, combine to set the observed meal frequencies on a different, statistically significant trend</w:t>
      </w:r>
      <w:r w:rsidR="5878D4A2" w:rsidRPr="04AF3EF3">
        <w:rPr>
          <w:rFonts w:ascii="Garamond" w:hAnsi="Garamond" w:cs="Times New Roman"/>
        </w:rPr>
        <w:t xml:space="preserve">. </w:t>
      </w:r>
      <w:r w:rsidRPr="04AF3EF3">
        <w:rPr>
          <w:rFonts w:ascii="Garamond" w:hAnsi="Garamond" w:cs="Times New Roman"/>
        </w:rPr>
        <w:t xml:space="preserve">The binary treatment results </w:t>
      </w:r>
      <w:r w:rsidR="40EA8941" w:rsidRPr="04AF3EF3">
        <w:rPr>
          <w:rFonts w:ascii="Garamond" w:hAnsi="Garamond" w:cs="Times New Roman"/>
        </w:rPr>
        <w:t xml:space="preserve">corroborate our main (multi-increment) regression results and also permit enquiry into the relative </w:t>
      </w:r>
      <w:r w:rsidR="1727315F" w:rsidRPr="04AF3EF3">
        <w:rPr>
          <w:rFonts w:ascii="Garamond" w:hAnsi="Garamond" w:cs="Times New Roman"/>
        </w:rPr>
        <w:t>significances of the individual transparency enhancements</w:t>
      </w:r>
      <w:r w:rsidRPr="04AF3EF3">
        <w:rPr>
          <w:rFonts w:ascii="Garamond" w:hAnsi="Garamond" w:cs="Times New Roman"/>
        </w:rPr>
        <w:t>.</w:t>
      </w:r>
    </w:p>
    <w:p w14:paraId="029BAE4A" w14:textId="77777777" w:rsidR="00E445A5" w:rsidRPr="00CD2E6D" w:rsidRDefault="00E445A5" w:rsidP="00E5632D">
      <w:pPr>
        <w:adjustRightInd w:val="0"/>
        <w:snapToGrid w:val="0"/>
        <w:spacing w:after="120"/>
        <w:jc w:val="both"/>
        <w:rPr>
          <w:rFonts w:ascii="Garamond" w:hAnsi="Garamond" w:cs="Times New Roman"/>
        </w:rPr>
      </w:pPr>
    </w:p>
    <w:p w14:paraId="33FB38A5" w14:textId="11A3C847" w:rsidR="00032BF8" w:rsidRPr="00123559" w:rsidRDefault="3A44D9CC" w:rsidP="00E5632D">
      <w:pPr>
        <w:adjustRightInd w:val="0"/>
        <w:snapToGrid w:val="0"/>
        <w:spacing w:after="120"/>
        <w:jc w:val="both"/>
        <w:rPr>
          <w:rFonts w:ascii="Garamond" w:hAnsi="Garamond" w:cs="Times New Roman"/>
          <w:b/>
          <w:bCs/>
          <w:sz w:val="20"/>
          <w:szCs w:val="20"/>
        </w:rPr>
      </w:pPr>
      <w:r w:rsidRPr="04AF3EF3">
        <w:rPr>
          <w:rFonts w:ascii="Garamond" w:hAnsi="Garamond" w:cs="Times New Roman"/>
          <w:b/>
          <w:bCs/>
          <w:sz w:val="20"/>
          <w:szCs w:val="20"/>
        </w:rPr>
        <w:t>Table A.14.: Interrupted time series</w:t>
      </w:r>
      <w:r w:rsidR="113D45BF" w:rsidRPr="04AF3EF3">
        <w:rPr>
          <w:rFonts w:ascii="Garamond" w:hAnsi="Garamond" w:cs="Times New Roman"/>
          <w:b/>
          <w:bCs/>
          <w:sz w:val="20"/>
          <w:szCs w:val="20"/>
        </w:rPr>
        <w:t xml:space="preserve">: </w:t>
      </w:r>
      <w:r w:rsidR="02540439" w:rsidRPr="04AF3EF3">
        <w:rPr>
          <w:rFonts w:ascii="Garamond" w:hAnsi="Garamond" w:cs="Times New Roman"/>
          <w:b/>
          <w:bCs/>
          <w:sz w:val="20"/>
          <w:szCs w:val="20"/>
        </w:rPr>
        <w:t>binary treatment plus interaction term</w:t>
      </w:r>
    </w:p>
    <w:p w14:paraId="0B7D3339" w14:textId="51D4443A" w:rsidR="00473622" w:rsidRPr="00CD2E6D" w:rsidRDefault="2FDEF673" w:rsidP="04AF3EF3">
      <w:pPr>
        <w:adjustRightInd w:val="0"/>
        <w:snapToGrid w:val="0"/>
        <w:spacing w:after="120"/>
        <w:jc w:val="both"/>
      </w:pPr>
      <w:r>
        <w:rPr>
          <w:noProof/>
        </w:rPr>
        <w:drawing>
          <wp:inline distT="0" distB="0" distL="0" distR="0" wp14:anchorId="5B67D9EB" wp14:editId="7206DFFC">
            <wp:extent cx="4746046" cy="4292866"/>
            <wp:effectExtent l="0" t="0" r="0" b="0"/>
            <wp:docPr id="1890798651" name="Picture 189079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746046" cy="4292866"/>
                    </a:xfrm>
                    <a:prstGeom prst="rect">
                      <a:avLst/>
                    </a:prstGeom>
                  </pic:spPr>
                </pic:pic>
              </a:graphicData>
            </a:graphic>
          </wp:inline>
        </w:drawing>
      </w:r>
    </w:p>
    <w:p w14:paraId="7578160A" w14:textId="6C443916" w:rsidR="009651DB" w:rsidRDefault="009651DB">
      <w:r>
        <w:br w:type="page"/>
      </w:r>
    </w:p>
    <w:p w14:paraId="104EED31" w14:textId="77777777" w:rsidR="04AF3EF3" w:rsidRDefault="04AF3EF3" w:rsidP="04AF3EF3">
      <w:pPr>
        <w:spacing w:after="120"/>
        <w:jc w:val="both"/>
      </w:pPr>
    </w:p>
    <w:p w14:paraId="16B2AD76" w14:textId="38FC1A8E" w:rsidR="00D278DB" w:rsidRPr="00B570E1" w:rsidRDefault="00D278DB" w:rsidP="00E5632D">
      <w:pPr>
        <w:adjustRightInd w:val="0"/>
        <w:snapToGrid w:val="0"/>
        <w:spacing w:after="120"/>
        <w:jc w:val="both"/>
        <w:rPr>
          <w:rFonts w:ascii="Garamond" w:hAnsi="Garamond" w:cs="Times New Roman"/>
          <w:b/>
          <w:bCs/>
        </w:rPr>
      </w:pPr>
      <w:r w:rsidRPr="00B570E1">
        <w:rPr>
          <w:rFonts w:ascii="Garamond" w:hAnsi="Garamond" w:cs="Times New Roman"/>
          <w:b/>
          <w:bCs/>
        </w:rPr>
        <w:t>A.</w:t>
      </w:r>
      <w:r w:rsidR="00120C9A" w:rsidRPr="00B570E1">
        <w:rPr>
          <w:rFonts w:ascii="Garamond" w:hAnsi="Garamond" w:cs="Times New Roman"/>
          <w:b/>
          <w:bCs/>
        </w:rPr>
        <w:t>15</w:t>
      </w:r>
      <w:r w:rsidRPr="00B570E1">
        <w:rPr>
          <w:rFonts w:ascii="Garamond" w:hAnsi="Garamond" w:cs="Times New Roman"/>
          <w:b/>
          <w:bCs/>
        </w:rPr>
        <w:t>. Single transparency variable</w:t>
      </w:r>
    </w:p>
    <w:p w14:paraId="5FB55591" w14:textId="77777777" w:rsidR="00D278DB" w:rsidRDefault="00D278DB" w:rsidP="00E5632D">
      <w:pPr>
        <w:adjustRightInd w:val="0"/>
        <w:snapToGrid w:val="0"/>
        <w:spacing w:after="120"/>
        <w:jc w:val="both"/>
        <w:rPr>
          <w:rFonts w:ascii="Garamond" w:hAnsi="Garamond"/>
        </w:rPr>
      </w:pPr>
      <w:r w:rsidRPr="764C7FBC">
        <w:rPr>
          <w:rFonts w:ascii="Garamond" w:hAnsi="Garamond" w:cs="Times New Roman"/>
        </w:rPr>
        <w:t>As mentioned at the conclusion of the robustness checks section, the following is a v</w:t>
      </w:r>
      <w:r w:rsidRPr="764C7FBC">
        <w:rPr>
          <w:rFonts w:ascii="Garamond" w:hAnsi="Garamond"/>
        </w:rPr>
        <w:t xml:space="preserve">ersion of the original transparency model omitting de facto transparency (and therefore </w:t>
      </w:r>
      <w:bookmarkStart w:id="15" w:name="_Int_HU3kBvd9"/>
      <w:proofErr w:type="gramStart"/>
      <w:r w:rsidRPr="764C7FBC">
        <w:rPr>
          <w:rFonts w:ascii="Garamond" w:hAnsi="Garamond"/>
        </w:rPr>
        <w:t>according</w:t>
      </w:r>
      <w:bookmarkEnd w:id="15"/>
      <w:proofErr w:type="gramEnd"/>
      <w:r w:rsidRPr="764C7FBC">
        <w:rPr>
          <w:rFonts w:ascii="Garamond" w:hAnsi="Garamond"/>
        </w:rPr>
        <w:t xml:space="preserve"> more weight to formal transparency).</w:t>
      </w:r>
    </w:p>
    <w:p w14:paraId="377D242A" w14:textId="77777777" w:rsidR="00E445A5" w:rsidRPr="00CD2E6D" w:rsidRDefault="00E445A5" w:rsidP="00E5632D">
      <w:pPr>
        <w:adjustRightInd w:val="0"/>
        <w:snapToGrid w:val="0"/>
        <w:spacing w:after="120"/>
        <w:jc w:val="both"/>
        <w:rPr>
          <w:rFonts w:ascii="Garamond" w:hAnsi="Garamond"/>
        </w:rPr>
      </w:pPr>
    </w:p>
    <w:p w14:paraId="0273E091" w14:textId="33482A5F" w:rsidR="00CD2E6D" w:rsidRPr="00123559" w:rsidRDefault="00CD2E6D" w:rsidP="00E5632D">
      <w:pPr>
        <w:adjustRightInd w:val="0"/>
        <w:snapToGrid w:val="0"/>
        <w:spacing w:after="120"/>
        <w:jc w:val="both"/>
        <w:rPr>
          <w:rFonts w:ascii="Garamond" w:hAnsi="Garamond"/>
          <w:b/>
          <w:bCs/>
          <w:sz w:val="20"/>
          <w:szCs w:val="20"/>
        </w:rPr>
      </w:pPr>
      <w:r w:rsidRPr="00123559">
        <w:rPr>
          <w:rFonts w:ascii="Garamond" w:hAnsi="Garamond"/>
          <w:b/>
          <w:bCs/>
          <w:sz w:val="20"/>
          <w:szCs w:val="20"/>
        </w:rPr>
        <w:t>Table A.15.: Comparison of Model 1 with a single transparency variable model</w:t>
      </w:r>
    </w:p>
    <w:p w14:paraId="0ADCE2B4" w14:textId="45E2D4B3" w:rsidR="00D278DB" w:rsidRPr="00CD2E6D" w:rsidRDefault="00D45E84" w:rsidP="00E5632D">
      <w:pPr>
        <w:adjustRightInd w:val="0"/>
        <w:snapToGrid w:val="0"/>
        <w:spacing w:after="120"/>
        <w:jc w:val="both"/>
      </w:pPr>
      <w:r w:rsidRPr="00D45E84">
        <w:rPr>
          <w:noProof/>
        </w:rPr>
        <w:drawing>
          <wp:inline distT="0" distB="0" distL="0" distR="0" wp14:anchorId="2A06AC26" wp14:editId="55600C59">
            <wp:extent cx="5295900" cy="2423610"/>
            <wp:effectExtent l="0" t="0" r="0" b="0"/>
            <wp:docPr id="12411739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73947" name="Picture 1" descr="A screenshot of a computer&#10;&#10;Description automatically generated"/>
                    <pic:cNvPicPr/>
                  </pic:nvPicPr>
                  <pic:blipFill>
                    <a:blip r:embed="rId21"/>
                    <a:stretch>
                      <a:fillRect/>
                    </a:stretch>
                  </pic:blipFill>
                  <pic:spPr>
                    <a:xfrm>
                      <a:off x="0" y="0"/>
                      <a:ext cx="5298149" cy="2424639"/>
                    </a:xfrm>
                    <a:prstGeom prst="rect">
                      <a:avLst/>
                    </a:prstGeom>
                  </pic:spPr>
                </pic:pic>
              </a:graphicData>
            </a:graphic>
          </wp:inline>
        </w:drawing>
      </w:r>
    </w:p>
    <w:p w14:paraId="65783E4E" w14:textId="75B9224F" w:rsidR="04DD9770" w:rsidRDefault="04DD9770" w:rsidP="001075E5">
      <w:pPr>
        <w:spacing w:after="120"/>
        <w:jc w:val="both"/>
      </w:pPr>
    </w:p>
    <w:p w14:paraId="41F51E96" w14:textId="3F16D106" w:rsidR="00D278DB" w:rsidRPr="00C44794" w:rsidRDefault="00D278DB" w:rsidP="04AF3EF3">
      <w:pPr>
        <w:spacing w:after="120" w:line="259" w:lineRule="auto"/>
        <w:jc w:val="both"/>
        <w:rPr>
          <w:rFonts w:ascii="Garamond" w:eastAsia="Garamond" w:hAnsi="Garamond" w:cs="Garamond"/>
          <w:b/>
          <w:bCs/>
        </w:rPr>
      </w:pPr>
      <w:r w:rsidRPr="04AF3EF3">
        <w:rPr>
          <w:rFonts w:ascii="Garamond" w:hAnsi="Garamond"/>
        </w:rPr>
        <w:br w:type="page"/>
      </w:r>
      <w:r w:rsidR="1F046439" w:rsidRPr="00C44794">
        <w:rPr>
          <w:rFonts w:ascii="Garamond" w:hAnsi="Garamond" w:cs="Times New Roman"/>
          <w:b/>
          <w:bCs/>
        </w:rPr>
        <w:lastRenderedPageBreak/>
        <w:t xml:space="preserve">A.16. </w:t>
      </w:r>
      <w:r w:rsidR="1F046439" w:rsidRPr="00C44794">
        <w:rPr>
          <w:rFonts w:ascii="Garamond" w:hAnsi="Garamond"/>
          <w:b/>
          <w:bCs/>
        </w:rPr>
        <w:t>Financial crisis</w:t>
      </w:r>
    </w:p>
    <w:p w14:paraId="53849742" w14:textId="0182DA2A" w:rsidR="00D278DB" w:rsidRPr="00CD2E6D" w:rsidRDefault="1F046439" w:rsidP="04AF3EF3">
      <w:pPr>
        <w:adjustRightInd w:val="0"/>
        <w:snapToGrid w:val="0"/>
        <w:spacing w:after="120"/>
        <w:jc w:val="both"/>
        <w:rPr>
          <w:rFonts w:ascii="Garamond" w:hAnsi="Garamond"/>
        </w:rPr>
      </w:pPr>
      <w:r w:rsidRPr="04AF3EF3">
        <w:rPr>
          <w:rFonts w:ascii="Garamond" w:hAnsi="Garamond" w:cs="Times New Roman"/>
        </w:rPr>
        <w:t xml:space="preserve">As mentioned </w:t>
      </w:r>
      <w:r w:rsidR="2B6468ED" w:rsidRPr="04AF3EF3">
        <w:rPr>
          <w:rFonts w:ascii="Garamond" w:hAnsi="Garamond" w:cs="Times New Roman"/>
        </w:rPr>
        <w:t>in</w:t>
      </w:r>
      <w:r w:rsidRPr="04AF3EF3">
        <w:rPr>
          <w:rFonts w:ascii="Garamond" w:hAnsi="Garamond" w:cs="Times New Roman"/>
        </w:rPr>
        <w:t xml:space="preserve"> the robustness checks section, the following </w:t>
      </w:r>
      <w:r w:rsidR="571A96EC" w:rsidRPr="04AF3EF3">
        <w:rPr>
          <w:rFonts w:ascii="Garamond" w:hAnsi="Garamond" w:cs="Times New Roman"/>
        </w:rPr>
        <w:t xml:space="preserve">table compares </w:t>
      </w:r>
      <w:r w:rsidR="571A96EC" w:rsidRPr="04AF3EF3">
        <w:rPr>
          <w:rFonts w:ascii="Garamond" w:hAnsi="Garamond"/>
        </w:rPr>
        <w:t xml:space="preserve">Model 2 to </w:t>
      </w:r>
      <w:r w:rsidR="4029C3BC" w:rsidRPr="04AF3EF3">
        <w:rPr>
          <w:rFonts w:ascii="Garamond" w:hAnsi="Garamond"/>
        </w:rPr>
        <w:t>an alternative version</w:t>
      </w:r>
      <w:r w:rsidR="571A96EC" w:rsidRPr="04AF3EF3">
        <w:rPr>
          <w:rFonts w:ascii="Garamond" w:hAnsi="Garamond"/>
        </w:rPr>
        <w:t xml:space="preserve"> </w:t>
      </w:r>
      <w:r w:rsidR="1D3F7BDD" w:rsidRPr="04AF3EF3">
        <w:rPr>
          <w:rFonts w:ascii="Garamond" w:hAnsi="Garamond"/>
        </w:rPr>
        <w:t xml:space="preserve">that utilizes </w:t>
      </w:r>
      <w:r w:rsidR="571A96EC" w:rsidRPr="04AF3EF3">
        <w:rPr>
          <w:rFonts w:ascii="Garamond" w:hAnsi="Garamond"/>
        </w:rPr>
        <w:t xml:space="preserve">a more expansive definition of the Euro area financial crisis. In the original specification this variable </w:t>
      </w:r>
      <w:r w:rsidR="085210CD" w:rsidRPr="04AF3EF3">
        <w:rPr>
          <w:rFonts w:ascii="Garamond" w:hAnsi="Garamond"/>
        </w:rPr>
        <w:t xml:space="preserve">activated from </w:t>
      </w:r>
      <w:proofErr w:type="gramStart"/>
      <w:r w:rsidR="085210CD" w:rsidRPr="04AF3EF3">
        <w:rPr>
          <w:rFonts w:ascii="Garamond" w:hAnsi="Garamond"/>
        </w:rPr>
        <w:t>May,</w:t>
      </w:r>
      <w:proofErr w:type="gramEnd"/>
      <w:r w:rsidR="085210CD" w:rsidRPr="04AF3EF3">
        <w:rPr>
          <w:rFonts w:ascii="Garamond" w:hAnsi="Garamond"/>
        </w:rPr>
        <w:t xml:space="preserve"> 2010 through July, 2012; the alternate </w:t>
      </w:r>
      <w:r w:rsidR="0E8FF90F" w:rsidRPr="04AF3EF3">
        <w:rPr>
          <w:rFonts w:ascii="Garamond" w:hAnsi="Garamond"/>
        </w:rPr>
        <w:t>runs from</w:t>
      </w:r>
      <w:r w:rsidR="085210CD" w:rsidRPr="04AF3EF3">
        <w:rPr>
          <w:rFonts w:ascii="Garamond" w:hAnsi="Garamond"/>
        </w:rPr>
        <w:t xml:space="preserve"> </w:t>
      </w:r>
      <w:r w:rsidR="73366921" w:rsidRPr="04AF3EF3">
        <w:rPr>
          <w:rFonts w:ascii="Garamond" w:hAnsi="Garamond"/>
        </w:rPr>
        <w:t>15 September, 2008 (the collapse of Lehman) to 1 July</w:t>
      </w:r>
      <w:r w:rsidR="54088BBE" w:rsidRPr="04AF3EF3">
        <w:rPr>
          <w:rFonts w:ascii="Garamond" w:hAnsi="Garamond"/>
        </w:rPr>
        <w:t xml:space="preserve">, </w:t>
      </w:r>
      <w:r w:rsidR="73366921" w:rsidRPr="04AF3EF3">
        <w:rPr>
          <w:rFonts w:ascii="Garamond" w:hAnsi="Garamond"/>
        </w:rPr>
        <w:t>2013.</w:t>
      </w:r>
      <w:r w:rsidR="20019EFD" w:rsidRPr="04AF3EF3">
        <w:rPr>
          <w:rFonts w:ascii="Garamond" w:hAnsi="Garamond"/>
        </w:rPr>
        <w:t xml:space="preserve">  This suggests it is possible to discern an effect following from the financial crisis, however the results are not as robust as those of our transparency variables.</w:t>
      </w:r>
    </w:p>
    <w:p w14:paraId="5B84A3CA" w14:textId="77777777" w:rsidR="00D278DB" w:rsidRPr="00CD2E6D" w:rsidRDefault="00D278DB" w:rsidP="04AF3EF3">
      <w:pPr>
        <w:adjustRightInd w:val="0"/>
        <w:snapToGrid w:val="0"/>
        <w:spacing w:after="120"/>
        <w:jc w:val="both"/>
        <w:rPr>
          <w:rFonts w:ascii="Garamond" w:hAnsi="Garamond"/>
        </w:rPr>
      </w:pPr>
    </w:p>
    <w:p w14:paraId="2C5B83D0" w14:textId="4A2EA963" w:rsidR="00D278DB" w:rsidRPr="007700A4" w:rsidRDefault="1F046439" w:rsidP="04AF3EF3">
      <w:pPr>
        <w:adjustRightInd w:val="0"/>
        <w:snapToGrid w:val="0"/>
        <w:spacing w:after="120"/>
        <w:jc w:val="both"/>
        <w:rPr>
          <w:rFonts w:ascii="Garamond" w:eastAsia="Garamond" w:hAnsi="Garamond" w:cs="Garamond"/>
          <w:b/>
          <w:bCs/>
          <w:sz w:val="20"/>
          <w:szCs w:val="20"/>
        </w:rPr>
      </w:pPr>
      <w:r w:rsidRPr="04AF3EF3">
        <w:rPr>
          <w:rFonts w:ascii="Garamond" w:hAnsi="Garamond"/>
          <w:b/>
          <w:bCs/>
          <w:sz w:val="20"/>
          <w:szCs w:val="20"/>
        </w:rPr>
        <w:t>Table A.1</w:t>
      </w:r>
      <w:r w:rsidR="1A5144DB" w:rsidRPr="04AF3EF3">
        <w:rPr>
          <w:rFonts w:ascii="Garamond" w:hAnsi="Garamond"/>
          <w:b/>
          <w:bCs/>
          <w:sz w:val="20"/>
          <w:szCs w:val="20"/>
        </w:rPr>
        <w:t>6</w:t>
      </w:r>
      <w:r w:rsidRPr="04AF3EF3">
        <w:rPr>
          <w:rFonts w:ascii="Garamond" w:hAnsi="Garamond"/>
          <w:b/>
          <w:bCs/>
          <w:sz w:val="20"/>
          <w:szCs w:val="20"/>
        </w:rPr>
        <w:t xml:space="preserve">.: </w:t>
      </w:r>
      <w:r w:rsidR="28A0DBDC" w:rsidRPr="007700A4">
        <w:rPr>
          <w:rFonts w:ascii="Garamond" w:eastAsia="Garamond" w:hAnsi="Garamond" w:cs="Garamond"/>
          <w:b/>
          <w:bCs/>
          <w:sz w:val="20"/>
          <w:szCs w:val="20"/>
        </w:rPr>
        <w:t>Model 2 using an expanded specification of the financial crisis variable</w:t>
      </w:r>
    </w:p>
    <w:p w14:paraId="56F1CB49" w14:textId="6C70FAA1" w:rsidR="00D278DB" w:rsidRPr="00CD2E6D" w:rsidRDefault="26840A84" w:rsidP="007700A4">
      <w:pPr>
        <w:adjustRightInd w:val="0"/>
        <w:snapToGrid w:val="0"/>
        <w:spacing w:after="120"/>
        <w:jc w:val="both"/>
      </w:pPr>
      <w:r>
        <w:rPr>
          <w:noProof/>
        </w:rPr>
        <w:drawing>
          <wp:inline distT="0" distB="0" distL="0" distR="0" wp14:anchorId="0DC963A0" wp14:editId="1201DB8C">
            <wp:extent cx="5189838" cy="3333750"/>
            <wp:effectExtent l="0" t="0" r="0" b="0"/>
            <wp:docPr id="1937196479" name="Picture 1937196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189838" cy="3333750"/>
                    </a:xfrm>
                    <a:prstGeom prst="rect">
                      <a:avLst/>
                    </a:prstGeom>
                  </pic:spPr>
                </pic:pic>
              </a:graphicData>
            </a:graphic>
          </wp:inline>
        </w:drawing>
      </w:r>
    </w:p>
    <w:p w14:paraId="4385A5A5" w14:textId="44A97817" w:rsidR="04AF3EF3" w:rsidRDefault="04AF3EF3" w:rsidP="04AF3EF3">
      <w:pPr>
        <w:spacing w:after="120"/>
        <w:jc w:val="both"/>
      </w:pPr>
    </w:p>
    <w:p w14:paraId="4AFC6B8B" w14:textId="780912A2" w:rsidR="04AF3EF3" w:rsidRDefault="04AF3EF3" w:rsidP="04AF3EF3">
      <w:pPr>
        <w:spacing w:after="120"/>
        <w:jc w:val="both"/>
      </w:pPr>
    </w:p>
    <w:p w14:paraId="760CECC9" w14:textId="55551B7D" w:rsidR="04AF3EF3" w:rsidRDefault="04AF3EF3" w:rsidP="04AF3EF3">
      <w:pPr>
        <w:spacing w:after="120"/>
        <w:jc w:val="both"/>
      </w:pPr>
    </w:p>
    <w:p w14:paraId="5D952549" w14:textId="77777777" w:rsidR="00C44794" w:rsidRDefault="00C44794">
      <w:pPr>
        <w:rPr>
          <w:rFonts w:ascii="Garamond" w:hAnsi="Garamond"/>
          <w:b/>
          <w:bCs/>
          <w:lang w:val="de-DE"/>
        </w:rPr>
      </w:pPr>
      <w:r>
        <w:rPr>
          <w:rFonts w:ascii="Garamond" w:hAnsi="Garamond"/>
          <w:b/>
          <w:bCs/>
          <w:lang w:val="de-DE"/>
        </w:rPr>
        <w:br w:type="page"/>
      </w:r>
    </w:p>
    <w:p w14:paraId="65B4FEEE" w14:textId="3C1DC82C" w:rsidR="78D7EFB3" w:rsidRPr="00CD2E6D" w:rsidRDefault="00F17676" w:rsidP="00E5632D">
      <w:pPr>
        <w:adjustRightInd w:val="0"/>
        <w:snapToGrid w:val="0"/>
        <w:spacing w:after="120"/>
        <w:jc w:val="both"/>
        <w:rPr>
          <w:rFonts w:ascii="Garamond" w:hAnsi="Garamond"/>
          <w:b/>
          <w:bCs/>
          <w:lang w:val="de-DE"/>
        </w:rPr>
      </w:pPr>
      <w:r w:rsidRPr="00CD2E6D">
        <w:rPr>
          <w:rFonts w:ascii="Garamond" w:hAnsi="Garamond"/>
          <w:b/>
          <w:bCs/>
          <w:lang w:val="de-DE"/>
        </w:rPr>
        <w:lastRenderedPageBreak/>
        <w:t>References</w:t>
      </w:r>
    </w:p>
    <w:p w14:paraId="1F737A1E" w14:textId="21820BBF" w:rsidR="00F17676" w:rsidRPr="00B04A21" w:rsidRDefault="6E2A9954" w:rsidP="00B04A21">
      <w:pPr>
        <w:pStyle w:val="Bibliography"/>
        <w:adjustRightInd w:val="0"/>
        <w:snapToGrid w:val="0"/>
        <w:spacing w:after="120"/>
        <w:jc w:val="both"/>
        <w:rPr>
          <w:rFonts w:ascii="Garamond" w:eastAsia="Garamond" w:hAnsi="Garamond" w:cs="Garamond"/>
        </w:rPr>
      </w:pPr>
      <w:r w:rsidRPr="764C7FBC">
        <w:rPr>
          <w:rFonts w:ascii="Garamond" w:eastAsia="Garamond" w:hAnsi="Garamond" w:cs="Garamond"/>
          <w:lang w:val="de-DE"/>
        </w:rPr>
        <w:t xml:space="preserve">Alt, J., Lassen, D. D., &amp; Wehner, J. (2014). </w:t>
      </w:r>
      <w:r w:rsidRPr="764C7FBC">
        <w:rPr>
          <w:rFonts w:ascii="Garamond" w:eastAsia="Garamond" w:hAnsi="Garamond" w:cs="Garamond"/>
        </w:rPr>
        <w:t xml:space="preserve">It </w:t>
      </w:r>
      <w:bookmarkStart w:id="16" w:name="_Int_ibTRja7G"/>
      <w:r w:rsidRPr="764C7FBC">
        <w:rPr>
          <w:rFonts w:ascii="Garamond" w:eastAsia="Garamond" w:hAnsi="Garamond" w:cs="Garamond"/>
        </w:rPr>
        <w:t>isn’t</w:t>
      </w:r>
      <w:bookmarkEnd w:id="16"/>
      <w:r w:rsidRPr="764C7FBC">
        <w:rPr>
          <w:rFonts w:ascii="Garamond" w:eastAsia="Garamond" w:hAnsi="Garamond" w:cs="Garamond"/>
        </w:rPr>
        <w:t xml:space="preserve"> </w:t>
      </w:r>
      <w:bookmarkStart w:id="17" w:name="_Int_CDprZElO"/>
      <w:r w:rsidRPr="764C7FBC">
        <w:rPr>
          <w:rFonts w:ascii="Garamond" w:eastAsia="Garamond" w:hAnsi="Garamond" w:cs="Garamond"/>
        </w:rPr>
        <w:t>just about Greece</w:t>
      </w:r>
      <w:bookmarkEnd w:id="17"/>
      <w:r w:rsidRPr="764C7FBC">
        <w:rPr>
          <w:rFonts w:ascii="Garamond" w:eastAsia="Garamond" w:hAnsi="Garamond" w:cs="Garamond"/>
        </w:rPr>
        <w:t xml:space="preserve">: </w:t>
      </w:r>
      <w:r w:rsidR="002E0D47">
        <w:rPr>
          <w:rFonts w:ascii="Garamond" w:eastAsia="Garamond" w:hAnsi="Garamond" w:cs="Garamond"/>
        </w:rPr>
        <w:t>D</w:t>
      </w:r>
      <w:r w:rsidRPr="764C7FBC">
        <w:rPr>
          <w:rFonts w:ascii="Garamond" w:eastAsia="Garamond" w:hAnsi="Garamond" w:cs="Garamond"/>
        </w:rPr>
        <w:t xml:space="preserve">omestic politics, </w:t>
      </w:r>
      <w:bookmarkStart w:id="18" w:name="_Int_x9D1UTYt"/>
      <w:r w:rsidRPr="764C7FBC">
        <w:rPr>
          <w:rFonts w:ascii="Garamond" w:eastAsia="Garamond" w:hAnsi="Garamond" w:cs="Garamond"/>
        </w:rPr>
        <w:t>transparency</w:t>
      </w:r>
      <w:bookmarkEnd w:id="18"/>
      <w:r w:rsidRPr="764C7FBC">
        <w:rPr>
          <w:rFonts w:ascii="Garamond" w:eastAsia="Garamond" w:hAnsi="Garamond" w:cs="Garamond"/>
        </w:rPr>
        <w:t xml:space="preserve"> and fiscal gimmickry in Europe. </w:t>
      </w:r>
      <w:r w:rsidRPr="764C7FBC">
        <w:rPr>
          <w:rFonts w:ascii="Garamond" w:eastAsia="Garamond" w:hAnsi="Garamond" w:cs="Garamond"/>
          <w:i/>
          <w:iCs/>
        </w:rPr>
        <w:t>British Journal of Political Science</w:t>
      </w:r>
      <w:r w:rsidRPr="764C7FBC">
        <w:rPr>
          <w:rFonts w:ascii="Garamond" w:eastAsia="Garamond" w:hAnsi="Garamond" w:cs="Garamond"/>
        </w:rPr>
        <w:t>, 44(4), 707–</w:t>
      </w:r>
      <w:r w:rsidRPr="00B04A21">
        <w:rPr>
          <w:rFonts w:ascii="Garamond" w:eastAsia="Garamond" w:hAnsi="Garamond" w:cs="Garamond"/>
        </w:rPr>
        <w:t>716.</w:t>
      </w:r>
    </w:p>
    <w:p w14:paraId="00C0FD5B" w14:textId="6F890DC9" w:rsidR="009E7B25" w:rsidRPr="00B04A21" w:rsidRDefault="006976D1" w:rsidP="00B04A21">
      <w:pPr>
        <w:adjustRightInd w:val="0"/>
        <w:snapToGrid w:val="0"/>
        <w:spacing w:after="120"/>
        <w:ind w:left="720" w:hanging="720"/>
        <w:jc w:val="both"/>
        <w:rPr>
          <w:rFonts w:ascii="Garamond" w:hAnsi="Garamond" w:cs="Arial"/>
        </w:rPr>
      </w:pPr>
      <w:r w:rsidRPr="00B04A21">
        <w:rPr>
          <w:rFonts w:ascii="Garamond" w:hAnsi="Garamond" w:cs="Arial"/>
        </w:rPr>
        <w:t>C</w:t>
      </w:r>
      <w:r w:rsidR="009E7B25" w:rsidRPr="00A03437">
        <w:rPr>
          <w:rFonts w:ascii="Garamond" w:hAnsi="Garamond" w:cs="Arial"/>
        </w:rPr>
        <w:t xml:space="preserve">ouncil of the EU </w:t>
      </w:r>
      <w:r w:rsidR="00651F01">
        <w:rPr>
          <w:rFonts w:ascii="Garamond" w:hAnsi="Garamond" w:cs="Arial"/>
        </w:rPr>
        <w:t>(</w:t>
      </w:r>
      <w:r w:rsidR="009E7B25" w:rsidRPr="00A03437">
        <w:rPr>
          <w:rFonts w:ascii="Garamond" w:hAnsi="Garamond" w:cs="Arial"/>
        </w:rPr>
        <w:t>2008</w:t>
      </w:r>
      <w:r w:rsidR="00651F01">
        <w:rPr>
          <w:rFonts w:ascii="Garamond" w:hAnsi="Garamond" w:cs="Arial"/>
        </w:rPr>
        <w:t>)</w:t>
      </w:r>
      <w:r w:rsidR="009E7B25" w:rsidRPr="00A03437">
        <w:rPr>
          <w:rFonts w:ascii="Garamond" w:hAnsi="Garamond" w:cs="Arial"/>
        </w:rPr>
        <w:t>. Sixth annual report of the Council on the implementation of regulation 1049/2001 of the European Parliament and of the Council of 30 May 2001 regarding public access to European Parliament, Council and Commission documents. 8475/08, 16 April 2008.</w:t>
      </w:r>
    </w:p>
    <w:p w14:paraId="34AE56CF" w14:textId="58A729C0" w:rsidR="00E445A5" w:rsidRPr="00E445A5" w:rsidRDefault="00FE7067" w:rsidP="00E5632D">
      <w:pPr>
        <w:adjustRightInd w:val="0"/>
        <w:snapToGrid w:val="0"/>
        <w:spacing w:after="120"/>
        <w:ind w:left="720" w:hanging="720"/>
        <w:jc w:val="both"/>
        <w:rPr>
          <w:rFonts w:ascii="Garamond" w:hAnsi="Garamond" w:cs="Arial"/>
        </w:rPr>
      </w:pPr>
      <w:r w:rsidRPr="00B04A21">
        <w:rPr>
          <w:rFonts w:ascii="Garamond" w:hAnsi="Garamond" w:cs="Arial"/>
        </w:rPr>
        <w:t>Cross, J</w:t>
      </w:r>
      <w:r w:rsidR="49A0EA25" w:rsidRPr="00B04A21">
        <w:rPr>
          <w:rFonts w:ascii="Garamond" w:hAnsi="Garamond" w:cs="Arial"/>
        </w:rPr>
        <w:t>.P.</w:t>
      </w:r>
      <w:r w:rsidRPr="00B04A21">
        <w:rPr>
          <w:rFonts w:ascii="Garamond" w:hAnsi="Garamond" w:cs="Arial"/>
        </w:rPr>
        <w:t xml:space="preserve">, </w:t>
      </w:r>
      <w:r w:rsidR="35A299CD" w:rsidRPr="00B04A21">
        <w:rPr>
          <w:rFonts w:ascii="Garamond" w:hAnsi="Garamond" w:cs="Arial"/>
        </w:rPr>
        <w:t>&amp;</w:t>
      </w:r>
      <w:r w:rsidRPr="00B04A21">
        <w:rPr>
          <w:rFonts w:ascii="Garamond" w:hAnsi="Garamond" w:cs="Arial"/>
        </w:rPr>
        <w:t xml:space="preserve"> </w:t>
      </w:r>
      <w:proofErr w:type="spellStart"/>
      <w:r w:rsidRPr="00B04A21">
        <w:rPr>
          <w:rFonts w:ascii="Garamond" w:hAnsi="Garamond" w:cs="Arial"/>
        </w:rPr>
        <w:t>Boelstad</w:t>
      </w:r>
      <w:proofErr w:type="spellEnd"/>
      <w:r w:rsidR="4C04B133" w:rsidRPr="00B04A21">
        <w:rPr>
          <w:rFonts w:ascii="Garamond" w:hAnsi="Garamond" w:cs="Arial"/>
        </w:rPr>
        <w:t>, J.</w:t>
      </w:r>
      <w:r w:rsidRPr="00B04A21">
        <w:rPr>
          <w:rFonts w:ascii="Garamond" w:hAnsi="Garamond" w:cs="Arial"/>
        </w:rPr>
        <w:t xml:space="preserve"> </w:t>
      </w:r>
      <w:r w:rsidR="00795FC6">
        <w:rPr>
          <w:rFonts w:ascii="Garamond" w:hAnsi="Garamond" w:cs="Arial"/>
        </w:rPr>
        <w:t>(</w:t>
      </w:r>
      <w:r w:rsidRPr="00B04A21">
        <w:rPr>
          <w:rFonts w:ascii="Garamond" w:hAnsi="Garamond" w:cs="Arial"/>
        </w:rPr>
        <w:t>2015</w:t>
      </w:r>
      <w:r w:rsidR="00795FC6">
        <w:rPr>
          <w:rFonts w:ascii="Garamond" w:hAnsi="Garamond" w:cs="Arial"/>
        </w:rPr>
        <w:t>)</w:t>
      </w:r>
      <w:r w:rsidRPr="00B04A21">
        <w:rPr>
          <w:rFonts w:ascii="Garamond" w:hAnsi="Garamond" w:cs="Arial"/>
        </w:rPr>
        <w:t xml:space="preserve">. Openness and censorship in the European Union: </w:t>
      </w:r>
      <w:r w:rsidR="00500A30">
        <w:rPr>
          <w:rFonts w:ascii="Garamond" w:hAnsi="Garamond" w:cs="Arial"/>
        </w:rPr>
        <w:t>A</w:t>
      </w:r>
      <w:r w:rsidRPr="00B04A21">
        <w:rPr>
          <w:rFonts w:ascii="Garamond" w:hAnsi="Garamond" w:cs="Arial"/>
        </w:rPr>
        <w:t>n interrupted</w:t>
      </w:r>
      <w:r w:rsidRPr="46B242CB">
        <w:rPr>
          <w:rFonts w:ascii="Garamond" w:hAnsi="Garamond" w:cs="Arial"/>
        </w:rPr>
        <w:t xml:space="preserve"> time-series analysis. </w:t>
      </w:r>
      <w:r w:rsidRPr="46B242CB">
        <w:rPr>
          <w:rFonts w:ascii="Garamond" w:hAnsi="Garamond" w:cs="Arial"/>
          <w:i/>
          <w:iCs/>
        </w:rPr>
        <w:t>European Union Politics</w:t>
      </w:r>
      <w:r w:rsidRPr="46B242CB">
        <w:rPr>
          <w:rFonts w:ascii="Garamond" w:hAnsi="Garamond" w:cs="Arial"/>
        </w:rPr>
        <w:t xml:space="preserve"> 16(2), 216-240.</w:t>
      </w:r>
    </w:p>
    <w:p w14:paraId="080D1AAA" w14:textId="32D1D585" w:rsidR="00F17676" w:rsidRPr="00123559" w:rsidRDefault="42C02356" w:rsidP="00E5632D">
      <w:pPr>
        <w:adjustRightInd w:val="0"/>
        <w:snapToGrid w:val="0"/>
        <w:spacing w:after="120"/>
        <w:ind w:left="720" w:hanging="720"/>
        <w:jc w:val="both"/>
        <w:rPr>
          <w:rFonts w:ascii="Garamond" w:hAnsi="Garamond"/>
        </w:rPr>
      </w:pPr>
      <w:r w:rsidRPr="46B242CB">
        <w:rPr>
          <w:rFonts w:ascii="Garamond" w:hAnsi="Garamond"/>
        </w:rPr>
        <w:t xml:space="preserve">Fisman, R., &amp; Miguel, E. (2007). Corruption, Norms, and Legal Enforcement: Evidence from Diplomatic Parking Tickets. </w:t>
      </w:r>
      <w:r w:rsidRPr="46B242CB">
        <w:rPr>
          <w:rFonts w:ascii="Garamond" w:hAnsi="Garamond"/>
          <w:i/>
          <w:iCs/>
        </w:rPr>
        <w:t>The Journal of Political Economy</w:t>
      </w:r>
      <w:r w:rsidRPr="46B242CB">
        <w:rPr>
          <w:rFonts w:ascii="Garamond" w:hAnsi="Garamond"/>
        </w:rPr>
        <w:t>, 115(6), 1020-1048.</w:t>
      </w:r>
    </w:p>
    <w:p w14:paraId="22DD8220" w14:textId="5B3C98A4" w:rsidR="19B4EBC0" w:rsidRDefault="19B4EBC0" w:rsidP="46B242CB">
      <w:pPr>
        <w:pStyle w:val="Bibliography"/>
        <w:spacing w:after="120"/>
        <w:ind w:left="709" w:hanging="709"/>
        <w:jc w:val="both"/>
        <w:rPr>
          <w:rFonts w:ascii="Garamond" w:eastAsia="Garamond" w:hAnsi="Garamond" w:cs="Garamond"/>
        </w:rPr>
      </w:pPr>
      <w:r w:rsidRPr="46B242CB">
        <w:rPr>
          <w:rFonts w:ascii="Garamond" w:eastAsia="Garamond" w:hAnsi="Garamond" w:cs="Garamond"/>
        </w:rPr>
        <w:t xml:space="preserve">Hillebrandt, M., Curtin, D., &amp; Meijer, A. (2014). Transparency in the EU Council of Ministers: An Institutional Analysis. </w:t>
      </w:r>
      <w:r w:rsidRPr="46B242CB">
        <w:rPr>
          <w:rFonts w:ascii="Garamond" w:eastAsia="Garamond" w:hAnsi="Garamond" w:cs="Garamond"/>
          <w:i/>
          <w:iCs/>
        </w:rPr>
        <w:t>European Law Journal</w:t>
      </w:r>
      <w:r w:rsidRPr="46B242CB">
        <w:rPr>
          <w:rFonts w:ascii="Garamond" w:eastAsia="Garamond" w:hAnsi="Garamond" w:cs="Garamond"/>
        </w:rPr>
        <w:t xml:space="preserve">, </w:t>
      </w:r>
      <w:r w:rsidRPr="46B242CB">
        <w:rPr>
          <w:rFonts w:ascii="Garamond" w:eastAsia="Garamond" w:hAnsi="Garamond" w:cs="Garamond"/>
          <w:i/>
          <w:iCs/>
        </w:rPr>
        <w:t>20</w:t>
      </w:r>
      <w:r w:rsidRPr="46B242CB">
        <w:rPr>
          <w:rFonts w:ascii="Garamond" w:eastAsia="Garamond" w:hAnsi="Garamond" w:cs="Garamond"/>
        </w:rPr>
        <w:t>(1), 1–20.</w:t>
      </w:r>
    </w:p>
    <w:p w14:paraId="0D0C9843" w14:textId="45688F13" w:rsidR="00F17676" w:rsidRPr="00CD2E6D" w:rsidRDefault="760CDC76" w:rsidP="00E5632D">
      <w:pPr>
        <w:adjustRightInd w:val="0"/>
        <w:snapToGrid w:val="0"/>
        <w:spacing w:after="120"/>
        <w:ind w:left="720" w:hanging="720"/>
        <w:jc w:val="both"/>
        <w:rPr>
          <w:rFonts w:ascii="Garamond" w:eastAsia="Garamond" w:hAnsi="Garamond" w:cs="Garamond"/>
        </w:rPr>
      </w:pPr>
      <w:r w:rsidRPr="00E445A5">
        <w:rPr>
          <w:rFonts w:ascii="Garamond" w:eastAsia="Garamond" w:hAnsi="Garamond" w:cs="Garamond"/>
        </w:rPr>
        <w:t xml:space="preserve">Hollyer, J. R., Rosendorff, B. P., &amp; Vreeland, J. R. (2014). Measuring transparency. </w:t>
      </w:r>
      <w:r w:rsidRPr="00E445A5">
        <w:rPr>
          <w:rFonts w:ascii="Garamond" w:eastAsia="Garamond" w:hAnsi="Garamond" w:cs="Garamond"/>
          <w:i/>
          <w:iCs/>
        </w:rPr>
        <w:t xml:space="preserve">Political </w:t>
      </w:r>
      <w:r w:rsidR="00500A30">
        <w:rPr>
          <w:rFonts w:ascii="Garamond" w:eastAsia="Garamond" w:hAnsi="Garamond" w:cs="Garamond"/>
          <w:i/>
          <w:iCs/>
        </w:rPr>
        <w:t>A</w:t>
      </w:r>
      <w:r w:rsidRPr="00E445A5">
        <w:rPr>
          <w:rFonts w:ascii="Garamond" w:eastAsia="Garamond" w:hAnsi="Garamond" w:cs="Garamond"/>
          <w:i/>
          <w:iCs/>
        </w:rPr>
        <w:t>nalysis</w:t>
      </w:r>
      <w:r w:rsidRPr="00CD2E6D">
        <w:rPr>
          <w:rFonts w:ascii="Garamond" w:eastAsia="Garamond" w:hAnsi="Garamond" w:cs="Garamond"/>
        </w:rPr>
        <w:t>, 22(4), 413–434.</w:t>
      </w:r>
    </w:p>
    <w:p w14:paraId="357F7886" w14:textId="4403162B" w:rsidR="00F17676" w:rsidRPr="00CD2E6D" w:rsidRDefault="00F17676" w:rsidP="00E5632D">
      <w:pPr>
        <w:adjustRightInd w:val="0"/>
        <w:snapToGrid w:val="0"/>
        <w:spacing w:after="120"/>
        <w:ind w:left="720" w:hanging="720"/>
        <w:jc w:val="both"/>
        <w:rPr>
          <w:rFonts w:ascii="Garamond" w:eastAsia="Garamond" w:hAnsi="Garamond" w:cs="Garamond"/>
        </w:rPr>
      </w:pPr>
      <w:r w:rsidRPr="00CD2E6D">
        <w:rPr>
          <w:rFonts w:ascii="Garamond" w:eastAsia="Garamond" w:hAnsi="Garamond" w:cs="Garamond"/>
        </w:rPr>
        <w:t xml:space="preserve">Thomson, R. (2011). </w:t>
      </w:r>
      <w:r w:rsidRPr="00CD2E6D">
        <w:rPr>
          <w:rFonts w:ascii="Garamond" w:eastAsia="Garamond" w:hAnsi="Garamond" w:cs="Garamond"/>
          <w:i/>
          <w:iCs/>
        </w:rPr>
        <w:t xml:space="preserve">Resolving </w:t>
      </w:r>
      <w:r w:rsidR="00500A30">
        <w:rPr>
          <w:rFonts w:ascii="Garamond" w:eastAsia="Garamond" w:hAnsi="Garamond" w:cs="Garamond"/>
          <w:i/>
          <w:iCs/>
        </w:rPr>
        <w:t>c</w:t>
      </w:r>
      <w:r w:rsidRPr="00CD2E6D">
        <w:rPr>
          <w:rFonts w:ascii="Garamond" w:eastAsia="Garamond" w:hAnsi="Garamond" w:cs="Garamond"/>
          <w:i/>
          <w:iCs/>
        </w:rPr>
        <w:t xml:space="preserve">ontroversy in the European Union: Legislative </w:t>
      </w:r>
      <w:r w:rsidR="00500A30">
        <w:rPr>
          <w:rFonts w:ascii="Garamond" w:eastAsia="Garamond" w:hAnsi="Garamond" w:cs="Garamond"/>
          <w:i/>
          <w:iCs/>
        </w:rPr>
        <w:t>d</w:t>
      </w:r>
      <w:r w:rsidRPr="00CD2E6D">
        <w:rPr>
          <w:rFonts w:ascii="Garamond" w:eastAsia="Garamond" w:hAnsi="Garamond" w:cs="Garamond"/>
          <w:i/>
          <w:iCs/>
        </w:rPr>
        <w:t>ecision-</w:t>
      </w:r>
      <w:r w:rsidR="00500A30">
        <w:rPr>
          <w:rFonts w:ascii="Garamond" w:eastAsia="Garamond" w:hAnsi="Garamond" w:cs="Garamond"/>
          <w:i/>
          <w:iCs/>
        </w:rPr>
        <w:t>m</w:t>
      </w:r>
      <w:r w:rsidRPr="00CD2E6D">
        <w:rPr>
          <w:rFonts w:ascii="Garamond" w:eastAsia="Garamond" w:hAnsi="Garamond" w:cs="Garamond"/>
          <w:i/>
          <w:iCs/>
        </w:rPr>
        <w:t xml:space="preserve">aking before and after </w:t>
      </w:r>
      <w:r w:rsidR="00500A30">
        <w:rPr>
          <w:rFonts w:ascii="Garamond" w:eastAsia="Garamond" w:hAnsi="Garamond" w:cs="Garamond"/>
          <w:i/>
          <w:iCs/>
        </w:rPr>
        <w:t>e</w:t>
      </w:r>
      <w:r w:rsidRPr="00CD2E6D">
        <w:rPr>
          <w:rFonts w:ascii="Garamond" w:eastAsia="Garamond" w:hAnsi="Garamond" w:cs="Garamond"/>
          <w:i/>
          <w:iCs/>
        </w:rPr>
        <w:t>nlargement</w:t>
      </w:r>
      <w:r w:rsidRPr="00CD2E6D">
        <w:rPr>
          <w:rFonts w:ascii="Garamond" w:eastAsia="Garamond" w:hAnsi="Garamond" w:cs="Garamond"/>
        </w:rPr>
        <w:t>. Cambridge University Press.</w:t>
      </w:r>
    </w:p>
    <w:p w14:paraId="379113E5" w14:textId="2C1E77E2" w:rsidR="000635B0" w:rsidRPr="00CD2E6D" w:rsidRDefault="3DCE8DA9" w:rsidP="00E5632D">
      <w:pPr>
        <w:pStyle w:val="Bibliography"/>
        <w:adjustRightInd w:val="0"/>
        <w:snapToGrid w:val="0"/>
        <w:spacing w:after="120"/>
        <w:jc w:val="both"/>
        <w:rPr>
          <w:rFonts w:ascii="Garamond" w:eastAsia="Garamond" w:hAnsi="Garamond" w:cs="Garamond"/>
        </w:rPr>
      </w:pPr>
      <w:r w:rsidRPr="00CD2E6D">
        <w:rPr>
          <w:rFonts w:ascii="Garamond" w:eastAsia="Garamond" w:hAnsi="Garamond" w:cs="Garamond"/>
        </w:rPr>
        <w:t xml:space="preserve">Williams, A. (2015). A global index of information transparency and accountability. </w:t>
      </w:r>
      <w:r w:rsidRPr="00CD2E6D">
        <w:rPr>
          <w:rFonts w:ascii="Garamond" w:eastAsia="Garamond" w:hAnsi="Garamond" w:cs="Garamond"/>
          <w:i/>
          <w:iCs/>
        </w:rPr>
        <w:t>Journal of Comparative Economics</w:t>
      </w:r>
      <w:r w:rsidRPr="00CD2E6D">
        <w:rPr>
          <w:rFonts w:ascii="Garamond" w:eastAsia="Garamond" w:hAnsi="Garamond" w:cs="Garamond"/>
        </w:rPr>
        <w:t>, 43(3), 804–824.</w:t>
      </w:r>
    </w:p>
    <w:p w14:paraId="54641120" w14:textId="27A3FC8E" w:rsidR="000635B0" w:rsidRPr="00CD2E6D" w:rsidRDefault="000635B0" w:rsidP="00E5632D">
      <w:pPr>
        <w:adjustRightInd w:val="0"/>
        <w:snapToGrid w:val="0"/>
        <w:spacing w:after="120"/>
        <w:jc w:val="both"/>
        <w:rPr>
          <w:rFonts w:ascii="Garamond" w:hAnsi="Garamond"/>
        </w:rPr>
      </w:pPr>
    </w:p>
    <w:sectPr w:rsidR="000635B0" w:rsidRPr="00CD2E6D" w:rsidSect="000B7278">
      <w:headerReference w:type="default" r:id="rId23"/>
      <w:footerReference w:type="even" r:id="rId24"/>
      <w:footerReference w:type="default" r:id="rId25"/>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01D06" w14:textId="77777777" w:rsidR="003A7CFC" w:rsidRDefault="003A7CFC" w:rsidP="000E20A4">
      <w:r>
        <w:separator/>
      </w:r>
    </w:p>
  </w:endnote>
  <w:endnote w:type="continuationSeparator" w:id="0">
    <w:p w14:paraId="6763368F" w14:textId="77777777" w:rsidR="003A7CFC" w:rsidRDefault="003A7CFC" w:rsidP="000E20A4">
      <w:r>
        <w:continuationSeparator/>
      </w:r>
    </w:p>
  </w:endnote>
  <w:endnote w:type="continuationNotice" w:id="1">
    <w:p w14:paraId="468F9E27" w14:textId="77777777" w:rsidR="003A7CFC" w:rsidRDefault="003A7C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76B78" w14:textId="5FD3D416" w:rsidR="00D74B02" w:rsidRDefault="00D74B02" w:rsidP="00AC26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13B2D30E" w14:textId="77777777" w:rsidR="00D74B02" w:rsidRDefault="00D74B02" w:rsidP="00D74B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Garamond" w:hAnsi="Garamond"/>
        <w:sz w:val="22"/>
        <w:szCs w:val="22"/>
      </w:rPr>
      <w:id w:val="755403442"/>
      <w:docPartObj>
        <w:docPartGallery w:val="Page Numbers (Bottom of Page)"/>
        <w:docPartUnique/>
      </w:docPartObj>
    </w:sdtPr>
    <w:sdtContent>
      <w:p w14:paraId="2FBC8195" w14:textId="19BA26C9" w:rsidR="00D74B02" w:rsidRPr="0059439B" w:rsidRDefault="00D74B02" w:rsidP="00AC26D8">
        <w:pPr>
          <w:pStyle w:val="Footer"/>
          <w:framePr w:wrap="none" w:vAnchor="text" w:hAnchor="margin" w:xAlign="right" w:y="1"/>
          <w:rPr>
            <w:rStyle w:val="PageNumber"/>
            <w:rFonts w:ascii="Garamond" w:hAnsi="Garamond"/>
            <w:sz w:val="22"/>
            <w:szCs w:val="22"/>
          </w:rPr>
        </w:pPr>
        <w:r w:rsidRPr="0059439B">
          <w:rPr>
            <w:rStyle w:val="PageNumber"/>
            <w:rFonts w:ascii="Garamond" w:hAnsi="Garamond"/>
            <w:sz w:val="22"/>
            <w:szCs w:val="22"/>
          </w:rPr>
          <w:fldChar w:fldCharType="begin"/>
        </w:r>
        <w:r w:rsidRPr="0059439B">
          <w:rPr>
            <w:rStyle w:val="PageNumber"/>
            <w:rFonts w:ascii="Garamond" w:hAnsi="Garamond"/>
            <w:sz w:val="22"/>
            <w:szCs w:val="22"/>
          </w:rPr>
          <w:instrText xml:space="preserve"> PAGE </w:instrText>
        </w:r>
        <w:r w:rsidRPr="0059439B">
          <w:rPr>
            <w:rStyle w:val="PageNumber"/>
            <w:rFonts w:ascii="Garamond" w:hAnsi="Garamond"/>
            <w:sz w:val="22"/>
            <w:szCs w:val="22"/>
          </w:rPr>
          <w:fldChar w:fldCharType="separate"/>
        </w:r>
        <w:r w:rsidRPr="0059439B">
          <w:rPr>
            <w:rStyle w:val="PageNumber"/>
            <w:rFonts w:ascii="Garamond" w:hAnsi="Garamond"/>
            <w:noProof/>
            <w:sz w:val="22"/>
            <w:szCs w:val="22"/>
          </w:rPr>
          <w:t>1</w:t>
        </w:r>
        <w:r w:rsidRPr="0059439B">
          <w:rPr>
            <w:rStyle w:val="PageNumber"/>
            <w:rFonts w:ascii="Garamond" w:hAnsi="Garamond"/>
            <w:sz w:val="22"/>
            <w:szCs w:val="22"/>
          </w:rPr>
          <w:fldChar w:fldCharType="end"/>
        </w:r>
      </w:p>
    </w:sdtContent>
  </w:sdt>
  <w:p w14:paraId="5E99075E" w14:textId="77777777" w:rsidR="00D74B02" w:rsidRPr="0059439B" w:rsidRDefault="00D74B02" w:rsidP="00D74B02">
    <w:pPr>
      <w:pStyle w:val="Footer"/>
      <w:ind w:right="360"/>
      <w:rPr>
        <w:rFonts w:ascii="Garamond" w:hAnsi="Garamond"/>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780DF" w14:textId="77777777" w:rsidR="003A7CFC" w:rsidRDefault="003A7CFC" w:rsidP="000E20A4">
      <w:r>
        <w:separator/>
      </w:r>
    </w:p>
  </w:footnote>
  <w:footnote w:type="continuationSeparator" w:id="0">
    <w:p w14:paraId="5AA2D514" w14:textId="77777777" w:rsidR="003A7CFC" w:rsidRDefault="003A7CFC" w:rsidP="000E20A4">
      <w:r>
        <w:continuationSeparator/>
      </w:r>
    </w:p>
  </w:footnote>
  <w:footnote w:type="continuationNotice" w:id="1">
    <w:p w14:paraId="1684AB16" w14:textId="77777777" w:rsidR="003A7CFC" w:rsidRDefault="003A7CFC"/>
  </w:footnote>
  <w:footnote w:id="2">
    <w:p w14:paraId="1CD1B2DD" w14:textId="49E1191F" w:rsidR="00925D8E" w:rsidRPr="00A03926" w:rsidRDefault="00925D8E" w:rsidP="00925D8E">
      <w:pPr>
        <w:pStyle w:val="FootnoteText"/>
        <w:rPr>
          <w:rFonts w:ascii="Garamond" w:hAnsi="Garamond" w:cs="Arial"/>
        </w:rPr>
      </w:pPr>
      <w:r w:rsidRPr="00A03926">
        <w:rPr>
          <w:rStyle w:val="FootnoteReference"/>
          <w:rFonts w:ascii="Garamond" w:hAnsi="Garamond" w:cs="Arial"/>
        </w:rPr>
        <w:footnoteRef/>
      </w:r>
      <w:r w:rsidRPr="00A03926">
        <w:rPr>
          <w:rFonts w:ascii="Garamond" w:hAnsi="Garamond" w:cs="Arial"/>
        </w:rPr>
        <w:t xml:space="preserve"> </w:t>
      </w:r>
      <w:r w:rsidRPr="00A03926">
        <w:rPr>
          <w:rFonts w:ascii="Garamond" w:eastAsia="Times New Roman" w:hAnsi="Garamond" w:cs="Arial"/>
          <w:color w:val="212121"/>
        </w:rPr>
        <w:t>The average share of public debates on legislative items was 21 percent</w:t>
      </w:r>
      <w:r w:rsidR="004A215E">
        <w:rPr>
          <w:rFonts w:ascii="Garamond" w:eastAsia="Times New Roman" w:hAnsi="Garamond" w:cs="Arial"/>
          <w:color w:val="212121"/>
        </w:rPr>
        <w:t xml:space="preserve"> before 2006</w:t>
      </w:r>
      <w:r>
        <w:rPr>
          <w:rFonts w:ascii="Garamond" w:eastAsia="Times New Roman" w:hAnsi="Garamond" w:cs="Arial"/>
          <w:color w:val="212121"/>
        </w:rPr>
        <w:t>,</w:t>
      </w:r>
      <w:r w:rsidRPr="00A03926">
        <w:rPr>
          <w:rFonts w:ascii="Garamond" w:eastAsia="Times New Roman" w:hAnsi="Garamond" w:cs="Arial"/>
          <w:color w:val="212121"/>
        </w:rPr>
        <w:t xml:space="preserve"> </w:t>
      </w:r>
      <w:r>
        <w:rPr>
          <w:rFonts w:ascii="Garamond" w:eastAsia="Times New Roman" w:hAnsi="Garamond" w:cs="Arial"/>
          <w:color w:val="212121"/>
        </w:rPr>
        <w:t>17</w:t>
      </w:r>
      <w:r w:rsidRPr="00A03926">
        <w:rPr>
          <w:rFonts w:ascii="Garamond" w:eastAsia="Times New Roman" w:hAnsi="Garamond" w:cs="Arial"/>
          <w:color w:val="212121"/>
        </w:rPr>
        <w:t xml:space="preserve"> percent during the Austrian presidency</w:t>
      </w:r>
      <w:r>
        <w:rPr>
          <w:rFonts w:ascii="Garamond" w:eastAsia="Times New Roman" w:hAnsi="Garamond" w:cs="Arial"/>
          <w:color w:val="212121"/>
        </w:rPr>
        <w:t xml:space="preserve"> in the first half of 2006</w:t>
      </w:r>
      <w:r w:rsidRPr="00A03926">
        <w:rPr>
          <w:rFonts w:ascii="Garamond" w:eastAsia="Times New Roman" w:hAnsi="Garamond" w:cs="Arial"/>
          <w:color w:val="212121"/>
        </w:rPr>
        <w:t xml:space="preserve">, and after rising to 76 percent during the Finnish presidency in </w:t>
      </w:r>
      <w:r>
        <w:rPr>
          <w:rFonts w:ascii="Garamond" w:eastAsia="Times New Roman" w:hAnsi="Garamond" w:cs="Arial"/>
          <w:color w:val="212121"/>
        </w:rPr>
        <w:t xml:space="preserve">the second half of </w:t>
      </w:r>
      <w:r w:rsidRPr="00A03926">
        <w:rPr>
          <w:rFonts w:ascii="Garamond" w:eastAsia="Times New Roman" w:hAnsi="Garamond" w:cs="Arial"/>
          <w:color w:val="212121"/>
        </w:rPr>
        <w:t xml:space="preserve">2006, it </w:t>
      </w:r>
      <w:r w:rsidR="004A215E">
        <w:rPr>
          <w:rFonts w:ascii="Garamond" w:eastAsia="Times New Roman" w:hAnsi="Garamond" w:cs="Arial"/>
          <w:color w:val="212121"/>
        </w:rPr>
        <w:t xml:space="preserve">dropped </w:t>
      </w:r>
      <w:r w:rsidRPr="00A03926">
        <w:rPr>
          <w:rFonts w:ascii="Garamond" w:eastAsia="Times New Roman" w:hAnsi="Garamond" w:cs="Arial"/>
          <w:color w:val="212121"/>
        </w:rPr>
        <w:t xml:space="preserve">again by 26 percent to an average share of 50 percent of legislative debates in 2007 (Council of the EU 2008, fn 27). </w:t>
      </w:r>
      <w:r w:rsidRPr="00A03926">
        <w:rPr>
          <w:rFonts w:ascii="Garamond" w:hAnsi="Garamond" w:cs="Arial"/>
        </w:rPr>
        <w:t>Note that the data refers to public debates on legislative items rather than to entire Council sessions. The Council Secretariat was unable to provide data for 2008</w:t>
      </w:r>
      <w:r>
        <w:rPr>
          <w:rFonts w:ascii="Garamond" w:hAnsi="Garamond" w:cs="Arial"/>
        </w:rPr>
        <w:t>-2009</w:t>
      </w:r>
      <w:r w:rsidRPr="00A03926">
        <w:rPr>
          <w:rFonts w:ascii="Garamond" w:hAnsi="Garamond"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74C46" w14:textId="77777777" w:rsidR="002D5402" w:rsidRDefault="002D5402">
    <w:pPr>
      <w:pStyle w:val="Header"/>
    </w:pPr>
  </w:p>
</w:hdr>
</file>

<file path=word/intelligence2.xml><?xml version="1.0" encoding="utf-8"?>
<int2:intelligence xmlns:int2="http://schemas.microsoft.com/office/intelligence/2020/intelligence" xmlns:oel="http://schemas.microsoft.com/office/2019/extlst">
  <int2:observations>
    <int2:textHash int2:hashCode="SVoug6baRLuPW4" int2:id="KY4qNWNO">
      <int2:state int2:value="Rejected" int2:type="AugLoop_Text_Critique"/>
    </int2:textHash>
    <int2:textHash int2:hashCode="bIfK8y6uxpgUff" int2:id="PZWeiRqG">
      <int2:state int2:value="Rejected" int2:type="AugLoop_Text_Critique"/>
    </int2:textHash>
    <int2:textHash int2:hashCode="rbuE3Dg8HyUHo/" int2:id="cpDJxzlw">
      <int2:state int2:value="Rejected" int2:type="AugLoop_Text_Critique"/>
    </int2:textHash>
    <int2:textHash int2:hashCode="x7n/LTVC4NYFKw" int2:id="gcAjEpQG">
      <int2:state int2:value="Rejected" int2:type="AugLoop_Text_Critique"/>
    </int2:textHash>
    <int2:textHash int2:hashCode="k9e72woqEhx8Pg" int2:id="qw6RETC4">
      <int2:state int2:value="Rejected" int2:type="AugLoop_Text_Critique"/>
    </int2:textHash>
    <int2:bookmark int2:bookmarkName="_Int_2YMl7jpU" int2:invalidationBookmarkName="" int2:hashCode="mU1ENKe8MHjKlk" int2:id="1zxn7s5S">
      <int2:state int2:value="Rejected" int2:type="AugLoop_Text_Critique"/>
    </int2:bookmark>
    <int2:bookmark int2:bookmarkName="_Int_YBLPJiJU" int2:invalidationBookmarkName="" int2:hashCode="3X0xSEffjQ+vIE" int2:id="2IU2rkhw">
      <int2:state int2:value="Rejected" int2:type="AugLoop_Text_Critique"/>
    </int2:bookmark>
    <int2:bookmark int2:bookmarkName="_Int_iptmNWs1" int2:invalidationBookmarkName="" int2:hashCode="HwuOXZSmxj+NeS" int2:id="2rL8ArzH">
      <int2:state int2:value="Rejected" int2:type="AugLoop_Text_Critique"/>
    </int2:bookmark>
    <int2:bookmark int2:bookmarkName="_Int_aYb6wt2u" int2:invalidationBookmarkName="" int2:hashCode="Dvj+hORBXaM3mO" int2:id="9tqSBmAp">
      <int2:state int2:value="Rejected" int2:type="AugLoop_Text_Critique"/>
    </int2:bookmark>
    <int2:bookmark int2:bookmarkName="_Int_oSo0i1XC" int2:invalidationBookmarkName="" int2:hashCode="yC0bCc8yKRdh1N" int2:id="CcJsdDJ5">
      <int2:state int2:value="Rejected" int2:type="AugLoop_Acronyms_AcronymsCritique"/>
    </int2:bookmark>
    <int2:bookmark int2:bookmarkName="_Int_kDDdi6u3" int2:invalidationBookmarkName="" int2:hashCode="0ZLSEnQSU8sCds" int2:id="CkotFom4">
      <int2:state int2:value="Rejected" int2:type="AugLoop_Text_Critique"/>
    </int2:bookmark>
    <int2:bookmark int2:bookmarkName="_Int_C3QnAgnx" int2:invalidationBookmarkName="" int2:hashCode="d3DQTHv7eR58lZ" int2:id="c2Ownxs0">
      <int2:state int2:value="Rejected" int2:type="AugLoop_Acronyms_AcronymsCritique"/>
    </int2:bookmark>
    <int2:bookmark int2:bookmarkName="_Int_x9D1UTYt" int2:invalidationBookmarkName="" int2:hashCode="zgPjCKWVpDqXBE" int2:id="dBmCyQib">
      <int2:state int2:value="Rejected" int2:type="AugLoop_Text_Critique"/>
    </int2:bookmark>
    <int2:bookmark int2:bookmarkName="_Int_RbYUJpDt" int2:invalidationBookmarkName="" int2:hashCode="jru+5AdJweJBGs" int2:id="e15ZCOya">
      <int2:state int2:value="Rejected" int2:type="AugLoop_Text_Critique"/>
    </int2:bookmark>
    <int2:bookmark int2:bookmarkName="_Int_aM8eESNh" int2:invalidationBookmarkName="" int2:hashCode="i+LQYiWbUOl/4h" int2:id="etkc6Slr">
      <int2:state int2:value="Rejected" int2:type="AugLoop_Text_Critique"/>
    </int2:bookmark>
    <int2:bookmark int2:bookmarkName="_Int_HU3kBvd9" int2:invalidationBookmarkName="" int2:hashCode="wyWa/RJVQdKW/S" int2:id="etxDdV7N">
      <int2:state int2:value="Rejected" int2:type="AugLoop_Text_Critique"/>
    </int2:bookmark>
    <int2:bookmark int2:bookmarkName="_Int_pEycjVgA" int2:invalidationBookmarkName="" int2:hashCode="r+IlqKDKHR7A2d" int2:id="hO3ZxLcY">
      <int2:state int2:value="Rejected" int2:type="AugLoop_Text_Critique"/>
    </int2:bookmark>
    <int2:bookmark int2:bookmarkName="_Int_lSQfFMqk" int2:invalidationBookmarkName="" int2:hashCode="AMG/+d6NT8AJq7" int2:id="lqXCRb52">
      <int2:state int2:value="Rejected" int2:type="AugLoop_Acronyms_AcronymsCritique"/>
    </int2:bookmark>
    <int2:bookmark int2:bookmarkName="_Int_ibTRja7G" int2:invalidationBookmarkName="" int2:hashCode="Zyk5foGeSQ+6HH" int2:id="n8GaB94P">
      <int2:state int2:value="Rejected" int2:type="AugLoop_Text_Critique"/>
    </int2:bookmark>
    <int2:bookmark int2:bookmarkName="_Int_gnfH9e9O" int2:invalidationBookmarkName="" int2:hashCode="VX8lVRZxnqFvj0" int2:id="qvT8WUey">
      <int2:state int2:value="Rejected" int2:type="AugLoop_Text_Critique"/>
    </int2:bookmark>
    <int2:bookmark int2:bookmarkName="_Int_pQAKmvPp" int2:invalidationBookmarkName="" int2:hashCode="JBZMlbylCb8AvN" int2:id="xHgbrhqe">
      <int2:state int2:value="Rejected" int2:type="AugLoop_Text_Critique"/>
    </int2:bookmark>
    <int2:bookmark int2:bookmarkName="_Int_CDprZElO" int2:invalidationBookmarkName="" int2:hashCode="Lu0Orj5rQXFAxr" int2:id="xKTIUKVB">
      <int2:state int2:value="Rejected" int2:type="AugLoop_Text_Critique"/>
    </int2:bookmark>
    <int2:bookmark int2:bookmarkName="_Int_ntygyNYS" int2:invalidationBookmarkName="" int2:hashCode="5YA0boKcqZwQFl" int2:id="xL2rwPua">
      <int2:state int2:value="Rejected" int2:type="AugLoop_Text_Critique"/>
    </int2:bookmark>
    <int2:bookmark int2:bookmarkName="_Int_POt0nE7c" int2:invalidationBookmarkName="" int2:hashCode="h8t9Nc8CBVzcgT" int2:id="xdzjDAA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04BB4"/>
    <w:multiLevelType w:val="hybridMultilevel"/>
    <w:tmpl w:val="125A73C0"/>
    <w:lvl w:ilvl="0" w:tplc="11D22CBC">
      <w:start w:val="1"/>
      <w:numFmt w:val="bullet"/>
      <w:lvlText w:val=""/>
      <w:lvlJc w:val="left"/>
      <w:pPr>
        <w:ind w:left="720" w:hanging="360"/>
      </w:pPr>
      <w:rPr>
        <w:rFonts w:ascii="Symbol" w:hAnsi="Symbol" w:hint="default"/>
      </w:rPr>
    </w:lvl>
    <w:lvl w:ilvl="1" w:tplc="7ECAB068">
      <w:start w:val="1"/>
      <w:numFmt w:val="bullet"/>
      <w:lvlText w:val="o"/>
      <w:lvlJc w:val="left"/>
      <w:pPr>
        <w:ind w:left="1440" w:hanging="360"/>
      </w:pPr>
      <w:rPr>
        <w:rFonts w:ascii="Courier New" w:hAnsi="Courier New" w:hint="default"/>
      </w:rPr>
    </w:lvl>
    <w:lvl w:ilvl="2" w:tplc="003C6EDE">
      <w:start w:val="1"/>
      <w:numFmt w:val="bullet"/>
      <w:lvlText w:val=""/>
      <w:lvlJc w:val="left"/>
      <w:pPr>
        <w:ind w:left="2160" w:hanging="360"/>
      </w:pPr>
      <w:rPr>
        <w:rFonts w:ascii="Wingdings" w:hAnsi="Wingdings" w:hint="default"/>
      </w:rPr>
    </w:lvl>
    <w:lvl w:ilvl="3" w:tplc="C18CA2EE">
      <w:start w:val="1"/>
      <w:numFmt w:val="bullet"/>
      <w:lvlText w:val=""/>
      <w:lvlJc w:val="left"/>
      <w:pPr>
        <w:ind w:left="2880" w:hanging="360"/>
      </w:pPr>
      <w:rPr>
        <w:rFonts w:ascii="Symbol" w:hAnsi="Symbol" w:hint="default"/>
      </w:rPr>
    </w:lvl>
    <w:lvl w:ilvl="4" w:tplc="F52C2E8A">
      <w:start w:val="1"/>
      <w:numFmt w:val="bullet"/>
      <w:lvlText w:val="o"/>
      <w:lvlJc w:val="left"/>
      <w:pPr>
        <w:ind w:left="3600" w:hanging="360"/>
      </w:pPr>
      <w:rPr>
        <w:rFonts w:ascii="Courier New" w:hAnsi="Courier New" w:hint="default"/>
      </w:rPr>
    </w:lvl>
    <w:lvl w:ilvl="5" w:tplc="EAAEA8B4">
      <w:start w:val="1"/>
      <w:numFmt w:val="bullet"/>
      <w:lvlText w:val=""/>
      <w:lvlJc w:val="left"/>
      <w:pPr>
        <w:ind w:left="4320" w:hanging="360"/>
      </w:pPr>
      <w:rPr>
        <w:rFonts w:ascii="Wingdings" w:hAnsi="Wingdings" w:hint="default"/>
      </w:rPr>
    </w:lvl>
    <w:lvl w:ilvl="6" w:tplc="6C489C52">
      <w:start w:val="1"/>
      <w:numFmt w:val="bullet"/>
      <w:lvlText w:val=""/>
      <w:lvlJc w:val="left"/>
      <w:pPr>
        <w:ind w:left="5040" w:hanging="360"/>
      </w:pPr>
      <w:rPr>
        <w:rFonts w:ascii="Symbol" w:hAnsi="Symbol" w:hint="default"/>
      </w:rPr>
    </w:lvl>
    <w:lvl w:ilvl="7" w:tplc="9766CBC4">
      <w:start w:val="1"/>
      <w:numFmt w:val="bullet"/>
      <w:lvlText w:val="o"/>
      <w:lvlJc w:val="left"/>
      <w:pPr>
        <w:ind w:left="5760" w:hanging="360"/>
      </w:pPr>
      <w:rPr>
        <w:rFonts w:ascii="Courier New" w:hAnsi="Courier New" w:hint="default"/>
      </w:rPr>
    </w:lvl>
    <w:lvl w:ilvl="8" w:tplc="983CE1B6">
      <w:start w:val="1"/>
      <w:numFmt w:val="bullet"/>
      <w:lvlText w:val=""/>
      <w:lvlJc w:val="left"/>
      <w:pPr>
        <w:ind w:left="6480" w:hanging="360"/>
      </w:pPr>
      <w:rPr>
        <w:rFonts w:ascii="Wingdings" w:hAnsi="Wingdings" w:hint="default"/>
      </w:rPr>
    </w:lvl>
  </w:abstractNum>
  <w:abstractNum w:abstractNumId="1" w15:restartNumberingAfterBreak="0">
    <w:nsid w:val="322C9CC9"/>
    <w:multiLevelType w:val="hybridMultilevel"/>
    <w:tmpl w:val="1A3E09D6"/>
    <w:lvl w:ilvl="0" w:tplc="9558F954">
      <w:start w:val="1"/>
      <w:numFmt w:val="bullet"/>
      <w:lvlText w:val=""/>
      <w:lvlJc w:val="left"/>
      <w:pPr>
        <w:ind w:left="720" w:hanging="360"/>
      </w:pPr>
      <w:rPr>
        <w:rFonts w:ascii="Symbol" w:hAnsi="Symbol" w:hint="default"/>
      </w:rPr>
    </w:lvl>
    <w:lvl w:ilvl="1" w:tplc="CA84DAEC">
      <w:start w:val="1"/>
      <w:numFmt w:val="bullet"/>
      <w:lvlText w:val="o"/>
      <w:lvlJc w:val="left"/>
      <w:pPr>
        <w:ind w:left="1440" w:hanging="360"/>
      </w:pPr>
      <w:rPr>
        <w:rFonts w:ascii="Courier New" w:hAnsi="Courier New" w:hint="default"/>
      </w:rPr>
    </w:lvl>
    <w:lvl w:ilvl="2" w:tplc="4130334E">
      <w:start w:val="1"/>
      <w:numFmt w:val="bullet"/>
      <w:lvlText w:val=""/>
      <w:lvlJc w:val="left"/>
      <w:pPr>
        <w:ind w:left="2160" w:hanging="360"/>
      </w:pPr>
      <w:rPr>
        <w:rFonts w:ascii="Wingdings" w:hAnsi="Wingdings" w:hint="default"/>
      </w:rPr>
    </w:lvl>
    <w:lvl w:ilvl="3" w:tplc="B5FC27CE">
      <w:start w:val="1"/>
      <w:numFmt w:val="bullet"/>
      <w:lvlText w:val=""/>
      <w:lvlJc w:val="left"/>
      <w:pPr>
        <w:ind w:left="2880" w:hanging="360"/>
      </w:pPr>
      <w:rPr>
        <w:rFonts w:ascii="Symbol" w:hAnsi="Symbol" w:hint="default"/>
      </w:rPr>
    </w:lvl>
    <w:lvl w:ilvl="4" w:tplc="61AC9946">
      <w:start w:val="1"/>
      <w:numFmt w:val="bullet"/>
      <w:lvlText w:val="o"/>
      <w:lvlJc w:val="left"/>
      <w:pPr>
        <w:ind w:left="3600" w:hanging="360"/>
      </w:pPr>
      <w:rPr>
        <w:rFonts w:ascii="Courier New" w:hAnsi="Courier New" w:hint="default"/>
      </w:rPr>
    </w:lvl>
    <w:lvl w:ilvl="5" w:tplc="A776EED6">
      <w:start w:val="1"/>
      <w:numFmt w:val="bullet"/>
      <w:lvlText w:val=""/>
      <w:lvlJc w:val="left"/>
      <w:pPr>
        <w:ind w:left="4320" w:hanging="360"/>
      </w:pPr>
      <w:rPr>
        <w:rFonts w:ascii="Wingdings" w:hAnsi="Wingdings" w:hint="default"/>
      </w:rPr>
    </w:lvl>
    <w:lvl w:ilvl="6" w:tplc="2066297C">
      <w:start w:val="1"/>
      <w:numFmt w:val="bullet"/>
      <w:lvlText w:val=""/>
      <w:lvlJc w:val="left"/>
      <w:pPr>
        <w:ind w:left="5040" w:hanging="360"/>
      </w:pPr>
      <w:rPr>
        <w:rFonts w:ascii="Symbol" w:hAnsi="Symbol" w:hint="default"/>
      </w:rPr>
    </w:lvl>
    <w:lvl w:ilvl="7" w:tplc="02967D32">
      <w:start w:val="1"/>
      <w:numFmt w:val="bullet"/>
      <w:lvlText w:val="o"/>
      <w:lvlJc w:val="left"/>
      <w:pPr>
        <w:ind w:left="5760" w:hanging="360"/>
      </w:pPr>
      <w:rPr>
        <w:rFonts w:ascii="Courier New" w:hAnsi="Courier New" w:hint="default"/>
      </w:rPr>
    </w:lvl>
    <w:lvl w:ilvl="8" w:tplc="861E9592">
      <w:start w:val="1"/>
      <w:numFmt w:val="bullet"/>
      <w:lvlText w:val=""/>
      <w:lvlJc w:val="left"/>
      <w:pPr>
        <w:ind w:left="6480" w:hanging="360"/>
      </w:pPr>
      <w:rPr>
        <w:rFonts w:ascii="Wingdings" w:hAnsi="Wingdings" w:hint="default"/>
      </w:rPr>
    </w:lvl>
  </w:abstractNum>
  <w:abstractNum w:abstractNumId="2" w15:restartNumberingAfterBreak="0">
    <w:nsid w:val="36D55314"/>
    <w:multiLevelType w:val="hybridMultilevel"/>
    <w:tmpl w:val="95CE820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A504C4"/>
    <w:multiLevelType w:val="hybridMultilevel"/>
    <w:tmpl w:val="FC62F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AC712E"/>
    <w:multiLevelType w:val="hybridMultilevel"/>
    <w:tmpl w:val="804EA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35299C"/>
    <w:multiLevelType w:val="hybridMultilevel"/>
    <w:tmpl w:val="A8AA35A8"/>
    <w:lvl w:ilvl="0" w:tplc="FCB0A02A">
      <w:start w:val="1"/>
      <w:numFmt w:val="bullet"/>
      <w:lvlText w:val=""/>
      <w:lvlJc w:val="left"/>
      <w:pPr>
        <w:ind w:left="720" w:hanging="360"/>
      </w:pPr>
      <w:rPr>
        <w:rFonts w:ascii="Symbol" w:hAnsi="Symbol" w:hint="default"/>
      </w:rPr>
    </w:lvl>
    <w:lvl w:ilvl="1" w:tplc="00C4CEB8">
      <w:start w:val="1"/>
      <w:numFmt w:val="bullet"/>
      <w:lvlText w:val="o"/>
      <w:lvlJc w:val="left"/>
      <w:pPr>
        <w:ind w:left="1440" w:hanging="360"/>
      </w:pPr>
      <w:rPr>
        <w:rFonts w:ascii="Courier New" w:hAnsi="Courier New" w:hint="default"/>
      </w:rPr>
    </w:lvl>
    <w:lvl w:ilvl="2" w:tplc="22A09880">
      <w:start w:val="1"/>
      <w:numFmt w:val="bullet"/>
      <w:lvlText w:val=""/>
      <w:lvlJc w:val="left"/>
      <w:pPr>
        <w:ind w:left="2160" w:hanging="360"/>
      </w:pPr>
      <w:rPr>
        <w:rFonts w:ascii="Wingdings" w:hAnsi="Wingdings" w:hint="default"/>
      </w:rPr>
    </w:lvl>
    <w:lvl w:ilvl="3" w:tplc="D20E1726">
      <w:start w:val="1"/>
      <w:numFmt w:val="bullet"/>
      <w:lvlText w:val=""/>
      <w:lvlJc w:val="left"/>
      <w:pPr>
        <w:ind w:left="2880" w:hanging="360"/>
      </w:pPr>
      <w:rPr>
        <w:rFonts w:ascii="Symbol" w:hAnsi="Symbol" w:hint="default"/>
      </w:rPr>
    </w:lvl>
    <w:lvl w:ilvl="4" w:tplc="5790C930">
      <w:start w:val="1"/>
      <w:numFmt w:val="bullet"/>
      <w:lvlText w:val="o"/>
      <w:lvlJc w:val="left"/>
      <w:pPr>
        <w:ind w:left="3600" w:hanging="360"/>
      </w:pPr>
      <w:rPr>
        <w:rFonts w:ascii="Courier New" w:hAnsi="Courier New" w:hint="default"/>
      </w:rPr>
    </w:lvl>
    <w:lvl w:ilvl="5" w:tplc="D314623A">
      <w:start w:val="1"/>
      <w:numFmt w:val="bullet"/>
      <w:lvlText w:val=""/>
      <w:lvlJc w:val="left"/>
      <w:pPr>
        <w:ind w:left="4320" w:hanging="360"/>
      </w:pPr>
      <w:rPr>
        <w:rFonts w:ascii="Wingdings" w:hAnsi="Wingdings" w:hint="default"/>
      </w:rPr>
    </w:lvl>
    <w:lvl w:ilvl="6" w:tplc="DA64C664">
      <w:start w:val="1"/>
      <w:numFmt w:val="bullet"/>
      <w:lvlText w:val=""/>
      <w:lvlJc w:val="left"/>
      <w:pPr>
        <w:ind w:left="5040" w:hanging="360"/>
      </w:pPr>
      <w:rPr>
        <w:rFonts w:ascii="Symbol" w:hAnsi="Symbol" w:hint="default"/>
      </w:rPr>
    </w:lvl>
    <w:lvl w:ilvl="7" w:tplc="96C4789A">
      <w:start w:val="1"/>
      <w:numFmt w:val="bullet"/>
      <w:lvlText w:val="o"/>
      <w:lvlJc w:val="left"/>
      <w:pPr>
        <w:ind w:left="5760" w:hanging="360"/>
      </w:pPr>
      <w:rPr>
        <w:rFonts w:ascii="Courier New" w:hAnsi="Courier New" w:hint="default"/>
      </w:rPr>
    </w:lvl>
    <w:lvl w:ilvl="8" w:tplc="4FFAC08C">
      <w:start w:val="1"/>
      <w:numFmt w:val="bullet"/>
      <w:lvlText w:val=""/>
      <w:lvlJc w:val="left"/>
      <w:pPr>
        <w:ind w:left="6480" w:hanging="360"/>
      </w:pPr>
      <w:rPr>
        <w:rFonts w:ascii="Wingdings" w:hAnsi="Wingdings" w:hint="default"/>
      </w:rPr>
    </w:lvl>
  </w:abstractNum>
  <w:abstractNum w:abstractNumId="6" w15:restartNumberingAfterBreak="0">
    <w:nsid w:val="50064765"/>
    <w:multiLevelType w:val="hybridMultilevel"/>
    <w:tmpl w:val="F29CE9A4"/>
    <w:lvl w:ilvl="0" w:tplc="BD5856A6">
      <w:start w:val="1"/>
      <w:numFmt w:val="bullet"/>
      <w:lvlText w:val=""/>
      <w:lvlJc w:val="left"/>
      <w:pPr>
        <w:ind w:left="720" w:hanging="360"/>
      </w:pPr>
      <w:rPr>
        <w:rFonts w:ascii="Symbol" w:hAnsi="Symbol" w:hint="default"/>
      </w:rPr>
    </w:lvl>
    <w:lvl w:ilvl="1" w:tplc="B0EE0736">
      <w:start w:val="1"/>
      <w:numFmt w:val="bullet"/>
      <w:lvlText w:val="o"/>
      <w:lvlJc w:val="left"/>
      <w:pPr>
        <w:ind w:left="1440" w:hanging="360"/>
      </w:pPr>
      <w:rPr>
        <w:rFonts w:ascii="Courier New" w:hAnsi="Courier New" w:hint="default"/>
      </w:rPr>
    </w:lvl>
    <w:lvl w:ilvl="2" w:tplc="15C8EE96">
      <w:start w:val="1"/>
      <w:numFmt w:val="bullet"/>
      <w:lvlText w:val=""/>
      <w:lvlJc w:val="left"/>
      <w:pPr>
        <w:ind w:left="2160" w:hanging="360"/>
      </w:pPr>
      <w:rPr>
        <w:rFonts w:ascii="Wingdings" w:hAnsi="Wingdings" w:hint="default"/>
      </w:rPr>
    </w:lvl>
    <w:lvl w:ilvl="3" w:tplc="A650DE26">
      <w:start w:val="1"/>
      <w:numFmt w:val="bullet"/>
      <w:lvlText w:val=""/>
      <w:lvlJc w:val="left"/>
      <w:pPr>
        <w:ind w:left="2880" w:hanging="360"/>
      </w:pPr>
      <w:rPr>
        <w:rFonts w:ascii="Symbol" w:hAnsi="Symbol" w:hint="default"/>
      </w:rPr>
    </w:lvl>
    <w:lvl w:ilvl="4" w:tplc="19E25C6E">
      <w:start w:val="1"/>
      <w:numFmt w:val="bullet"/>
      <w:lvlText w:val="o"/>
      <w:lvlJc w:val="left"/>
      <w:pPr>
        <w:ind w:left="3600" w:hanging="360"/>
      </w:pPr>
      <w:rPr>
        <w:rFonts w:ascii="Courier New" w:hAnsi="Courier New" w:hint="default"/>
      </w:rPr>
    </w:lvl>
    <w:lvl w:ilvl="5" w:tplc="3EDA7C50">
      <w:start w:val="1"/>
      <w:numFmt w:val="bullet"/>
      <w:lvlText w:val=""/>
      <w:lvlJc w:val="left"/>
      <w:pPr>
        <w:ind w:left="4320" w:hanging="360"/>
      </w:pPr>
      <w:rPr>
        <w:rFonts w:ascii="Wingdings" w:hAnsi="Wingdings" w:hint="default"/>
      </w:rPr>
    </w:lvl>
    <w:lvl w:ilvl="6" w:tplc="667E89A8">
      <w:start w:val="1"/>
      <w:numFmt w:val="bullet"/>
      <w:lvlText w:val=""/>
      <w:lvlJc w:val="left"/>
      <w:pPr>
        <w:ind w:left="5040" w:hanging="360"/>
      </w:pPr>
      <w:rPr>
        <w:rFonts w:ascii="Symbol" w:hAnsi="Symbol" w:hint="default"/>
      </w:rPr>
    </w:lvl>
    <w:lvl w:ilvl="7" w:tplc="6804E54E">
      <w:start w:val="1"/>
      <w:numFmt w:val="bullet"/>
      <w:lvlText w:val="o"/>
      <w:lvlJc w:val="left"/>
      <w:pPr>
        <w:ind w:left="5760" w:hanging="360"/>
      </w:pPr>
      <w:rPr>
        <w:rFonts w:ascii="Courier New" w:hAnsi="Courier New" w:hint="default"/>
      </w:rPr>
    </w:lvl>
    <w:lvl w:ilvl="8" w:tplc="794026A0">
      <w:start w:val="1"/>
      <w:numFmt w:val="bullet"/>
      <w:lvlText w:val=""/>
      <w:lvlJc w:val="left"/>
      <w:pPr>
        <w:ind w:left="6480" w:hanging="360"/>
      </w:pPr>
      <w:rPr>
        <w:rFonts w:ascii="Wingdings" w:hAnsi="Wingdings" w:hint="default"/>
      </w:rPr>
    </w:lvl>
  </w:abstractNum>
  <w:abstractNum w:abstractNumId="7" w15:restartNumberingAfterBreak="0">
    <w:nsid w:val="54F72054"/>
    <w:multiLevelType w:val="hybridMultilevel"/>
    <w:tmpl w:val="62A4ACE6"/>
    <w:lvl w:ilvl="0" w:tplc="FFFFFFFF">
      <w:start w:val="1"/>
      <w:numFmt w:val="bullet"/>
      <w:lvlText w:val=""/>
      <w:lvlJc w:val="left"/>
      <w:pPr>
        <w:ind w:left="720" w:hanging="360"/>
      </w:pPr>
      <w:rPr>
        <w:rFonts w:ascii="Symbol" w:hAnsi="Symbol" w:hint="default"/>
      </w:rPr>
    </w:lvl>
    <w:lvl w:ilvl="1" w:tplc="7A08FD2A">
      <w:start w:val="1"/>
      <w:numFmt w:val="bullet"/>
      <w:lvlText w:val="o"/>
      <w:lvlJc w:val="left"/>
      <w:pPr>
        <w:ind w:left="1440" w:hanging="360"/>
      </w:pPr>
      <w:rPr>
        <w:rFonts w:ascii="Courier New" w:hAnsi="Courier New" w:hint="default"/>
      </w:rPr>
    </w:lvl>
    <w:lvl w:ilvl="2" w:tplc="C804D990">
      <w:start w:val="1"/>
      <w:numFmt w:val="bullet"/>
      <w:lvlText w:val=""/>
      <w:lvlJc w:val="left"/>
      <w:pPr>
        <w:ind w:left="2160" w:hanging="360"/>
      </w:pPr>
      <w:rPr>
        <w:rFonts w:ascii="Wingdings" w:hAnsi="Wingdings" w:hint="default"/>
      </w:rPr>
    </w:lvl>
    <w:lvl w:ilvl="3" w:tplc="0348512E">
      <w:start w:val="1"/>
      <w:numFmt w:val="bullet"/>
      <w:lvlText w:val=""/>
      <w:lvlJc w:val="left"/>
      <w:pPr>
        <w:ind w:left="2880" w:hanging="360"/>
      </w:pPr>
      <w:rPr>
        <w:rFonts w:ascii="Symbol" w:hAnsi="Symbol" w:hint="default"/>
      </w:rPr>
    </w:lvl>
    <w:lvl w:ilvl="4" w:tplc="B106E85A">
      <w:start w:val="1"/>
      <w:numFmt w:val="bullet"/>
      <w:lvlText w:val="o"/>
      <w:lvlJc w:val="left"/>
      <w:pPr>
        <w:ind w:left="3600" w:hanging="360"/>
      </w:pPr>
      <w:rPr>
        <w:rFonts w:ascii="Courier New" w:hAnsi="Courier New" w:hint="default"/>
      </w:rPr>
    </w:lvl>
    <w:lvl w:ilvl="5" w:tplc="5E72A114">
      <w:start w:val="1"/>
      <w:numFmt w:val="bullet"/>
      <w:lvlText w:val=""/>
      <w:lvlJc w:val="left"/>
      <w:pPr>
        <w:ind w:left="4320" w:hanging="360"/>
      </w:pPr>
      <w:rPr>
        <w:rFonts w:ascii="Wingdings" w:hAnsi="Wingdings" w:hint="default"/>
      </w:rPr>
    </w:lvl>
    <w:lvl w:ilvl="6" w:tplc="F362B614">
      <w:start w:val="1"/>
      <w:numFmt w:val="bullet"/>
      <w:lvlText w:val=""/>
      <w:lvlJc w:val="left"/>
      <w:pPr>
        <w:ind w:left="5040" w:hanging="360"/>
      </w:pPr>
      <w:rPr>
        <w:rFonts w:ascii="Symbol" w:hAnsi="Symbol" w:hint="default"/>
      </w:rPr>
    </w:lvl>
    <w:lvl w:ilvl="7" w:tplc="9984FD2E">
      <w:start w:val="1"/>
      <w:numFmt w:val="bullet"/>
      <w:lvlText w:val="o"/>
      <w:lvlJc w:val="left"/>
      <w:pPr>
        <w:ind w:left="5760" w:hanging="360"/>
      </w:pPr>
      <w:rPr>
        <w:rFonts w:ascii="Courier New" w:hAnsi="Courier New" w:hint="default"/>
      </w:rPr>
    </w:lvl>
    <w:lvl w:ilvl="8" w:tplc="64BE472A">
      <w:start w:val="1"/>
      <w:numFmt w:val="bullet"/>
      <w:lvlText w:val=""/>
      <w:lvlJc w:val="left"/>
      <w:pPr>
        <w:ind w:left="6480" w:hanging="360"/>
      </w:pPr>
      <w:rPr>
        <w:rFonts w:ascii="Wingdings" w:hAnsi="Wingdings" w:hint="default"/>
      </w:rPr>
    </w:lvl>
  </w:abstractNum>
  <w:abstractNum w:abstractNumId="8" w15:restartNumberingAfterBreak="0">
    <w:nsid w:val="589C4FC2"/>
    <w:multiLevelType w:val="hybridMultilevel"/>
    <w:tmpl w:val="2D880706"/>
    <w:lvl w:ilvl="0" w:tplc="D1F8D04C">
      <w:start w:val="1"/>
      <w:numFmt w:val="bullet"/>
      <w:lvlText w:val=""/>
      <w:lvlJc w:val="left"/>
      <w:pPr>
        <w:ind w:left="720" w:hanging="360"/>
      </w:pPr>
      <w:rPr>
        <w:rFonts w:ascii="Symbol" w:hAnsi="Symbol" w:hint="default"/>
      </w:rPr>
    </w:lvl>
    <w:lvl w:ilvl="1" w:tplc="8F5EB420">
      <w:start w:val="1"/>
      <w:numFmt w:val="bullet"/>
      <w:lvlText w:val="o"/>
      <w:lvlJc w:val="left"/>
      <w:pPr>
        <w:ind w:left="1440" w:hanging="360"/>
      </w:pPr>
      <w:rPr>
        <w:rFonts w:ascii="Courier New" w:hAnsi="Courier New" w:hint="default"/>
      </w:rPr>
    </w:lvl>
    <w:lvl w:ilvl="2" w:tplc="DF2093F2">
      <w:start w:val="1"/>
      <w:numFmt w:val="bullet"/>
      <w:lvlText w:val=""/>
      <w:lvlJc w:val="left"/>
      <w:pPr>
        <w:ind w:left="2160" w:hanging="360"/>
      </w:pPr>
      <w:rPr>
        <w:rFonts w:ascii="Wingdings" w:hAnsi="Wingdings" w:hint="default"/>
      </w:rPr>
    </w:lvl>
    <w:lvl w:ilvl="3" w:tplc="393AB3CA">
      <w:start w:val="1"/>
      <w:numFmt w:val="bullet"/>
      <w:lvlText w:val=""/>
      <w:lvlJc w:val="left"/>
      <w:pPr>
        <w:ind w:left="2880" w:hanging="360"/>
      </w:pPr>
      <w:rPr>
        <w:rFonts w:ascii="Symbol" w:hAnsi="Symbol" w:hint="default"/>
      </w:rPr>
    </w:lvl>
    <w:lvl w:ilvl="4" w:tplc="EB747916">
      <w:start w:val="1"/>
      <w:numFmt w:val="bullet"/>
      <w:lvlText w:val="o"/>
      <w:lvlJc w:val="left"/>
      <w:pPr>
        <w:ind w:left="3600" w:hanging="360"/>
      </w:pPr>
      <w:rPr>
        <w:rFonts w:ascii="Courier New" w:hAnsi="Courier New" w:hint="default"/>
      </w:rPr>
    </w:lvl>
    <w:lvl w:ilvl="5" w:tplc="E7C612E8">
      <w:start w:val="1"/>
      <w:numFmt w:val="bullet"/>
      <w:lvlText w:val=""/>
      <w:lvlJc w:val="left"/>
      <w:pPr>
        <w:ind w:left="4320" w:hanging="360"/>
      </w:pPr>
      <w:rPr>
        <w:rFonts w:ascii="Wingdings" w:hAnsi="Wingdings" w:hint="default"/>
      </w:rPr>
    </w:lvl>
    <w:lvl w:ilvl="6" w:tplc="D1E6F622">
      <w:start w:val="1"/>
      <w:numFmt w:val="bullet"/>
      <w:lvlText w:val=""/>
      <w:lvlJc w:val="left"/>
      <w:pPr>
        <w:ind w:left="5040" w:hanging="360"/>
      </w:pPr>
      <w:rPr>
        <w:rFonts w:ascii="Symbol" w:hAnsi="Symbol" w:hint="default"/>
      </w:rPr>
    </w:lvl>
    <w:lvl w:ilvl="7" w:tplc="31202122">
      <w:start w:val="1"/>
      <w:numFmt w:val="bullet"/>
      <w:lvlText w:val="o"/>
      <w:lvlJc w:val="left"/>
      <w:pPr>
        <w:ind w:left="5760" w:hanging="360"/>
      </w:pPr>
      <w:rPr>
        <w:rFonts w:ascii="Courier New" w:hAnsi="Courier New" w:hint="default"/>
      </w:rPr>
    </w:lvl>
    <w:lvl w:ilvl="8" w:tplc="577CC960">
      <w:start w:val="1"/>
      <w:numFmt w:val="bullet"/>
      <w:lvlText w:val=""/>
      <w:lvlJc w:val="left"/>
      <w:pPr>
        <w:ind w:left="6480" w:hanging="360"/>
      </w:pPr>
      <w:rPr>
        <w:rFonts w:ascii="Wingdings" w:hAnsi="Wingdings" w:hint="default"/>
      </w:rPr>
    </w:lvl>
  </w:abstractNum>
  <w:abstractNum w:abstractNumId="9" w15:restartNumberingAfterBreak="0">
    <w:nsid w:val="65C91C23"/>
    <w:multiLevelType w:val="hybridMultilevel"/>
    <w:tmpl w:val="7D3CF8EC"/>
    <w:lvl w:ilvl="0" w:tplc="4320A5DC">
      <w:start w:val="1"/>
      <w:numFmt w:val="bullet"/>
      <w:lvlText w:val=""/>
      <w:lvlJc w:val="left"/>
      <w:pPr>
        <w:ind w:left="720" w:hanging="360"/>
      </w:pPr>
      <w:rPr>
        <w:rFonts w:ascii="Symbol" w:hAnsi="Symbol" w:hint="default"/>
      </w:rPr>
    </w:lvl>
    <w:lvl w:ilvl="1" w:tplc="56EC1352">
      <w:start w:val="1"/>
      <w:numFmt w:val="bullet"/>
      <w:lvlText w:val="o"/>
      <w:lvlJc w:val="left"/>
      <w:pPr>
        <w:ind w:left="1440" w:hanging="360"/>
      </w:pPr>
      <w:rPr>
        <w:rFonts w:ascii="Courier New" w:hAnsi="Courier New" w:hint="default"/>
      </w:rPr>
    </w:lvl>
    <w:lvl w:ilvl="2" w:tplc="8EA4CD10">
      <w:start w:val="1"/>
      <w:numFmt w:val="bullet"/>
      <w:lvlText w:val=""/>
      <w:lvlJc w:val="left"/>
      <w:pPr>
        <w:ind w:left="2160" w:hanging="360"/>
      </w:pPr>
      <w:rPr>
        <w:rFonts w:ascii="Wingdings" w:hAnsi="Wingdings" w:hint="default"/>
      </w:rPr>
    </w:lvl>
    <w:lvl w:ilvl="3" w:tplc="5AF4CF2E">
      <w:start w:val="1"/>
      <w:numFmt w:val="bullet"/>
      <w:lvlText w:val=""/>
      <w:lvlJc w:val="left"/>
      <w:pPr>
        <w:ind w:left="2880" w:hanging="360"/>
      </w:pPr>
      <w:rPr>
        <w:rFonts w:ascii="Symbol" w:hAnsi="Symbol" w:hint="default"/>
      </w:rPr>
    </w:lvl>
    <w:lvl w:ilvl="4" w:tplc="C08660B6">
      <w:start w:val="1"/>
      <w:numFmt w:val="bullet"/>
      <w:lvlText w:val="o"/>
      <w:lvlJc w:val="left"/>
      <w:pPr>
        <w:ind w:left="3600" w:hanging="360"/>
      </w:pPr>
      <w:rPr>
        <w:rFonts w:ascii="Courier New" w:hAnsi="Courier New" w:hint="default"/>
      </w:rPr>
    </w:lvl>
    <w:lvl w:ilvl="5" w:tplc="AA2007D6">
      <w:start w:val="1"/>
      <w:numFmt w:val="bullet"/>
      <w:lvlText w:val=""/>
      <w:lvlJc w:val="left"/>
      <w:pPr>
        <w:ind w:left="4320" w:hanging="360"/>
      </w:pPr>
      <w:rPr>
        <w:rFonts w:ascii="Wingdings" w:hAnsi="Wingdings" w:hint="default"/>
      </w:rPr>
    </w:lvl>
    <w:lvl w:ilvl="6" w:tplc="EC2E621A">
      <w:start w:val="1"/>
      <w:numFmt w:val="bullet"/>
      <w:lvlText w:val=""/>
      <w:lvlJc w:val="left"/>
      <w:pPr>
        <w:ind w:left="5040" w:hanging="360"/>
      </w:pPr>
      <w:rPr>
        <w:rFonts w:ascii="Symbol" w:hAnsi="Symbol" w:hint="default"/>
      </w:rPr>
    </w:lvl>
    <w:lvl w:ilvl="7" w:tplc="EB5E1544">
      <w:start w:val="1"/>
      <w:numFmt w:val="bullet"/>
      <w:lvlText w:val="o"/>
      <w:lvlJc w:val="left"/>
      <w:pPr>
        <w:ind w:left="5760" w:hanging="360"/>
      </w:pPr>
      <w:rPr>
        <w:rFonts w:ascii="Courier New" w:hAnsi="Courier New" w:hint="default"/>
      </w:rPr>
    </w:lvl>
    <w:lvl w:ilvl="8" w:tplc="0F3005E8">
      <w:start w:val="1"/>
      <w:numFmt w:val="bullet"/>
      <w:lvlText w:val=""/>
      <w:lvlJc w:val="left"/>
      <w:pPr>
        <w:ind w:left="6480" w:hanging="360"/>
      </w:pPr>
      <w:rPr>
        <w:rFonts w:ascii="Wingdings" w:hAnsi="Wingdings" w:hint="default"/>
      </w:rPr>
    </w:lvl>
  </w:abstractNum>
  <w:abstractNum w:abstractNumId="10" w15:restartNumberingAfterBreak="0">
    <w:nsid w:val="7D5A405A"/>
    <w:multiLevelType w:val="hybridMultilevel"/>
    <w:tmpl w:val="E6CCC84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730951">
    <w:abstractNumId w:val="1"/>
  </w:num>
  <w:num w:numId="2" w16cid:durableId="761141674">
    <w:abstractNumId w:val="6"/>
  </w:num>
  <w:num w:numId="3" w16cid:durableId="714737640">
    <w:abstractNumId w:val="9"/>
  </w:num>
  <w:num w:numId="4" w16cid:durableId="1913419832">
    <w:abstractNumId w:val="0"/>
  </w:num>
  <w:num w:numId="5" w16cid:durableId="1775787368">
    <w:abstractNumId w:val="5"/>
  </w:num>
  <w:num w:numId="6" w16cid:durableId="1131441194">
    <w:abstractNumId w:val="8"/>
  </w:num>
  <w:num w:numId="7" w16cid:durableId="1740712556">
    <w:abstractNumId w:val="7"/>
  </w:num>
  <w:num w:numId="8" w16cid:durableId="2095663683">
    <w:abstractNumId w:val="2"/>
  </w:num>
  <w:num w:numId="9" w16cid:durableId="948047410">
    <w:abstractNumId w:val="3"/>
  </w:num>
  <w:num w:numId="10" w16cid:durableId="1479296809">
    <w:abstractNumId w:val="4"/>
  </w:num>
  <w:num w:numId="11" w16cid:durableId="3805226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hicago 16th B with footnote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faawev2nwddesetermpd0sd2s0t9d5r5eef&quot;&gt;Mareike-Converted&lt;record-ids&gt;&lt;item&gt;3295&lt;/item&gt;&lt;item&gt;8465&lt;/item&gt;&lt;item&gt;17112&lt;/item&gt;&lt;item&gt;17173&lt;/item&gt;&lt;item&gt;17174&lt;/item&gt;&lt;item&gt;17175&lt;/item&gt;&lt;/record-ids&gt;&lt;/item&gt;&lt;/Libraries&gt;"/>
  </w:docVars>
  <w:rsids>
    <w:rsidRoot w:val="001B75EF"/>
    <w:rsid w:val="00000BC0"/>
    <w:rsid w:val="00001474"/>
    <w:rsid w:val="000019CE"/>
    <w:rsid w:val="00001B5F"/>
    <w:rsid w:val="0000293F"/>
    <w:rsid w:val="00002D99"/>
    <w:rsid w:val="0000318D"/>
    <w:rsid w:val="0000355A"/>
    <w:rsid w:val="00005126"/>
    <w:rsid w:val="000056A1"/>
    <w:rsid w:val="0000571E"/>
    <w:rsid w:val="00005E57"/>
    <w:rsid w:val="00007BCA"/>
    <w:rsid w:val="00007D35"/>
    <w:rsid w:val="00007D4B"/>
    <w:rsid w:val="000107E4"/>
    <w:rsid w:val="00010FBB"/>
    <w:rsid w:val="000110D9"/>
    <w:rsid w:val="00011B3B"/>
    <w:rsid w:val="0001202E"/>
    <w:rsid w:val="000123C2"/>
    <w:rsid w:val="00013383"/>
    <w:rsid w:val="000142A0"/>
    <w:rsid w:val="00015052"/>
    <w:rsid w:val="00015CD9"/>
    <w:rsid w:val="00015D19"/>
    <w:rsid w:val="00015F4D"/>
    <w:rsid w:val="0001698C"/>
    <w:rsid w:val="0001736F"/>
    <w:rsid w:val="00017F2F"/>
    <w:rsid w:val="00020695"/>
    <w:rsid w:val="00020771"/>
    <w:rsid w:val="00020860"/>
    <w:rsid w:val="000211E1"/>
    <w:rsid w:val="0002262F"/>
    <w:rsid w:val="00022EA3"/>
    <w:rsid w:val="00023157"/>
    <w:rsid w:val="00024206"/>
    <w:rsid w:val="000242B9"/>
    <w:rsid w:val="000258B8"/>
    <w:rsid w:val="00026C03"/>
    <w:rsid w:val="000275BA"/>
    <w:rsid w:val="000306DD"/>
    <w:rsid w:val="000309DA"/>
    <w:rsid w:val="00030ADB"/>
    <w:rsid w:val="00031020"/>
    <w:rsid w:val="0003144B"/>
    <w:rsid w:val="00031D58"/>
    <w:rsid w:val="00032BF8"/>
    <w:rsid w:val="00032DC8"/>
    <w:rsid w:val="00032EA1"/>
    <w:rsid w:val="000330D1"/>
    <w:rsid w:val="0003443C"/>
    <w:rsid w:val="00034449"/>
    <w:rsid w:val="00035CED"/>
    <w:rsid w:val="000361C2"/>
    <w:rsid w:val="00036A62"/>
    <w:rsid w:val="000375DB"/>
    <w:rsid w:val="00037897"/>
    <w:rsid w:val="00037B4B"/>
    <w:rsid w:val="00040207"/>
    <w:rsid w:val="00040D34"/>
    <w:rsid w:val="00041142"/>
    <w:rsid w:val="00041919"/>
    <w:rsid w:val="00041D88"/>
    <w:rsid w:val="00042106"/>
    <w:rsid w:val="00042D9D"/>
    <w:rsid w:val="00043EA2"/>
    <w:rsid w:val="00044131"/>
    <w:rsid w:val="00044FC5"/>
    <w:rsid w:val="000451EC"/>
    <w:rsid w:val="000453EC"/>
    <w:rsid w:val="0004596B"/>
    <w:rsid w:val="00045C24"/>
    <w:rsid w:val="00045C58"/>
    <w:rsid w:val="000462DC"/>
    <w:rsid w:val="00047CF2"/>
    <w:rsid w:val="000506BD"/>
    <w:rsid w:val="00050AED"/>
    <w:rsid w:val="00052030"/>
    <w:rsid w:val="00052B09"/>
    <w:rsid w:val="0005324E"/>
    <w:rsid w:val="00053405"/>
    <w:rsid w:val="00055CB0"/>
    <w:rsid w:val="000564C3"/>
    <w:rsid w:val="00056521"/>
    <w:rsid w:val="0005682B"/>
    <w:rsid w:val="000569E5"/>
    <w:rsid w:val="00057E1C"/>
    <w:rsid w:val="000607F1"/>
    <w:rsid w:val="000608B6"/>
    <w:rsid w:val="000608F6"/>
    <w:rsid w:val="00061599"/>
    <w:rsid w:val="000616B5"/>
    <w:rsid w:val="000621D1"/>
    <w:rsid w:val="00063436"/>
    <w:rsid w:val="000635B0"/>
    <w:rsid w:val="00063DF3"/>
    <w:rsid w:val="00064F06"/>
    <w:rsid w:val="00064FEC"/>
    <w:rsid w:val="00065413"/>
    <w:rsid w:val="00065A5A"/>
    <w:rsid w:val="000668FF"/>
    <w:rsid w:val="00066A7E"/>
    <w:rsid w:val="00066E7A"/>
    <w:rsid w:val="00067016"/>
    <w:rsid w:val="0006742A"/>
    <w:rsid w:val="00070698"/>
    <w:rsid w:val="000708E6"/>
    <w:rsid w:val="00070B48"/>
    <w:rsid w:val="00070C35"/>
    <w:rsid w:val="00070F75"/>
    <w:rsid w:val="000710A3"/>
    <w:rsid w:val="000725E4"/>
    <w:rsid w:val="00072CBA"/>
    <w:rsid w:val="00073688"/>
    <w:rsid w:val="00074DFD"/>
    <w:rsid w:val="00075239"/>
    <w:rsid w:val="00075D25"/>
    <w:rsid w:val="000774C0"/>
    <w:rsid w:val="00077C90"/>
    <w:rsid w:val="0008012B"/>
    <w:rsid w:val="000808C1"/>
    <w:rsid w:val="00081B83"/>
    <w:rsid w:val="00081E5E"/>
    <w:rsid w:val="000823F0"/>
    <w:rsid w:val="00083B46"/>
    <w:rsid w:val="0008436E"/>
    <w:rsid w:val="00084400"/>
    <w:rsid w:val="00084CDB"/>
    <w:rsid w:val="0008589A"/>
    <w:rsid w:val="0008589C"/>
    <w:rsid w:val="00085BE5"/>
    <w:rsid w:val="000864C1"/>
    <w:rsid w:val="00087324"/>
    <w:rsid w:val="00090288"/>
    <w:rsid w:val="00090C12"/>
    <w:rsid w:val="00091D54"/>
    <w:rsid w:val="000930BE"/>
    <w:rsid w:val="00093106"/>
    <w:rsid w:val="00093EDC"/>
    <w:rsid w:val="00094BA2"/>
    <w:rsid w:val="00094E53"/>
    <w:rsid w:val="0009739F"/>
    <w:rsid w:val="000A0C7C"/>
    <w:rsid w:val="000A19E8"/>
    <w:rsid w:val="000A1A86"/>
    <w:rsid w:val="000A1B13"/>
    <w:rsid w:val="000A1BB4"/>
    <w:rsid w:val="000A2D87"/>
    <w:rsid w:val="000A3466"/>
    <w:rsid w:val="000A37F3"/>
    <w:rsid w:val="000A4648"/>
    <w:rsid w:val="000A4D62"/>
    <w:rsid w:val="000A53BF"/>
    <w:rsid w:val="000A7603"/>
    <w:rsid w:val="000AD905"/>
    <w:rsid w:val="000B0B3A"/>
    <w:rsid w:val="000B161C"/>
    <w:rsid w:val="000B1A44"/>
    <w:rsid w:val="000B3CE2"/>
    <w:rsid w:val="000B41CB"/>
    <w:rsid w:val="000B4E40"/>
    <w:rsid w:val="000B4F1B"/>
    <w:rsid w:val="000B5328"/>
    <w:rsid w:val="000B5EBC"/>
    <w:rsid w:val="000B68AF"/>
    <w:rsid w:val="000B6940"/>
    <w:rsid w:val="000B6F46"/>
    <w:rsid w:val="000B7278"/>
    <w:rsid w:val="000B72D6"/>
    <w:rsid w:val="000B7569"/>
    <w:rsid w:val="000B7E57"/>
    <w:rsid w:val="000C10BD"/>
    <w:rsid w:val="000C1577"/>
    <w:rsid w:val="000C25F6"/>
    <w:rsid w:val="000C294D"/>
    <w:rsid w:val="000C2CDD"/>
    <w:rsid w:val="000C3079"/>
    <w:rsid w:val="000C3669"/>
    <w:rsid w:val="000C5082"/>
    <w:rsid w:val="000C6044"/>
    <w:rsid w:val="000C610C"/>
    <w:rsid w:val="000D12EB"/>
    <w:rsid w:val="000D224C"/>
    <w:rsid w:val="000D2296"/>
    <w:rsid w:val="000D41D8"/>
    <w:rsid w:val="000D5E01"/>
    <w:rsid w:val="000D616C"/>
    <w:rsid w:val="000D6936"/>
    <w:rsid w:val="000D6B3D"/>
    <w:rsid w:val="000D734A"/>
    <w:rsid w:val="000D7594"/>
    <w:rsid w:val="000E03D9"/>
    <w:rsid w:val="000E084F"/>
    <w:rsid w:val="000E1876"/>
    <w:rsid w:val="000E1AA1"/>
    <w:rsid w:val="000E20A4"/>
    <w:rsid w:val="000E26AC"/>
    <w:rsid w:val="000E4B9D"/>
    <w:rsid w:val="000E54D9"/>
    <w:rsid w:val="000E655C"/>
    <w:rsid w:val="000E6918"/>
    <w:rsid w:val="000E6FA8"/>
    <w:rsid w:val="000E7787"/>
    <w:rsid w:val="000E7D1A"/>
    <w:rsid w:val="000F0907"/>
    <w:rsid w:val="000F0EA3"/>
    <w:rsid w:val="000F2591"/>
    <w:rsid w:val="000F3799"/>
    <w:rsid w:val="000F3D44"/>
    <w:rsid w:val="000F3DBF"/>
    <w:rsid w:val="000F3FED"/>
    <w:rsid w:val="000F407A"/>
    <w:rsid w:val="000F4578"/>
    <w:rsid w:val="000F48B4"/>
    <w:rsid w:val="000F5AE4"/>
    <w:rsid w:val="000F6398"/>
    <w:rsid w:val="000F6BD7"/>
    <w:rsid w:val="000F7CA3"/>
    <w:rsid w:val="0010084D"/>
    <w:rsid w:val="00100951"/>
    <w:rsid w:val="001023F0"/>
    <w:rsid w:val="001034CD"/>
    <w:rsid w:val="00103897"/>
    <w:rsid w:val="001038D3"/>
    <w:rsid w:val="00103CBD"/>
    <w:rsid w:val="00103EF6"/>
    <w:rsid w:val="00104064"/>
    <w:rsid w:val="00104DC0"/>
    <w:rsid w:val="00105AF6"/>
    <w:rsid w:val="001060FA"/>
    <w:rsid w:val="00106421"/>
    <w:rsid w:val="001075E5"/>
    <w:rsid w:val="00107BE8"/>
    <w:rsid w:val="00107D8F"/>
    <w:rsid w:val="00110FF5"/>
    <w:rsid w:val="0011114E"/>
    <w:rsid w:val="00111568"/>
    <w:rsid w:val="001132D4"/>
    <w:rsid w:val="00113ABA"/>
    <w:rsid w:val="0011547F"/>
    <w:rsid w:val="0011623E"/>
    <w:rsid w:val="00117956"/>
    <w:rsid w:val="00117AC0"/>
    <w:rsid w:val="00117BF0"/>
    <w:rsid w:val="00117E90"/>
    <w:rsid w:val="00120008"/>
    <w:rsid w:val="00120C9A"/>
    <w:rsid w:val="00120FD8"/>
    <w:rsid w:val="00121146"/>
    <w:rsid w:val="0012131F"/>
    <w:rsid w:val="00121C2E"/>
    <w:rsid w:val="00122F44"/>
    <w:rsid w:val="0012344C"/>
    <w:rsid w:val="00123559"/>
    <w:rsid w:val="00124151"/>
    <w:rsid w:val="001241FD"/>
    <w:rsid w:val="00124AB3"/>
    <w:rsid w:val="00125B3D"/>
    <w:rsid w:val="0012717B"/>
    <w:rsid w:val="00127654"/>
    <w:rsid w:val="00127DD8"/>
    <w:rsid w:val="00127F69"/>
    <w:rsid w:val="0012D83F"/>
    <w:rsid w:val="00131501"/>
    <w:rsid w:val="00131B26"/>
    <w:rsid w:val="00131BE3"/>
    <w:rsid w:val="001329E8"/>
    <w:rsid w:val="00132E3A"/>
    <w:rsid w:val="00133248"/>
    <w:rsid w:val="00133300"/>
    <w:rsid w:val="00133592"/>
    <w:rsid w:val="00133CB8"/>
    <w:rsid w:val="0013545C"/>
    <w:rsid w:val="00135A26"/>
    <w:rsid w:val="00135E7F"/>
    <w:rsid w:val="00136776"/>
    <w:rsid w:val="00137464"/>
    <w:rsid w:val="0013793C"/>
    <w:rsid w:val="0014199E"/>
    <w:rsid w:val="00141D3E"/>
    <w:rsid w:val="001424DC"/>
    <w:rsid w:val="00143212"/>
    <w:rsid w:val="00143DE2"/>
    <w:rsid w:val="0014529B"/>
    <w:rsid w:val="001455CC"/>
    <w:rsid w:val="001457A8"/>
    <w:rsid w:val="001459C3"/>
    <w:rsid w:val="00145F6E"/>
    <w:rsid w:val="0014703C"/>
    <w:rsid w:val="00147319"/>
    <w:rsid w:val="0014759C"/>
    <w:rsid w:val="001477E7"/>
    <w:rsid w:val="00150D4D"/>
    <w:rsid w:val="00150F03"/>
    <w:rsid w:val="00151C60"/>
    <w:rsid w:val="00151ECC"/>
    <w:rsid w:val="001527E3"/>
    <w:rsid w:val="00153AC8"/>
    <w:rsid w:val="001541E5"/>
    <w:rsid w:val="001545C3"/>
    <w:rsid w:val="001546A4"/>
    <w:rsid w:val="00155454"/>
    <w:rsid w:val="00155764"/>
    <w:rsid w:val="00156453"/>
    <w:rsid w:val="00160420"/>
    <w:rsid w:val="00160751"/>
    <w:rsid w:val="0016172B"/>
    <w:rsid w:val="0016173B"/>
    <w:rsid w:val="001617C4"/>
    <w:rsid w:val="001617CA"/>
    <w:rsid w:val="00161A42"/>
    <w:rsid w:val="00161F13"/>
    <w:rsid w:val="00162041"/>
    <w:rsid w:val="00162B6F"/>
    <w:rsid w:val="00162C67"/>
    <w:rsid w:val="00162DC8"/>
    <w:rsid w:val="00162F10"/>
    <w:rsid w:val="001631C2"/>
    <w:rsid w:val="00163348"/>
    <w:rsid w:val="00163AC6"/>
    <w:rsid w:val="00163B02"/>
    <w:rsid w:val="00163C0B"/>
    <w:rsid w:val="00164288"/>
    <w:rsid w:val="0016455F"/>
    <w:rsid w:val="001650B8"/>
    <w:rsid w:val="00166642"/>
    <w:rsid w:val="00167354"/>
    <w:rsid w:val="00167688"/>
    <w:rsid w:val="001676C5"/>
    <w:rsid w:val="00167D58"/>
    <w:rsid w:val="0017053A"/>
    <w:rsid w:val="001713EF"/>
    <w:rsid w:val="001717D7"/>
    <w:rsid w:val="00171A78"/>
    <w:rsid w:val="001723E6"/>
    <w:rsid w:val="0017349A"/>
    <w:rsid w:val="001734D7"/>
    <w:rsid w:val="00173B2A"/>
    <w:rsid w:val="00174821"/>
    <w:rsid w:val="0017485C"/>
    <w:rsid w:val="0017504E"/>
    <w:rsid w:val="00175D69"/>
    <w:rsid w:val="00176689"/>
    <w:rsid w:val="00176A29"/>
    <w:rsid w:val="00176F1E"/>
    <w:rsid w:val="00177542"/>
    <w:rsid w:val="0018045C"/>
    <w:rsid w:val="00181687"/>
    <w:rsid w:val="00182004"/>
    <w:rsid w:val="00182A36"/>
    <w:rsid w:val="00182CAF"/>
    <w:rsid w:val="001840FC"/>
    <w:rsid w:val="00185323"/>
    <w:rsid w:val="001853A2"/>
    <w:rsid w:val="0018591B"/>
    <w:rsid w:val="0018638D"/>
    <w:rsid w:val="001868A1"/>
    <w:rsid w:val="0018709A"/>
    <w:rsid w:val="00187BE9"/>
    <w:rsid w:val="00190E8A"/>
    <w:rsid w:val="00191DA3"/>
    <w:rsid w:val="0019269F"/>
    <w:rsid w:val="00192927"/>
    <w:rsid w:val="00193245"/>
    <w:rsid w:val="00193912"/>
    <w:rsid w:val="00193A43"/>
    <w:rsid w:val="00194055"/>
    <w:rsid w:val="0019455F"/>
    <w:rsid w:val="001950D6"/>
    <w:rsid w:val="00195166"/>
    <w:rsid w:val="001951A6"/>
    <w:rsid w:val="00195716"/>
    <w:rsid w:val="001977E7"/>
    <w:rsid w:val="001A04BA"/>
    <w:rsid w:val="001A089D"/>
    <w:rsid w:val="001A36DB"/>
    <w:rsid w:val="001A51D6"/>
    <w:rsid w:val="001A5EEB"/>
    <w:rsid w:val="001A6A54"/>
    <w:rsid w:val="001A6BE9"/>
    <w:rsid w:val="001A6F5C"/>
    <w:rsid w:val="001A6FEA"/>
    <w:rsid w:val="001A714F"/>
    <w:rsid w:val="001A792F"/>
    <w:rsid w:val="001A7C45"/>
    <w:rsid w:val="001A7D12"/>
    <w:rsid w:val="001B0274"/>
    <w:rsid w:val="001B03AE"/>
    <w:rsid w:val="001B07FD"/>
    <w:rsid w:val="001B08C5"/>
    <w:rsid w:val="001B1EAC"/>
    <w:rsid w:val="001B2C4B"/>
    <w:rsid w:val="001B337B"/>
    <w:rsid w:val="001B36BA"/>
    <w:rsid w:val="001B484B"/>
    <w:rsid w:val="001B4FDC"/>
    <w:rsid w:val="001B5A87"/>
    <w:rsid w:val="001B6F13"/>
    <w:rsid w:val="001B75EF"/>
    <w:rsid w:val="001B7849"/>
    <w:rsid w:val="001B7DFC"/>
    <w:rsid w:val="001C0095"/>
    <w:rsid w:val="001C0290"/>
    <w:rsid w:val="001C06C0"/>
    <w:rsid w:val="001C152C"/>
    <w:rsid w:val="001C166D"/>
    <w:rsid w:val="001C2BF0"/>
    <w:rsid w:val="001C2D57"/>
    <w:rsid w:val="001C3097"/>
    <w:rsid w:val="001C3366"/>
    <w:rsid w:val="001C4013"/>
    <w:rsid w:val="001C4507"/>
    <w:rsid w:val="001C5C2B"/>
    <w:rsid w:val="001C691C"/>
    <w:rsid w:val="001C7724"/>
    <w:rsid w:val="001C7B50"/>
    <w:rsid w:val="001D032C"/>
    <w:rsid w:val="001D03B2"/>
    <w:rsid w:val="001D07C6"/>
    <w:rsid w:val="001D0DCE"/>
    <w:rsid w:val="001D2C6F"/>
    <w:rsid w:val="001D2D11"/>
    <w:rsid w:val="001D2FB9"/>
    <w:rsid w:val="001D3A70"/>
    <w:rsid w:val="001D3C0F"/>
    <w:rsid w:val="001D4DBE"/>
    <w:rsid w:val="001D5071"/>
    <w:rsid w:val="001D6221"/>
    <w:rsid w:val="001D7C14"/>
    <w:rsid w:val="001DDC9F"/>
    <w:rsid w:val="001E15AC"/>
    <w:rsid w:val="001E40D0"/>
    <w:rsid w:val="001E4371"/>
    <w:rsid w:val="001E43D4"/>
    <w:rsid w:val="001E45DE"/>
    <w:rsid w:val="001E50B2"/>
    <w:rsid w:val="001E5546"/>
    <w:rsid w:val="001E60D6"/>
    <w:rsid w:val="001E6378"/>
    <w:rsid w:val="001E6BF0"/>
    <w:rsid w:val="001F0353"/>
    <w:rsid w:val="001F04AB"/>
    <w:rsid w:val="001F06EF"/>
    <w:rsid w:val="001F11EA"/>
    <w:rsid w:val="001F1266"/>
    <w:rsid w:val="001F24BF"/>
    <w:rsid w:val="001F2B4B"/>
    <w:rsid w:val="001F2BDC"/>
    <w:rsid w:val="001F3524"/>
    <w:rsid w:val="001F3CE2"/>
    <w:rsid w:val="001F4065"/>
    <w:rsid w:val="001F45AB"/>
    <w:rsid w:val="001F4A79"/>
    <w:rsid w:val="001F4E0C"/>
    <w:rsid w:val="001F512A"/>
    <w:rsid w:val="001F5AD3"/>
    <w:rsid w:val="001F66BB"/>
    <w:rsid w:val="001F6952"/>
    <w:rsid w:val="001F6FFB"/>
    <w:rsid w:val="001F75AE"/>
    <w:rsid w:val="001F7EAF"/>
    <w:rsid w:val="00200676"/>
    <w:rsid w:val="00200870"/>
    <w:rsid w:val="0020109F"/>
    <w:rsid w:val="0020127A"/>
    <w:rsid w:val="00201E73"/>
    <w:rsid w:val="002023E3"/>
    <w:rsid w:val="002031AF"/>
    <w:rsid w:val="0020413D"/>
    <w:rsid w:val="00205434"/>
    <w:rsid w:val="00205999"/>
    <w:rsid w:val="00205D50"/>
    <w:rsid w:val="00205DE1"/>
    <w:rsid w:val="0020631C"/>
    <w:rsid w:val="00206EC0"/>
    <w:rsid w:val="002079AF"/>
    <w:rsid w:val="00210D2D"/>
    <w:rsid w:val="00211876"/>
    <w:rsid w:val="00212DD5"/>
    <w:rsid w:val="00212EC3"/>
    <w:rsid w:val="00214678"/>
    <w:rsid w:val="0021478E"/>
    <w:rsid w:val="00214885"/>
    <w:rsid w:val="00215336"/>
    <w:rsid w:val="00215870"/>
    <w:rsid w:val="0021633A"/>
    <w:rsid w:val="00217278"/>
    <w:rsid w:val="002172D8"/>
    <w:rsid w:val="00217BE5"/>
    <w:rsid w:val="00220D63"/>
    <w:rsid w:val="00221A1E"/>
    <w:rsid w:val="00221CCD"/>
    <w:rsid w:val="0022241D"/>
    <w:rsid w:val="0022270B"/>
    <w:rsid w:val="00222B03"/>
    <w:rsid w:val="002230EE"/>
    <w:rsid w:val="00224169"/>
    <w:rsid w:val="00225EDB"/>
    <w:rsid w:val="002264BA"/>
    <w:rsid w:val="002265D3"/>
    <w:rsid w:val="002267C7"/>
    <w:rsid w:val="002269EF"/>
    <w:rsid w:val="00226E5D"/>
    <w:rsid w:val="0022764D"/>
    <w:rsid w:val="00230995"/>
    <w:rsid w:val="00230A5F"/>
    <w:rsid w:val="00231E0F"/>
    <w:rsid w:val="002321EF"/>
    <w:rsid w:val="0023230F"/>
    <w:rsid w:val="0023236D"/>
    <w:rsid w:val="00232C64"/>
    <w:rsid w:val="002338F7"/>
    <w:rsid w:val="00233B44"/>
    <w:rsid w:val="0023445D"/>
    <w:rsid w:val="00234C9E"/>
    <w:rsid w:val="0023557F"/>
    <w:rsid w:val="00236081"/>
    <w:rsid w:val="0023612B"/>
    <w:rsid w:val="00236505"/>
    <w:rsid w:val="00236B61"/>
    <w:rsid w:val="002370C9"/>
    <w:rsid w:val="0023783C"/>
    <w:rsid w:val="00240B3E"/>
    <w:rsid w:val="00240CD2"/>
    <w:rsid w:val="0024286A"/>
    <w:rsid w:val="00242B7E"/>
    <w:rsid w:val="00243AFE"/>
    <w:rsid w:val="002443B6"/>
    <w:rsid w:val="0024459C"/>
    <w:rsid w:val="002446C8"/>
    <w:rsid w:val="002448D1"/>
    <w:rsid w:val="002454FA"/>
    <w:rsid w:val="00245565"/>
    <w:rsid w:val="00245AA2"/>
    <w:rsid w:val="00245F99"/>
    <w:rsid w:val="0024738B"/>
    <w:rsid w:val="0024749C"/>
    <w:rsid w:val="00247FDC"/>
    <w:rsid w:val="00250CCD"/>
    <w:rsid w:val="00251DEA"/>
    <w:rsid w:val="00251E2A"/>
    <w:rsid w:val="002527C2"/>
    <w:rsid w:val="002544EA"/>
    <w:rsid w:val="002549BA"/>
    <w:rsid w:val="00254B0E"/>
    <w:rsid w:val="00254B35"/>
    <w:rsid w:val="00255333"/>
    <w:rsid w:val="0025601F"/>
    <w:rsid w:val="00256993"/>
    <w:rsid w:val="00257B8A"/>
    <w:rsid w:val="00257E1E"/>
    <w:rsid w:val="00257F1E"/>
    <w:rsid w:val="002608C5"/>
    <w:rsid w:val="00260FF0"/>
    <w:rsid w:val="00261251"/>
    <w:rsid w:val="0026243E"/>
    <w:rsid w:val="002631A9"/>
    <w:rsid w:val="002646AE"/>
    <w:rsid w:val="00264B65"/>
    <w:rsid w:val="0026550E"/>
    <w:rsid w:val="00265CBA"/>
    <w:rsid w:val="002665BE"/>
    <w:rsid w:val="0026713F"/>
    <w:rsid w:val="00267A99"/>
    <w:rsid w:val="00270075"/>
    <w:rsid w:val="0027010B"/>
    <w:rsid w:val="00270DFF"/>
    <w:rsid w:val="00272471"/>
    <w:rsid w:val="00274769"/>
    <w:rsid w:val="0027585A"/>
    <w:rsid w:val="00275C5D"/>
    <w:rsid w:val="00276136"/>
    <w:rsid w:val="00276483"/>
    <w:rsid w:val="00277568"/>
    <w:rsid w:val="002776B4"/>
    <w:rsid w:val="00277E2B"/>
    <w:rsid w:val="00280C40"/>
    <w:rsid w:val="00280D98"/>
    <w:rsid w:val="0028117A"/>
    <w:rsid w:val="0028123D"/>
    <w:rsid w:val="002813F2"/>
    <w:rsid w:val="002816D2"/>
    <w:rsid w:val="00282C93"/>
    <w:rsid w:val="002831C9"/>
    <w:rsid w:val="002834DD"/>
    <w:rsid w:val="002839FA"/>
    <w:rsid w:val="00283FAD"/>
    <w:rsid w:val="00284B0C"/>
    <w:rsid w:val="00285678"/>
    <w:rsid w:val="00285EA0"/>
    <w:rsid w:val="00285EBA"/>
    <w:rsid w:val="002865E6"/>
    <w:rsid w:val="002869D7"/>
    <w:rsid w:val="00286C9D"/>
    <w:rsid w:val="00287683"/>
    <w:rsid w:val="002876B0"/>
    <w:rsid w:val="00290F99"/>
    <w:rsid w:val="00290FBF"/>
    <w:rsid w:val="002910DD"/>
    <w:rsid w:val="00291AB8"/>
    <w:rsid w:val="002934FC"/>
    <w:rsid w:val="0029471E"/>
    <w:rsid w:val="002966F6"/>
    <w:rsid w:val="00297296"/>
    <w:rsid w:val="002A0069"/>
    <w:rsid w:val="002A008E"/>
    <w:rsid w:val="002A0C24"/>
    <w:rsid w:val="002A0DEA"/>
    <w:rsid w:val="002A11DF"/>
    <w:rsid w:val="002A135A"/>
    <w:rsid w:val="002A13E5"/>
    <w:rsid w:val="002A14FF"/>
    <w:rsid w:val="002A1829"/>
    <w:rsid w:val="002A2892"/>
    <w:rsid w:val="002A2ED0"/>
    <w:rsid w:val="002A3F3B"/>
    <w:rsid w:val="002A460E"/>
    <w:rsid w:val="002A487E"/>
    <w:rsid w:val="002A51A8"/>
    <w:rsid w:val="002A527E"/>
    <w:rsid w:val="002A59EA"/>
    <w:rsid w:val="002A5B13"/>
    <w:rsid w:val="002A6C01"/>
    <w:rsid w:val="002B18EE"/>
    <w:rsid w:val="002B29DB"/>
    <w:rsid w:val="002B3C4C"/>
    <w:rsid w:val="002B530D"/>
    <w:rsid w:val="002B5374"/>
    <w:rsid w:val="002B5CD3"/>
    <w:rsid w:val="002B6333"/>
    <w:rsid w:val="002B65D4"/>
    <w:rsid w:val="002B6766"/>
    <w:rsid w:val="002B68C1"/>
    <w:rsid w:val="002B699F"/>
    <w:rsid w:val="002B6B3C"/>
    <w:rsid w:val="002B734A"/>
    <w:rsid w:val="002B7839"/>
    <w:rsid w:val="002B790C"/>
    <w:rsid w:val="002C194C"/>
    <w:rsid w:val="002C2653"/>
    <w:rsid w:val="002C2BBA"/>
    <w:rsid w:val="002C3266"/>
    <w:rsid w:val="002C3A1C"/>
    <w:rsid w:val="002C3F60"/>
    <w:rsid w:val="002C4387"/>
    <w:rsid w:val="002C4A98"/>
    <w:rsid w:val="002C502A"/>
    <w:rsid w:val="002C50E5"/>
    <w:rsid w:val="002C55B7"/>
    <w:rsid w:val="002C779C"/>
    <w:rsid w:val="002C7A0F"/>
    <w:rsid w:val="002C7E84"/>
    <w:rsid w:val="002C7FD4"/>
    <w:rsid w:val="002D1651"/>
    <w:rsid w:val="002D2000"/>
    <w:rsid w:val="002D2428"/>
    <w:rsid w:val="002D3251"/>
    <w:rsid w:val="002D3442"/>
    <w:rsid w:val="002D3802"/>
    <w:rsid w:val="002D45E9"/>
    <w:rsid w:val="002D47BC"/>
    <w:rsid w:val="002D52B8"/>
    <w:rsid w:val="002D5402"/>
    <w:rsid w:val="002D557A"/>
    <w:rsid w:val="002D661F"/>
    <w:rsid w:val="002D6D1F"/>
    <w:rsid w:val="002D7205"/>
    <w:rsid w:val="002D7499"/>
    <w:rsid w:val="002D798A"/>
    <w:rsid w:val="002E0D47"/>
    <w:rsid w:val="002E0F71"/>
    <w:rsid w:val="002E5BF0"/>
    <w:rsid w:val="002E5D0D"/>
    <w:rsid w:val="002E5D7A"/>
    <w:rsid w:val="002E5F45"/>
    <w:rsid w:val="002E5F85"/>
    <w:rsid w:val="002E627C"/>
    <w:rsid w:val="002E6410"/>
    <w:rsid w:val="002E6B67"/>
    <w:rsid w:val="002E72DB"/>
    <w:rsid w:val="002F005F"/>
    <w:rsid w:val="002F0131"/>
    <w:rsid w:val="002F0FE9"/>
    <w:rsid w:val="002F134C"/>
    <w:rsid w:val="002F16C6"/>
    <w:rsid w:val="002F1791"/>
    <w:rsid w:val="002F203B"/>
    <w:rsid w:val="002F2220"/>
    <w:rsid w:val="002F277F"/>
    <w:rsid w:val="002F30C9"/>
    <w:rsid w:val="002F366A"/>
    <w:rsid w:val="002F3EC1"/>
    <w:rsid w:val="002F4660"/>
    <w:rsid w:val="002F4765"/>
    <w:rsid w:val="002F49DD"/>
    <w:rsid w:val="002F4C58"/>
    <w:rsid w:val="002F5B2C"/>
    <w:rsid w:val="002F5D4C"/>
    <w:rsid w:val="002F64A3"/>
    <w:rsid w:val="002F6670"/>
    <w:rsid w:val="002F6FD1"/>
    <w:rsid w:val="002F735D"/>
    <w:rsid w:val="003006F9"/>
    <w:rsid w:val="0030115E"/>
    <w:rsid w:val="003015D1"/>
    <w:rsid w:val="00301C69"/>
    <w:rsid w:val="00301E97"/>
    <w:rsid w:val="00302F73"/>
    <w:rsid w:val="00303560"/>
    <w:rsid w:val="0030433A"/>
    <w:rsid w:val="0030455D"/>
    <w:rsid w:val="00304941"/>
    <w:rsid w:val="00305C72"/>
    <w:rsid w:val="0030645A"/>
    <w:rsid w:val="003069B1"/>
    <w:rsid w:val="003070E1"/>
    <w:rsid w:val="00307918"/>
    <w:rsid w:val="00310C67"/>
    <w:rsid w:val="003114DB"/>
    <w:rsid w:val="00312802"/>
    <w:rsid w:val="003130F0"/>
    <w:rsid w:val="00313C25"/>
    <w:rsid w:val="00314596"/>
    <w:rsid w:val="00314689"/>
    <w:rsid w:val="0031541D"/>
    <w:rsid w:val="0031711C"/>
    <w:rsid w:val="00317882"/>
    <w:rsid w:val="003209BC"/>
    <w:rsid w:val="00320E23"/>
    <w:rsid w:val="00320ED6"/>
    <w:rsid w:val="00323A01"/>
    <w:rsid w:val="0032466B"/>
    <w:rsid w:val="00324705"/>
    <w:rsid w:val="0032479C"/>
    <w:rsid w:val="00324D32"/>
    <w:rsid w:val="003251E5"/>
    <w:rsid w:val="00325A04"/>
    <w:rsid w:val="003262E8"/>
    <w:rsid w:val="0032671F"/>
    <w:rsid w:val="003273D2"/>
    <w:rsid w:val="0032787A"/>
    <w:rsid w:val="00327D02"/>
    <w:rsid w:val="00330A13"/>
    <w:rsid w:val="00331357"/>
    <w:rsid w:val="0033206F"/>
    <w:rsid w:val="0033208F"/>
    <w:rsid w:val="00332107"/>
    <w:rsid w:val="003321ED"/>
    <w:rsid w:val="003322C7"/>
    <w:rsid w:val="00332535"/>
    <w:rsid w:val="00332EF3"/>
    <w:rsid w:val="0033377F"/>
    <w:rsid w:val="00333BAA"/>
    <w:rsid w:val="00333CB7"/>
    <w:rsid w:val="00335EB5"/>
    <w:rsid w:val="00336B27"/>
    <w:rsid w:val="00336DB0"/>
    <w:rsid w:val="00337B61"/>
    <w:rsid w:val="0034015F"/>
    <w:rsid w:val="00340243"/>
    <w:rsid w:val="0034036F"/>
    <w:rsid w:val="00341BA7"/>
    <w:rsid w:val="00342336"/>
    <w:rsid w:val="003424F3"/>
    <w:rsid w:val="0034275B"/>
    <w:rsid w:val="00342A85"/>
    <w:rsid w:val="00342C67"/>
    <w:rsid w:val="0034309B"/>
    <w:rsid w:val="00343196"/>
    <w:rsid w:val="0034329C"/>
    <w:rsid w:val="00343BA7"/>
    <w:rsid w:val="0034403F"/>
    <w:rsid w:val="003445F9"/>
    <w:rsid w:val="003450AA"/>
    <w:rsid w:val="00345530"/>
    <w:rsid w:val="00345572"/>
    <w:rsid w:val="0034572A"/>
    <w:rsid w:val="0034592B"/>
    <w:rsid w:val="00346216"/>
    <w:rsid w:val="0034637A"/>
    <w:rsid w:val="003471AA"/>
    <w:rsid w:val="003475EF"/>
    <w:rsid w:val="00347A0D"/>
    <w:rsid w:val="00350D9B"/>
    <w:rsid w:val="003510FA"/>
    <w:rsid w:val="00351AEA"/>
    <w:rsid w:val="003521C7"/>
    <w:rsid w:val="003535AF"/>
    <w:rsid w:val="00353EEA"/>
    <w:rsid w:val="00354D1C"/>
    <w:rsid w:val="00354D6D"/>
    <w:rsid w:val="00356AF5"/>
    <w:rsid w:val="00357303"/>
    <w:rsid w:val="00357E45"/>
    <w:rsid w:val="00360370"/>
    <w:rsid w:val="0036078D"/>
    <w:rsid w:val="00360DFE"/>
    <w:rsid w:val="0036111E"/>
    <w:rsid w:val="00361D92"/>
    <w:rsid w:val="0036230B"/>
    <w:rsid w:val="003626B0"/>
    <w:rsid w:val="00362B31"/>
    <w:rsid w:val="00362B6B"/>
    <w:rsid w:val="00362BB1"/>
    <w:rsid w:val="00363A57"/>
    <w:rsid w:val="00364AFD"/>
    <w:rsid w:val="00364B3A"/>
    <w:rsid w:val="00364EA9"/>
    <w:rsid w:val="00365233"/>
    <w:rsid w:val="003657F9"/>
    <w:rsid w:val="00365C78"/>
    <w:rsid w:val="003677A1"/>
    <w:rsid w:val="00367DD3"/>
    <w:rsid w:val="00367DFF"/>
    <w:rsid w:val="0036C47B"/>
    <w:rsid w:val="00370603"/>
    <w:rsid w:val="00370722"/>
    <w:rsid w:val="003708A4"/>
    <w:rsid w:val="00370C69"/>
    <w:rsid w:val="00371625"/>
    <w:rsid w:val="003725CA"/>
    <w:rsid w:val="00374BD6"/>
    <w:rsid w:val="0037515B"/>
    <w:rsid w:val="00375332"/>
    <w:rsid w:val="00376ABD"/>
    <w:rsid w:val="00376E98"/>
    <w:rsid w:val="00377A1E"/>
    <w:rsid w:val="00380969"/>
    <w:rsid w:val="00380D07"/>
    <w:rsid w:val="0038165C"/>
    <w:rsid w:val="0038171A"/>
    <w:rsid w:val="00382CA0"/>
    <w:rsid w:val="003830EA"/>
    <w:rsid w:val="00383CE3"/>
    <w:rsid w:val="0038415A"/>
    <w:rsid w:val="0038438B"/>
    <w:rsid w:val="00384B5C"/>
    <w:rsid w:val="0038678D"/>
    <w:rsid w:val="00386898"/>
    <w:rsid w:val="00386AB9"/>
    <w:rsid w:val="00387CDA"/>
    <w:rsid w:val="00390370"/>
    <w:rsid w:val="0039058E"/>
    <w:rsid w:val="003905C0"/>
    <w:rsid w:val="00391491"/>
    <w:rsid w:val="0039198A"/>
    <w:rsid w:val="00392482"/>
    <w:rsid w:val="00392DA2"/>
    <w:rsid w:val="00393251"/>
    <w:rsid w:val="00394A7B"/>
    <w:rsid w:val="00395929"/>
    <w:rsid w:val="0039599D"/>
    <w:rsid w:val="00395AD0"/>
    <w:rsid w:val="00396B4C"/>
    <w:rsid w:val="00396DD9"/>
    <w:rsid w:val="003970BD"/>
    <w:rsid w:val="0039783B"/>
    <w:rsid w:val="00397BCF"/>
    <w:rsid w:val="00397CE1"/>
    <w:rsid w:val="00397F7E"/>
    <w:rsid w:val="003A00C5"/>
    <w:rsid w:val="003A0A78"/>
    <w:rsid w:val="003A0C48"/>
    <w:rsid w:val="003A1061"/>
    <w:rsid w:val="003A190A"/>
    <w:rsid w:val="003A1BC7"/>
    <w:rsid w:val="003A1F63"/>
    <w:rsid w:val="003A202A"/>
    <w:rsid w:val="003A207A"/>
    <w:rsid w:val="003A2D81"/>
    <w:rsid w:val="003A331E"/>
    <w:rsid w:val="003A40D6"/>
    <w:rsid w:val="003A43F8"/>
    <w:rsid w:val="003A4F18"/>
    <w:rsid w:val="003A578C"/>
    <w:rsid w:val="003A5E74"/>
    <w:rsid w:val="003A6253"/>
    <w:rsid w:val="003A6A25"/>
    <w:rsid w:val="003A7CFC"/>
    <w:rsid w:val="003A7D22"/>
    <w:rsid w:val="003A7F3A"/>
    <w:rsid w:val="003A7F3D"/>
    <w:rsid w:val="003B0336"/>
    <w:rsid w:val="003B09CC"/>
    <w:rsid w:val="003B0BC7"/>
    <w:rsid w:val="003B16D7"/>
    <w:rsid w:val="003B2C24"/>
    <w:rsid w:val="003B2D58"/>
    <w:rsid w:val="003B3A09"/>
    <w:rsid w:val="003B3F35"/>
    <w:rsid w:val="003B4029"/>
    <w:rsid w:val="003B4545"/>
    <w:rsid w:val="003B4BAD"/>
    <w:rsid w:val="003B4ECA"/>
    <w:rsid w:val="003B5051"/>
    <w:rsid w:val="003B5699"/>
    <w:rsid w:val="003B6114"/>
    <w:rsid w:val="003B63C3"/>
    <w:rsid w:val="003B699F"/>
    <w:rsid w:val="003B70ED"/>
    <w:rsid w:val="003B77FE"/>
    <w:rsid w:val="003B7A3A"/>
    <w:rsid w:val="003C01DA"/>
    <w:rsid w:val="003C03C5"/>
    <w:rsid w:val="003C0886"/>
    <w:rsid w:val="003C105C"/>
    <w:rsid w:val="003C1093"/>
    <w:rsid w:val="003C170F"/>
    <w:rsid w:val="003C1D5F"/>
    <w:rsid w:val="003C217E"/>
    <w:rsid w:val="003C2B40"/>
    <w:rsid w:val="003C32EA"/>
    <w:rsid w:val="003C39AA"/>
    <w:rsid w:val="003C46C1"/>
    <w:rsid w:val="003C47F1"/>
    <w:rsid w:val="003C56E4"/>
    <w:rsid w:val="003C570B"/>
    <w:rsid w:val="003C6299"/>
    <w:rsid w:val="003C6B93"/>
    <w:rsid w:val="003C6BF2"/>
    <w:rsid w:val="003C6C51"/>
    <w:rsid w:val="003C6E8B"/>
    <w:rsid w:val="003C7A0C"/>
    <w:rsid w:val="003C7C62"/>
    <w:rsid w:val="003D029F"/>
    <w:rsid w:val="003D392D"/>
    <w:rsid w:val="003D3D33"/>
    <w:rsid w:val="003D447C"/>
    <w:rsid w:val="003D4A63"/>
    <w:rsid w:val="003D7F06"/>
    <w:rsid w:val="003E0215"/>
    <w:rsid w:val="003E1280"/>
    <w:rsid w:val="003E1FDC"/>
    <w:rsid w:val="003E38CC"/>
    <w:rsid w:val="003E393B"/>
    <w:rsid w:val="003E3B0F"/>
    <w:rsid w:val="003E3D73"/>
    <w:rsid w:val="003E55E1"/>
    <w:rsid w:val="003E5F61"/>
    <w:rsid w:val="003E62E5"/>
    <w:rsid w:val="003E64C8"/>
    <w:rsid w:val="003E778A"/>
    <w:rsid w:val="003F059E"/>
    <w:rsid w:val="003F1537"/>
    <w:rsid w:val="003F15D8"/>
    <w:rsid w:val="003F189D"/>
    <w:rsid w:val="003F19EF"/>
    <w:rsid w:val="003F34DC"/>
    <w:rsid w:val="003F3886"/>
    <w:rsid w:val="003F45F1"/>
    <w:rsid w:val="003F4E8E"/>
    <w:rsid w:val="003F573A"/>
    <w:rsid w:val="003F5DDB"/>
    <w:rsid w:val="003F612D"/>
    <w:rsid w:val="003F6B13"/>
    <w:rsid w:val="003F6E22"/>
    <w:rsid w:val="003F7012"/>
    <w:rsid w:val="003F7028"/>
    <w:rsid w:val="003F76AF"/>
    <w:rsid w:val="003F7797"/>
    <w:rsid w:val="00401F17"/>
    <w:rsid w:val="00403845"/>
    <w:rsid w:val="00403E2A"/>
    <w:rsid w:val="00404D38"/>
    <w:rsid w:val="00404D51"/>
    <w:rsid w:val="00406031"/>
    <w:rsid w:val="004064B6"/>
    <w:rsid w:val="00406CDE"/>
    <w:rsid w:val="004104AA"/>
    <w:rsid w:val="00413293"/>
    <w:rsid w:val="004132D1"/>
    <w:rsid w:val="00413A29"/>
    <w:rsid w:val="00414021"/>
    <w:rsid w:val="00414CB3"/>
    <w:rsid w:val="00414D70"/>
    <w:rsid w:val="00415376"/>
    <w:rsid w:val="004158B7"/>
    <w:rsid w:val="00416E8E"/>
    <w:rsid w:val="004170EF"/>
    <w:rsid w:val="00420128"/>
    <w:rsid w:val="00420604"/>
    <w:rsid w:val="00421325"/>
    <w:rsid w:val="00421EB9"/>
    <w:rsid w:val="00422027"/>
    <w:rsid w:val="00422155"/>
    <w:rsid w:val="004222FE"/>
    <w:rsid w:val="00422550"/>
    <w:rsid w:val="004229A1"/>
    <w:rsid w:val="00422E38"/>
    <w:rsid w:val="00423ABE"/>
    <w:rsid w:val="00423EB1"/>
    <w:rsid w:val="004257A9"/>
    <w:rsid w:val="00426165"/>
    <w:rsid w:val="004266AD"/>
    <w:rsid w:val="00426B48"/>
    <w:rsid w:val="00427922"/>
    <w:rsid w:val="00427B68"/>
    <w:rsid w:val="00427DAF"/>
    <w:rsid w:val="00427F18"/>
    <w:rsid w:val="004315C3"/>
    <w:rsid w:val="00431AF6"/>
    <w:rsid w:val="004320C9"/>
    <w:rsid w:val="004321B0"/>
    <w:rsid w:val="004328F2"/>
    <w:rsid w:val="00434789"/>
    <w:rsid w:val="004348DB"/>
    <w:rsid w:val="00434C77"/>
    <w:rsid w:val="00434F29"/>
    <w:rsid w:val="00435C22"/>
    <w:rsid w:val="00435EF9"/>
    <w:rsid w:val="004360A5"/>
    <w:rsid w:val="004361F4"/>
    <w:rsid w:val="004364E4"/>
    <w:rsid w:val="00437D09"/>
    <w:rsid w:val="00440B1D"/>
    <w:rsid w:val="00440D43"/>
    <w:rsid w:val="0044121E"/>
    <w:rsid w:val="0044121F"/>
    <w:rsid w:val="00441AFB"/>
    <w:rsid w:val="00441B8B"/>
    <w:rsid w:val="00441E84"/>
    <w:rsid w:val="00441F6A"/>
    <w:rsid w:val="0044204E"/>
    <w:rsid w:val="00442331"/>
    <w:rsid w:val="00442369"/>
    <w:rsid w:val="00442716"/>
    <w:rsid w:val="0044271C"/>
    <w:rsid w:val="00442AC3"/>
    <w:rsid w:val="00442EEA"/>
    <w:rsid w:val="0044503E"/>
    <w:rsid w:val="00445238"/>
    <w:rsid w:val="00445429"/>
    <w:rsid w:val="00445EEF"/>
    <w:rsid w:val="004460E0"/>
    <w:rsid w:val="00446213"/>
    <w:rsid w:val="00446A9C"/>
    <w:rsid w:val="0044793F"/>
    <w:rsid w:val="00447A57"/>
    <w:rsid w:val="00450535"/>
    <w:rsid w:val="0045060B"/>
    <w:rsid w:val="00451868"/>
    <w:rsid w:val="00451D53"/>
    <w:rsid w:val="00451E92"/>
    <w:rsid w:val="0045305E"/>
    <w:rsid w:val="00453250"/>
    <w:rsid w:val="0045465A"/>
    <w:rsid w:val="004546F9"/>
    <w:rsid w:val="004548AE"/>
    <w:rsid w:val="00454D27"/>
    <w:rsid w:val="0045535B"/>
    <w:rsid w:val="004556BB"/>
    <w:rsid w:val="00455DA2"/>
    <w:rsid w:val="00457479"/>
    <w:rsid w:val="00457945"/>
    <w:rsid w:val="0046023F"/>
    <w:rsid w:val="00460745"/>
    <w:rsid w:val="00460847"/>
    <w:rsid w:val="00460E0D"/>
    <w:rsid w:val="00460EC4"/>
    <w:rsid w:val="00461394"/>
    <w:rsid w:val="004620CE"/>
    <w:rsid w:val="00462AAB"/>
    <w:rsid w:val="00463D07"/>
    <w:rsid w:val="00463E4A"/>
    <w:rsid w:val="00463E71"/>
    <w:rsid w:val="00464556"/>
    <w:rsid w:val="004646F4"/>
    <w:rsid w:val="0046477E"/>
    <w:rsid w:val="00465899"/>
    <w:rsid w:val="004658D8"/>
    <w:rsid w:val="00466A0B"/>
    <w:rsid w:val="00467D3E"/>
    <w:rsid w:val="00471848"/>
    <w:rsid w:val="0047201F"/>
    <w:rsid w:val="00472783"/>
    <w:rsid w:val="00472EFF"/>
    <w:rsid w:val="00473622"/>
    <w:rsid w:val="00474730"/>
    <w:rsid w:val="00477AE8"/>
    <w:rsid w:val="00477E84"/>
    <w:rsid w:val="0048076F"/>
    <w:rsid w:val="004815C9"/>
    <w:rsid w:val="0048194C"/>
    <w:rsid w:val="00482EFB"/>
    <w:rsid w:val="00482FC1"/>
    <w:rsid w:val="00483580"/>
    <w:rsid w:val="00484C07"/>
    <w:rsid w:val="00484CF2"/>
    <w:rsid w:val="00485311"/>
    <w:rsid w:val="004855C4"/>
    <w:rsid w:val="00485ACF"/>
    <w:rsid w:val="00485C4F"/>
    <w:rsid w:val="0048681D"/>
    <w:rsid w:val="0049003D"/>
    <w:rsid w:val="004900FE"/>
    <w:rsid w:val="0049051D"/>
    <w:rsid w:val="00491B7A"/>
    <w:rsid w:val="00491BD5"/>
    <w:rsid w:val="00491E39"/>
    <w:rsid w:val="004923B8"/>
    <w:rsid w:val="004923CF"/>
    <w:rsid w:val="00492C7E"/>
    <w:rsid w:val="0049302F"/>
    <w:rsid w:val="00494157"/>
    <w:rsid w:val="004956DC"/>
    <w:rsid w:val="0049586B"/>
    <w:rsid w:val="00495A65"/>
    <w:rsid w:val="00496401"/>
    <w:rsid w:val="004966A0"/>
    <w:rsid w:val="004A10C9"/>
    <w:rsid w:val="004A215E"/>
    <w:rsid w:val="004A2169"/>
    <w:rsid w:val="004A217D"/>
    <w:rsid w:val="004A2F6D"/>
    <w:rsid w:val="004A4581"/>
    <w:rsid w:val="004A4D7C"/>
    <w:rsid w:val="004A4E01"/>
    <w:rsid w:val="004A5A6A"/>
    <w:rsid w:val="004A5F52"/>
    <w:rsid w:val="004A6087"/>
    <w:rsid w:val="004A62A2"/>
    <w:rsid w:val="004A6F47"/>
    <w:rsid w:val="004A730A"/>
    <w:rsid w:val="004B02B3"/>
    <w:rsid w:val="004B11E2"/>
    <w:rsid w:val="004B13C0"/>
    <w:rsid w:val="004B142A"/>
    <w:rsid w:val="004B16ED"/>
    <w:rsid w:val="004B1D7D"/>
    <w:rsid w:val="004B316B"/>
    <w:rsid w:val="004B3D37"/>
    <w:rsid w:val="004B3D43"/>
    <w:rsid w:val="004B3E5A"/>
    <w:rsid w:val="004B3EA6"/>
    <w:rsid w:val="004B4138"/>
    <w:rsid w:val="004B42A1"/>
    <w:rsid w:val="004B49D3"/>
    <w:rsid w:val="004B5349"/>
    <w:rsid w:val="004B6206"/>
    <w:rsid w:val="004B64C3"/>
    <w:rsid w:val="004B6576"/>
    <w:rsid w:val="004B6B33"/>
    <w:rsid w:val="004B7646"/>
    <w:rsid w:val="004C0710"/>
    <w:rsid w:val="004C074A"/>
    <w:rsid w:val="004C20BB"/>
    <w:rsid w:val="004C3377"/>
    <w:rsid w:val="004C4358"/>
    <w:rsid w:val="004C44A0"/>
    <w:rsid w:val="004C4E9A"/>
    <w:rsid w:val="004C5547"/>
    <w:rsid w:val="004C5736"/>
    <w:rsid w:val="004C591D"/>
    <w:rsid w:val="004C5D1A"/>
    <w:rsid w:val="004C5EC2"/>
    <w:rsid w:val="004C5FB3"/>
    <w:rsid w:val="004C6087"/>
    <w:rsid w:val="004C65D7"/>
    <w:rsid w:val="004C720B"/>
    <w:rsid w:val="004C78A7"/>
    <w:rsid w:val="004D0A62"/>
    <w:rsid w:val="004D1446"/>
    <w:rsid w:val="004D147A"/>
    <w:rsid w:val="004D1860"/>
    <w:rsid w:val="004D2026"/>
    <w:rsid w:val="004D2CF5"/>
    <w:rsid w:val="004D32C4"/>
    <w:rsid w:val="004D37F8"/>
    <w:rsid w:val="004D3F12"/>
    <w:rsid w:val="004D41B3"/>
    <w:rsid w:val="004D41BE"/>
    <w:rsid w:val="004D41E8"/>
    <w:rsid w:val="004D4993"/>
    <w:rsid w:val="004D57F4"/>
    <w:rsid w:val="004D6274"/>
    <w:rsid w:val="004D6332"/>
    <w:rsid w:val="004D6728"/>
    <w:rsid w:val="004E0C54"/>
    <w:rsid w:val="004E2CEA"/>
    <w:rsid w:val="004E39B6"/>
    <w:rsid w:val="004E3FDB"/>
    <w:rsid w:val="004E441C"/>
    <w:rsid w:val="004E54C0"/>
    <w:rsid w:val="004E5B87"/>
    <w:rsid w:val="004E5C5A"/>
    <w:rsid w:val="004E5D95"/>
    <w:rsid w:val="004E6092"/>
    <w:rsid w:val="004F08B2"/>
    <w:rsid w:val="004F0D96"/>
    <w:rsid w:val="004F0E86"/>
    <w:rsid w:val="004F1199"/>
    <w:rsid w:val="004F1F20"/>
    <w:rsid w:val="004F238D"/>
    <w:rsid w:val="004F3001"/>
    <w:rsid w:val="004F375E"/>
    <w:rsid w:val="004F3BDE"/>
    <w:rsid w:val="004F46D1"/>
    <w:rsid w:val="004F496B"/>
    <w:rsid w:val="004F5015"/>
    <w:rsid w:val="004F52B2"/>
    <w:rsid w:val="004F5562"/>
    <w:rsid w:val="004F560E"/>
    <w:rsid w:val="004F64CE"/>
    <w:rsid w:val="004F68B5"/>
    <w:rsid w:val="004F75E2"/>
    <w:rsid w:val="004F7714"/>
    <w:rsid w:val="00500053"/>
    <w:rsid w:val="00500A30"/>
    <w:rsid w:val="005013BB"/>
    <w:rsid w:val="00501B27"/>
    <w:rsid w:val="00502614"/>
    <w:rsid w:val="0050455E"/>
    <w:rsid w:val="00506BA7"/>
    <w:rsid w:val="00507926"/>
    <w:rsid w:val="00510626"/>
    <w:rsid w:val="005115F7"/>
    <w:rsid w:val="00511C49"/>
    <w:rsid w:val="00512246"/>
    <w:rsid w:val="005127A3"/>
    <w:rsid w:val="005139FE"/>
    <w:rsid w:val="005148E7"/>
    <w:rsid w:val="00514C85"/>
    <w:rsid w:val="00514EAE"/>
    <w:rsid w:val="00515393"/>
    <w:rsid w:val="00516089"/>
    <w:rsid w:val="005163CB"/>
    <w:rsid w:val="00517760"/>
    <w:rsid w:val="0052026C"/>
    <w:rsid w:val="00521B1C"/>
    <w:rsid w:val="00522422"/>
    <w:rsid w:val="00522F35"/>
    <w:rsid w:val="005230C0"/>
    <w:rsid w:val="00523161"/>
    <w:rsid w:val="00523236"/>
    <w:rsid w:val="005239A4"/>
    <w:rsid w:val="00524879"/>
    <w:rsid w:val="005249D7"/>
    <w:rsid w:val="0052504A"/>
    <w:rsid w:val="00525972"/>
    <w:rsid w:val="0052627A"/>
    <w:rsid w:val="00526D2B"/>
    <w:rsid w:val="00527BEE"/>
    <w:rsid w:val="00527C8B"/>
    <w:rsid w:val="00530FA6"/>
    <w:rsid w:val="00531606"/>
    <w:rsid w:val="00531D8E"/>
    <w:rsid w:val="00531E6F"/>
    <w:rsid w:val="00532031"/>
    <w:rsid w:val="00533032"/>
    <w:rsid w:val="005333AE"/>
    <w:rsid w:val="005335C4"/>
    <w:rsid w:val="00533F87"/>
    <w:rsid w:val="005342CC"/>
    <w:rsid w:val="00534403"/>
    <w:rsid w:val="005344E1"/>
    <w:rsid w:val="00534703"/>
    <w:rsid w:val="00534719"/>
    <w:rsid w:val="0053612A"/>
    <w:rsid w:val="00536AA4"/>
    <w:rsid w:val="00536D3D"/>
    <w:rsid w:val="005376C7"/>
    <w:rsid w:val="005377A7"/>
    <w:rsid w:val="0053787F"/>
    <w:rsid w:val="00537CDB"/>
    <w:rsid w:val="00537CF6"/>
    <w:rsid w:val="0054005E"/>
    <w:rsid w:val="005420BE"/>
    <w:rsid w:val="0054247A"/>
    <w:rsid w:val="005424B1"/>
    <w:rsid w:val="00542BCB"/>
    <w:rsid w:val="00542D49"/>
    <w:rsid w:val="00542EE0"/>
    <w:rsid w:val="005430C0"/>
    <w:rsid w:val="00544468"/>
    <w:rsid w:val="00544AA6"/>
    <w:rsid w:val="0054612A"/>
    <w:rsid w:val="00546C1E"/>
    <w:rsid w:val="00547B71"/>
    <w:rsid w:val="005502B4"/>
    <w:rsid w:val="00550442"/>
    <w:rsid w:val="005504C9"/>
    <w:rsid w:val="00550965"/>
    <w:rsid w:val="00550B9C"/>
    <w:rsid w:val="005510C9"/>
    <w:rsid w:val="00551289"/>
    <w:rsid w:val="005516E9"/>
    <w:rsid w:val="005524DA"/>
    <w:rsid w:val="005527F2"/>
    <w:rsid w:val="00553411"/>
    <w:rsid w:val="00553CA6"/>
    <w:rsid w:val="00553E4F"/>
    <w:rsid w:val="00554510"/>
    <w:rsid w:val="00555BAA"/>
    <w:rsid w:val="00556398"/>
    <w:rsid w:val="00556714"/>
    <w:rsid w:val="0055720E"/>
    <w:rsid w:val="005572CE"/>
    <w:rsid w:val="0055AF61"/>
    <w:rsid w:val="005605FD"/>
    <w:rsid w:val="005606C9"/>
    <w:rsid w:val="00560D4E"/>
    <w:rsid w:val="00562288"/>
    <w:rsid w:val="005624A4"/>
    <w:rsid w:val="005624B1"/>
    <w:rsid w:val="00562661"/>
    <w:rsid w:val="005629EC"/>
    <w:rsid w:val="00563547"/>
    <w:rsid w:val="00563F2E"/>
    <w:rsid w:val="0056402E"/>
    <w:rsid w:val="00564CBF"/>
    <w:rsid w:val="005656BA"/>
    <w:rsid w:val="0056656F"/>
    <w:rsid w:val="00566FAD"/>
    <w:rsid w:val="00567BDD"/>
    <w:rsid w:val="00567E75"/>
    <w:rsid w:val="00567FFC"/>
    <w:rsid w:val="00572E82"/>
    <w:rsid w:val="00572F36"/>
    <w:rsid w:val="0057368E"/>
    <w:rsid w:val="00574505"/>
    <w:rsid w:val="0057595A"/>
    <w:rsid w:val="0057596A"/>
    <w:rsid w:val="00577549"/>
    <w:rsid w:val="00577640"/>
    <w:rsid w:val="00581C3B"/>
    <w:rsid w:val="00581F35"/>
    <w:rsid w:val="00583776"/>
    <w:rsid w:val="0058392B"/>
    <w:rsid w:val="00583A0A"/>
    <w:rsid w:val="00585146"/>
    <w:rsid w:val="00586614"/>
    <w:rsid w:val="00586776"/>
    <w:rsid w:val="00586ED1"/>
    <w:rsid w:val="005870EC"/>
    <w:rsid w:val="00587D62"/>
    <w:rsid w:val="00590411"/>
    <w:rsid w:val="0059067B"/>
    <w:rsid w:val="005917AE"/>
    <w:rsid w:val="005919F9"/>
    <w:rsid w:val="00592151"/>
    <w:rsid w:val="00592292"/>
    <w:rsid w:val="00593BAA"/>
    <w:rsid w:val="00593F14"/>
    <w:rsid w:val="00593F23"/>
    <w:rsid w:val="0059439B"/>
    <w:rsid w:val="00594BBE"/>
    <w:rsid w:val="005953F0"/>
    <w:rsid w:val="00595F0C"/>
    <w:rsid w:val="005960D5"/>
    <w:rsid w:val="00596DAA"/>
    <w:rsid w:val="00597981"/>
    <w:rsid w:val="005A0BD2"/>
    <w:rsid w:val="005A2586"/>
    <w:rsid w:val="005A2681"/>
    <w:rsid w:val="005A2B9B"/>
    <w:rsid w:val="005A31F0"/>
    <w:rsid w:val="005A3843"/>
    <w:rsid w:val="005A3E42"/>
    <w:rsid w:val="005A472C"/>
    <w:rsid w:val="005A504B"/>
    <w:rsid w:val="005A5AE8"/>
    <w:rsid w:val="005A6DFE"/>
    <w:rsid w:val="005A75DE"/>
    <w:rsid w:val="005A7FF1"/>
    <w:rsid w:val="005B01FE"/>
    <w:rsid w:val="005B030E"/>
    <w:rsid w:val="005B0A00"/>
    <w:rsid w:val="005B0BE6"/>
    <w:rsid w:val="005B1C3C"/>
    <w:rsid w:val="005B266F"/>
    <w:rsid w:val="005B2921"/>
    <w:rsid w:val="005B29AD"/>
    <w:rsid w:val="005B3F64"/>
    <w:rsid w:val="005B4930"/>
    <w:rsid w:val="005B4DDA"/>
    <w:rsid w:val="005B5023"/>
    <w:rsid w:val="005B5654"/>
    <w:rsid w:val="005B58D5"/>
    <w:rsid w:val="005B5F8B"/>
    <w:rsid w:val="005B7F08"/>
    <w:rsid w:val="005C1A35"/>
    <w:rsid w:val="005C1BC0"/>
    <w:rsid w:val="005C1E2D"/>
    <w:rsid w:val="005C2966"/>
    <w:rsid w:val="005C3236"/>
    <w:rsid w:val="005C409B"/>
    <w:rsid w:val="005C453C"/>
    <w:rsid w:val="005C4BB8"/>
    <w:rsid w:val="005C4BD1"/>
    <w:rsid w:val="005C5A0D"/>
    <w:rsid w:val="005C6D73"/>
    <w:rsid w:val="005C6D8A"/>
    <w:rsid w:val="005C7E28"/>
    <w:rsid w:val="005D19B4"/>
    <w:rsid w:val="005D2CD7"/>
    <w:rsid w:val="005D3A5E"/>
    <w:rsid w:val="005D46B0"/>
    <w:rsid w:val="005D4816"/>
    <w:rsid w:val="005D48CA"/>
    <w:rsid w:val="005D5494"/>
    <w:rsid w:val="005D5B61"/>
    <w:rsid w:val="005D5FA7"/>
    <w:rsid w:val="005D79CE"/>
    <w:rsid w:val="005D7EB1"/>
    <w:rsid w:val="005E038E"/>
    <w:rsid w:val="005E0BB4"/>
    <w:rsid w:val="005E1363"/>
    <w:rsid w:val="005E1BF6"/>
    <w:rsid w:val="005E1FC9"/>
    <w:rsid w:val="005E23B9"/>
    <w:rsid w:val="005E32D0"/>
    <w:rsid w:val="005E3C27"/>
    <w:rsid w:val="005E3DC3"/>
    <w:rsid w:val="005E4038"/>
    <w:rsid w:val="005E4270"/>
    <w:rsid w:val="005E5115"/>
    <w:rsid w:val="005E544C"/>
    <w:rsid w:val="005E5F44"/>
    <w:rsid w:val="005E6E92"/>
    <w:rsid w:val="005E735D"/>
    <w:rsid w:val="005E73A8"/>
    <w:rsid w:val="005E7908"/>
    <w:rsid w:val="005E79BA"/>
    <w:rsid w:val="005F06B6"/>
    <w:rsid w:val="005F0CB3"/>
    <w:rsid w:val="005F1BC1"/>
    <w:rsid w:val="005F3DB0"/>
    <w:rsid w:val="005F4086"/>
    <w:rsid w:val="005F4350"/>
    <w:rsid w:val="005F51AC"/>
    <w:rsid w:val="005F5BD5"/>
    <w:rsid w:val="005F5F3A"/>
    <w:rsid w:val="005F5FA7"/>
    <w:rsid w:val="005F6375"/>
    <w:rsid w:val="005F6773"/>
    <w:rsid w:val="005F67EA"/>
    <w:rsid w:val="005F6A67"/>
    <w:rsid w:val="005F6BE8"/>
    <w:rsid w:val="005F6E55"/>
    <w:rsid w:val="005F6FB3"/>
    <w:rsid w:val="005F728D"/>
    <w:rsid w:val="005F74DB"/>
    <w:rsid w:val="005F7B3A"/>
    <w:rsid w:val="00600855"/>
    <w:rsid w:val="00601DD8"/>
    <w:rsid w:val="0060213F"/>
    <w:rsid w:val="006023BB"/>
    <w:rsid w:val="00602787"/>
    <w:rsid w:val="00602D7E"/>
    <w:rsid w:val="00602F04"/>
    <w:rsid w:val="006030A8"/>
    <w:rsid w:val="0060359F"/>
    <w:rsid w:val="0060427F"/>
    <w:rsid w:val="00604804"/>
    <w:rsid w:val="00604E8E"/>
    <w:rsid w:val="00605072"/>
    <w:rsid w:val="006051F2"/>
    <w:rsid w:val="006053E5"/>
    <w:rsid w:val="00605CB4"/>
    <w:rsid w:val="006068F0"/>
    <w:rsid w:val="0060791F"/>
    <w:rsid w:val="00607D31"/>
    <w:rsid w:val="006101F7"/>
    <w:rsid w:val="0061154F"/>
    <w:rsid w:val="006116ED"/>
    <w:rsid w:val="00611BCB"/>
    <w:rsid w:val="00611C90"/>
    <w:rsid w:val="00611D08"/>
    <w:rsid w:val="00611D86"/>
    <w:rsid w:val="006126F3"/>
    <w:rsid w:val="00612849"/>
    <w:rsid w:val="00612D8D"/>
    <w:rsid w:val="00612F85"/>
    <w:rsid w:val="006132CB"/>
    <w:rsid w:val="00613898"/>
    <w:rsid w:val="00613DAD"/>
    <w:rsid w:val="00614915"/>
    <w:rsid w:val="00614BFA"/>
    <w:rsid w:val="00615C67"/>
    <w:rsid w:val="0061697F"/>
    <w:rsid w:val="006171EE"/>
    <w:rsid w:val="00617D3C"/>
    <w:rsid w:val="00621681"/>
    <w:rsid w:val="006224E9"/>
    <w:rsid w:val="006238D7"/>
    <w:rsid w:val="006246D9"/>
    <w:rsid w:val="00624971"/>
    <w:rsid w:val="00624A8E"/>
    <w:rsid w:val="0062679C"/>
    <w:rsid w:val="0062728F"/>
    <w:rsid w:val="00627618"/>
    <w:rsid w:val="006279DC"/>
    <w:rsid w:val="00627E26"/>
    <w:rsid w:val="00627F69"/>
    <w:rsid w:val="00627F7E"/>
    <w:rsid w:val="00630103"/>
    <w:rsid w:val="006309C9"/>
    <w:rsid w:val="00630D90"/>
    <w:rsid w:val="006314C6"/>
    <w:rsid w:val="00631995"/>
    <w:rsid w:val="0063219F"/>
    <w:rsid w:val="006325FE"/>
    <w:rsid w:val="00632D89"/>
    <w:rsid w:val="00633810"/>
    <w:rsid w:val="00633BC8"/>
    <w:rsid w:val="0063416B"/>
    <w:rsid w:val="00634251"/>
    <w:rsid w:val="0063434E"/>
    <w:rsid w:val="006344EC"/>
    <w:rsid w:val="00635450"/>
    <w:rsid w:val="00635F3D"/>
    <w:rsid w:val="00636782"/>
    <w:rsid w:val="00637400"/>
    <w:rsid w:val="0064079D"/>
    <w:rsid w:val="00640817"/>
    <w:rsid w:val="00640E9D"/>
    <w:rsid w:val="006411D6"/>
    <w:rsid w:val="00641914"/>
    <w:rsid w:val="00641AAE"/>
    <w:rsid w:val="00642429"/>
    <w:rsid w:val="00643726"/>
    <w:rsid w:val="00643CDE"/>
    <w:rsid w:val="00643F1C"/>
    <w:rsid w:val="00644407"/>
    <w:rsid w:val="006448AF"/>
    <w:rsid w:val="006453E5"/>
    <w:rsid w:val="00645F4B"/>
    <w:rsid w:val="006461C7"/>
    <w:rsid w:val="006464CF"/>
    <w:rsid w:val="00647306"/>
    <w:rsid w:val="0065002B"/>
    <w:rsid w:val="006509EA"/>
    <w:rsid w:val="00651754"/>
    <w:rsid w:val="00651F01"/>
    <w:rsid w:val="006522FF"/>
    <w:rsid w:val="00652AF0"/>
    <w:rsid w:val="00652BBD"/>
    <w:rsid w:val="006535D0"/>
    <w:rsid w:val="006538ED"/>
    <w:rsid w:val="006545D2"/>
    <w:rsid w:val="00654C7F"/>
    <w:rsid w:val="00654EE6"/>
    <w:rsid w:val="00654F48"/>
    <w:rsid w:val="0065525A"/>
    <w:rsid w:val="00655F25"/>
    <w:rsid w:val="00657085"/>
    <w:rsid w:val="006576D1"/>
    <w:rsid w:val="00663141"/>
    <w:rsid w:val="00664A56"/>
    <w:rsid w:val="006661CA"/>
    <w:rsid w:val="00666275"/>
    <w:rsid w:val="00666A29"/>
    <w:rsid w:val="0066706E"/>
    <w:rsid w:val="00667906"/>
    <w:rsid w:val="00667AF4"/>
    <w:rsid w:val="00667D4B"/>
    <w:rsid w:val="006722D6"/>
    <w:rsid w:val="00672400"/>
    <w:rsid w:val="00672D2B"/>
    <w:rsid w:val="00672D6F"/>
    <w:rsid w:val="00673A25"/>
    <w:rsid w:val="00673CF6"/>
    <w:rsid w:val="00673DB7"/>
    <w:rsid w:val="00673F3D"/>
    <w:rsid w:val="00677CEA"/>
    <w:rsid w:val="00680B46"/>
    <w:rsid w:val="00681D5B"/>
    <w:rsid w:val="00682DBD"/>
    <w:rsid w:val="006833D6"/>
    <w:rsid w:val="00683DCA"/>
    <w:rsid w:val="0068402C"/>
    <w:rsid w:val="006846BC"/>
    <w:rsid w:val="00684F0B"/>
    <w:rsid w:val="006853AC"/>
    <w:rsid w:val="00685C2F"/>
    <w:rsid w:val="00686BCB"/>
    <w:rsid w:val="00686E16"/>
    <w:rsid w:val="0068730C"/>
    <w:rsid w:val="0068769D"/>
    <w:rsid w:val="00687733"/>
    <w:rsid w:val="00687F91"/>
    <w:rsid w:val="00690683"/>
    <w:rsid w:val="00690EEC"/>
    <w:rsid w:val="00691819"/>
    <w:rsid w:val="00693F7A"/>
    <w:rsid w:val="0069448E"/>
    <w:rsid w:val="006953A3"/>
    <w:rsid w:val="00696428"/>
    <w:rsid w:val="00696477"/>
    <w:rsid w:val="006968B4"/>
    <w:rsid w:val="00697493"/>
    <w:rsid w:val="006976D1"/>
    <w:rsid w:val="006A0242"/>
    <w:rsid w:val="006A0352"/>
    <w:rsid w:val="006A0738"/>
    <w:rsid w:val="006A0798"/>
    <w:rsid w:val="006A0C78"/>
    <w:rsid w:val="006A0E29"/>
    <w:rsid w:val="006A1B65"/>
    <w:rsid w:val="006A1BB6"/>
    <w:rsid w:val="006A2470"/>
    <w:rsid w:val="006A25FD"/>
    <w:rsid w:val="006A3822"/>
    <w:rsid w:val="006A49BF"/>
    <w:rsid w:val="006A4DBE"/>
    <w:rsid w:val="006A4FAC"/>
    <w:rsid w:val="006A5924"/>
    <w:rsid w:val="006A6617"/>
    <w:rsid w:val="006A6B2B"/>
    <w:rsid w:val="006A72C3"/>
    <w:rsid w:val="006A7659"/>
    <w:rsid w:val="006A78FA"/>
    <w:rsid w:val="006A7D5B"/>
    <w:rsid w:val="006B0141"/>
    <w:rsid w:val="006B0960"/>
    <w:rsid w:val="006B0F95"/>
    <w:rsid w:val="006B3F87"/>
    <w:rsid w:val="006B413A"/>
    <w:rsid w:val="006B51C5"/>
    <w:rsid w:val="006B5EAB"/>
    <w:rsid w:val="006B6DCD"/>
    <w:rsid w:val="006B7020"/>
    <w:rsid w:val="006B7783"/>
    <w:rsid w:val="006B7EBC"/>
    <w:rsid w:val="006C155D"/>
    <w:rsid w:val="006C1B9F"/>
    <w:rsid w:val="006C1E23"/>
    <w:rsid w:val="006C2952"/>
    <w:rsid w:val="006C3BE4"/>
    <w:rsid w:val="006C3D16"/>
    <w:rsid w:val="006C4F37"/>
    <w:rsid w:val="006C5298"/>
    <w:rsid w:val="006C538B"/>
    <w:rsid w:val="006C5498"/>
    <w:rsid w:val="006C5E32"/>
    <w:rsid w:val="006C5EE1"/>
    <w:rsid w:val="006D08DA"/>
    <w:rsid w:val="006D2813"/>
    <w:rsid w:val="006D33A3"/>
    <w:rsid w:val="006D45E7"/>
    <w:rsid w:val="006D4EB9"/>
    <w:rsid w:val="006D5076"/>
    <w:rsid w:val="006D5233"/>
    <w:rsid w:val="006D600D"/>
    <w:rsid w:val="006D692F"/>
    <w:rsid w:val="006D717E"/>
    <w:rsid w:val="006D7824"/>
    <w:rsid w:val="006D78B5"/>
    <w:rsid w:val="006D7CC6"/>
    <w:rsid w:val="006D7D1A"/>
    <w:rsid w:val="006E1864"/>
    <w:rsid w:val="006E1A54"/>
    <w:rsid w:val="006E1F5C"/>
    <w:rsid w:val="006E26A9"/>
    <w:rsid w:val="006E278E"/>
    <w:rsid w:val="006E29EA"/>
    <w:rsid w:val="006E2ECC"/>
    <w:rsid w:val="006E4921"/>
    <w:rsid w:val="006E49B2"/>
    <w:rsid w:val="006E4A34"/>
    <w:rsid w:val="006E4B5F"/>
    <w:rsid w:val="006E4E2E"/>
    <w:rsid w:val="006E4E7D"/>
    <w:rsid w:val="006E511B"/>
    <w:rsid w:val="006E597F"/>
    <w:rsid w:val="006E6374"/>
    <w:rsid w:val="006E6554"/>
    <w:rsid w:val="006E7A85"/>
    <w:rsid w:val="006F0B3C"/>
    <w:rsid w:val="006F23E7"/>
    <w:rsid w:val="006F25F0"/>
    <w:rsid w:val="006F2AC3"/>
    <w:rsid w:val="006F484E"/>
    <w:rsid w:val="006F54AE"/>
    <w:rsid w:val="006F5D33"/>
    <w:rsid w:val="006F5F27"/>
    <w:rsid w:val="006F70DE"/>
    <w:rsid w:val="006F7B7B"/>
    <w:rsid w:val="00700A36"/>
    <w:rsid w:val="00701583"/>
    <w:rsid w:val="00701C0F"/>
    <w:rsid w:val="00702295"/>
    <w:rsid w:val="00702410"/>
    <w:rsid w:val="00702F48"/>
    <w:rsid w:val="00703087"/>
    <w:rsid w:val="00703861"/>
    <w:rsid w:val="007045B3"/>
    <w:rsid w:val="00704D6E"/>
    <w:rsid w:val="007055A4"/>
    <w:rsid w:val="00705895"/>
    <w:rsid w:val="0070646E"/>
    <w:rsid w:val="00706CC8"/>
    <w:rsid w:val="00706D5F"/>
    <w:rsid w:val="00707DA1"/>
    <w:rsid w:val="00710018"/>
    <w:rsid w:val="007105C6"/>
    <w:rsid w:val="00710A10"/>
    <w:rsid w:val="00710B78"/>
    <w:rsid w:val="00710E63"/>
    <w:rsid w:val="00710F03"/>
    <w:rsid w:val="007114DF"/>
    <w:rsid w:val="00712C22"/>
    <w:rsid w:val="007141E8"/>
    <w:rsid w:val="007143CC"/>
    <w:rsid w:val="0071536E"/>
    <w:rsid w:val="00716150"/>
    <w:rsid w:val="007165C9"/>
    <w:rsid w:val="00716CED"/>
    <w:rsid w:val="00717032"/>
    <w:rsid w:val="00717B47"/>
    <w:rsid w:val="00720051"/>
    <w:rsid w:val="00720315"/>
    <w:rsid w:val="00722804"/>
    <w:rsid w:val="00722FA3"/>
    <w:rsid w:val="0072350A"/>
    <w:rsid w:val="00724040"/>
    <w:rsid w:val="007253A5"/>
    <w:rsid w:val="00725C89"/>
    <w:rsid w:val="00727374"/>
    <w:rsid w:val="00727565"/>
    <w:rsid w:val="00727C92"/>
    <w:rsid w:val="00730911"/>
    <w:rsid w:val="00730AD4"/>
    <w:rsid w:val="00730EF7"/>
    <w:rsid w:val="00731000"/>
    <w:rsid w:val="00731CD0"/>
    <w:rsid w:val="00732E5D"/>
    <w:rsid w:val="007330EB"/>
    <w:rsid w:val="00733F5F"/>
    <w:rsid w:val="00734E16"/>
    <w:rsid w:val="00735187"/>
    <w:rsid w:val="00735BE8"/>
    <w:rsid w:val="00736307"/>
    <w:rsid w:val="00736B60"/>
    <w:rsid w:val="00736C3D"/>
    <w:rsid w:val="00737950"/>
    <w:rsid w:val="007379C0"/>
    <w:rsid w:val="00740294"/>
    <w:rsid w:val="00741056"/>
    <w:rsid w:val="00741C29"/>
    <w:rsid w:val="0074256A"/>
    <w:rsid w:val="00742AE8"/>
    <w:rsid w:val="00742C7D"/>
    <w:rsid w:val="00742E10"/>
    <w:rsid w:val="00743045"/>
    <w:rsid w:val="00743706"/>
    <w:rsid w:val="00744048"/>
    <w:rsid w:val="00744A4E"/>
    <w:rsid w:val="00746076"/>
    <w:rsid w:val="00747A55"/>
    <w:rsid w:val="00747AAD"/>
    <w:rsid w:val="00750C52"/>
    <w:rsid w:val="007517BF"/>
    <w:rsid w:val="00751A89"/>
    <w:rsid w:val="00752D1A"/>
    <w:rsid w:val="0075321A"/>
    <w:rsid w:val="007534CF"/>
    <w:rsid w:val="00753665"/>
    <w:rsid w:val="007538C8"/>
    <w:rsid w:val="00753AED"/>
    <w:rsid w:val="00754CA2"/>
    <w:rsid w:val="00755EC2"/>
    <w:rsid w:val="0075614F"/>
    <w:rsid w:val="00756FDC"/>
    <w:rsid w:val="007571EF"/>
    <w:rsid w:val="00757689"/>
    <w:rsid w:val="00758AAF"/>
    <w:rsid w:val="007601B2"/>
    <w:rsid w:val="007608A6"/>
    <w:rsid w:val="00761282"/>
    <w:rsid w:val="0076153F"/>
    <w:rsid w:val="007623F3"/>
    <w:rsid w:val="007627C5"/>
    <w:rsid w:val="00762B41"/>
    <w:rsid w:val="0076315D"/>
    <w:rsid w:val="007637F8"/>
    <w:rsid w:val="007647BC"/>
    <w:rsid w:val="007653C1"/>
    <w:rsid w:val="00766232"/>
    <w:rsid w:val="0076636D"/>
    <w:rsid w:val="007679EA"/>
    <w:rsid w:val="00767BDA"/>
    <w:rsid w:val="007700A4"/>
    <w:rsid w:val="007703FC"/>
    <w:rsid w:val="007717EE"/>
    <w:rsid w:val="007717F5"/>
    <w:rsid w:val="00771850"/>
    <w:rsid w:val="00771895"/>
    <w:rsid w:val="007718DC"/>
    <w:rsid w:val="0077274F"/>
    <w:rsid w:val="007730CF"/>
    <w:rsid w:val="00773251"/>
    <w:rsid w:val="007738E0"/>
    <w:rsid w:val="00774570"/>
    <w:rsid w:val="00774EDC"/>
    <w:rsid w:val="007769A3"/>
    <w:rsid w:val="0077786C"/>
    <w:rsid w:val="00777ECC"/>
    <w:rsid w:val="007809E8"/>
    <w:rsid w:val="00780A3A"/>
    <w:rsid w:val="007813C7"/>
    <w:rsid w:val="0078160E"/>
    <w:rsid w:val="00781B21"/>
    <w:rsid w:val="00783010"/>
    <w:rsid w:val="0078365A"/>
    <w:rsid w:val="00783831"/>
    <w:rsid w:val="00783A52"/>
    <w:rsid w:val="0078454A"/>
    <w:rsid w:val="00784EA5"/>
    <w:rsid w:val="007854EA"/>
    <w:rsid w:val="0078559D"/>
    <w:rsid w:val="0078590F"/>
    <w:rsid w:val="00785ED5"/>
    <w:rsid w:val="0078702E"/>
    <w:rsid w:val="00790585"/>
    <w:rsid w:val="007906B0"/>
    <w:rsid w:val="00790F6C"/>
    <w:rsid w:val="007911DD"/>
    <w:rsid w:val="007944F8"/>
    <w:rsid w:val="007947B7"/>
    <w:rsid w:val="00794F19"/>
    <w:rsid w:val="007950A8"/>
    <w:rsid w:val="00795FC6"/>
    <w:rsid w:val="00796098"/>
    <w:rsid w:val="007968C9"/>
    <w:rsid w:val="007969D6"/>
    <w:rsid w:val="00797087"/>
    <w:rsid w:val="00797483"/>
    <w:rsid w:val="0079763D"/>
    <w:rsid w:val="007976E3"/>
    <w:rsid w:val="007A032C"/>
    <w:rsid w:val="007A0385"/>
    <w:rsid w:val="007A03D8"/>
    <w:rsid w:val="007A1985"/>
    <w:rsid w:val="007A1A88"/>
    <w:rsid w:val="007A28CD"/>
    <w:rsid w:val="007A2B13"/>
    <w:rsid w:val="007A4768"/>
    <w:rsid w:val="007A5186"/>
    <w:rsid w:val="007A7308"/>
    <w:rsid w:val="007B075C"/>
    <w:rsid w:val="007B083E"/>
    <w:rsid w:val="007B0B10"/>
    <w:rsid w:val="007B1924"/>
    <w:rsid w:val="007B22EE"/>
    <w:rsid w:val="007B2513"/>
    <w:rsid w:val="007B26BF"/>
    <w:rsid w:val="007B28EF"/>
    <w:rsid w:val="007B2C5A"/>
    <w:rsid w:val="007B2E8D"/>
    <w:rsid w:val="007B38FA"/>
    <w:rsid w:val="007B400E"/>
    <w:rsid w:val="007B4056"/>
    <w:rsid w:val="007B4694"/>
    <w:rsid w:val="007B5CAD"/>
    <w:rsid w:val="007B62B2"/>
    <w:rsid w:val="007B6C38"/>
    <w:rsid w:val="007B70BA"/>
    <w:rsid w:val="007B78D9"/>
    <w:rsid w:val="007C03AF"/>
    <w:rsid w:val="007C0D0D"/>
    <w:rsid w:val="007C2B85"/>
    <w:rsid w:val="007C2B90"/>
    <w:rsid w:val="007C36FD"/>
    <w:rsid w:val="007C3BDE"/>
    <w:rsid w:val="007C5B8E"/>
    <w:rsid w:val="007C6488"/>
    <w:rsid w:val="007C65C2"/>
    <w:rsid w:val="007C6AD7"/>
    <w:rsid w:val="007C7F8D"/>
    <w:rsid w:val="007D09BA"/>
    <w:rsid w:val="007D1115"/>
    <w:rsid w:val="007D27BA"/>
    <w:rsid w:val="007D28DD"/>
    <w:rsid w:val="007D3945"/>
    <w:rsid w:val="007D4764"/>
    <w:rsid w:val="007D4983"/>
    <w:rsid w:val="007D6971"/>
    <w:rsid w:val="007E13F8"/>
    <w:rsid w:val="007E3130"/>
    <w:rsid w:val="007E3CD7"/>
    <w:rsid w:val="007E429E"/>
    <w:rsid w:val="007E48FC"/>
    <w:rsid w:val="007E5909"/>
    <w:rsid w:val="007E5C99"/>
    <w:rsid w:val="007E5E6A"/>
    <w:rsid w:val="007E6A18"/>
    <w:rsid w:val="007E7188"/>
    <w:rsid w:val="007E7787"/>
    <w:rsid w:val="007F0210"/>
    <w:rsid w:val="007F11CF"/>
    <w:rsid w:val="007F1494"/>
    <w:rsid w:val="007F28B4"/>
    <w:rsid w:val="007F31EC"/>
    <w:rsid w:val="007F487E"/>
    <w:rsid w:val="007F48E0"/>
    <w:rsid w:val="007F506D"/>
    <w:rsid w:val="007F5440"/>
    <w:rsid w:val="007F550E"/>
    <w:rsid w:val="007F673D"/>
    <w:rsid w:val="00800A13"/>
    <w:rsid w:val="00801FD4"/>
    <w:rsid w:val="00802646"/>
    <w:rsid w:val="00802ADE"/>
    <w:rsid w:val="0080361A"/>
    <w:rsid w:val="008036B1"/>
    <w:rsid w:val="00804685"/>
    <w:rsid w:val="00804B10"/>
    <w:rsid w:val="0080514F"/>
    <w:rsid w:val="00805447"/>
    <w:rsid w:val="00805A87"/>
    <w:rsid w:val="00805DB6"/>
    <w:rsid w:val="0080695C"/>
    <w:rsid w:val="0080768E"/>
    <w:rsid w:val="00807E4C"/>
    <w:rsid w:val="00807EEC"/>
    <w:rsid w:val="0081022C"/>
    <w:rsid w:val="00810D08"/>
    <w:rsid w:val="008111B4"/>
    <w:rsid w:val="00811B6C"/>
    <w:rsid w:val="008121E3"/>
    <w:rsid w:val="00812369"/>
    <w:rsid w:val="00812481"/>
    <w:rsid w:val="0081271D"/>
    <w:rsid w:val="00813D9B"/>
    <w:rsid w:val="0081610D"/>
    <w:rsid w:val="00816A47"/>
    <w:rsid w:val="008201F5"/>
    <w:rsid w:val="00820551"/>
    <w:rsid w:val="00820ACC"/>
    <w:rsid w:val="00821734"/>
    <w:rsid w:val="00822217"/>
    <w:rsid w:val="008235D9"/>
    <w:rsid w:val="00823B29"/>
    <w:rsid w:val="00824F28"/>
    <w:rsid w:val="00825419"/>
    <w:rsid w:val="00825F51"/>
    <w:rsid w:val="00825FF3"/>
    <w:rsid w:val="00826B38"/>
    <w:rsid w:val="00826BD4"/>
    <w:rsid w:val="008274FF"/>
    <w:rsid w:val="00827A20"/>
    <w:rsid w:val="00830153"/>
    <w:rsid w:val="00831510"/>
    <w:rsid w:val="00831D7A"/>
    <w:rsid w:val="008326F3"/>
    <w:rsid w:val="00832B19"/>
    <w:rsid w:val="00833BD3"/>
    <w:rsid w:val="0083449B"/>
    <w:rsid w:val="0083499B"/>
    <w:rsid w:val="00835314"/>
    <w:rsid w:val="008356C0"/>
    <w:rsid w:val="00836622"/>
    <w:rsid w:val="00836938"/>
    <w:rsid w:val="00836B0E"/>
    <w:rsid w:val="00836DA6"/>
    <w:rsid w:val="00841010"/>
    <w:rsid w:val="0084111F"/>
    <w:rsid w:val="00843598"/>
    <w:rsid w:val="008442F3"/>
    <w:rsid w:val="008444C2"/>
    <w:rsid w:val="00844876"/>
    <w:rsid w:val="00844B51"/>
    <w:rsid w:val="00844D63"/>
    <w:rsid w:val="00845752"/>
    <w:rsid w:val="008457A7"/>
    <w:rsid w:val="00845AD1"/>
    <w:rsid w:val="00845C72"/>
    <w:rsid w:val="008461C9"/>
    <w:rsid w:val="008466E3"/>
    <w:rsid w:val="008466E7"/>
    <w:rsid w:val="008473AA"/>
    <w:rsid w:val="008474A7"/>
    <w:rsid w:val="00847998"/>
    <w:rsid w:val="008500AC"/>
    <w:rsid w:val="00850903"/>
    <w:rsid w:val="00850ADD"/>
    <w:rsid w:val="00851BE2"/>
    <w:rsid w:val="008522E5"/>
    <w:rsid w:val="008526A3"/>
    <w:rsid w:val="008531D7"/>
    <w:rsid w:val="00853477"/>
    <w:rsid w:val="00853E62"/>
    <w:rsid w:val="0085417C"/>
    <w:rsid w:val="00854A03"/>
    <w:rsid w:val="00855576"/>
    <w:rsid w:val="00855EA4"/>
    <w:rsid w:val="00856000"/>
    <w:rsid w:val="00856338"/>
    <w:rsid w:val="00856A42"/>
    <w:rsid w:val="00857AA5"/>
    <w:rsid w:val="00860077"/>
    <w:rsid w:val="00861F2A"/>
    <w:rsid w:val="00861FDA"/>
    <w:rsid w:val="00862227"/>
    <w:rsid w:val="0086289B"/>
    <w:rsid w:val="00862C2D"/>
    <w:rsid w:val="0086344B"/>
    <w:rsid w:val="0086400E"/>
    <w:rsid w:val="00864393"/>
    <w:rsid w:val="008644B4"/>
    <w:rsid w:val="008654A2"/>
    <w:rsid w:val="00865ED6"/>
    <w:rsid w:val="008663BA"/>
    <w:rsid w:val="00866993"/>
    <w:rsid w:val="00867122"/>
    <w:rsid w:val="0086791A"/>
    <w:rsid w:val="00870950"/>
    <w:rsid w:val="00870FD9"/>
    <w:rsid w:val="0087181F"/>
    <w:rsid w:val="00871D24"/>
    <w:rsid w:val="00872348"/>
    <w:rsid w:val="00872B97"/>
    <w:rsid w:val="00872F4D"/>
    <w:rsid w:val="00873B0D"/>
    <w:rsid w:val="008746C1"/>
    <w:rsid w:val="00875B31"/>
    <w:rsid w:val="008768D3"/>
    <w:rsid w:val="008769D5"/>
    <w:rsid w:val="008806E3"/>
    <w:rsid w:val="008807B4"/>
    <w:rsid w:val="0088089C"/>
    <w:rsid w:val="00880EF6"/>
    <w:rsid w:val="00880FB1"/>
    <w:rsid w:val="0088113D"/>
    <w:rsid w:val="00881B6C"/>
    <w:rsid w:val="00881D04"/>
    <w:rsid w:val="00881E0C"/>
    <w:rsid w:val="008830BA"/>
    <w:rsid w:val="00883CD1"/>
    <w:rsid w:val="00883DA5"/>
    <w:rsid w:val="00884DC8"/>
    <w:rsid w:val="008855B1"/>
    <w:rsid w:val="0088586A"/>
    <w:rsid w:val="00885C31"/>
    <w:rsid w:val="008860EB"/>
    <w:rsid w:val="0088634B"/>
    <w:rsid w:val="008865DF"/>
    <w:rsid w:val="00887C8E"/>
    <w:rsid w:val="00890224"/>
    <w:rsid w:val="0089146B"/>
    <w:rsid w:val="00891552"/>
    <w:rsid w:val="008916FB"/>
    <w:rsid w:val="008919A1"/>
    <w:rsid w:val="00891D9A"/>
    <w:rsid w:val="00892B49"/>
    <w:rsid w:val="008933B1"/>
    <w:rsid w:val="00893FE8"/>
    <w:rsid w:val="00895FDD"/>
    <w:rsid w:val="008975F7"/>
    <w:rsid w:val="00897959"/>
    <w:rsid w:val="008A0482"/>
    <w:rsid w:val="008A0918"/>
    <w:rsid w:val="008A0DB5"/>
    <w:rsid w:val="008A38E9"/>
    <w:rsid w:val="008A3C51"/>
    <w:rsid w:val="008A4291"/>
    <w:rsid w:val="008A4DCA"/>
    <w:rsid w:val="008A4F4B"/>
    <w:rsid w:val="008A580E"/>
    <w:rsid w:val="008A6472"/>
    <w:rsid w:val="008A69C9"/>
    <w:rsid w:val="008A709C"/>
    <w:rsid w:val="008A75BF"/>
    <w:rsid w:val="008B01FD"/>
    <w:rsid w:val="008B0226"/>
    <w:rsid w:val="008B08E3"/>
    <w:rsid w:val="008B0B22"/>
    <w:rsid w:val="008B0D75"/>
    <w:rsid w:val="008B2471"/>
    <w:rsid w:val="008B2788"/>
    <w:rsid w:val="008B2BC4"/>
    <w:rsid w:val="008B33B1"/>
    <w:rsid w:val="008B35E2"/>
    <w:rsid w:val="008B3C85"/>
    <w:rsid w:val="008B423B"/>
    <w:rsid w:val="008B4967"/>
    <w:rsid w:val="008B4CDB"/>
    <w:rsid w:val="008B4DF9"/>
    <w:rsid w:val="008B6087"/>
    <w:rsid w:val="008B7590"/>
    <w:rsid w:val="008B776E"/>
    <w:rsid w:val="008B79A8"/>
    <w:rsid w:val="008B7D0E"/>
    <w:rsid w:val="008C0A82"/>
    <w:rsid w:val="008C0CC6"/>
    <w:rsid w:val="008C1660"/>
    <w:rsid w:val="008C1CA6"/>
    <w:rsid w:val="008C253F"/>
    <w:rsid w:val="008C271F"/>
    <w:rsid w:val="008C377D"/>
    <w:rsid w:val="008C3FB2"/>
    <w:rsid w:val="008C51FF"/>
    <w:rsid w:val="008C59AC"/>
    <w:rsid w:val="008C5DCE"/>
    <w:rsid w:val="008C6A5E"/>
    <w:rsid w:val="008C6CAE"/>
    <w:rsid w:val="008C6CF7"/>
    <w:rsid w:val="008C724E"/>
    <w:rsid w:val="008C7473"/>
    <w:rsid w:val="008C76AC"/>
    <w:rsid w:val="008D0A96"/>
    <w:rsid w:val="008D0FB1"/>
    <w:rsid w:val="008D2A8A"/>
    <w:rsid w:val="008D2D75"/>
    <w:rsid w:val="008D2F33"/>
    <w:rsid w:val="008D3266"/>
    <w:rsid w:val="008D46EF"/>
    <w:rsid w:val="008D4715"/>
    <w:rsid w:val="008D4DB4"/>
    <w:rsid w:val="008D4F68"/>
    <w:rsid w:val="008D557E"/>
    <w:rsid w:val="008D558F"/>
    <w:rsid w:val="008D5BDA"/>
    <w:rsid w:val="008D5DD9"/>
    <w:rsid w:val="008D700F"/>
    <w:rsid w:val="008D777E"/>
    <w:rsid w:val="008E08CB"/>
    <w:rsid w:val="008E1065"/>
    <w:rsid w:val="008E1421"/>
    <w:rsid w:val="008E3022"/>
    <w:rsid w:val="008E386E"/>
    <w:rsid w:val="008E3E27"/>
    <w:rsid w:val="008E4547"/>
    <w:rsid w:val="008E4CE9"/>
    <w:rsid w:val="008E5097"/>
    <w:rsid w:val="008E585E"/>
    <w:rsid w:val="008E593E"/>
    <w:rsid w:val="008E61F4"/>
    <w:rsid w:val="008E6820"/>
    <w:rsid w:val="008E6C28"/>
    <w:rsid w:val="008E708D"/>
    <w:rsid w:val="008E77FB"/>
    <w:rsid w:val="008E78C7"/>
    <w:rsid w:val="008E7EDA"/>
    <w:rsid w:val="008F1187"/>
    <w:rsid w:val="008F129B"/>
    <w:rsid w:val="008F1386"/>
    <w:rsid w:val="008F1558"/>
    <w:rsid w:val="008F1B83"/>
    <w:rsid w:val="008F1BA3"/>
    <w:rsid w:val="008F2473"/>
    <w:rsid w:val="008F2689"/>
    <w:rsid w:val="008F3113"/>
    <w:rsid w:val="008F322A"/>
    <w:rsid w:val="008F4CD1"/>
    <w:rsid w:val="008F5190"/>
    <w:rsid w:val="008F5B99"/>
    <w:rsid w:val="008F5C8E"/>
    <w:rsid w:val="008F6623"/>
    <w:rsid w:val="008F6E66"/>
    <w:rsid w:val="008F7B2A"/>
    <w:rsid w:val="008F9AD8"/>
    <w:rsid w:val="009018C7"/>
    <w:rsid w:val="009030A6"/>
    <w:rsid w:val="0090327B"/>
    <w:rsid w:val="009038FD"/>
    <w:rsid w:val="00904245"/>
    <w:rsid w:val="00905053"/>
    <w:rsid w:val="00905205"/>
    <w:rsid w:val="0090596B"/>
    <w:rsid w:val="00905D70"/>
    <w:rsid w:val="00906567"/>
    <w:rsid w:val="009068FD"/>
    <w:rsid w:val="00906E2E"/>
    <w:rsid w:val="00907258"/>
    <w:rsid w:val="00910A29"/>
    <w:rsid w:val="0091132D"/>
    <w:rsid w:val="009125C9"/>
    <w:rsid w:val="00912758"/>
    <w:rsid w:val="00912996"/>
    <w:rsid w:val="00912A33"/>
    <w:rsid w:val="00913914"/>
    <w:rsid w:val="009141C9"/>
    <w:rsid w:val="00914403"/>
    <w:rsid w:val="00914580"/>
    <w:rsid w:val="00914E59"/>
    <w:rsid w:val="00915494"/>
    <w:rsid w:val="0091594E"/>
    <w:rsid w:val="00916224"/>
    <w:rsid w:val="00917302"/>
    <w:rsid w:val="00917830"/>
    <w:rsid w:val="00917B4A"/>
    <w:rsid w:val="009210DF"/>
    <w:rsid w:val="009213B5"/>
    <w:rsid w:val="00921C75"/>
    <w:rsid w:val="009226AF"/>
    <w:rsid w:val="0092388C"/>
    <w:rsid w:val="00924B1C"/>
    <w:rsid w:val="0092592D"/>
    <w:rsid w:val="009259EF"/>
    <w:rsid w:val="00925A66"/>
    <w:rsid w:val="00925B76"/>
    <w:rsid w:val="00925D8E"/>
    <w:rsid w:val="009266EA"/>
    <w:rsid w:val="00927A96"/>
    <w:rsid w:val="00927C33"/>
    <w:rsid w:val="00930833"/>
    <w:rsid w:val="00930ACF"/>
    <w:rsid w:val="0093180F"/>
    <w:rsid w:val="00932293"/>
    <w:rsid w:val="0093305F"/>
    <w:rsid w:val="00933189"/>
    <w:rsid w:val="00933C39"/>
    <w:rsid w:val="00933D7C"/>
    <w:rsid w:val="00936280"/>
    <w:rsid w:val="00937A1A"/>
    <w:rsid w:val="009408A3"/>
    <w:rsid w:val="009409A3"/>
    <w:rsid w:val="00941289"/>
    <w:rsid w:val="0094181D"/>
    <w:rsid w:val="00941DC7"/>
    <w:rsid w:val="00942FB5"/>
    <w:rsid w:val="009431DA"/>
    <w:rsid w:val="00943A27"/>
    <w:rsid w:val="0094430A"/>
    <w:rsid w:val="00944562"/>
    <w:rsid w:val="009448B4"/>
    <w:rsid w:val="00944B33"/>
    <w:rsid w:val="00945C0A"/>
    <w:rsid w:val="00945CFD"/>
    <w:rsid w:val="00945EAD"/>
    <w:rsid w:val="009476B0"/>
    <w:rsid w:val="00947F39"/>
    <w:rsid w:val="00950517"/>
    <w:rsid w:val="00950EB6"/>
    <w:rsid w:val="009516C9"/>
    <w:rsid w:val="00951A51"/>
    <w:rsid w:val="00952DC5"/>
    <w:rsid w:val="009541BE"/>
    <w:rsid w:val="00954723"/>
    <w:rsid w:val="0095583A"/>
    <w:rsid w:val="00955910"/>
    <w:rsid w:val="00956609"/>
    <w:rsid w:val="00956959"/>
    <w:rsid w:val="00956A75"/>
    <w:rsid w:val="00956E02"/>
    <w:rsid w:val="0095758B"/>
    <w:rsid w:val="009578DC"/>
    <w:rsid w:val="009579C9"/>
    <w:rsid w:val="009608F4"/>
    <w:rsid w:val="00960DB9"/>
    <w:rsid w:val="00960DCB"/>
    <w:rsid w:val="00961018"/>
    <w:rsid w:val="00963131"/>
    <w:rsid w:val="00964102"/>
    <w:rsid w:val="00964532"/>
    <w:rsid w:val="00965149"/>
    <w:rsid w:val="009651DB"/>
    <w:rsid w:val="00965828"/>
    <w:rsid w:val="00965927"/>
    <w:rsid w:val="00965CFC"/>
    <w:rsid w:val="00965DB9"/>
    <w:rsid w:val="0096673F"/>
    <w:rsid w:val="00966A9E"/>
    <w:rsid w:val="00967277"/>
    <w:rsid w:val="009674E3"/>
    <w:rsid w:val="00967ABE"/>
    <w:rsid w:val="0097020B"/>
    <w:rsid w:val="00970787"/>
    <w:rsid w:val="009711A1"/>
    <w:rsid w:val="00972000"/>
    <w:rsid w:val="009740BE"/>
    <w:rsid w:val="00974411"/>
    <w:rsid w:val="00974418"/>
    <w:rsid w:val="00974502"/>
    <w:rsid w:val="00974599"/>
    <w:rsid w:val="0097479A"/>
    <w:rsid w:val="009754D2"/>
    <w:rsid w:val="009758E2"/>
    <w:rsid w:val="009760DD"/>
    <w:rsid w:val="00980309"/>
    <w:rsid w:val="00981CAC"/>
    <w:rsid w:val="00982B37"/>
    <w:rsid w:val="00982F49"/>
    <w:rsid w:val="00983375"/>
    <w:rsid w:val="009840ED"/>
    <w:rsid w:val="009855B4"/>
    <w:rsid w:val="00985A7E"/>
    <w:rsid w:val="00985ABE"/>
    <w:rsid w:val="00985EDE"/>
    <w:rsid w:val="009860CC"/>
    <w:rsid w:val="009864C2"/>
    <w:rsid w:val="00986A46"/>
    <w:rsid w:val="0098731E"/>
    <w:rsid w:val="00987473"/>
    <w:rsid w:val="00987A1F"/>
    <w:rsid w:val="00987BFD"/>
    <w:rsid w:val="00990555"/>
    <w:rsid w:val="00990E61"/>
    <w:rsid w:val="00990F15"/>
    <w:rsid w:val="00991100"/>
    <w:rsid w:val="0099113A"/>
    <w:rsid w:val="0099121A"/>
    <w:rsid w:val="0099162C"/>
    <w:rsid w:val="00992E46"/>
    <w:rsid w:val="00993C37"/>
    <w:rsid w:val="00993CA2"/>
    <w:rsid w:val="00993CED"/>
    <w:rsid w:val="0099417A"/>
    <w:rsid w:val="009941DE"/>
    <w:rsid w:val="0099428C"/>
    <w:rsid w:val="00994FF5"/>
    <w:rsid w:val="00995B49"/>
    <w:rsid w:val="00996916"/>
    <w:rsid w:val="00996D90"/>
    <w:rsid w:val="00996E31"/>
    <w:rsid w:val="00997723"/>
    <w:rsid w:val="009A02E2"/>
    <w:rsid w:val="009A07F3"/>
    <w:rsid w:val="009A0B25"/>
    <w:rsid w:val="009A125C"/>
    <w:rsid w:val="009A1632"/>
    <w:rsid w:val="009A16C2"/>
    <w:rsid w:val="009A3546"/>
    <w:rsid w:val="009A439C"/>
    <w:rsid w:val="009A43F7"/>
    <w:rsid w:val="009A461A"/>
    <w:rsid w:val="009A4F0D"/>
    <w:rsid w:val="009A5BFF"/>
    <w:rsid w:val="009A5FE1"/>
    <w:rsid w:val="009A603F"/>
    <w:rsid w:val="009A6349"/>
    <w:rsid w:val="009A729C"/>
    <w:rsid w:val="009A741A"/>
    <w:rsid w:val="009A7627"/>
    <w:rsid w:val="009B033F"/>
    <w:rsid w:val="009B03AF"/>
    <w:rsid w:val="009B07E2"/>
    <w:rsid w:val="009B09E5"/>
    <w:rsid w:val="009B0E4B"/>
    <w:rsid w:val="009B1600"/>
    <w:rsid w:val="009B17E0"/>
    <w:rsid w:val="009B1C8A"/>
    <w:rsid w:val="009B217F"/>
    <w:rsid w:val="009B280E"/>
    <w:rsid w:val="009B2B21"/>
    <w:rsid w:val="009B2D13"/>
    <w:rsid w:val="009B2D64"/>
    <w:rsid w:val="009B52B0"/>
    <w:rsid w:val="009B568F"/>
    <w:rsid w:val="009B57C7"/>
    <w:rsid w:val="009B5AA2"/>
    <w:rsid w:val="009B60CB"/>
    <w:rsid w:val="009B6535"/>
    <w:rsid w:val="009B6D79"/>
    <w:rsid w:val="009C0737"/>
    <w:rsid w:val="009C2166"/>
    <w:rsid w:val="009C219C"/>
    <w:rsid w:val="009C3464"/>
    <w:rsid w:val="009C348D"/>
    <w:rsid w:val="009C4FFE"/>
    <w:rsid w:val="009C5266"/>
    <w:rsid w:val="009C5305"/>
    <w:rsid w:val="009C5505"/>
    <w:rsid w:val="009C6348"/>
    <w:rsid w:val="009C6ABF"/>
    <w:rsid w:val="009C73FE"/>
    <w:rsid w:val="009C7B17"/>
    <w:rsid w:val="009D0D29"/>
    <w:rsid w:val="009D1EC9"/>
    <w:rsid w:val="009D1FCC"/>
    <w:rsid w:val="009D27A2"/>
    <w:rsid w:val="009D3045"/>
    <w:rsid w:val="009D3551"/>
    <w:rsid w:val="009D4039"/>
    <w:rsid w:val="009D4505"/>
    <w:rsid w:val="009D4581"/>
    <w:rsid w:val="009D4A65"/>
    <w:rsid w:val="009D5178"/>
    <w:rsid w:val="009D58D4"/>
    <w:rsid w:val="009D5F8A"/>
    <w:rsid w:val="009D5FB2"/>
    <w:rsid w:val="009D66A3"/>
    <w:rsid w:val="009D73E3"/>
    <w:rsid w:val="009DFC90"/>
    <w:rsid w:val="009E0588"/>
    <w:rsid w:val="009E0CFA"/>
    <w:rsid w:val="009E1FC5"/>
    <w:rsid w:val="009E23EC"/>
    <w:rsid w:val="009E2403"/>
    <w:rsid w:val="009E36C6"/>
    <w:rsid w:val="009E36F2"/>
    <w:rsid w:val="009E3D63"/>
    <w:rsid w:val="009E4684"/>
    <w:rsid w:val="009E5938"/>
    <w:rsid w:val="009E6371"/>
    <w:rsid w:val="009E6E6D"/>
    <w:rsid w:val="009E7B25"/>
    <w:rsid w:val="009F09DB"/>
    <w:rsid w:val="009F0CE4"/>
    <w:rsid w:val="009F12C6"/>
    <w:rsid w:val="009F13C8"/>
    <w:rsid w:val="009F142E"/>
    <w:rsid w:val="009F157E"/>
    <w:rsid w:val="009F15CC"/>
    <w:rsid w:val="009F1890"/>
    <w:rsid w:val="009F1956"/>
    <w:rsid w:val="009F1F38"/>
    <w:rsid w:val="009F22A8"/>
    <w:rsid w:val="009F24DC"/>
    <w:rsid w:val="009F2A14"/>
    <w:rsid w:val="009F320B"/>
    <w:rsid w:val="009F357C"/>
    <w:rsid w:val="009F3938"/>
    <w:rsid w:val="009F4319"/>
    <w:rsid w:val="009F4A03"/>
    <w:rsid w:val="009F4BAF"/>
    <w:rsid w:val="009F4E01"/>
    <w:rsid w:val="009F5613"/>
    <w:rsid w:val="009F5A8A"/>
    <w:rsid w:val="009F664B"/>
    <w:rsid w:val="009F6955"/>
    <w:rsid w:val="009F6AC5"/>
    <w:rsid w:val="009F6E74"/>
    <w:rsid w:val="009F742E"/>
    <w:rsid w:val="009F7646"/>
    <w:rsid w:val="009F7F8C"/>
    <w:rsid w:val="00A0275C"/>
    <w:rsid w:val="00A02841"/>
    <w:rsid w:val="00A0292A"/>
    <w:rsid w:val="00A03360"/>
    <w:rsid w:val="00A03437"/>
    <w:rsid w:val="00A03926"/>
    <w:rsid w:val="00A03B64"/>
    <w:rsid w:val="00A03BBA"/>
    <w:rsid w:val="00A03CE2"/>
    <w:rsid w:val="00A04264"/>
    <w:rsid w:val="00A05CBB"/>
    <w:rsid w:val="00A06466"/>
    <w:rsid w:val="00A065BE"/>
    <w:rsid w:val="00A07454"/>
    <w:rsid w:val="00A07A76"/>
    <w:rsid w:val="00A07D03"/>
    <w:rsid w:val="00A10131"/>
    <w:rsid w:val="00A10664"/>
    <w:rsid w:val="00A11089"/>
    <w:rsid w:val="00A11F66"/>
    <w:rsid w:val="00A120C5"/>
    <w:rsid w:val="00A121F1"/>
    <w:rsid w:val="00A13797"/>
    <w:rsid w:val="00A138DF"/>
    <w:rsid w:val="00A13B8F"/>
    <w:rsid w:val="00A1455D"/>
    <w:rsid w:val="00A14C80"/>
    <w:rsid w:val="00A14E92"/>
    <w:rsid w:val="00A1563C"/>
    <w:rsid w:val="00A1572D"/>
    <w:rsid w:val="00A171B4"/>
    <w:rsid w:val="00A17A4D"/>
    <w:rsid w:val="00A212F3"/>
    <w:rsid w:val="00A21563"/>
    <w:rsid w:val="00A21679"/>
    <w:rsid w:val="00A2192F"/>
    <w:rsid w:val="00A22837"/>
    <w:rsid w:val="00A2284F"/>
    <w:rsid w:val="00A23E02"/>
    <w:rsid w:val="00A248C9"/>
    <w:rsid w:val="00A2570F"/>
    <w:rsid w:val="00A25D78"/>
    <w:rsid w:val="00A2658C"/>
    <w:rsid w:val="00A26889"/>
    <w:rsid w:val="00A26A80"/>
    <w:rsid w:val="00A26D04"/>
    <w:rsid w:val="00A27AE4"/>
    <w:rsid w:val="00A27AF9"/>
    <w:rsid w:val="00A298D6"/>
    <w:rsid w:val="00A3020B"/>
    <w:rsid w:val="00A30676"/>
    <w:rsid w:val="00A307DB"/>
    <w:rsid w:val="00A30852"/>
    <w:rsid w:val="00A308F8"/>
    <w:rsid w:val="00A31070"/>
    <w:rsid w:val="00A31FFB"/>
    <w:rsid w:val="00A34263"/>
    <w:rsid w:val="00A34D65"/>
    <w:rsid w:val="00A34E99"/>
    <w:rsid w:val="00A34F80"/>
    <w:rsid w:val="00A3552B"/>
    <w:rsid w:val="00A35A9A"/>
    <w:rsid w:val="00A363DA"/>
    <w:rsid w:val="00A368F1"/>
    <w:rsid w:val="00A3690A"/>
    <w:rsid w:val="00A36EE7"/>
    <w:rsid w:val="00A378E7"/>
    <w:rsid w:val="00A37C9D"/>
    <w:rsid w:val="00A4037A"/>
    <w:rsid w:val="00A412FE"/>
    <w:rsid w:val="00A4136B"/>
    <w:rsid w:val="00A413FE"/>
    <w:rsid w:val="00A41523"/>
    <w:rsid w:val="00A41984"/>
    <w:rsid w:val="00A41DF4"/>
    <w:rsid w:val="00A41FD4"/>
    <w:rsid w:val="00A447C9"/>
    <w:rsid w:val="00A44E17"/>
    <w:rsid w:val="00A453AD"/>
    <w:rsid w:val="00A455CA"/>
    <w:rsid w:val="00A45D77"/>
    <w:rsid w:val="00A464EC"/>
    <w:rsid w:val="00A46EB0"/>
    <w:rsid w:val="00A47CE5"/>
    <w:rsid w:val="00A47FC1"/>
    <w:rsid w:val="00A4B6A4"/>
    <w:rsid w:val="00A5019B"/>
    <w:rsid w:val="00A50D9B"/>
    <w:rsid w:val="00A519DC"/>
    <w:rsid w:val="00A5299E"/>
    <w:rsid w:val="00A5393E"/>
    <w:rsid w:val="00A547F0"/>
    <w:rsid w:val="00A548BA"/>
    <w:rsid w:val="00A55850"/>
    <w:rsid w:val="00A55ED3"/>
    <w:rsid w:val="00A55F18"/>
    <w:rsid w:val="00A560FE"/>
    <w:rsid w:val="00A59B0C"/>
    <w:rsid w:val="00A60859"/>
    <w:rsid w:val="00A609B9"/>
    <w:rsid w:val="00A613DE"/>
    <w:rsid w:val="00A61C03"/>
    <w:rsid w:val="00A61CD0"/>
    <w:rsid w:val="00A62025"/>
    <w:rsid w:val="00A625B9"/>
    <w:rsid w:val="00A62E1B"/>
    <w:rsid w:val="00A62FD6"/>
    <w:rsid w:val="00A63026"/>
    <w:rsid w:val="00A63443"/>
    <w:rsid w:val="00A63557"/>
    <w:rsid w:val="00A64985"/>
    <w:rsid w:val="00A64CDD"/>
    <w:rsid w:val="00A64DE1"/>
    <w:rsid w:val="00A64F84"/>
    <w:rsid w:val="00A657A1"/>
    <w:rsid w:val="00A65FAD"/>
    <w:rsid w:val="00A66537"/>
    <w:rsid w:val="00A66787"/>
    <w:rsid w:val="00A66BD7"/>
    <w:rsid w:val="00A66C3D"/>
    <w:rsid w:val="00A67F0C"/>
    <w:rsid w:val="00A67F13"/>
    <w:rsid w:val="00A700EC"/>
    <w:rsid w:val="00A702DA"/>
    <w:rsid w:val="00A70940"/>
    <w:rsid w:val="00A713F3"/>
    <w:rsid w:val="00A71607"/>
    <w:rsid w:val="00A7163A"/>
    <w:rsid w:val="00A72516"/>
    <w:rsid w:val="00A73C91"/>
    <w:rsid w:val="00A743E2"/>
    <w:rsid w:val="00A74CDE"/>
    <w:rsid w:val="00A75933"/>
    <w:rsid w:val="00A75BE0"/>
    <w:rsid w:val="00A77A29"/>
    <w:rsid w:val="00A77A33"/>
    <w:rsid w:val="00A77E45"/>
    <w:rsid w:val="00A803B9"/>
    <w:rsid w:val="00A80BA8"/>
    <w:rsid w:val="00A80FF8"/>
    <w:rsid w:val="00A8239C"/>
    <w:rsid w:val="00A839E0"/>
    <w:rsid w:val="00A8405F"/>
    <w:rsid w:val="00A843B5"/>
    <w:rsid w:val="00A8455F"/>
    <w:rsid w:val="00A846CB"/>
    <w:rsid w:val="00A84D6D"/>
    <w:rsid w:val="00A850BD"/>
    <w:rsid w:val="00A85444"/>
    <w:rsid w:val="00A854E7"/>
    <w:rsid w:val="00A855AA"/>
    <w:rsid w:val="00A85655"/>
    <w:rsid w:val="00A85BFF"/>
    <w:rsid w:val="00A8611B"/>
    <w:rsid w:val="00A864C4"/>
    <w:rsid w:val="00A86D14"/>
    <w:rsid w:val="00A86E9B"/>
    <w:rsid w:val="00A90838"/>
    <w:rsid w:val="00A9179B"/>
    <w:rsid w:val="00A91CFC"/>
    <w:rsid w:val="00A92348"/>
    <w:rsid w:val="00A92871"/>
    <w:rsid w:val="00A929A2"/>
    <w:rsid w:val="00A92BDB"/>
    <w:rsid w:val="00A92D46"/>
    <w:rsid w:val="00A941EC"/>
    <w:rsid w:val="00A9420F"/>
    <w:rsid w:val="00A9474E"/>
    <w:rsid w:val="00A9504B"/>
    <w:rsid w:val="00A970CF"/>
    <w:rsid w:val="00A970F4"/>
    <w:rsid w:val="00A9730D"/>
    <w:rsid w:val="00A9795A"/>
    <w:rsid w:val="00A97D07"/>
    <w:rsid w:val="00AA12E9"/>
    <w:rsid w:val="00AA18DF"/>
    <w:rsid w:val="00AA1A42"/>
    <w:rsid w:val="00AA1AB2"/>
    <w:rsid w:val="00AA1ADC"/>
    <w:rsid w:val="00AA2268"/>
    <w:rsid w:val="00AA28EC"/>
    <w:rsid w:val="00AA2BA2"/>
    <w:rsid w:val="00AA3EE6"/>
    <w:rsid w:val="00AA53D9"/>
    <w:rsid w:val="00AA5472"/>
    <w:rsid w:val="00AA5849"/>
    <w:rsid w:val="00AA6107"/>
    <w:rsid w:val="00AA6493"/>
    <w:rsid w:val="00AA6936"/>
    <w:rsid w:val="00AA6DCB"/>
    <w:rsid w:val="00AA761C"/>
    <w:rsid w:val="00AB0C14"/>
    <w:rsid w:val="00AB14A7"/>
    <w:rsid w:val="00AB1B48"/>
    <w:rsid w:val="00AB2673"/>
    <w:rsid w:val="00AB2AFC"/>
    <w:rsid w:val="00AB349B"/>
    <w:rsid w:val="00AB3AB7"/>
    <w:rsid w:val="00AB43B2"/>
    <w:rsid w:val="00AB56FF"/>
    <w:rsid w:val="00AB5EEC"/>
    <w:rsid w:val="00AB664B"/>
    <w:rsid w:val="00AB6ABC"/>
    <w:rsid w:val="00AB6B77"/>
    <w:rsid w:val="00AB70AE"/>
    <w:rsid w:val="00AC086D"/>
    <w:rsid w:val="00AC26D8"/>
    <w:rsid w:val="00AC2C6F"/>
    <w:rsid w:val="00AC2DDF"/>
    <w:rsid w:val="00AC3619"/>
    <w:rsid w:val="00AC373F"/>
    <w:rsid w:val="00AC3BC2"/>
    <w:rsid w:val="00AC3CBC"/>
    <w:rsid w:val="00AC49CB"/>
    <w:rsid w:val="00AC4A3E"/>
    <w:rsid w:val="00AC5288"/>
    <w:rsid w:val="00AC63C9"/>
    <w:rsid w:val="00AC6749"/>
    <w:rsid w:val="00AC674A"/>
    <w:rsid w:val="00AC6775"/>
    <w:rsid w:val="00AD0D7E"/>
    <w:rsid w:val="00AD103B"/>
    <w:rsid w:val="00AD213A"/>
    <w:rsid w:val="00AD3364"/>
    <w:rsid w:val="00AD3B3D"/>
    <w:rsid w:val="00AD4BE1"/>
    <w:rsid w:val="00AD4D08"/>
    <w:rsid w:val="00AD51EF"/>
    <w:rsid w:val="00AD5CEF"/>
    <w:rsid w:val="00AD5D82"/>
    <w:rsid w:val="00AD6345"/>
    <w:rsid w:val="00AD686C"/>
    <w:rsid w:val="00AD6F3E"/>
    <w:rsid w:val="00AD7197"/>
    <w:rsid w:val="00AD75A0"/>
    <w:rsid w:val="00AD7824"/>
    <w:rsid w:val="00AD7A2C"/>
    <w:rsid w:val="00AD7C71"/>
    <w:rsid w:val="00AD7DCF"/>
    <w:rsid w:val="00AD7E52"/>
    <w:rsid w:val="00AD7F55"/>
    <w:rsid w:val="00AE018C"/>
    <w:rsid w:val="00AE0786"/>
    <w:rsid w:val="00AE07D9"/>
    <w:rsid w:val="00AE08E5"/>
    <w:rsid w:val="00AE0CA0"/>
    <w:rsid w:val="00AE1464"/>
    <w:rsid w:val="00AE15EC"/>
    <w:rsid w:val="00AE19CE"/>
    <w:rsid w:val="00AE1E80"/>
    <w:rsid w:val="00AE23AC"/>
    <w:rsid w:val="00AE2DB4"/>
    <w:rsid w:val="00AE2E58"/>
    <w:rsid w:val="00AE2EA7"/>
    <w:rsid w:val="00AE3889"/>
    <w:rsid w:val="00AE3A12"/>
    <w:rsid w:val="00AE3F92"/>
    <w:rsid w:val="00AE4E29"/>
    <w:rsid w:val="00AE54A8"/>
    <w:rsid w:val="00AE6CF9"/>
    <w:rsid w:val="00AE6E72"/>
    <w:rsid w:val="00AE750D"/>
    <w:rsid w:val="00AE7E13"/>
    <w:rsid w:val="00AF08C4"/>
    <w:rsid w:val="00AF0C2B"/>
    <w:rsid w:val="00AF1E64"/>
    <w:rsid w:val="00AF21C4"/>
    <w:rsid w:val="00AF2D10"/>
    <w:rsid w:val="00AF346C"/>
    <w:rsid w:val="00AF3FFB"/>
    <w:rsid w:val="00AF42D2"/>
    <w:rsid w:val="00AF518D"/>
    <w:rsid w:val="00AF518E"/>
    <w:rsid w:val="00AF5B97"/>
    <w:rsid w:val="00AF5C03"/>
    <w:rsid w:val="00AF646B"/>
    <w:rsid w:val="00AF658B"/>
    <w:rsid w:val="00AF69D6"/>
    <w:rsid w:val="00AF7497"/>
    <w:rsid w:val="00AF7851"/>
    <w:rsid w:val="00B00910"/>
    <w:rsid w:val="00B00DBF"/>
    <w:rsid w:val="00B03053"/>
    <w:rsid w:val="00B03659"/>
    <w:rsid w:val="00B03EE5"/>
    <w:rsid w:val="00B040D6"/>
    <w:rsid w:val="00B04379"/>
    <w:rsid w:val="00B04A21"/>
    <w:rsid w:val="00B05225"/>
    <w:rsid w:val="00B055B1"/>
    <w:rsid w:val="00B05798"/>
    <w:rsid w:val="00B05C8B"/>
    <w:rsid w:val="00B05E11"/>
    <w:rsid w:val="00B0671D"/>
    <w:rsid w:val="00B0687C"/>
    <w:rsid w:val="00B06D5B"/>
    <w:rsid w:val="00B06D88"/>
    <w:rsid w:val="00B078A5"/>
    <w:rsid w:val="00B07A77"/>
    <w:rsid w:val="00B10621"/>
    <w:rsid w:val="00B108E4"/>
    <w:rsid w:val="00B10DA8"/>
    <w:rsid w:val="00B11C61"/>
    <w:rsid w:val="00B12380"/>
    <w:rsid w:val="00B1252C"/>
    <w:rsid w:val="00B12E3F"/>
    <w:rsid w:val="00B1304B"/>
    <w:rsid w:val="00B13321"/>
    <w:rsid w:val="00B13579"/>
    <w:rsid w:val="00B14487"/>
    <w:rsid w:val="00B152F0"/>
    <w:rsid w:val="00B156EE"/>
    <w:rsid w:val="00B15751"/>
    <w:rsid w:val="00B16289"/>
    <w:rsid w:val="00B173CA"/>
    <w:rsid w:val="00B17643"/>
    <w:rsid w:val="00B1773C"/>
    <w:rsid w:val="00B20242"/>
    <w:rsid w:val="00B2044D"/>
    <w:rsid w:val="00B20D0B"/>
    <w:rsid w:val="00B21ABC"/>
    <w:rsid w:val="00B23270"/>
    <w:rsid w:val="00B23D21"/>
    <w:rsid w:val="00B23DA3"/>
    <w:rsid w:val="00B23F64"/>
    <w:rsid w:val="00B24660"/>
    <w:rsid w:val="00B258AA"/>
    <w:rsid w:val="00B25D27"/>
    <w:rsid w:val="00B266FF"/>
    <w:rsid w:val="00B27811"/>
    <w:rsid w:val="00B27B75"/>
    <w:rsid w:val="00B27C38"/>
    <w:rsid w:val="00B27F62"/>
    <w:rsid w:val="00B30098"/>
    <w:rsid w:val="00B306BC"/>
    <w:rsid w:val="00B30F89"/>
    <w:rsid w:val="00B31068"/>
    <w:rsid w:val="00B31083"/>
    <w:rsid w:val="00B323FF"/>
    <w:rsid w:val="00B32BD7"/>
    <w:rsid w:val="00B332CA"/>
    <w:rsid w:val="00B33418"/>
    <w:rsid w:val="00B33643"/>
    <w:rsid w:val="00B3373F"/>
    <w:rsid w:val="00B33DB2"/>
    <w:rsid w:val="00B33FEB"/>
    <w:rsid w:val="00B343D6"/>
    <w:rsid w:val="00B34FAD"/>
    <w:rsid w:val="00B35670"/>
    <w:rsid w:val="00B37102"/>
    <w:rsid w:val="00B3796E"/>
    <w:rsid w:val="00B405AE"/>
    <w:rsid w:val="00B40A28"/>
    <w:rsid w:val="00B40C80"/>
    <w:rsid w:val="00B41399"/>
    <w:rsid w:val="00B42BDF"/>
    <w:rsid w:val="00B42D06"/>
    <w:rsid w:val="00B42ED9"/>
    <w:rsid w:val="00B446C3"/>
    <w:rsid w:val="00B44F5C"/>
    <w:rsid w:val="00B45487"/>
    <w:rsid w:val="00B45AD9"/>
    <w:rsid w:val="00B45BA9"/>
    <w:rsid w:val="00B467FA"/>
    <w:rsid w:val="00B47344"/>
    <w:rsid w:val="00B47EA7"/>
    <w:rsid w:val="00B51697"/>
    <w:rsid w:val="00B51BFD"/>
    <w:rsid w:val="00B53A42"/>
    <w:rsid w:val="00B53EEB"/>
    <w:rsid w:val="00B54BB6"/>
    <w:rsid w:val="00B55CDD"/>
    <w:rsid w:val="00B55E88"/>
    <w:rsid w:val="00B5635D"/>
    <w:rsid w:val="00B569EC"/>
    <w:rsid w:val="00B570E1"/>
    <w:rsid w:val="00B6176D"/>
    <w:rsid w:val="00B62C20"/>
    <w:rsid w:val="00B63813"/>
    <w:rsid w:val="00B6454F"/>
    <w:rsid w:val="00B646A7"/>
    <w:rsid w:val="00B64735"/>
    <w:rsid w:val="00B64B6A"/>
    <w:rsid w:val="00B64F1A"/>
    <w:rsid w:val="00B65BE7"/>
    <w:rsid w:val="00B6602A"/>
    <w:rsid w:val="00B6718F"/>
    <w:rsid w:val="00B67B9D"/>
    <w:rsid w:val="00B7018B"/>
    <w:rsid w:val="00B72252"/>
    <w:rsid w:val="00B72829"/>
    <w:rsid w:val="00B72BB1"/>
    <w:rsid w:val="00B72D56"/>
    <w:rsid w:val="00B733CB"/>
    <w:rsid w:val="00B7392B"/>
    <w:rsid w:val="00B74523"/>
    <w:rsid w:val="00B7471B"/>
    <w:rsid w:val="00B74D43"/>
    <w:rsid w:val="00B75559"/>
    <w:rsid w:val="00B764CD"/>
    <w:rsid w:val="00B76EB4"/>
    <w:rsid w:val="00B76F24"/>
    <w:rsid w:val="00B771E4"/>
    <w:rsid w:val="00B8008C"/>
    <w:rsid w:val="00B80C45"/>
    <w:rsid w:val="00B81DBD"/>
    <w:rsid w:val="00B8308F"/>
    <w:rsid w:val="00B831F1"/>
    <w:rsid w:val="00B83D09"/>
    <w:rsid w:val="00B844DC"/>
    <w:rsid w:val="00B853C4"/>
    <w:rsid w:val="00B853EB"/>
    <w:rsid w:val="00B8540E"/>
    <w:rsid w:val="00B860FC"/>
    <w:rsid w:val="00B86252"/>
    <w:rsid w:val="00B867BD"/>
    <w:rsid w:val="00B8686A"/>
    <w:rsid w:val="00B875B0"/>
    <w:rsid w:val="00B9054A"/>
    <w:rsid w:val="00B90A26"/>
    <w:rsid w:val="00B91AD3"/>
    <w:rsid w:val="00B92E47"/>
    <w:rsid w:val="00B94246"/>
    <w:rsid w:val="00B9496F"/>
    <w:rsid w:val="00B950DE"/>
    <w:rsid w:val="00B95195"/>
    <w:rsid w:val="00B95251"/>
    <w:rsid w:val="00B96C1D"/>
    <w:rsid w:val="00B972EE"/>
    <w:rsid w:val="00B97920"/>
    <w:rsid w:val="00B97EB1"/>
    <w:rsid w:val="00B97F9D"/>
    <w:rsid w:val="00BA03A2"/>
    <w:rsid w:val="00BA090F"/>
    <w:rsid w:val="00BA13F6"/>
    <w:rsid w:val="00BA189D"/>
    <w:rsid w:val="00BA2174"/>
    <w:rsid w:val="00BA21F8"/>
    <w:rsid w:val="00BA274A"/>
    <w:rsid w:val="00BA2A28"/>
    <w:rsid w:val="00BA414A"/>
    <w:rsid w:val="00BA43EE"/>
    <w:rsid w:val="00BA5A03"/>
    <w:rsid w:val="00BA5BF4"/>
    <w:rsid w:val="00BA5E83"/>
    <w:rsid w:val="00BA6B2B"/>
    <w:rsid w:val="00BB0BEC"/>
    <w:rsid w:val="00BB0D59"/>
    <w:rsid w:val="00BB12C9"/>
    <w:rsid w:val="00BB14F7"/>
    <w:rsid w:val="00BB1DEB"/>
    <w:rsid w:val="00BB2E3F"/>
    <w:rsid w:val="00BB444A"/>
    <w:rsid w:val="00BB4692"/>
    <w:rsid w:val="00BB55E1"/>
    <w:rsid w:val="00BB59C9"/>
    <w:rsid w:val="00BB62D1"/>
    <w:rsid w:val="00BB777A"/>
    <w:rsid w:val="00BB7E0E"/>
    <w:rsid w:val="00BB7F6B"/>
    <w:rsid w:val="00BC0C2C"/>
    <w:rsid w:val="00BC1261"/>
    <w:rsid w:val="00BC1907"/>
    <w:rsid w:val="00BC370B"/>
    <w:rsid w:val="00BC465B"/>
    <w:rsid w:val="00BC4B8C"/>
    <w:rsid w:val="00BC56D1"/>
    <w:rsid w:val="00BC5D92"/>
    <w:rsid w:val="00BC628A"/>
    <w:rsid w:val="00BC6299"/>
    <w:rsid w:val="00BC6397"/>
    <w:rsid w:val="00BC63AA"/>
    <w:rsid w:val="00BC6438"/>
    <w:rsid w:val="00BC6A59"/>
    <w:rsid w:val="00BC6E52"/>
    <w:rsid w:val="00BC7891"/>
    <w:rsid w:val="00BD0C93"/>
    <w:rsid w:val="00BD25D4"/>
    <w:rsid w:val="00BD2B55"/>
    <w:rsid w:val="00BD3BAF"/>
    <w:rsid w:val="00BD4087"/>
    <w:rsid w:val="00BD4835"/>
    <w:rsid w:val="00BD4A1E"/>
    <w:rsid w:val="00BD4BF5"/>
    <w:rsid w:val="00BD4ED0"/>
    <w:rsid w:val="00BD50E0"/>
    <w:rsid w:val="00BD5798"/>
    <w:rsid w:val="00BD5862"/>
    <w:rsid w:val="00BD5E72"/>
    <w:rsid w:val="00BD5EF2"/>
    <w:rsid w:val="00BD67DF"/>
    <w:rsid w:val="00BD7FD3"/>
    <w:rsid w:val="00BE0136"/>
    <w:rsid w:val="00BE0EA7"/>
    <w:rsid w:val="00BE1540"/>
    <w:rsid w:val="00BE1556"/>
    <w:rsid w:val="00BE1925"/>
    <w:rsid w:val="00BE1DE9"/>
    <w:rsid w:val="00BE2247"/>
    <w:rsid w:val="00BE26B8"/>
    <w:rsid w:val="00BE286C"/>
    <w:rsid w:val="00BE2BE1"/>
    <w:rsid w:val="00BE3113"/>
    <w:rsid w:val="00BE31ED"/>
    <w:rsid w:val="00BE33BC"/>
    <w:rsid w:val="00BE34C4"/>
    <w:rsid w:val="00BE367B"/>
    <w:rsid w:val="00BE3C23"/>
    <w:rsid w:val="00BE4C84"/>
    <w:rsid w:val="00BE51FB"/>
    <w:rsid w:val="00BE583C"/>
    <w:rsid w:val="00BE68ED"/>
    <w:rsid w:val="00BE6C76"/>
    <w:rsid w:val="00BE7356"/>
    <w:rsid w:val="00BF0A67"/>
    <w:rsid w:val="00BF11E7"/>
    <w:rsid w:val="00BF22F4"/>
    <w:rsid w:val="00BF28D6"/>
    <w:rsid w:val="00BF2CFC"/>
    <w:rsid w:val="00BF3033"/>
    <w:rsid w:val="00BF31EB"/>
    <w:rsid w:val="00BF4CCE"/>
    <w:rsid w:val="00BF4F0F"/>
    <w:rsid w:val="00BF55E5"/>
    <w:rsid w:val="00BF6356"/>
    <w:rsid w:val="00BF68F7"/>
    <w:rsid w:val="00BF698C"/>
    <w:rsid w:val="00BF7BE8"/>
    <w:rsid w:val="00BF7DD6"/>
    <w:rsid w:val="00C00344"/>
    <w:rsid w:val="00C00AC8"/>
    <w:rsid w:val="00C00BEF"/>
    <w:rsid w:val="00C02E18"/>
    <w:rsid w:val="00C02E6C"/>
    <w:rsid w:val="00C03913"/>
    <w:rsid w:val="00C039E9"/>
    <w:rsid w:val="00C043AC"/>
    <w:rsid w:val="00C0614A"/>
    <w:rsid w:val="00C06499"/>
    <w:rsid w:val="00C0662E"/>
    <w:rsid w:val="00C0696D"/>
    <w:rsid w:val="00C0729F"/>
    <w:rsid w:val="00C104E6"/>
    <w:rsid w:val="00C1118C"/>
    <w:rsid w:val="00C135F5"/>
    <w:rsid w:val="00C13928"/>
    <w:rsid w:val="00C14586"/>
    <w:rsid w:val="00C14626"/>
    <w:rsid w:val="00C152BC"/>
    <w:rsid w:val="00C1572C"/>
    <w:rsid w:val="00C169E1"/>
    <w:rsid w:val="00C169E8"/>
    <w:rsid w:val="00C175F3"/>
    <w:rsid w:val="00C177A2"/>
    <w:rsid w:val="00C17A2F"/>
    <w:rsid w:val="00C21264"/>
    <w:rsid w:val="00C218D3"/>
    <w:rsid w:val="00C21917"/>
    <w:rsid w:val="00C22467"/>
    <w:rsid w:val="00C233DF"/>
    <w:rsid w:val="00C23E57"/>
    <w:rsid w:val="00C24016"/>
    <w:rsid w:val="00C25043"/>
    <w:rsid w:val="00C2531D"/>
    <w:rsid w:val="00C254CF"/>
    <w:rsid w:val="00C25625"/>
    <w:rsid w:val="00C25805"/>
    <w:rsid w:val="00C259BB"/>
    <w:rsid w:val="00C26847"/>
    <w:rsid w:val="00C3037A"/>
    <w:rsid w:val="00C30903"/>
    <w:rsid w:val="00C3109D"/>
    <w:rsid w:val="00C31D34"/>
    <w:rsid w:val="00C32234"/>
    <w:rsid w:val="00C324A1"/>
    <w:rsid w:val="00C3360E"/>
    <w:rsid w:val="00C33EC9"/>
    <w:rsid w:val="00C34494"/>
    <w:rsid w:val="00C35D76"/>
    <w:rsid w:val="00C3659C"/>
    <w:rsid w:val="00C36B96"/>
    <w:rsid w:val="00C377B8"/>
    <w:rsid w:val="00C40908"/>
    <w:rsid w:val="00C41585"/>
    <w:rsid w:val="00C41DA6"/>
    <w:rsid w:val="00C42039"/>
    <w:rsid w:val="00C430C4"/>
    <w:rsid w:val="00C437E9"/>
    <w:rsid w:val="00C439E1"/>
    <w:rsid w:val="00C43F36"/>
    <w:rsid w:val="00C44794"/>
    <w:rsid w:val="00C44C60"/>
    <w:rsid w:val="00C44D9C"/>
    <w:rsid w:val="00C44F32"/>
    <w:rsid w:val="00C45B85"/>
    <w:rsid w:val="00C45C72"/>
    <w:rsid w:val="00C45F12"/>
    <w:rsid w:val="00C4678A"/>
    <w:rsid w:val="00C46FEE"/>
    <w:rsid w:val="00C472E9"/>
    <w:rsid w:val="00C47F68"/>
    <w:rsid w:val="00C50288"/>
    <w:rsid w:val="00C51064"/>
    <w:rsid w:val="00C510B2"/>
    <w:rsid w:val="00C51737"/>
    <w:rsid w:val="00C51988"/>
    <w:rsid w:val="00C51A3E"/>
    <w:rsid w:val="00C52031"/>
    <w:rsid w:val="00C5246C"/>
    <w:rsid w:val="00C527B5"/>
    <w:rsid w:val="00C52D5B"/>
    <w:rsid w:val="00C5306C"/>
    <w:rsid w:val="00C530AA"/>
    <w:rsid w:val="00C53CB8"/>
    <w:rsid w:val="00C54002"/>
    <w:rsid w:val="00C54C5A"/>
    <w:rsid w:val="00C54D24"/>
    <w:rsid w:val="00C54E8D"/>
    <w:rsid w:val="00C55411"/>
    <w:rsid w:val="00C55A5D"/>
    <w:rsid w:val="00C55D95"/>
    <w:rsid w:val="00C55F78"/>
    <w:rsid w:val="00C566FE"/>
    <w:rsid w:val="00C56A33"/>
    <w:rsid w:val="00C573BD"/>
    <w:rsid w:val="00C57941"/>
    <w:rsid w:val="00C61196"/>
    <w:rsid w:val="00C61B76"/>
    <w:rsid w:val="00C624DF"/>
    <w:rsid w:val="00C626F8"/>
    <w:rsid w:val="00C62D23"/>
    <w:rsid w:val="00C633A9"/>
    <w:rsid w:val="00C63FFD"/>
    <w:rsid w:val="00C64031"/>
    <w:rsid w:val="00C64419"/>
    <w:rsid w:val="00C645AD"/>
    <w:rsid w:val="00C65C51"/>
    <w:rsid w:val="00C66273"/>
    <w:rsid w:val="00C6627F"/>
    <w:rsid w:val="00C66DF3"/>
    <w:rsid w:val="00C66EF7"/>
    <w:rsid w:val="00C675A1"/>
    <w:rsid w:val="00C70402"/>
    <w:rsid w:val="00C70DB0"/>
    <w:rsid w:val="00C71181"/>
    <w:rsid w:val="00C7235C"/>
    <w:rsid w:val="00C72D90"/>
    <w:rsid w:val="00C72EC4"/>
    <w:rsid w:val="00C73148"/>
    <w:rsid w:val="00C73213"/>
    <w:rsid w:val="00C73B5A"/>
    <w:rsid w:val="00C73E18"/>
    <w:rsid w:val="00C74293"/>
    <w:rsid w:val="00C7449C"/>
    <w:rsid w:val="00C7491F"/>
    <w:rsid w:val="00C74EA4"/>
    <w:rsid w:val="00C76424"/>
    <w:rsid w:val="00C7687C"/>
    <w:rsid w:val="00C76883"/>
    <w:rsid w:val="00C77043"/>
    <w:rsid w:val="00C77D2F"/>
    <w:rsid w:val="00C77FEA"/>
    <w:rsid w:val="00C80D09"/>
    <w:rsid w:val="00C80D9E"/>
    <w:rsid w:val="00C816FF"/>
    <w:rsid w:val="00C81ACB"/>
    <w:rsid w:val="00C82074"/>
    <w:rsid w:val="00C826F1"/>
    <w:rsid w:val="00C8306F"/>
    <w:rsid w:val="00C839C4"/>
    <w:rsid w:val="00C83ACE"/>
    <w:rsid w:val="00C840C0"/>
    <w:rsid w:val="00C84E7B"/>
    <w:rsid w:val="00C8534F"/>
    <w:rsid w:val="00C85A3A"/>
    <w:rsid w:val="00C86684"/>
    <w:rsid w:val="00C869C4"/>
    <w:rsid w:val="00C869CC"/>
    <w:rsid w:val="00C87C02"/>
    <w:rsid w:val="00C907AF"/>
    <w:rsid w:val="00C90CFF"/>
    <w:rsid w:val="00C92E4E"/>
    <w:rsid w:val="00C9300D"/>
    <w:rsid w:val="00C94BF9"/>
    <w:rsid w:val="00C9521B"/>
    <w:rsid w:val="00C9552C"/>
    <w:rsid w:val="00C956C0"/>
    <w:rsid w:val="00C95A74"/>
    <w:rsid w:val="00C95D8F"/>
    <w:rsid w:val="00C961A0"/>
    <w:rsid w:val="00C9648D"/>
    <w:rsid w:val="00C96FEA"/>
    <w:rsid w:val="00CA00A0"/>
    <w:rsid w:val="00CA01C6"/>
    <w:rsid w:val="00CA05F9"/>
    <w:rsid w:val="00CA06C1"/>
    <w:rsid w:val="00CA1F8C"/>
    <w:rsid w:val="00CA27D5"/>
    <w:rsid w:val="00CA2EE3"/>
    <w:rsid w:val="00CA315A"/>
    <w:rsid w:val="00CA31C4"/>
    <w:rsid w:val="00CA37CB"/>
    <w:rsid w:val="00CA3CFE"/>
    <w:rsid w:val="00CA3F50"/>
    <w:rsid w:val="00CA4877"/>
    <w:rsid w:val="00CA4A33"/>
    <w:rsid w:val="00CA50E0"/>
    <w:rsid w:val="00CA6B4E"/>
    <w:rsid w:val="00CA7653"/>
    <w:rsid w:val="00CA7E88"/>
    <w:rsid w:val="00CB06A3"/>
    <w:rsid w:val="00CB0CF8"/>
    <w:rsid w:val="00CB1794"/>
    <w:rsid w:val="00CB2579"/>
    <w:rsid w:val="00CB28BE"/>
    <w:rsid w:val="00CB2B75"/>
    <w:rsid w:val="00CB2C91"/>
    <w:rsid w:val="00CB31DB"/>
    <w:rsid w:val="00CB3655"/>
    <w:rsid w:val="00CB3899"/>
    <w:rsid w:val="00CB4D07"/>
    <w:rsid w:val="00CB5ED9"/>
    <w:rsid w:val="00CB6056"/>
    <w:rsid w:val="00CB60C2"/>
    <w:rsid w:val="00CB7406"/>
    <w:rsid w:val="00CB7E59"/>
    <w:rsid w:val="00CC050E"/>
    <w:rsid w:val="00CC05A4"/>
    <w:rsid w:val="00CC178F"/>
    <w:rsid w:val="00CC19D5"/>
    <w:rsid w:val="00CC1A13"/>
    <w:rsid w:val="00CC1C69"/>
    <w:rsid w:val="00CC3295"/>
    <w:rsid w:val="00CC3F9D"/>
    <w:rsid w:val="00CC4465"/>
    <w:rsid w:val="00CC60EF"/>
    <w:rsid w:val="00CC6710"/>
    <w:rsid w:val="00CC67C8"/>
    <w:rsid w:val="00CC69B2"/>
    <w:rsid w:val="00CC69CF"/>
    <w:rsid w:val="00CC72AB"/>
    <w:rsid w:val="00CC7DA3"/>
    <w:rsid w:val="00CC7E85"/>
    <w:rsid w:val="00CD0329"/>
    <w:rsid w:val="00CD0C81"/>
    <w:rsid w:val="00CD0D56"/>
    <w:rsid w:val="00CD0F05"/>
    <w:rsid w:val="00CD1FB6"/>
    <w:rsid w:val="00CD2430"/>
    <w:rsid w:val="00CD27E3"/>
    <w:rsid w:val="00CD29D8"/>
    <w:rsid w:val="00CD2E6D"/>
    <w:rsid w:val="00CD4125"/>
    <w:rsid w:val="00CD4FEB"/>
    <w:rsid w:val="00CD5587"/>
    <w:rsid w:val="00CD72D1"/>
    <w:rsid w:val="00CD7765"/>
    <w:rsid w:val="00CE025A"/>
    <w:rsid w:val="00CE05AE"/>
    <w:rsid w:val="00CE090C"/>
    <w:rsid w:val="00CE0CBE"/>
    <w:rsid w:val="00CE12DE"/>
    <w:rsid w:val="00CE1E6F"/>
    <w:rsid w:val="00CE20FA"/>
    <w:rsid w:val="00CE24BC"/>
    <w:rsid w:val="00CE2AC2"/>
    <w:rsid w:val="00CE2B78"/>
    <w:rsid w:val="00CE2B80"/>
    <w:rsid w:val="00CE3922"/>
    <w:rsid w:val="00CE56E3"/>
    <w:rsid w:val="00CE6185"/>
    <w:rsid w:val="00CE6359"/>
    <w:rsid w:val="00CE637C"/>
    <w:rsid w:val="00CE69F2"/>
    <w:rsid w:val="00CE6D45"/>
    <w:rsid w:val="00CE74B9"/>
    <w:rsid w:val="00CE7A66"/>
    <w:rsid w:val="00CE7A92"/>
    <w:rsid w:val="00CE7B49"/>
    <w:rsid w:val="00CE7F00"/>
    <w:rsid w:val="00CF00F8"/>
    <w:rsid w:val="00CF0136"/>
    <w:rsid w:val="00CF0594"/>
    <w:rsid w:val="00CF1771"/>
    <w:rsid w:val="00CF379B"/>
    <w:rsid w:val="00CF395C"/>
    <w:rsid w:val="00CF449A"/>
    <w:rsid w:val="00CF4930"/>
    <w:rsid w:val="00CF5148"/>
    <w:rsid w:val="00CF57B3"/>
    <w:rsid w:val="00CF5EB9"/>
    <w:rsid w:val="00CF62B6"/>
    <w:rsid w:val="00CF6ACE"/>
    <w:rsid w:val="00CF6D51"/>
    <w:rsid w:val="00CF7364"/>
    <w:rsid w:val="00CF76E9"/>
    <w:rsid w:val="00D0020F"/>
    <w:rsid w:val="00D00A1B"/>
    <w:rsid w:val="00D0162F"/>
    <w:rsid w:val="00D0240E"/>
    <w:rsid w:val="00D0446B"/>
    <w:rsid w:val="00D04B38"/>
    <w:rsid w:val="00D053BB"/>
    <w:rsid w:val="00D06126"/>
    <w:rsid w:val="00D06132"/>
    <w:rsid w:val="00D062BB"/>
    <w:rsid w:val="00D07EFD"/>
    <w:rsid w:val="00D10421"/>
    <w:rsid w:val="00D104EA"/>
    <w:rsid w:val="00D10A27"/>
    <w:rsid w:val="00D11DC5"/>
    <w:rsid w:val="00D11EAC"/>
    <w:rsid w:val="00D124B1"/>
    <w:rsid w:val="00D1288F"/>
    <w:rsid w:val="00D13EF6"/>
    <w:rsid w:val="00D14327"/>
    <w:rsid w:val="00D143C5"/>
    <w:rsid w:val="00D14844"/>
    <w:rsid w:val="00D1501A"/>
    <w:rsid w:val="00D156A0"/>
    <w:rsid w:val="00D156BE"/>
    <w:rsid w:val="00D16BF4"/>
    <w:rsid w:val="00D1739D"/>
    <w:rsid w:val="00D174F7"/>
    <w:rsid w:val="00D17510"/>
    <w:rsid w:val="00D1DF55"/>
    <w:rsid w:val="00D21747"/>
    <w:rsid w:val="00D21777"/>
    <w:rsid w:val="00D21F8A"/>
    <w:rsid w:val="00D22D05"/>
    <w:rsid w:val="00D23079"/>
    <w:rsid w:val="00D24196"/>
    <w:rsid w:val="00D24287"/>
    <w:rsid w:val="00D24400"/>
    <w:rsid w:val="00D24658"/>
    <w:rsid w:val="00D253EB"/>
    <w:rsid w:val="00D25538"/>
    <w:rsid w:val="00D2610F"/>
    <w:rsid w:val="00D26752"/>
    <w:rsid w:val="00D274DA"/>
    <w:rsid w:val="00D278DB"/>
    <w:rsid w:val="00D27A19"/>
    <w:rsid w:val="00D30AC5"/>
    <w:rsid w:val="00D316FD"/>
    <w:rsid w:val="00D3212F"/>
    <w:rsid w:val="00D32382"/>
    <w:rsid w:val="00D32609"/>
    <w:rsid w:val="00D32766"/>
    <w:rsid w:val="00D3299D"/>
    <w:rsid w:val="00D32F45"/>
    <w:rsid w:val="00D33502"/>
    <w:rsid w:val="00D33D73"/>
    <w:rsid w:val="00D343F9"/>
    <w:rsid w:val="00D34E4E"/>
    <w:rsid w:val="00D36167"/>
    <w:rsid w:val="00D365B5"/>
    <w:rsid w:val="00D405E1"/>
    <w:rsid w:val="00D40838"/>
    <w:rsid w:val="00D40885"/>
    <w:rsid w:val="00D40BAE"/>
    <w:rsid w:val="00D4128D"/>
    <w:rsid w:val="00D41429"/>
    <w:rsid w:val="00D414A7"/>
    <w:rsid w:val="00D41733"/>
    <w:rsid w:val="00D42119"/>
    <w:rsid w:val="00D421CB"/>
    <w:rsid w:val="00D42A15"/>
    <w:rsid w:val="00D42E63"/>
    <w:rsid w:val="00D42F40"/>
    <w:rsid w:val="00D4391F"/>
    <w:rsid w:val="00D43D74"/>
    <w:rsid w:val="00D441E3"/>
    <w:rsid w:val="00D44C24"/>
    <w:rsid w:val="00D44D9F"/>
    <w:rsid w:val="00D44E7C"/>
    <w:rsid w:val="00D45A32"/>
    <w:rsid w:val="00D45E84"/>
    <w:rsid w:val="00D46D81"/>
    <w:rsid w:val="00D46E21"/>
    <w:rsid w:val="00D4772E"/>
    <w:rsid w:val="00D47DC5"/>
    <w:rsid w:val="00D47E49"/>
    <w:rsid w:val="00D50A7C"/>
    <w:rsid w:val="00D50A92"/>
    <w:rsid w:val="00D51D30"/>
    <w:rsid w:val="00D54490"/>
    <w:rsid w:val="00D54D9B"/>
    <w:rsid w:val="00D54F84"/>
    <w:rsid w:val="00D5520D"/>
    <w:rsid w:val="00D55741"/>
    <w:rsid w:val="00D561DE"/>
    <w:rsid w:val="00D567A8"/>
    <w:rsid w:val="00D56858"/>
    <w:rsid w:val="00D56B44"/>
    <w:rsid w:val="00D570BD"/>
    <w:rsid w:val="00D571B0"/>
    <w:rsid w:val="00D5798B"/>
    <w:rsid w:val="00D61C46"/>
    <w:rsid w:val="00D62195"/>
    <w:rsid w:val="00D626A9"/>
    <w:rsid w:val="00D6364E"/>
    <w:rsid w:val="00D64548"/>
    <w:rsid w:val="00D65A4B"/>
    <w:rsid w:val="00D6633B"/>
    <w:rsid w:val="00D668F9"/>
    <w:rsid w:val="00D66C7F"/>
    <w:rsid w:val="00D67816"/>
    <w:rsid w:val="00D67B7B"/>
    <w:rsid w:val="00D67F3C"/>
    <w:rsid w:val="00D703DA"/>
    <w:rsid w:val="00D7065F"/>
    <w:rsid w:val="00D708D8"/>
    <w:rsid w:val="00D712E1"/>
    <w:rsid w:val="00D72AD0"/>
    <w:rsid w:val="00D73088"/>
    <w:rsid w:val="00D749E5"/>
    <w:rsid w:val="00D74B02"/>
    <w:rsid w:val="00D7542D"/>
    <w:rsid w:val="00D75946"/>
    <w:rsid w:val="00D76807"/>
    <w:rsid w:val="00D770BF"/>
    <w:rsid w:val="00D7742F"/>
    <w:rsid w:val="00D80238"/>
    <w:rsid w:val="00D80F0B"/>
    <w:rsid w:val="00D81963"/>
    <w:rsid w:val="00D820D1"/>
    <w:rsid w:val="00D8220C"/>
    <w:rsid w:val="00D82671"/>
    <w:rsid w:val="00D83218"/>
    <w:rsid w:val="00D8336A"/>
    <w:rsid w:val="00D83C81"/>
    <w:rsid w:val="00D84461"/>
    <w:rsid w:val="00D84601"/>
    <w:rsid w:val="00D850C7"/>
    <w:rsid w:val="00D857A8"/>
    <w:rsid w:val="00D86993"/>
    <w:rsid w:val="00D86BC9"/>
    <w:rsid w:val="00D86C2F"/>
    <w:rsid w:val="00D87009"/>
    <w:rsid w:val="00D87777"/>
    <w:rsid w:val="00D90728"/>
    <w:rsid w:val="00D9084D"/>
    <w:rsid w:val="00D90D7B"/>
    <w:rsid w:val="00D90FE7"/>
    <w:rsid w:val="00D91F42"/>
    <w:rsid w:val="00D93385"/>
    <w:rsid w:val="00D94DFE"/>
    <w:rsid w:val="00D950BC"/>
    <w:rsid w:val="00D964CB"/>
    <w:rsid w:val="00D9687A"/>
    <w:rsid w:val="00D97167"/>
    <w:rsid w:val="00DA0CAB"/>
    <w:rsid w:val="00DA11B8"/>
    <w:rsid w:val="00DA186B"/>
    <w:rsid w:val="00DA1CD8"/>
    <w:rsid w:val="00DA39A0"/>
    <w:rsid w:val="00DA5408"/>
    <w:rsid w:val="00DA5EAA"/>
    <w:rsid w:val="00DA691C"/>
    <w:rsid w:val="00DA7193"/>
    <w:rsid w:val="00DB0CD4"/>
    <w:rsid w:val="00DB237F"/>
    <w:rsid w:val="00DB34A8"/>
    <w:rsid w:val="00DB36FD"/>
    <w:rsid w:val="00DB3BDD"/>
    <w:rsid w:val="00DB42DD"/>
    <w:rsid w:val="00DB4968"/>
    <w:rsid w:val="00DB4A30"/>
    <w:rsid w:val="00DB4B04"/>
    <w:rsid w:val="00DB4B61"/>
    <w:rsid w:val="00DB4F86"/>
    <w:rsid w:val="00DB6939"/>
    <w:rsid w:val="00DB70DB"/>
    <w:rsid w:val="00DB74E7"/>
    <w:rsid w:val="00DB7A01"/>
    <w:rsid w:val="00DB7CBB"/>
    <w:rsid w:val="00DC02FF"/>
    <w:rsid w:val="00DC05AE"/>
    <w:rsid w:val="00DC1EEA"/>
    <w:rsid w:val="00DC1FBB"/>
    <w:rsid w:val="00DC1FC3"/>
    <w:rsid w:val="00DC32CC"/>
    <w:rsid w:val="00DC4653"/>
    <w:rsid w:val="00DC4D05"/>
    <w:rsid w:val="00DC55E7"/>
    <w:rsid w:val="00DC62A7"/>
    <w:rsid w:val="00DC744B"/>
    <w:rsid w:val="00DC7586"/>
    <w:rsid w:val="00DD0746"/>
    <w:rsid w:val="00DD08D8"/>
    <w:rsid w:val="00DD20E6"/>
    <w:rsid w:val="00DD2119"/>
    <w:rsid w:val="00DD2143"/>
    <w:rsid w:val="00DD240A"/>
    <w:rsid w:val="00DD2A46"/>
    <w:rsid w:val="00DD2FEC"/>
    <w:rsid w:val="00DD3594"/>
    <w:rsid w:val="00DD3E42"/>
    <w:rsid w:val="00DD44BE"/>
    <w:rsid w:val="00DD4914"/>
    <w:rsid w:val="00DD4F39"/>
    <w:rsid w:val="00DD5AD7"/>
    <w:rsid w:val="00DD5F52"/>
    <w:rsid w:val="00DD643B"/>
    <w:rsid w:val="00DD6E23"/>
    <w:rsid w:val="00DD7320"/>
    <w:rsid w:val="00DD7766"/>
    <w:rsid w:val="00DD77A9"/>
    <w:rsid w:val="00DD7CD0"/>
    <w:rsid w:val="00DE0409"/>
    <w:rsid w:val="00DE0BA1"/>
    <w:rsid w:val="00DE161B"/>
    <w:rsid w:val="00DE292F"/>
    <w:rsid w:val="00DE3044"/>
    <w:rsid w:val="00DE3725"/>
    <w:rsid w:val="00DE4272"/>
    <w:rsid w:val="00DE4CD0"/>
    <w:rsid w:val="00DE4E49"/>
    <w:rsid w:val="00DE58CE"/>
    <w:rsid w:val="00DE59F3"/>
    <w:rsid w:val="00DE6321"/>
    <w:rsid w:val="00DE6574"/>
    <w:rsid w:val="00DE65CC"/>
    <w:rsid w:val="00DE6B65"/>
    <w:rsid w:val="00DE7685"/>
    <w:rsid w:val="00DE76D5"/>
    <w:rsid w:val="00DE7D69"/>
    <w:rsid w:val="00DF1441"/>
    <w:rsid w:val="00DF2429"/>
    <w:rsid w:val="00DF3D0D"/>
    <w:rsid w:val="00DF401B"/>
    <w:rsid w:val="00DF485A"/>
    <w:rsid w:val="00DF4CE8"/>
    <w:rsid w:val="00DF4ECD"/>
    <w:rsid w:val="00DF5671"/>
    <w:rsid w:val="00DF68EB"/>
    <w:rsid w:val="00DF6D9D"/>
    <w:rsid w:val="00DF7137"/>
    <w:rsid w:val="00DF7503"/>
    <w:rsid w:val="00DF7542"/>
    <w:rsid w:val="00DF770F"/>
    <w:rsid w:val="00E00BF6"/>
    <w:rsid w:val="00E011DB"/>
    <w:rsid w:val="00E023C4"/>
    <w:rsid w:val="00E02D8C"/>
    <w:rsid w:val="00E03387"/>
    <w:rsid w:val="00E0462D"/>
    <w:rsid w:val="00E04647"/>
    <w:rsid w:val="00E053B7"/>
    <w:rsid w:val="00E054C0"/>
    <w:rsid w:val="00E05E5B"/>
    <w:rsid w:val="00E0621B"/>
    <w:rsid w:val="00E06698"/>
    <w:rsid w:val="00E07309"/>
    <w:rsid w:val="00E075F8"/>
    <w:rsid w:val="00E1149F"/>
    <w:rsid w:val="00E11724"/>
    <w:rsid w:val="00E11C67"/>
    <w:rsid w:val="00E11E87"/>
    <w:rsid w:val="00E11EE1"/>
    <w:rsid w:val="00E11F0C"/>
    <w:rsid w:val="00E12241"/>
    <w:rsid w:val="00E125B3"/>
    <w:rsid w:val="00E125BD"/>
    <w:rsid w:val="00E126D9"/>
    <w:rsid w:val="00E12BAC"/>
    <w:rsid w:val="00E13C95"/>
    <w:rsid w:val="00E147F9"/>
    <w:rsid w:val="00E14D70"/>
    <w:rsid w:val="00E15291"/>
    <w:rsid w:val="00E155C2"/>
    <w:rsid w:val="00E15A91"/>
    <w:rsid w:val="00E15F46"/>
    <w:rsid w:val="00E16B3F"/>
    <w:rsid w:val="00E16C53"/>
    <w:rsid w:val="00E174C6"/>
    <w:rsid w:val="00E17D3C"/>
    <w:rsid w:val="00E20191"/>
    <w:rsid w:val="00E205C1"/>
    <w:rsid w:val="00E2156A"/>
    <w:rsid w:val="00E21B77"/>
    <w:rsid w:val="00E21F3D"/>
    <w:rsid w:val="00E2241B"/>
    <w:rsid w:val="00E22B87"/>
    <w:rsid w:val="00E24629"/>
    <w:rsid w:val="00E252B0"/>
    <w:rsid w:val="00E253E2"/>
    <w:rsid w:val="00E25AED"/>
    <w:rsid w:val="00E25C18"/>
    <w:rsid w:val="00E27861"/>
    <w:rsid w:val="00E302CE"/>
    <w:rsid w:val="00E32258"/>
    <w:rsid w:val="00E334BB"/>
    <w:rsid w:val="00E339D4"/>
    <w:rsid w:val="00E33D72"/>
    <w:rsid w:val="00E34ECD"/>
    <w:rsid w:val="00E36409"/>
    <w:rsid w:val="00E36F16"/>
    <w:rsid w:val="00E37687"/>
    <w:rsid w:val="00E37712"/>
    <w:rsid w:val="00E37878"/>
    <w:rsid w:val="00E40763"/>
    <w:rsid w:val="00E412E7"/>
    <w:rsid w:val="00E4133D"/>
    <w:rsid w:val="00E41B79"/>
    <w:rsid w:val="00E41E4D"/>
    <w:rsid w:val="00E423B0"/>
    <w:rsid w:val="00E42AF9"/>
    <w:rsid w:val="00E437C6"/>
    <w:rsid w:val="00E440E2"/>
    <w:rsid w:val="00E443DD"/>
    <w:rsid w:val="00E445A5"/>
    <w:rsid w:val="00E44765"/>
    <w:rsid w:val="00E44ACA"/>
    <w:rsid w:val="00E4514B"/>
    <w:rsid w:val="00E45311"/>
    <w:rsid w:val="00E477AB"/>
    <w:rsid w:val="00E50197"/>
    <w:rsid w:val="00E5124F"/>
    <w:rsid w:val="00E512B9"/>
    <w:rsid w:val="00E5141D"/>
    <w:rsid w:val="00E51504"/>
    <w:rsid w:val="00E51664"/>
    <w:rsid w:val="00E5208F"/>
    <w:rsid w:val="00E54491"/>
    <w:rsid w:val="00E546AD"/>
    <w:rsid w:val="00E546C2"/>
    <w:rsid w:val="00E54D40"/>
    <w:rsid w:val="00E5586B"/>
    <w:rsid w:val="00E559A5"/>
    <w:rsid w:val="00E5632D"/>
    <w:rsid w:val="00E56428"/>
    <w:rsid w:val="00E577DE"/>
    <w:rsid w:val="00E606E0"/>
    <w:rsid w:val="00E60942"/>
    <w:rsid w:val="00E61F8B"/>
    <w:rsid w:val="00E62110"/>
    <w:rsid w:val="00E6220F"/>
    <w:rsid w:val="00E622B7"/>
    <w:rsid w:val="00E62A4B"/>
    <w:rsid w:val="00E62E0F"/>
    <w:rsid w:val="00E6349B"/>
    <w:rsid w:val="00E647A7"/>
    <w:rsid w:val="00E64AE9"/>
    <w:rsid w:val="00E64FE5"/>
    <w:rsid w:val="00E6527D"/>
    <w:rsid w:val="00E658D0"/>
    <w:rsid w:val="00E6603B"/>
    <w:rsid w:val="00E662E7"/>
    <w:rsid w:val="00E6677C"/>
    <w:rsid w:val="00E6685A"/>
    <w:rsid w:val="00E6751F"/>
    <w:rsid w:val="00E703D5"/>
    <w:rsid w:val="00E70888"/>
    <w:rsid w:val="00E70FEA"/>
    <w:rsid w:val="00E72B6D"/>
    <w:rsid w:val="00E72E63"/>
    <w:rsid w:val="00E74EBC"/>
    <w:rsid w:val="00E75484"/>
    <w:rsid w:val="00E75729"/>
    <w:rsid w:val="00E75DE1"/>
    <w:rsid w:val="00E75E71"/>
    <w:rsid w:val="00E76387"/>
    <w:rsid w:val="00E765E0"/>
    <w:rsid w:val="00E76B5A"/>
    <w:rsid w:val="00E76D1A"/>
    <w:rsid w:val="00E7743B"/>
    <w:rsid w:val="00E775C4"/>
    <w:rsid w:val="00E77833"/>
    <w:rsid w:val="00E80992"/>
    <w:rsid w:val="00E81D89"/>
    <w:rsid w:val="00E82382"/>
    <w:rsid w:val="00E82D75"/>
    <w:rsid w:val="00E831F5"/>
    <w:rsid w:val="00E835EF"/>
    <w:rsid w:val="00E8667B"/>
    <w:rsid w:val="00E86867"/>
    <w:rsid w:val="00E86B24"/>
    <w:rsid w:val="00E87DDE"/>
    <w:rsid w:val="00E907E9"/>
    <w:rsid w:val="00E909D1"/>
    <w:rsid w:val="00E91D3C"/>
    <w:rsid w:val="00E92742"/>
    <w:rsid w:val="00E92D2F"/>
    <w:rsid w:val="00E93181"/>
    <w:rsid w:val="00E933E8"/>
    <w:rsid w:val="00E93B6B"/>
    <w:rsid w:val="00E9534F"/>
    <w:rsid w:val="00E965DA"/>
    <w:rsid w:val="00E966EE"/>
    <w:rsid w:val="00E9672A"/>
    <w:rsid w:val="00E9674F"/>
    <w:rsid w:val="00E96C7C"/>
    <w:rsid w:val="00E97116"/>
    <w:rsid w:val="00E97EFA"/>
    <w:rsid w:val="00EA01CC"/>
    <w:rsid w:val="00EA06B7"/>
    <w:rsid w:val="00EA0D8B"/>
    <w:rsid w:val="00EA1463"/>
    <w:rsid w:val="00EA18E6"/>
    <w:rsid w:val="00EA30D3"/>
    <w:rsid w:val="00EA3B5F"/>
    <w:rsid w:val="00EA4631"/>
    <w:rsid w:val="00EA4771"/>
    <w:rsid w:val="00EA4D43"/>
    <w:rsid w:val="00EA50C8"/>
    <w:rsid w:val="00EA60A6"/>
    <w:rsid w:val="00EA6B3E"/>
    <w:rsid w:val="00EA70D7"/>
    <w:rsid w:val="00EA710C"/>
    <w:rsid w:val="00EA743A"/>
    <w:rsid w:val="00EB0016"/>
    <w:rsid w:val="00EB13B3"/>
    <w:rsid w:val="00EB2C61"/>
    <w:rsid w:val="00EB3D9A"/>
    <w:rsid w:val="00EB3FE9"/>
    <w:rsid w:val="00EB5740"/>
    <w:rsid w:val="00EB5AEC"/>
    <w:rsid w:val="00EB5D7D"/>
    <w:rsid w:val="00EB6B0A"/>
    <w:rsid w:val="00EB7657"/>
    <w:rsid w:val="00EB7715"/>
    <w:rsid w:val="00EC0480"/>
    <w:rsid w:val="00EC0B87"/>
    <w:rsid w:val="00EC0D35"/>
    <w:rsid w:val="00EC21CD"/>
    <w:rsid w:val="00EC24BB"/>
    <w:rsid w:val="00EC24F1"/>
    <w:rsid w:val="00EC28BC"/>
    <w:rsid w:val="00EC390B"/>
    <w:rsid w:val="00EC3AD4"/>
    <w:rsid w:val="00EC3FE1"/>
    <w:rsid w:val="00EC5CD5"/>
    <w:rsid w:val="00EC625F"/>
    <w:rsid w:val="00EC6274"/>
    <w:rsid w:val="00EC627F"/>
    <w:rsid w:val="00EC6AAB"/>
    <w:rsid w:val="00EC6E0C"/>
    <w:rsid w:val="00EC7558"/>
    <w:rsid w:val="00EC769A"/>
    <w:rsid w:val="00ED0CDA"/>
    <w:rsid w:val="00ED17FE"/>
    <w:rsid w:val="00ED2188"/>
    <w:rsid w:val="00ED2306"/>
    <w:rsid w:val="00ED2C43"/>
    <w:rsid w:val="00ED2D08"/>
    <w:rsid w:val="00ED2E4A"/>
    <w:rsid w:val="00ED2ECB"/>
    <w:rsid w:val="00ED32AB"/>
    <w:rsid w:val="00ED340A"/>
    <w:rsid w:val="00ED4C38"/>
    <w:rsid w:val="00ED4DBE"/>
    <w:rsid w:val="00ED61E3"/>
    <w:rsid w:val="00ED676F"/>
    <w:rsid w:val="00ED6D04"/>
    <w:rsid w:val="00ED6F87"/>
    <w:rsid w:val="00EE01B8"/>
    <w:rsid w:val="00EE0393"/>
    <w:rsid w:val="00EE0BFC"/>
    <w:rsid w:val="00EE1446"/>
    <w:rsid w:val="00EE1458"/>
    <w:rsid w:val="00EE165C"/>
    <w:rsid w:val="00EE1898"/>
    <w:rsid w:val="00EE18A4"/>
    <w:rsid w:val="00EE1AD6"/>
    <w:rsid w:val="00EE1DE8"/>
    <w:rsid w:val="00EE34FF"/>
    <w:rsid w:val="00EE374C"/>
    <w:rsid w:val="00EE38EC"/>
    <w:rsid w:val="00EE3CA6"/>
    <w:rsid w:val="00EE3E41"/>
    <w:rsid w:val="00EE41DC"/>
    <w:rsid w:val="00EE4438"/>
    <w:rsid w:val="00EE4EB9"/>
    <w:rsid w:val="00EE4ED2"/>
    <w:rsid w:val="00EE64C2"/>
    <w:rsid w:val="00EE68CE"/>
    <w:rsid w:val="00EE7277"/>
    <w:rsid w:val="00EE7383"/>
    <w:rsid w:val="00EE79C7"/>
    <w:rsid w:val="00EE7B76"/>
    <w:rsid w:val="00EE7CB8"/>
    <w:rsid w:val="00EF0160"/>
    <w:rsid w:val="00EF05F6"/>
    <w:rsid w:val="00EF152D"/>
    <w:rsid w:val="00EF1845"/>
    <w:rsid w:val="00EF1E5D"/>
    <w:rsid w:val="00EF2FFE"/>
    <w:rsid w:val="00EF3A40"/>
    <w:rsid w:val="00EF43D7"/>
    <w:rsid w:val="00EF4F22"/>
    <w:rsid w:val="00EF623F"/>
    <w:rsid w:val="00EF6501"/>
    <w:rsid w:val="00EF6D9C"/>
    <w:rsid w:val="00F0048D"/>
    <w:rsid w:val="00F00FC6"/>
    <w:rsid w:val="00F012CB"/>
    <w:rsid w:val="00F01701"/>
    <w:rsid w:val="00F01BAE"/>
    <w:rsid w:val="00F01EA7"/>
    <w:rsid w:val="00F02373"/>
    <w:rsid w:val="00F024EA"/>
    <w:rsid w:val="00F0275E"/>
    <w:rsid w:val="00F02DF4"/>
    <w:rsid w:val="00F030CA"/>
    <w:rsid w:val="00F03720"/>
    <w:rsid w:val="00F03910"/>
    <w:rsid w:val="00F03AEB"/>
    <w:rsid w:val="00F03B0F"/>
    <w:rsid w:val="00F05A69"/>
    <w:rsid w:val="00F05C51"/>
    <w:rsid w:val="00F0604A"/>
    <w:rsid w:val="00F060D8"/>
    <w:rsid w:val="00F06815"/>
    <w:rsid w:val="00F06A1C"/>
    <w:rsid w:val="00F06B00"/>
    <w:rsid w:val="00F10612"/>
    <w:rsid w:val="00F1083B"/>
    <w:rsid w:val="00F1085D"/>
    <w:rsid w:val="00F10A0B"/>
    <w:rsid w:val="00F11339"/>
    <w:rsid w:val="00F1149B"/>
    <w:rsid w:val="00F11D17"/>
    <w:rsid w:val="00F1230A"/>
    <w:rsid w:val="00F12BAD"/>
    <w:rsid w:val="00F13559"/>
    <w:rsid w:val="00F14BE0"/>
    <w:rsid w:val="00F15487"/>
    <w:rsid w:val="00F15552"/>
    <w:rsid w:val="00F15AD2"/>
    <w:rsid w:val="00F16449"/>
    <w:rsid w:val="00F16E22"/>
    <w:rsid w:val="00F172CA"/>
    <w:rsid w:val="00F17676"/>
    <w:rsid w:val="00F17C3A"/>
    <w:rsid w:val="00F206C8"/>
    <w:rsid w:val="00F20DDF"/>
    <w:rsid w:val="00F21769"/>
    <w:rsid w:val="00F21B7C"/>
    <w:rsid w:val="00F22AAB"/>
    <w:rsid w:val="00F22B15"/>
    <w:rsid w:val="00F230D7"/>
    <w:rsid w:val="00F23D06"/>
    <w:rsid w:val="00F24A08"/>
    <w:rsid w:val="00F25260"/>
    <w:rsid w:val="00F25C30"/>
    <w:rsid w:val="00F25C34"/>
    <w:rsid w:val="00F25E5E"/>
    <w:rsid w:val="00F267D4"/>
    <w:rsid w:val="00F268DE"/>
    <w:rsid w:val="00F26E30"/>
    <w:rsid w:val="00F279C1"/>
    <w:rsid w:val="00F27F18"/>
    <w:rsid w:val="00F304F8"/>
    <w:rsid w:val="00F310F2"/>
    <w:rsid w:val="00F3199E"/>
    <w:rsid w:val="00F31D6E"/>
    <w:rsid w:val="00F323A9"/>
    <w:rsid w:val="00F32929"/>
    <w:rsid w:val="00F3361D"/>
    <w:rsid w:val="00F3408A"/>
    <w:rsid w:val="00F35D58"/>
    <w:rsid w:val="00F36432"/>
    <w:rsid w:val="00F36A25"/>
    <w:rsid w:val="00F36BA6"/>
    <w:rsid w:val="00F36F03"/>
    <w:rsid w:val="00F400C7"/>
    <w:rsid w:val="00F40A6F"/>
    <w:rsid w:val="00F418C0"/>
    <w:rsid w:val="00F42059"/>
    <w:rsid w:val="00F42808"/>
    <w:rsid w:val="00F43832"/>
    <w:rsid w:val="00F439B8"/>
    <w:rsid w:val="00F43BC2"/>
    <w:rsid w:val="00F43BCE"/>
    <w:rsid w:val="00F43D73"/>
    <w:rsid w:val="00F4635B"/>
    <w:rsid w:val="00F46D3E"/>
    <w:rsid w:val="00F47BBF"/>
    <w:rsid w:val="00F511AA"/>
    <w:rsid w:val="00F519C7"/>
    <w:rsid w:val="00F549B4"/>
    <w:rsid w:val="00F55174"/>
    <w:rsid w:val="00F55330"/>
    <w:rsid w:val="00F55DD8"/>
    <w:rsid w:val="00F563EE"/>
    <w:rsid w:val="00F5719B"/>
    <w:rsid w:val="00F572D3"/>
    <w:rsid w:val="00F6063D"/>
    <w:rsid w:val="00F613F6"/>
    <w:rsid w:val="00F61B8A"/>
    <w:rsid w:val="00F628B8"/>
    <w:rsid w:val="00F62B17"/>
    <w:rsid w:val="00F62C5A"/>
    <w:rsid w:val="00F635A2"/>
    <w:rsid w:val="00F65802"/>
    <w:rsid w:val="00F658BD"/>
    <w:rsid w:val="00F65A0F"/>
    <w:rsid w:val="00F65A6E"/>
    <w:rsid w:val="00F65F1D"/>
    <w:rsid w:val="00F67084"/>
    <w:rsid w:val="00F6723B"/>
    <w:rsid w:val="00F67A89"/>
    <w:rsid w:val="00F67BAA"/>
    <w:rsid w:val="00F705BE"/>
    <w:rsid w:val="00F71779"/>
    <w:rsid w:val="00F72618"/>
    <w:rsid w:val="00F726DB"/>
    <w:rsid w:val="00F72952"/>
    <w:rsid w:val="00F729AE"/>
    <w:rsid w:val="00F730DB"/>
    <w:rsid w:val="00F735D4"/>
    <w:rsid w:val="00F738A0"/>
    <w:rsid w:val="00F73FCD"/>
    <w:rsid w:val="00F743E9"/>
    <w:rsid w:val="00F744E1"/>
    <w:rsid w:val="00F747B3"/>
    <w:rsid w:val="00F748EA"/>
    <w:rsid w:val="00F74A4C"/>
    <w:rsid w:val="00F74B4C"/>
    <w:rsid w:val="00F74CD6"/>
    <w:rsid w:val="00F76173"/>
    <w:rsid w:val="00F766AF"/>
    <w:rsid w:val="00F779AE"/>
    <w:rsid w:val="00F809E7"/>
    <w:rsid w:val="00F80D54"/>
    <w:rsid w:val="00F8148B"/>
    <w:rsid w:val="00F815B9"/>
    <w:rsid w:val="00F81772"/>
    <w:rsid w:val="00F81BED"/>
    <w:rsid w:val="00F824EF"/>
    <w:rsid w:val="00F832CD"/>
    <w:rsid w:val="00F83620"/>
    <w:rsid w:val="00F83630"/>
    <w:rsid w:val="00F8371E"/>
    <w:rsid w:val="00F83DEB"/>
    <w:rsid w:val="00F840CC"/>
    <w:rsid w:val="00F84255"/>
    <w:rsid w:val="00F8453D"/>
    <w:rsid w:val="00F84632"/>
    <w:rsid w:val="00F84B36"/>
    <w:rsid w:val="00F852E7"/>
    <w:rsid w:val="00F863FE"/>
    <w:rsid w:val="00F86D6C"/>
    <w:rsid w:val="00F876BD"/>
    <w:rsid w:val="00F901EF"/>
    <w:rsid w:val="00F90FDB"/>
    <w:rsid w:val="00F915B2"/>
    <w:rsid w:val="00F91648"/>
    <w:rsid w:val="00F92DFE"/>
    <w:rsid w:val="00F94147"/>
    <w:rsid w:val="00F943D3"/>
    <w:rsid w:val="00F94C64"/>
    <w:rsid w:val="00F94D0B"/>
    <w:rsid w:val="00F9602C"/>
    <w:rsid w:val="00F96C5A"/>
    <w:rsid w:val="00F97D63"/>
    <w:rsid w:val="00FA0C25"/>
    <w:rsid w:val="00FA0F77"/>
    <w:rsid w:val="00FA1429"/>
    <w:rsid w:val="00FA191A"/>
    <w:rsid w:val="00FA1C8C"/>
    <w:rsid w:val="00FA210C"/>
    <w:rsid w:val="00FA2963"/>
    <w:rsid w:val="00FA3062"/>
    <w:rsid w:val="00FA38DB"/>
    <w:rsid w:val="00FA3C80"/>
    <w:rsid w:val="00FA41A4"/>
    <w:rsid w:val="00FA4B9C"/>
    <w:rsid w:val="00FA516B"/>
    <w:rsid w:val="00FA65BF"/>
    <w:rsid w:val="00FA6C49"/>
    <w:rsid w:val="00FA7625"/>
    <w:rsid w:val="00FA7B2C"/>
    <w:rsid w:val="00FB0375"/>
    <w:rsid w:val="00FB0AB7"/>
    <w:rsid w:val="00FB0C8B"/>
    <w:rsid w:val="00FB0D58"/>
    <w:rsid w:val="00FB1864"/>
    <w:rsid w:val="00FB1E27"/>
    <w:rsid w:val="00FB34C5"/>
    <w:rsid w:val="00FB3E11"/>
    <w:rsid w:val="00FB522C"/>
    <w:rsid w:val="00FB550A"/>
    <w:rsid w:val="00FB5511"/>
    <w:rsid w:val="00FB70C9"/>
    <w:rsid w:val="00FB7139"/>
    <w:rsid w:val="00FB7C2D"/>
    <w:rsid w:val="00FC00A3"/>
    <w:rsid w:val="00FC0879"/>
    <w:rsid w:val="00FC0B68"/>
    <w:rsid w:val="00FC0E69"/>
    <w:rsid w:val="00FC0EA0"/>
    <w:rsid w:val="00FC11EA"/>
    <w:rsid w:val="00FC1F90"/>
    <w:rsid w:val="00FC2CF2"/>
    <w:rsid w:val="00FC3619"/>
    <w:rsid w:val="00FC3833"/>
    <w:rsid w:val="00FC4AC4"/>
    <w:rsid w:val="00FC59CA"/>
    <w:rsid w:val="00FC6B68"/>
    <w:rsid w:val="00FC750F"/>
    <w:rsid w:val="00FC75A8"/>
    <w:rsid w:val="00FC7633"/>
    <w:rsid w:val="00FC7AB9"/>
    <w:rsid w:val="00FD0875"/>
    <w:rsid w:val="00FD0D44"/>
    <w:rsid w:val="00FD1690"/>
    <w:rsid w:val="00FD1D8D"/>
    <w:rsid w:val="00FD237A"/>
    <w:rsid w:val="00FD4317"/>
    <w:rsid w:val="00FD44A3"/>
    <w:rsid w:val="00FD44DB"/>
    <w:rsid w:val="00FD55BE"/>
    <w:rsid w:val="00FD5AA1"/>
    <w:rsid w:val="00FD5B42"/>
    <w:rsid w:val="00FD6FF9"/>
    <w:rsid w:val="00FD72A8"/>
    <w:rsid w:val="00FD7A7D"/>
    <w:rsid w:val="00FD7F60"/>
    <w:rsid w:val="00FE04D9"/>
    <w:rsid w:val="00FE087E"/>
    <w:rsid w:val="00FE1460"/>
    <w:rsid w:val="00FE15FA"/>
    <w:rsid w:val="00FE2A95"/>
    <w:rsid w:val="00FE2B20"/>
    <w:rsid w:val="00FE36A3"/>
    <w:rsid w:val="00FE385C"/>
    <w:rsid w:val="00FE39A2"/>
    <w:rsid w:val="00FE3C12"/>
    <w:rsid w:val="00FE4131"/>
    <w:rsid w:val="00FE5CB9"/>
    <w:rsid w:val="00FE6DE4"/>
    <w:rsid w:val="00FE6EBA"/>
    <w:rsid w:val="00FE6F83"/>
    <w:rsid w:val="00FE7067"/>
    <w:rsid w:val="00FE7BA4"/>
    <w:rsid w:val="00FF0427"/>
    <w:rsid w:val="00FF0C24"/>
    <w:rsid w:val="00FF0C40"/>
    <w:rsid w:val="00FF0CD3"/>
    <w:rsid w:val="00FF1891"/>
    <w:rsid w:val="00FF1E0D"/>
    <w:rsid w:val="00FF21F0"/>
    <w:rsid w:val="00FF23B9"/>
    <w:rsid w:val="00FF2919"/>
    <w:rsid w:val="00FF2D8F"/>
    <w:rsid w:val="00FF3C48"/>
    <w:rsid w:val="00FF3CF8"/>
    <w:rsid w:val="00FF3D0B"/>
    <w:rsid w:val="00FF3E9B"/>
    <w:rsid w:val="00FF4266"/>
    <w:rsid w:val="00FF46D4"/>
    <w:rsid w:val="00FF4854"/>
    <w:rsid w:val="00FF50AD"/>
    <w:rsid w:val="00FF585F"/>
    <w:rsid w:val="00FF6CE0"/>
    <w:rsid w:val="00FF7CFE"/>
    <w:rsid w:val="011A5204"/>
    <w:rsid w:val="0131D6DD"/>
    <w:rsid w:val="0133864B"/>
    <w:rsid w:val="0142CD91"/>
    <w:rsid w:val="0182D330"/>
    <w:rsid w:val="01AAA870"/>
    <w:rsid w:val="01B4BB47"/>
    <w:rsid w:val="01D60687"/>
    <w:rsid w:val="01E8304D"/>
    <w:rsid w:val="01F44816"/>
    <w:rsid w:val="0201069D"/>
    <w:rsid w:val="02540439"/>
    <w:rsid w:val="025C30D4"/>
    <w:rsid w:val="0261BD61"/>
    <w:rsid w:val="02621BAE"/>
    <w:rsid w:val="0268717B"/>
    <w:rsid w:val="027776C6"/>
    <w:rsid w:val="028EB489"/>
    <w:rsid w:val="029A9513"/>
    <w:rsid w:val="02AE6743"/>
    <w:rsid w:val="02D83990"/>
    <w:rsid w:val="02DF39BA"/>
    <w:rsid w:val="02E11BA9"/>
    <w:rsid w:val="0343201F"/>
    <w:rsid w:val="035470E0"/>
    <w:rsid w:val="036FC758"/>
    <w:rsid w:val="0375578E"/>
    <w:rsid w:val="037C1B19"/>
    <w:rsid w:val="03912077"/>
    <w:rsid w:val="03955B3B"/>
    <w:rsid w:val="03A6DD1D"/>
    <w:rsid w:val="03B6F09E"/>
    <w:rsid w:val="03CE3B9D"/>
    <w:rsid w:val="03F8F346"/>
    <w:rsid w:val="044AFADD"/>
    <w:rsid w:val="0465BFF6"/>
    <w:rsid w:val="049A4CDF"/>
    <w:rsid w:val="04A6BEA1"/>
    <w:rsid w:val="04AC089B"/>
    <w:rsid w:val="04AF3EF3"/>
    <w:rsid w:val="04DD9770"/>
    <w:rsid w:val="04E08326"/>
    <w:rsid w:val="04F260A9"/>
    <w:rsid w:val="0526CFA6"/>
    <w:rsid w:val="05299963"/>
    <w:rsid w:val="0551D029"/>
    <w:rsid w:val="0568A001"/>
    <w:rsid w:val="0569EC15"/>
    <w:rsid w:val="056DE075"/>
    <w:rsid w:val="058BD372"/>
    <w:rsid w:val="058E0F24"/>
    <w:rsid w:val="059252C7"/>
    <w:rsid w:val="059E1519"/>
    <w:rsid w:val="05A3BBA6"/>
    <w:rsid w:val="05ADCB85"/>
    <w:rsid w:val="05AF7FB9"/>
    <w:rsid w:val="05C5D1DE"/>
    <w:rsid w:val="05EF9D10"/>
    <w:rsid w:val="064FB514"/>
    <w:rsid w:val="06697770"/>
    <w:rsid w:val="068E310A"/>
    <w:rsid w:val="0699CCA4"/>
    <w:rsid w:val="06A51718"/>
    <w:rsid w:val="06A977AA"/>
    <w:rsid w:val="06C25FD5"/>
    <w:rsid w:val="06CDB163"/>
    <w:rsid w:val="06D17938"/>
    <w:rsid w:val="06D25579"/>
    <w:rsid w:val="06F64A52"/>
    <w:rsid w:val="07047062"/>
    <w:rsid w:val="070D21DB"/>
    <w:rsid w:val="0747D3E3"/>
    <w:rsid w:val="074979C0"/>
    <w:rsid w:val="076D162E"/>
    <w:rsid w:val="0774101C"/>
    <w:rsid w:val="0786B901"/>
    <w:rsid w:val="07CA0687"/>
    <w:rsid w:val="07E4BD66"/>
    <w:rsid w:val="07F8ED30"/>
    <w:rsid w:val="082021B2"/>
    <w:rsid w:val="085210CD"/>
    <w:rsid w:val="086396A6"/>
    <w:rsid w:val="08640122"/>
    <w:rsid w:val="0883B897"/>
    <w:rsid w:val="08CE783A"/>
    <w:rsid w:val="08E81582"/>
    <w:rsid w:val="08E8168C"/>
    <w:rsid w:val="0908E68F"/>
    <w:rsid w:val="091531C3"/>
    <w:rsid w:val="091A9927"/>
    <w:rsid w:val="09528190"/>
    <w:rsid w:val="0965D6E8"/>
    <w:rsid w:val="0990B9D2"/>
    <w:rsid w:val="0994F583"/>
    <w:rsid w:val="09A5E1BD"/>
    <w:rsid w:val="09B45B0F"/>
    <w:rsid w:val="09D4071B"/>
    <w:rsid w:val="09E1186C"/>
    <w:rsid w:val="0A20D66B"/>
    <w:rsid w:val="0A2E5853"/>
    <w:rsid w:val="0A35E3D4"/>
    <w:rsid w:val="0A3A6F9C"/>
    <w:rsid w:val="0A4455FF"/>
    <w:rsid w:val="0A4A5243"/>
    <w:rsid w:val="0A749849"/>
    <w:rsid w:val="0A825F1E"/>
    <w:rsid w:val="0A84F3FD"/>
    <w:rsid w:val="0A907CC8"/>
    <w:rsid w:val="0AA7429F"/>
    <w:rsid w:val="0AAC03E1"/>
    <w:rsid w:val="0AB39066"/>
    <w:rsid w:val="0ABBE78D"/>
    <w:rsid w:val="0ACA3E53"/>
    <w:rsid w:val="0AD83600"/>
    <w:rsid w:val="0ADB2F14"/>
    <w:rsid w:val="0AE2D3AC"/>
    <w:rsid w:val="0AF1C3F2"/>
    <w:rsid w:val="0B043702"/>
    <w:rsid w:val="0B0F3F89"/>
    <w:rsid w:val="0B7097C6"/>
    <w:rsid w:val="0B7CE8CD"/>
    <w:rsid w:val="0B81D115"/>
    <w:rsid w:val="0B8D915D"/>
    <w:rsid w:val="0B9DE165"/>
    <w:rsid w:val="0BD08279"/>
    <w:rsid w:val="0C0A520A"/>
    <w:rsid w:val="0C2C4D29"/>
    <w:rsid w:val="0C46AD4F"/>
    <w:rsid w:val="0C5B36A6"/>
    <w:rsid w:val="0C5D81F7"/>
    <w:rsid w:val="0C6ED592"/>
    <w:rsid w:val="0C7AEFF1"/>
    <w:rsid w:val="0CAC5B1C"/>
    <w:rsid w:val="0CB51692"/>
    <w:rsid w:val="0CD05964"/>
    <w:rsid w:val="0CD0E482"/>
    <w:rsid w:val="0CDE9DE8"/>
    <w:rsid w:val="0D18B92E"/>
    <w:rsid w:val="0D1D171E"/>
    <w:rsid w:val="0D2ABA88"/>
    <w:rsid w:val="0D2E2FDB"/>
    <w:rsid w:val="0D3B6EFA"/>
    <w:rsid w:val="0D45E842"/>
    <w:rsid w:val="0D5505E3"/>
    <w:rsid w:val="0D71ECA7"/>
    <w:rsid w:val="0D7325A8"/>
    <w:rsid w:val="0D88A0BA"/>
    <w:rsid w:val="0D908C47"/>
    <w:rsid w:val="0D9D560B"/>
    <w:rsid w:val="0DA13978"/>
    <w:rsid w:val="0DA18931"/>
    <w:rsid w:val="0DD8BC43"/>
    <w:rsid w:val="0DE44538"/>
    <w:rsid w:val="0E0AF072"/>
    <w:rsid w:val="0E29D0EA"/>
    <w:rsid w:val="0E4110DC"/>
    <w:rsid w:val="0E46E04B"/>
    <w:rsid w:val="0E47BCC4"/>
    <w:rsid w:val="0E48C359"/>
    <w:rsid w:val="0E4A193C"/>
    <w:rsid w:val="0E6F25D0"/>
    <w:rsid w:val="0E70031B"/>
    <w:rsid w:val="0E73482F"/>
    <w:rsid w:val="0E8D19F4"/>
    <w:rsid w:val="0E8FF90F"/>
    <w:rsid w:val="0E957C8C"/>
    <w:rsid w:val="0EBF0630"/>
    <w:rsid w:val="0EF15D5C"/>
    <w:rsid w:val="0EF659EA"/>
    <w:rsid w:val="0F0075BB"/>
    <w:rsid w:val="0F01C976"/>
    <w:rsid w:val="0F08BE9F"/>
    <w:rsid w:val="0F1962B0"/>
    <w:rsid w:val="0F211D65"/>
    <w:rsid w:val="0F352778"/>
    <w:rsid w:val="0F40908E"/>
    <w:rsid w:val="0F801599"/>
    <w:rsid w:val="0F9C4AB5"/>
    <w:rsid w:val="0FB099EE"/>
    <w:rsid w:val="0FBBE00B"/>
    <w:rsid w:val="0FE2139F"/>
    <w:rsid w:val="0FE8D0A9"/>
    <w:rsid w:val="10013F9B"/>
    <w:rsid w:val="1001918E"/>
    <w:rsid w:val="1004B137"/>
    <w:rsid w:val="100A2721"/>
    <w:rsid w:val="100C5B5A"/>
    <w:rsid w:val="1022F372"/>
    <w:rsid w:val="1037643A"/>
    <w:rsid w:val="103B694C"/>
    <w:rsid w:val="1042E162"/>
    <w:rsid w:val="10502980"/>
    <w:rsid w:val="10515950"/>
    <w:rsid w:val="105ECE7A"/>
    <w:rsid w:val="107937BF"/>
    <w:rsid w:val="1082D5FF"/>
    <w:rsid w:val="1087A319"/>
    <w:rsid w:val="10A2D027"/>
    <w:rsid w:val="10E975CB"/>
    <w:rsid w:val="10F0E98C"/>
    <w:rsid w:val="11046BEA"/>
    <w:rsid w:val="111D41BE"/>
    <w:rsid w:val="111D5E90"/>
    <w:rsid w:val="11248FBF"/>
    <w:rsid w:val="113D45BF"/>
    <w:rsid w:val="1144EDC0"/>
    <w:rsid w:val="11564D62"/>
    <w:rsid w:val="11C2E2BA"/>
    <w:rsid w:val="1204001A"/>
    <w:rsid w:val="1211993A"/>
    <w:rsid w:val="12150820"/>
    <w:rsid w:val="12378E6F"/>
    <w:rsid w:val="123A4DCE"/>
    <w:rsid w:val="123ED2F7"/>
    <w:rsid w:val="124E75FF"/>
    <w:rsid w:val="1258370F"/>
    <w:rsid w:val="125A1E4B"/>
    <w:rsid w:val="12649E55"/>
    <w:rsid w:val="126C4478"/>
    <w:rsid w:val="12766A62"/>
    <w:rsid w:val="12792B83"/>
    <w:rsid w:val="127D9C4D"/>
    <w:rsid w:val="1290755D"/>
    <w:rsid w:val="1298514B"/>
    <w:rsid w:val="12C279E4"/>
    <w:rsid w:val="12DA3DB8"/>
    <w:rsid w:val="12DFED44"/>
    <w:rsid w:val="12EEE777"/>
    <w:rsid w:val="133C51F9"/>
    <w:rsid w:val="133E107E"/>
    <w:rsid w:val="134590B1"/>
    <w:rsid w:val="135204F3"/>
    <w:rsid w:val="135B8147"/>
    <w:rsid w:val="13686D8E"/>
    <w:rsid w:val="136AFAFA"/>
    <w:rsid w:val="137C8C3E"/>
    <w:rsid w:val="13A37BC1"/>
    <w:rsid w:val="13A7E873"/>
    <w:rsid w:val="13B232D9"/>
    <w:rsid w:val="13B53E60"/>
    <w:rsid w:val="13B58BE6"/>
    <w:rsid w:val="13CA3807"/>
    <w:rsid w:val="13DFE505"/>
    <w:rsid w:val="13E6B14F"/>
    <w:rsid w:val="13F8E584"/>
    <w:rsid w:val="1405FAC8"/>
    <w:rsid w:val="141E36B1"/>
    <w:rsid w:val="1421E5B8"/>
    <w:rsid w:val="142D5B9A"/>
    <w:rsid w:val="1454FFD4"/>
    <w:rsid w:val="14641F13"/>
    <w:rsid w:val="146682F9"/>
    <w:rsid w:val="1475FE98"/>
    <w:rsid w:val="1479E777"/>
    <w:rsid w:val="1480A75F"/>
    <w:rsid w:val="1484C84E"/>
    <w:rsid w:val="1491F095"/>
    <w:rsid w:val="14ED4E7A"/>
    <w:rsid w:val="14F16248"/>
    <w:rsid w:val="151B02BC"/>
    <w:rsid w:val="151DE940"/>
    <w:rsid w:val="15314425"/>
    <w:rsid w:val="15465A06"/>
    <w:rsid w:val="154CFC4B"/>
    <w:rsid w:val="159BBDDC"/>
    <w:rsid w:val="15A04860"/>
    <w:rsid w:val="15A54EF0"/>
    <w:rsid w:val="15B7B8B1"/>
    <w:rsid w:val="15D21040"/>
    <w:rsid w:val="15EF571D"/>
    <w:rsid w:val="15F34392"/>
    <w:rsid w:val="15F4A7FF"/>
    <w:rsid w:val="15F4E909"/>
    <w:rsid w:val="1611B6E4"/>
    <w:rsid w:val="163D31B4"/>
    <w:rsid w:val="16552B21"/>
    <w:rsid w:val="165ACA5E"/>
    <w:rsid w:val="165E14C6"/>
    <w:rsid w:val="1671FF99"/>
    <w:rsid w:val="168D32A9"/>
    <w:rsid w:val="1692CCFD"/>
    <w:rsid w:val="16B3D6F7"/>
    <w:rsid w:val="16CE9A0E"/>
    <w:rsid w:val="16D80FAE"/>
    <w:rsid w:val="16E12EF6"/>
    <w:rsid w:val="170098B2"/>
    <w:rsid w:val="1705BEC8"/>
    <w:rsid w:val="1707D513"/>
    <w:rsid w:val="171D7F33"/>
    <w:rsid w:val="1727315F"/>
    <w:rsid w:val="17372399"/>
    <w:rsid w:val="173BED55"/>
    <w:rsid w:val="1741CAD7"/>
    <w:rsid w:val="17564FAB"/>
    <w:rsid w:val="17663B2B"/>
    <w:rsid w:val="17667C9C"/>
    <w:rsid w:val="176AF06B"/>
    <w:rsid w:val="178154D4"/>
    <w:rsid w:val="17CE980F"/>
    <w:rsid w:val="17DE7BE8"/>
    <w:rsid w:val="1800CE1E"/>
    <w:rsid w:val="180CFB7D"/>
    <w:rsid w:val="1815F76D"/>
    <w:rsid w:val="1840D2EC"/>
    <w:rsid w:val="185F3956"/>
    <w:rsid w:val="187CAFB2"/>
    <w:rsid w:val="18814254"/>
    <w:rsid w:val="18817525"/>
    <w:rsid w:val="188896FA"/>
    <w:rsid w:val="1890460B"/>
    <w:rsid w:val="18A6B7F2"/>
    <w:rsid w:val="18A8C18B"/>
    <w:rsid w:val="18B06562"/>
    <w:rsid w:val="18BAC4E7"/>
    <w:rsid w:val="18CC8A2A"/>
    <w:rsid w:val="18D1D3C1"/>
    <w:rsid w:val="19023523"/>
    <w:rsid w:val="190F9335"/>
    <w:rsid w:val="19186E08"/>
    <w:rsid w:val="1923813A"/>
    <w:rsid w:val="192C325F"/>
    <w:rsid w:val="194999F4"/>
    <w:rsid w:val="197B2C9D"/>
    <w:rsid w:val="197C4ABC"/>
    <w:rsid w:val="198D1425"/>
    <w:rsid w:val="198E5632"/>
    <w:rsid w:val="19971EA5"/>
    <w:rsid w:val="199CAB00"/>
    <w:rsid w:val="19AAC6FF"/>
    <w:rsid w:val="19B4EBC0"/>
    <w:rsid w:val="19B9D85A"/>
    <w:rsid w:val="19C217AB"/>
    <w:rsid w:val="19C6743B"/>
    <w:rsid w:val="19CDE320"/>
    <w:rsid w:val="19CF004B"/>
    <w:rsid w:val="19DBF257"/>
    <w:rsid w:val="19DEA78B"/>
    <w:rsid w:val="19E29662"/>
    <w:rsid w:val="19EE3985"/>
    <w:rsid w:val="1A14127A"/>
    <w:rsid w:val="1A30F7E9"/>
    <w:rsid w:val="1A34AB41"/>
    <w:rsid w:val="1A4491EC"/>
    <w:rsid w:val="1A4BFC64"/>
    <w:rsid w:val="1A4F82EB"/>
    <w:rsid w:val="1A5144DB"/>
    <w:rsid w:val="1A77916A"/>
    <w:rsid w:val="1A7B2A02"/>
    <w:rsid w:val="1A87E3E9"/>
    <w:rsid w:val="1A8FAEB3"/>
    <w:rsid w:val="1A9259C6"/>
    <w:rsid w:val="1A95FC53"/>
    <w:rsid w:val="1AA8E3D6"/>
    <w:rsid w:val="1AB34D67"/>
    <w:rsid w:val="1AB38F00"/>
    <w:rsid w:val="1AB470C4"/>
    <w:rsid w:val="1AC4AC9D"/>
    <w:rsid w:val="1AD826EA"/>
    <w:rsid w:val="1ADFA851"/>
    <w:rsid w:val="1AEBB5D9"/>
    <w:rsid w:val="1AF28090"/>
    <w:rsid w:val="1B0E3DA4"/>
    <w:rsid w:val="1B31FBAB"/>
    <w:rsid w:val="1B3B8B8A"/>
    <w:rsid w:val="1B49584E"/>
    <w:rsid w:val="1B5B296C"/>
    <w:rsid w:val="1B68DDEE"/>
    <w:rsid w:val="1BA22776"/>
    <w:rsid w:val="1BA53E4E"/>
    <w:rsid w:val="1BA6BB54"/>
    <w:rsid w:val="1BE4299F"/>
    <w:rsid w:val="1BEDFF77"/>
    <w:rsid w:val="1BEF1A5F"/>
    <w:rsid w:val="1BF5D5D3"/>
    <w:rsid w:val="1BFAB62E"/>
    <w:rsid w:val="1C042AEC"/>
    <w:rsid w:val="1C0D97EB"/>
    <w:rsid w:val="1C21ED75"/>
    <w:rsid w:val="1C2A505D"/>
    <w:rsid w:val="1C5AFEAD"/>
    <w:rsid w:val="1C5B3E63"/>
    <w:rsid w:val="1C68853E"/>
    <w:rsid w:val="1C6D318C"/>
    <w:rsid w:val="1C73FAE2"/>
    <w:rsid w:val="1C747D3B"/>
    <w:rsid w:val="1C816EEF"/>
    <w:rsid w:val="1C96363D"/>
    <w:rsid w:val="1CF6FB43"/>
    <w:rsid w:val="1D080002"/>
    <w:rsid w:val="1D133603"/>
    <w:rsid w:val="1D25396F"/>
    <w:rsid w:val="1D2C3422"/>
    <w:rsid w:val="1D3F7BDD"/>
    <w:rsid w:val="1D4ABCE6"/>
    <w:rsid w:val="1D5C081D"/>
    <w:rsid w:val="1D63F4B0"/>
    <w:rsid w:val="1D682E54"/>
    <w:rsid w:val="1D74E2F1"/>
    <w:rsid w:val="1D880F68"/>
    <w:rsid w:val="1D8E360A"/>
    <w:rsid w:val="1DADAAF2"/>
    <w:rsid w:val="1DAE0FF1"/>
    <w:rsid w:val="1DBDBDD6"/>
    <w:rsid w:val="1DC3134D"/>
    <w:rsid w:val="1DCA5EBE"/>
    <w:rsid w:val="1DD65045"/>
    <w:rsid w:val="1DD6E4ED"/>
    <w:rsid w:val="1DF3D83B"/>
    <w:rsid w:val="1E20C9BD"/>
    <w:rsid w:val="1E2EEE65"/>
    <w:rsid w:val="1E312496"/>
    <w:rsid w:val="1E6DC9C9"/>
    <w:rsid w:val="1ED23FF1"/>
    <w:rsid w:val="1ED741D7"/>
    <w:rsid w:val="1F046439"/>
    <w:rsid w:val="1F2E82E5"/>
    <w:rsid w:val="1F370651"/>
    <w:rsid w:val="1F3D5B94"/>
    <w:rsid w:val="1F65AC5C"/>
    <w:rsid w:val="1F660165"/>
    <w:rsid w:val="1F732457"/>
    <w:rsid w:val="1F8E5D2E"/>
    <w:rsid w:val="1FBC9A1E"/>
    <w:rsid w:val="1FC264E2"/>
    <w:rsid w:val="1FD41877"/>
    <w:rsid w:val="1FF0AC2C"/>
    <w:rsid w:val="20019EFD"/>
    <w:rsid w:val="20156548"/>
    <w:rsid w:val="2017F2E6"/>
    <w:rsid w:val="2040479E"/>
    <w:rsid w:val="208142E6"/>
    <w:rsid w:val="208ABCAC"/>
    <w:rsid w:val="208F21E8"/>
    <w:rsid w:val="20AC5175"/>
    <w:rsid w:val="20B9E933"/>
    <w:rsid w:val="20BD53BA"/>
    <w:rsid w:val="20D88586"/>
    <w:rsid w:val="20D8B0D0"/>
    <w:rsid w:val="20E7BD54"/>
    <w:rsid w:val="20EF7157"/>
    <w:rsid w:val="21017CBD"/>
    <w:rsid w:val="21059EB8"/>
    <w:rsid w:val="2115AA9F"/>
    <w:rsid w:val="212ED11D"/>
    <w:rsid w:val="213B775C"/>
    <w:rsid w:val="213E5EB4"/>
    <w:rsid w:val="2157BCCB"/>
    <w:rsid w:val="21652070"/>
    <w:rsid w:val="219F941C"/>
    <w:rsid w:val="21A56A8B"/>
    <w:rsid w:val="21AD0101"/>
    <w:rsid w:val="21C540EC"/>
    <w:rsid w:val="21EE6439"/>
    <w:rsid w:val="22014E36"/>
    <w:rsid w:val="220D7287"/>
    <w:rsid w:val="220F4867"/>
    <w:rsid w:val="221E07E7"/>
    <w:rsid w:val="225376BA"/>
    <w:rsid w:val="225F08D4"/>
    <w:rsid w:val="226DC6B5"/>
    <w:rsid w:val="228547C7"/>
    <w:rsid w:val="22AB8253"/>
    <w:rsid w:val="22C1A211"/>
    <w:rsid w:val="22E81263"/>
    <w:rsid w:val="22E84421"/>
    <w:rsid w:val="22F89A8A"/>
    <w:rsid w:val="2300F0D1"/>
    <w:rsid w:val="23016C8D"/>
    <w:rsid w:val="230C0D7C"/>
    <w:rsid w:val="231C7F05"/>
    <w:rsid w:val="23233D9B"/>
    <w:rsid w:val="2331831A"/>
    <w:rsid w:val="2349AF58"/>
    <w:rsid w:val="234B1AEE"/>
    <w:rsid w:val="238000AA"/>
    <w:rsid w:val="23839485"/>
    <w:rsid w:val="23940E9F"/>
    <w:rsid w:val="2395B6AD"/>
    <w:rsid w:val="23A6D783"/>
    <w:rsid w:val="23B8B373"/>
    <w:rsid w:val="23CCEF9A"/>
    <w:rsid w:val="23D01066"/>
    <w:rsid w:val="240A7774"/>
    <w:rsid w:val="2430EE95"/>
    <w:rsid w:val="245EC84A"/>
    <w:rsid w:val="2465D25C"/>
    <w:rsid w:val="24774886"/>
    <w:rsid w:val="247BCACD"/>
    <w:rsid w:val="24934BA8"/>
    <w:rsid w:val="2497F8C7"/>
    <w:rsid w:val="24AD07A1"/>
    <w:rsid w:val="24BDB270"/>
    <w:rsid w:val="24D2B312"/>
    <w:rsid w:val="24D51DC7"/>
    <w:rsid w:val="24D55A67"/>
    <w:rsid w:val="24DD0B4D"/>
    <w:rsid w:val="24F2FAE4"/>
    <w:rsid w:val="2504E1ED"/>
    <w:rsid w:val="25095E59"/>
    <w:rsid w:val="25196220"/>
    <w:rsid w:val="2548C35D"/>
    <w:rsid w:val="256D0FB7"/>
    <w:rsid w:val="2572CFBA"/>
    <w:rsid w:val="257948D4"/>
    <w:rsid w:val="257F9BC2"/>
    <w:rsid w:val="25810F9D"/>
    <w:rsid w:val="25848516"/>
    <w:rsid w:val="2594689D"/>
    <w:rsid w:val="259947EF"/>
    <w:rsid w:val="25B30C93"/>
    <w:rsid w:val="25D52ECE"/>
    <w:rsid w:val="25E608D5"/>
    <w:rsid w:val="25ED19D8"/>
    <w:rsid w:val="25FF7DFE"/>
    <w:rsid w:val="26000232"/>
    <w:rsid w:val="261B6DDC"/>
    <w:rsid w:val="261CC355"/>
    <w:rsid w:val="263EBB7F"/>
    <w:rsid w:val="265674B5"/>
    <w:rsid w:val="265BFA50"/>
    <w:rsid w:val="26615230"/>
    <w:rsid w:val="266DBBBF"/>
    <w:rsid w:val="2670EE28"/>
    <w:rsid w:val="267F029A"/>
    <w:rsid w:val="26840A84"/>
    <w:rsid w:val="26886773"/>
    <w:rsid w:val="269DFC7F"/>
    <w:rsid w:val="26AC8734"/>
    <w:rsid w:val="27029CDA"/>
    <w:rsid w:val="2710CE82"/>
    <w:rsid w:val="272119D5"/>
    <w:rsid w:val="274A1B00"/>
    <w:rsid w:val="274AD17E"/>
    <w:rsid w:val="274E8DF7"/>
    <w:rsid w:val="27523562"/>
    <w:rsid w:val="27584B65"/>
    <w:rsid w:val="2767A453"/>
    <w:rsid w:val="276FED3C"/>
    <w:rsid w:val="277BFA6D"/>
    <w:rsid w:val="27AEE948"/>
    <w:rsid w:val="27B8475A"/>
    <w:rsid w:val="27BC59C6"/>
    <w:rsid w:val="27BE5BBF"/>
    <w:rsid w:val="27CC0BAD"/>
    <w:rsid w:val="27DA9DC3"/>
    <w:rsid w:val="27E7A2FD"/>
    <w:rsid w:val="2806232D"/>
    <w:rsid w:val="2814AC0F"/>
    <w:rsid w:val="28517310"/>
    <w:rsid w:val="28648134"/>
    <w:rsid w:val="28665C70"/>
    <w:rsid w:val="28739754"/>
    <w:rsid w:val="2878A3DE"/>
    <w:rsid w:val="288237BD"/>
    <w:rsid w:val="289B794E"/>
    <w:rsid w:val="28A0DBDC"/>
    <w:rsid w:val="28C147EE"/>
    <w:rsid w:val="28CB90BC"/>
    <w:rsid w:val="28DA83F8"/>
    <w:rsid w:val="291342BD"/>
    <w:rsid w:val="2924EFC4"/>
    <w:rsid w:val="295417BB"/>
    <w:rsid w:val="29640FB8"/>
    <w:rsid w:val="2967DC0E"/>
    <w:rsid w:val="298E7BE5"/>
    <w:rsid w:val="29927DB7"/>
    <w:rsid w:val="29A82A51"/>
    <w:rsid w:val="29ADE5B6"/>
    <w:rsid w:val="29B07C70"/>
    <w:rsid w:val="29C7C325"/>
    <w:rsid w:val="29ED5011"/>
    <w:rsid w:val="29F5A4AF"/>
    <w:rsid w:val="29F65A78"/>
    <w:rsid w:val="2A5027AD"/>
    <w:rsid w:val="2A5E2F0F"/>
    <w:rsid w:val="2A6C8C44"/>
    <w:rsid w:val="2A7DBD14"/>
    <w:rsid w:val="2A92B324"/>
    <w:rsid w:val="2AA0C1B0"/>
    <w:rsid w:val="2AAFE371"/>
    <w:rsid w:val="2AB04C89"/>
    <w:rsid w:val="2AC9CD02"/>
    <w:rsid w:val="2AD0D86B"/>
    <w:rsid w:val="2AE85658"/>
    <w:rsid w:val="2AEFE81C"/>
    <w:rsid w:val="2B1469A8"/>
    <w:rsid w:val="2B1EFC9F"/>
    <w:rsid w:val="2B2F62C0"/>
    <w:rsid w:val="2B43B3C8"/>
    <w:rsid w:val="2B5BBBD3"/>
    <w:rsid w:val="2B6468ED"/>
    <w:rsid w:val="2B64A857"/>
    <w:rsid w:val="2B8760FC"/>
    <w:rsid w:val="2B883EEB"/>
    <w:rsid w:val="2BC6ABB7"/>
    <w:rsid w:val="2BC97032"/>
    <w:rsid w:val="2BE12BFC"/>
    <w:rsid w:val="2BE4C832"/>
    <w:rsid w:val="2BE601BA"/>
    <w:rsid w:val="2C0418A8"/>
    <w:rsid w:val="2C0CBAEB"/>
    <w:rsid w:val="2C290FEE"/>
    <w:rsid w:val="2C2C37C7"/>
    <w:rsid w:val="2C51622C"/>
    <w:rsid w:val="2C56C9AF"/>
    <w:rsid w:val="2C61B8DC"/>
    <w:rsid w:val="2C9A5981"/>
    <w:rsid w:val="2CCDF9DB"/>
    <w:rsid w:val="2CDC6671"/>
    <w:rsid w:val="2D06FF28"/>
    <w:rsid w:val="2D15A19A"/>
    <w:rsid w:val="2D195064"/>
    <w:rsid w:val="2D1AF694"/>
    <w:rsid w:val="2D1E7CFC"/>
    <w:rsid w:val="2D2DFB3A"/>
    <w:rsid w:val="2D6FCF6F"/>
    <w:rsid w:val="2D700240"/>
    <w:rsid w:val="2D721090"/>
    <w:rsid w:val="2D8DD91C"/>
    <w:rsid w:val="2D8EE3E3"/>
    <w:rsid w:val="2D9AEF7C"/>
    <w:rsid w:val="2DBC5E35"/>
    <w:rsid w:val="2DD214D4"/>
    <w:rsid w:val="2DDAED45"/>
    <w:rsid w:val="2DDBCF93"/>
    <w:rsid w:val="2DDED54B"/>
    <w:rsid w:val="2DE321EF"/>
    <w:rsid w:val="2DE48667"/>
    <w:rsid w:val="2DF4EF36"/>
    <w:rsid w:val="2E0A22D6"/>
    <w:rsid w:val="2E24BB60"/>
    <w:rsid w:val="2E2B5F3E"/>
    <w:rsid w:val="2E2EB17B"/>
    <w:rsid w:val="2E5D396E"/>
    <w:rsid w:val="2E7A2DC9"/>
    <w:rsid w:val="2E7DB6DE"/>
    <w:rsid w:val="2EC1F840"/>
    <w:rsid w:val="2EE453CE"/>
    <w:rsid w:val="2F29A97D"/>
    <w:rsid w:val="2F29BBE7"/>
    <w:rsid w:val="2F35387C"/>
    <w:rsid w:val="2F367618"/>
    <w:rsid w:val="2F508DC0"/>
    <w:rsid w:val="2F509857"/>
    <w:rsid w:val="2F582E96"/>
    <w:rsid w:val="2F6E9DBF"/>
    <w:rsid w:val="2F93FC1E"/>
    <w:rsid w:val="2F951C15"/>
    <w:rsid w:val="2FCD9D70"/>
    <w:rsid w:val="2FD9DF96"/>
    <w:rsid w:val="2FDEF673"/>
    <w:rsid w:val="2FE44988"/>
    <w:rsid w:val="2FE6C5CD"/>
    <w:rsid w:val="2FF045EF"/>
    <w:rsid w:val="2FF7F123"/>
    <w:rsid w:val="2FFBEE6B"/>
    <w:rsid w:val="301BA451"/>
    <w:rsid w:val="30256E5A"/>
    <w:rsid w:val="303624CB"/>
    <w:rsid w:val="304555D1"/>
    <w:rsid w:val="304BD989"/>
    <w:rsid w:val="30521E8A"/>
    <w:rsid w:val="306C5F06"/>
    <w:rsid w:val="306E3553"/>
    <w:rsid w:val="30717E05"/>
    <w:rsid w:val="3086801C"/>
    <w:rsid w:val="3086F7C3"/>
    <w:rsid w:val="30973604"/>
    <w:rsid w:val="309F6CC1"/>
    <w:rsid w:val="309FDC0D"/>
    <w:rsid w:val="30B83955"/>
    <w:rsid w:val="30B8A694"/>
    <w:rsid w:val="30BB0474"/>
    <w:rsid w:val="30D431F0"/>
    <w:rsid w:val="30DD8392"/>
    <w:rsid w:val="310369EC"/>
    <w:rsid w:val="310941DD"/>
    <w:rsid w:val="311EF93D"/>
    <w:rsid w:val="3134A298"/>
    <w:rsid w:val="314062AB"/>
    <w:rsid w:val="314F4BC9"/>
    <w:rsid w:val="31505782"/>
    <w:rsid w:val="31532ADE"/>
    <w:rsid w:val="3159318D"/>
    <w:rsid w:val="3169B21D"/>
    <w:rsid w:val="3177F70F"/>
    <w:rsid w:val="3186765B"/>
    <w:rsid w:val="31B4C028"/>
    <w:rsid w:val="31BDFE51"/>
    <w:rsid w:val="31E520F0"/>
    <w:rsid w:val="3222C824"/>
    <w:rsid w:val="325409B6"/>
    <w:rsid w:val="3255433E"/>
    <w:rsid w:val="32597397"/>
    <w:rsid w:val="325BF73C"/>
    <w:rsid w:val="32615CA9"/>
    <w:rsid w:val="32685189"/>
    <w:rsid w:val="3269B9B8"/>
    <w:rsid w:val="327B52B2"/>
    <w:rsid w:val="328C5EC6"/>
    <w:rsid w:val="328E52EC"/>
    <w:rsid w:val="329160D4"/>
    <w:rsid w:val="32A4BE09"/>
    <w:rsid w:val="32B2466E"/>
    <w:rsid w:val="32E677C4"/>
    <w:rsid w:val="32FC0CE1"/>
    <w:rsid w:val="32FF6F33"/>
    <w:rsid w:val="32FFA0F9"/>
    <w:rsid w:val="3328D9F4"/>
    <w:rsid w:val="333632BC"/>
    <w:rsid w:val="3342F838"/>
    <w:rsid w:val="334EA863"/>
    <w:rsid w:val="3371A3D4"/>
    <w:rsid w:val="33818CF8"/>
    <w:rsid w:val="33930EE3"/>
    <w:rsid w:val="33BBDD51"/>
    <w:rsid w:val="33BE9885"/>
    <w:rsid w:val="33C4EADC"/>
    <w:rsid w:val="33D77A6D"/>
    <w:rsid w:val="33D7EDB6"/>
    <w:rsid w:val="33FD2D0A"/>
    <w:rsid w:val="33FD9625"/>
    <w:rsid w:val="34172313"/>
    <w:rsid w:val="341B88DE"/>
    <w:rsid w:val="342E3798"/>
    <w:rsid w:val="343D5CE8"/>
    <w:rsid w:val="344001CD"/>
    <w:rsid w:val="345B0CBE"/>
    <w:rsid w:val="3463647D"/>
    <w:rsid w:val="346CE522"/>
    <w:rsid w:val="349C330B"/>
    <w:rsid w:val="34AD8B71"/>
    <w:rsid w:val="34B9E577"/>
    <w:rsid w:val="34BB26BB"/>
    <w:rsid w:val="34C1A96F"/>
    <w:rsid w:val="34D3388D"/>
    <w:rsid w:val="34F32F17"/>
    <w:rsid w:val="3539EA7C"/>
    <w:rsid w:val="35414089"/>
    <w:rsid w:val="355A63E4"/>
    <w:rsid w:val="358BCC4E"/>
    <w:rsid w:val="3598FD6B"/>
    <w:rsid w:val="359EA48D"/>
    <w:rsid w:val="35A299CD"/>
    <w:rsid w:val="35B04C8D"/>
    <w:rsid w:val="35C60F5F"/>
    <w:rsid w:val="35DF1212"/>
    <w:rsid w:val="35E9D94D"/>
    <w:rsid w:val="35F9E542"/>
    <w:rsid w:val="362DAF2F"/>
    <w:rsid w:val="3643A7B2"/>
    <w:rsid w:val="368EFF78"/>
    <w:rsid w:val="369269B2"/>
    <w:rsid w:val="36964C1E"/>
    <w:rsid w:val="36B7BB7D"/>
    <w:rsid w:val="36BB1B0D"/>
    <w:rsid w:val="36C18197"/>
    <w:rsid w:val="36D4F38B"/>
    <w:rsid w:val="36DA3FE2"/>
    <w:rsid w:val="36FB53AA"/>
    <w:rsid w:val="37065393"/>
    <w:rsid w:val="37298A3A"/>
    <w:rsid w:val="37349F6F"/>
    <w:rsid w:val="3766A608"/>
    <w:rsid w:val="376B82B5"/>
    <w:rsid w:val="376C3072"/>
    <w:rsid w:val="378ECF91"/>
    <w:rsid w:val="379BA305"/>
    <w:rsid w:val="37ABF9F1"/>
    <w:rsid w:val="37C1A7BA"/>
    <w:rsid w:val="37C444EC"/>
    <w:rsid w:val="37CD9ABB"/>
    <w:rsid w:val="37D3A145"/>
    <w:rsid w:val="37D63310"/>
    <w:rsid w:val="37E474CB"/>
    <w:rsid w:val="37F2AE0C"/>
    <w:rsid w:val="37F39763"/>
    <w:rsid w:val="380B0C20"/>
    <w:rsid w:val="38279819"/>
    <w:rsid w:val="38293DA8"/>
    <w:rsid w:val="382ACFD9"/>
    <w:rsid w:val="3843C45F"/>
    <w:rsid w:val="3894D54B"/>
    <w:rsid w:val="38A77B63"/>
    <w:rsid w:val="38C057E9"/>
    <w:rsid w:val="38D2147A"/>
    <w:rsid w:val="38E1A29A"/>
    <w:rsid w:val="38EEFA01"/>
    <w:rsid w:val="39056A6F"/>
    <w:rsid w:val="391322FC"/>
    <w:rsid w:val="39247D27"/>
    <w:rsid w:val="3925B511"/>
    <w:rsid w:val="39318604"/>
    <w:rsid w:val="39648FB0"/>
    <w:rsid w:val="396DF11A"/>
    <w:rsid w:val="396E34B0"/>
    <w:rsid w:val="39B02ACD"/>
    <w:rsid w:val="39B0C2C4"/>
    <w:rsid w:val="39D7C402"/>
    <w:rsid w:val="39E84633"/>
    <w:rsid w:val="3A0B8237"/>
    <w:rsid w:val="3A15EAF2"/>
    <w:rsid w:val="3A23F59D"/>
    <w:rsid w:val="3A289108"/>
    <w:rsid w:val="3A28F63B"/>
    <w:rsid w:val="3A2DDA09"/>
    <w:rsid w:val="3A44D9CC"/>
    <w:rsid w:val="3A4DE0C4"/>
    <w:rsid w:val="3A5C36A2"/>
    <w:rsid w:val="3A6EAC34"/>
    <w:rsid w:val="3A7AA1A3"/>
    <w:rsid w:val="3AA35648"/>
    <w:rsid w:val="3ABDA869"/>
    <w:rsid w:val="3AC19FE1"/>
    <w:rsid w:val="3AD74CC4"/>
    <w:rsid w:val="3ADE8550"/>
    <w:rsid w:val="3AE97D25"/>
    <w:rsid w:val="3AFCADC0"/>
    <w:rsid w:val="3B209E7C"/>
    <w:rsid w:val="3B21BDBF"/>
    <w:rsid w:val="3B2566B2"/>
    <w:rsid w:val="3B3257B4"/>
    <w:rsid w:val="3B6B6EF0"/>
    <w:rsid w:val="3B705176"/>
    <w:rsid w:val="3BAD6F8D"/>
    <w:rsid w:val="3BAD91F1"/>
    <w:rsid w:val="3BBBCB0B"/>
    <w:rsid w:val="3BC3280A"/>
    <w:rsid w:val="3BF8CDF9"/>
    <w:rsid w:val="3C246091"/>
    <w:rsid w:val="3C58E847"/>
    <w:rsid w:val="3C5927EE"/>
    <w:rsid w:val="3C73E779"/>
    <w:rsid w:val="3C9078DB"/>
    <w:rsid w:val="3C97BDE6"/>
    <w:rsid w:val="3C995383"/>
    <w:rsid w:val="3CB041E7"/>
    <w:rsid w:val="3CFF6879"/>
    <w:rsid w:val="3D11EBC4"/>
    <w:rsid w:val="3D37767E"/>
    <w:rsid w:val="3D4512D6"/>
    <w:rsid w:val="3D472EC4"/>
    <w:rsid w:val="3D567D9C"/>
    <w:rsid w:val="3D6693B4"/>
    <w:rsid w:val="3D77C7E5"/>
    <w:rsid w:val="3D7C76DD"/>
    <w:rsid w:val="3D7DB928"/>
    <w:rsid w:val="3DC94985"/>
    <w:rsid w:val="3DCE8DA9"/>
    <w:rsid w:val="3DE05A5A"/>
    <w:rsid w:val="3DF0F73E"/>
    <w:rsid w:val="3DFD10EB"/>
    <w:rsid w:val="3E072A43"/>
    <w:rsid w:val="3E1218C5"/>
    <w:rsid w:val="3E270FCE"/>
    <w:rsid w:val="3E583F3E"/>
    <w:rsid w:val="3E79F95D"/>
    <w:rsid w:val="3E800ACB"/>
    <w:rsid w:val="3E9D4377"/>
    <w:rsid w:val="3EA3EFAE"/>
    <w:rsid w:val="3ECAEADF"/>
    <w:rsid w:val="3EF42137"/>
    <w:rsid w:val="3F11CF5D"/>
    <w:rsid w:val="3F14A213"/>
    <w:rsid w:val="3F1511B2"/>
    <w:rsid w:val="3F2BC00F"/>
    <w:rsid w:val="3F5625D1"/>
    <w:rsid w:val="3F6C94D4"/>
    <w:rsid w:val="3F738132"/>
    <w:rsid w:val="3F854267"/>
    <w:rsid w:val="3FE3D264"/>
    <w:rsid w:val="4017B209"/>
    <w:rsid w:val="4029C3BC"/>
    <w:rsid w:val="405515F9"/>
    <w:rsid w:val="407A8027"/>
    <w:rsid w:val="40877AFE"/>
    <w:rsid w:val="40A3418B"/>
    <w:rsid w:val="40B15AFA"/>
    <w:rsid w:val="40B413D9"/>
    <w:rsid w:val="40B64C10"/>
    <w:rsid w:val="40E46B5A"/>
    <w:rsid w:val="40E69653"/>
    <w:rsid w:val="40EA8941"/>
    <w:rsid w:val="40EAF71F"/>
    <w:rsid w:val="40ECED3C"/>
    <w:rsid w:val="4104274F"/>
    <w:rsid w:val="41280088"/>
    <w:rsid w:val="413670CB"/>
    <w:rsid w:val="413C97E9"/>
    <w:rsid w:val="414C347E"/>
    <w:rsid w:val="41618DB6"/>
    <w:rsid w:val="416CF777"/>
    <w:rsid w:val="41855755"/>
    <w:rsid w:val="419489B7"/>
    <w:rsid w:val="419E98A6"/>
    <w:rsid w:val="41A16943"/>
    <w:rsid w:val="41B700C3"/>
    <w:rsid w:val="41C28D51"/>
    <w:rsid w:val="41C44764"/>
    <w:rsid w:val="41CD2B98"/>
    <w:rsid w:val="41D9E799"/>
    <w:rsid w:val="42419DC0"/>
    <w:rsid w:val="4251EA46"/>
    <w:rsid w:val="42538CB6"/>
    <w:rsid w:val="42550E58"/>
    <w:rsid w:val="4271B564"/>
    <w:rsid w:val="427208F5"/>
    <w:rsid w:val="427EE98E"/>
    <w:rsid w:val="42B879D9"/>
    <w:rsid w:val="42C02356"/>
    <w:rsid w:val="42D8684A"/>
    <w:rsid w:val="430BF50A"/>
    <w:rsid w:val="431FC526"/>
    <w:rsid w:val="432F874F"/>
    <w:rsid w:val="4358E8C2"/>
    <w:rsid w:val="435AC096"/>
    <w:rsid w:val="43721F90"/>
    <w:rsid w:val="437941B4"/>
    <w:rsid w:val="43823C20"/>
    <w:rsid w:val="4399417B"/>
    <w:rsid w:val="43D17AD9"/>
    <w:rsid w:val="43DAAE8F"/>
    <w:rsid w:val="43ED7B03"/>
    <w:rsid w:val="43F64ADF"/>
    <w:rsid w:val="43FB2963"/>
    <w:rsid w:val="43FF3132"/>
    <w:rsid w:val="4401FBC8"/>
    <w:rsid w:val="440A23BA"/>
    <w:rsid w:val="4418A511"/>
    <w:rsid w:val="4464D0F3"/>
    <w:rsid w:val="448274CE"/>
    <w:rsid w:val="44845A77"/>
    <w:rsid w:val="44A916C6"/>
    <w:rsid w:val="44B47CF7"/>
    <w:rsid w:val="44BCA39E"/>
    <w:rsid w:val="44E22DDE"/>
    <w:rsid w:val="4510C405"/>
    <w:rsid w:val="451E0C81"/>
    <w:rsid w:val="4521C670"/>
    <w:rsid w:val="4527A864"/>
    <w:rsid w:val="4562DBA2"/>
    <w:rsid w:val="457166D0"/>
    <w:rsid w:val="4581D21F"/>
    <w:rsid w:val="458788C2"/>
    <w:rsid w:val="458ED8A7"/>
    <w:rsid w:val="459B925E"/>
    <w:rsid w:val="45A45DD8"/>
    <w:rsid w:val="45B25CEF"/>
    <w:rsid w:val="45CC5495"/>
    <w:rsid w:val="45D7E799"/>
    <w:rsid w:val="4610090C"/>
    <w:rsid w:val="4617F692"/>
    <w:rsid w:val="461866F0"/>
    <w:rsid w:val="4648E113"/>
    <w:rsid w:val="4682C4D0"/>
    <w:rsid w:val="4689BBCB"/>
    <w:rsid w:val="469E4E35"/>
    <w:rsid w:val="46B242CB"/>
    <w:rsid w:val="46BBA284"/>
    <w:rsid w:val="4729ACD8"/>
    <w:rsid w:val="473CC0ED"/>
    <w:rsid w:val="474E2D50"/>
    <w:rsid w:val="47530A99"/>
    <w:rsid w:val="475D1CF9"/>
    <w:rsid w:val="4766957B"/>
    <w:rsid w:val="477038D7"/>
    <w:rsid w:val="477FBDD8"/>
    <w:rsid w:val="47870FF3"/>
    <w:rsid w:val="479820C6"/>
    <w:rsid w:val="479A38E1"/>
    <w:rsid w:val="47A016D6"/>
    <w:rsid w:val="47DA4738"/>
    <w:rsid w:val="47F8BB78"/>
    <w:rsid w:val="47FA542B"/>
    <w:rsid w:val="4805D8CC"/>
    <w:rsid w:val="482AE069"/>
    <w:rsid w:val="4843E800"/>
    <w:rsid w:val="48499B0E"/>
    <w:rsid w:val="48720F73"/>
    <w:rsid w:val="48C57D39"/>
    <w:rsid w:val="48C82D5B"/>
    <w:rsid w:val="48CABE43"/>
    <w:rsid w:val="48D67BB3"/>
    <w:rsid w:val="48F12BFF"/>
    <w:rsid w:val="490FD778"/>
    <w:rsid w:val="4916633D"/>
    <w:rsid w:val="491A3FBD"/>
    <w:rsid w:val="49218D7A"/>
    <w:rsid w:val="493C95DA"/>
    <w:rsid w:val="494F9754"/>
    <w:rsid w:val="4952785A"/>
    <w:rsid w:val="497D1B31"/>
    <w:rsid w:val="497E44CA"/>
    <w:rsid w:val="499602A8"/>
    <w:rsid w:val="49A0EA25"/>
    <w:rsid w:val="49A9134D"/>
    <w:rsid w:val="49AEBC13"/>
    <w:rsid w:val="4A124652"/>
    <w:rsid w:val="4A1B5E52"/>
    <w:rsid w:val="4A3C1DB4"/>
    <w:rsid w:val="4A3CC33B"/>
    <w:rsid w:val="4A3FB345"/>
    <w:rsid w:val="4A4000BE"/>
    <w:rsid w:val="4A537E9B"/>
    <w:rsid w:val="4A5A5EA7"/>
    <w:rsid w:val="4A5AF9E5"/>
    <w:rsid w:val="4A5CE449"/>
    <w:rsid w:val="4A733883"/>
    <w:rsid w:val="4A7E9599"/>
    <w:rsid w:val="4A84056A"/>
    <w:rsid w:val="4A842576"/>
    <w:rsid w:val="4A8435C8"/>
    <w:rsid w:val="4A8B4DA0"/>
    <w:rsid w:val="4A9B4F02"/>
    <w:rsid w:val="4AA57124"/>
    <w:rsid w:val="4ACB6757"/>
    <w:rsid w:val="4B124E5E"/>
    <w:rsid w:val="4B14D9A2"/>
    <w:rsid w:val="4B1E8862"/>
    <w:rsid w:val="4B325441"/>
    <w:rsid w:val="4B360AC9"/>
    <w:rsid w:val="4B5B04E9"/>
    <w:rsid w:val="4BC12D22"/>
    <w:rsid w:val="4BDB2BFA"/>
    <w:rsid w:val="4BE0C551"/>
    <w:rsid w:val="4BF559BA"/>
    <w:rsid w:val="4BF5B161"/>
    <w:rsid w:val="4BFD1DFB"/>
    <w:rsid w:val="4C04B133"/>
    <w:rsid w:val="4C0B5829"/>
    <w:rsid w:val="4C143CA3"/>
    <w:rsid w:val="4C21E1F9"/>
    <w:rsid w:val="4C30AD68"/>
    <w:rsid w:val="4C34FED9"/>
    <w:rsid w:val="4C38B77E"/>
    <w:rsid w:val="4CB7CB4E"/>
    <w:rsid w:val="4CE052A1"/>
    <w:rsid w:val="4CE4485C"/>
    <w:rsid w:val="4CE52B36"/>
    <w:rsid w:val="4CEA8D39"/>
    <w:rsid w:val="4CF397E2"/>
    <w:rsid w:val="4CFA7D0F"/>
    <w:rsid w:val="4D00520F"/>
    <w:rsid w:val="4D1793A4"/>
    <w:rsid w:val="4D22F78B"/>
    <w:rsid w:val="4D259E15"/>
    <w:rsid w:val="4D3B9946"/>
    <w:rsid w:val="4D3C8696"/>
    <w:rsid w:val="4D44F04F"/>
    <w:rsid w:val="4D49E714"/>
    <w:rsid w:val="4D5313F3"/>
    <w:rsid w:val="4D5EA351"/>
    <w:rsid w:val="4D6CABE0"/>
    <w:rsid w:val="4D770E04"/>
    <w:rsid w:val="4D912A1B"/>
    <w:rsid w:val="4DABC304"/>
    <w:rsid w:val="4DDA0CA9"/>
    <w:rsid w:val="4DE44FE2"/>
    <w:rsid w:val="4DFC7B06"/>
    <w:rsid w:val="4DFDE085"/>
    <w:rsid w:val="4E2B546C"/>
    <w:rsid w:val="4E4206BF"/>
    <w:rsid w:val="4E43ACEC"/>
    <w:rsid w:val="4E487CE3"/>
    <w:rsid w:val="4E53CCAC"/>
    <w:rsid w:val="4E55EBF6"/>
    <w:rsid w:val="4E58F0A2"/>
    <w:rsid w:val="4E5952C1"/>
    <w:rsid w:val="4E7B7000"/>
    <w:rsid w:val="4E80FB97"/>
    <w:rsid w:val="4E93438F"/>
    <w:rsid w:val="4EA5D21D"/>
    <w:rsid w:val="4EB34A4A"/>
    <w:rsid w:val="4EB59D5D"/>
    <w:rsid w:val="4ED9DC4A"/>
    <w:rsid w:val="4EEB861C"/>
    <w:rsid w:val="4EF28BCE"/>
    <w:rsid w:val="4F1C7169"/>
    <w:rsid w:val="4F21E004"/>
    <w:rsid w:val="4F27BB30"/>
    <w:rsid w:val="4F6F2DC6"/>
    <w:rsid w:val="4F820952"/>
    <w:rsid w:val="4FBE332C"/>
    <w:rsid w:val="4FC7329F"/>
    <w:rsid w:val="4FCFB8FE"/>
    <w:rsid w:val="4FDDE465"/>
    <w:rsid w:val="4FE9D2F1"/>
    <w:rsid w:val="4FF52CB3"/>
    <w:rsid w:val="5000E302"/>
    <w:rsid w:val="50053B79"/>
    <w:rsid w:val="50121D18"/>
    <w:rsid w:val="5012A098"/>
    <w:rsid w:val="501CCBF8"/>
    <w:rsid w:val="50225C0B"/>
    <w:rsid w:val="5025B254"/>
    <w:rsid w:val="50468804"/>
    <w:rsid w:val="50573EAD"/>
    <w:rsid w:val="5061A89F"/>
    <w:rsid w:val="50621CF4"/>
    <w:rsid w:val="507501FC"/>
    <w:rsid w:val="507C4214"/>
    <w:rsid w:val="5091251D"/>
    <w:rsid w:val="509BAB5C"/>
    <w:rsid w:val="50A2CBCE"/>
    <w:rsid w:val="50D47F9A"/>
    <w:rsid w:val="50ED5A44"/>
    <w:rsid w:val="50FF159F"/>
    <w:rsid w:val="5120081A"/>
    <w:rsid w:val="512DE59A"/>
    <w:rsid w:val="5131FDBB"/>
    <w:rsid w:val="51457108"/>
    <w:rsid w:val="51473177"/>
    <w:rsid w:val="5167A295"/>
    <w:rsid w:val="5167FAA6"/>
    <w:rsid w:val="5192218D"/>
    <w:rsid w:val="51C5FD46"/>
    <w:rsid w:val="51D88BB1"/>
    <w:rsid w:val="51E49E29"/>
    <w:rsid w:val="51E503CB"/>
    <w:rsid w:val="5202721E"/>
    <w:rsid w:val="52224005"/>
    <w:rsid w:val="52632E9F"/>
    <w:rsid w:val="52660D03"/>
    <w:rsid w:val="528B3184"/>
    <w:rsid w:val="5299E732"/>
    <w:rsid w:val="52C67298"/>
    <w:rsid w:val="52D666CC"/>
    <w:rsid w:val="52DBE7F1"/>
    <w:rsid w:val="52EC2FE0"/>
    <w:rsid w:val="530307D4"/>
    <w:rsid w:val="531171F9"/>
    <w:rsid w:val="53215535"/>
    <w:rsid w:val="534CB9D9"/>
    <w:rsid w:val="534E70E4"/>
    <w:rsid w:val="53541F31"/>
    <w:rsid w:val="535C1638"/>
    <w:rsid w:val="5377CE94"/>
    <w:rsid w:val="53951727"/>
    <w:rsid w:val="53AFB9C7"/>
    <w:rsid w:val="53D6BC9F"/>
    <w:rsid w:val="53E37372"/>
    <w:rsid w:val="5400A975"/>
    <w:rsid w:val="54080CA6"/>
    <w:rsid w:val="54088BBE"/>
    <w:rsid w:val="541ACDF1"/>
    <w:rsid w:val="541FF7F5"/>
    <w:rsid w:val="5422EC4E"/>
    <w:rsid w:val="54392554"/>
    <w:rsid w:val="543D8108"/>
    <w:rsid w:val="5443A7B3"/>
    <w:rsid w:val="547D751B"/>
    <w:rsid w:val="547F8EA2"/>
    <w:rsid w:val="548D859B"/>
    <w:rsid w:val="54998D30"/>
    <w:rsid w:val="54D14446"/>
    <w:rsid w:val="54F9D556"/>
    <w:rsid w:val="55182590"/>
    <w:rsid w:val="551905DE"/>
    <w:rsid w:val="552EAEFB"/>
    <w:rsid w:val="55783328"/>
    <w:rsid w:val="557882A0"/>
    <w:rsid w:val="5595896A"/>
    <w:rsid w:val="55A41371"/>
    <w:rsid w:val="55B83F22"/>
    <w:rsid w:val="55B9A090"/>
    <w:rsid w:val="55C7AC03"/>
    <w:rsid w:val="55CC8266"/>
    <w:rsid w:val="55F5153B"/>
    <w:rsid w:val="55F9CED9"/>
    <w:rsid w:val="560537F4"/>
    <w:rsid w:val="5609B94A"/>
    <w:rsid w:val="561924E1"/>
    <w:rsid w:val="5619457C"/>
    <w:rsid w:val="5621B09A"/>
    <w:rsid w:val="56271F98"/>
    <w:rsid w:val="56325981"/>
    <w:rsid w:val="5656BF35"/>
    <w:rsid w:val="56665C0C"/>
    <w:rsid w:val="566D593F"/>
    <w:rsid w:val="56723934"/>
    <w:rsid w:val="56729BF4"/>
    <w:rsid w:val="568BB8DC"/>
    <w:rsid w:val="56A66E84"/>
    <w:rsid w:val="56AA3C4C"/>
    <w:rsid w:val="56B0CA05"/>
    <w:rsid w:val="56F2E46A"/>
    <w:rsid w:val="570A4A04"/>
    <w:rsid w:val="571997D5"/>
    <w:rsid w:val="571A96EC"/>
    <w:rsid w:val="57382CC7"/>
    <w:rsid w:val="5742D352"/>
    <w:rsid w:val="5756F4CC"/>
    <w:rsid w:val="576D5B3A"/>
    <w:rsid w:val="577C971B"/>
    <w:rsid w:val="57843192"/>
    <w:rsid w:val="5790A1C3"/>
    <w:rsid w:val="580CCD4E"/>
    <w:rsid w:val="5827893D"/>
    <w:rsid w:val="58521A40"/>
    <w:rsid w:val="585FD45E"/>
    <w:rsid w:val="5878D4A2"/>
    <w:rsid w:val="589887DE"/>
    <w:rsid w:val="589C97CD"/>
    <w:rsid w:val="58AA8C12"/>
    <w:rsid w:val="58ADDDB3"/>
    <w:rsid w:val="58CBE951"/>
    <w:rsid w:val="58DE3F0B"/>
    <w:rsid w:val="58F0FF27"/>
    <w:rsid w:val="58FE17C0"/>
    <w:rsid w:val="59097CCB"/>
    <w:rsid w:val="59119A03"/>
    <w:rsid w:val="5920662D"/>
    <w:rsid w:val="59300C83"/>
    <w:rsid w:val="593CEB33"/>
    <w:rsid w:val="595B76F4"/>
    <w:rsid w:val="59653DA9"/>
    <w:rsid w:val="59AA5478"/>
    <w:rsid w:val="59B5766A"/>
    <w:rsid w:val="59C093C5"/>
    <w:rsid w:val="59C73A13"/>
    <w:rsid w:val="59FDCEF5"/>
    <w:rsid w:val="5A0DE08C"/>
    <w:rsid w:val="5A1B7E81"/>
    <w:rsid w:val="5A1E516E"/>
    <w:rsid w:val="5A233597"/>
    <w:rsid w:val="5A8A2A8C"/>
    <w:rsid w:val="5A8CCF88"/>
    <w:rsid w:val="5AA04849"/>
    <w:rsid w:val="5AD3ABA8"/>
    <w:rsid w:val="5AE1B1C0"/>
    <w:rsid w:val="5AF112F1"/>
    <w:rsid w:val="5B1D3279"/>
    <w:rsid w:val="5B2D6289"/>
    <w:rsid w:val="5B380CBC"/>
    <w:rsid w:val="5B3CA9B9"/>
    <w:rsid w:val="5B5F3116"/>
    <w:rsid w:val="5B72D42C"/>
    <w:rsid w:val="5B75CC2F"/>
    <w:rsid w:val="5B9B9A3C"/>
    <w:rsid w:val="5BF8BC22"/>
    <w:rsid w:val="5C00D503"/>
    <w:rsid w:val="5C14DB96"/>
    <w:rsid w:val="5C1CA382"/>
    <w:rsid w:val="5C2B715C"/>
    <w:rsid w:val="5C38B400"/>
    <w:rsid w:val="5C546D24"/>
    <w:rsid w:val="5C902241"/>
    <w:rsid w:val="5C9CCC75"/>
    <w:rsid w:val="5CF0934F"/>
    <w:rsid w:val="5D09BBAC"/>
    <w:rsid w:val="5D28534B"/>
    <w:rsid w:val="5D3BD01F"/>
    <w:rsid w:val="5D47AD26"/>
    <w:rsid w:val="5D586A4C"/>
    <w:rsid w:val="5D682679"/>
    <w:rsid w:val="5D6D2CAC"/>
    <w:rsid w:val="5D840CE2"/>
    <w:rsid w:val="5DB793F4"/>
    <w:rsid w:val="5DB7C2C7"/>
    <w:rsid w:val="5DC4704A"/>
    <w:rsid w:val="5DD62BF9"/>
    <w:rsid w:val="5DEE56BD"/>
    <w:rsid w:val="5E07692D"/>
    <w:rsid w:val="5E0E3829"/>
    <w:rsid w:val="5E1E569C"/>
    <w:rsid w:val="5E23AEB1"/>
    <w:rsid w:val="5E39FD9C"/>
    <w:rsid w:val="5E763DB7"/>
    <w:rsid w:val="5E7AD9F2"/>
    <w:rsid w:val="5E84C886"/>
    <w:rsid w:val="5EAC24DE"/>
    <w:rsid w:val="5EB20AA2"/>
    <w:rsid w:val="5EB75442"/>
    <w:rsid w:val="5EC8CC52"/>
    <w:rsid w:val="5ECA1952"/>
    <w:rsid w:val="5F1F8E0F"/>
    <w:rsid w:val="5F2CF646"/>
    <w:rsid w:val="5F3498B8"/>
    <w:rsid w:val="5F5230F2"/>
    <w:rsid w:val="5F544444"/>
    <w:rsid w:val="5F566DBB"/>
    <w:rsid w:val="5F6040AB"/>
    <w:rsid w:val="5F64AE98"/>
    <w:rsid w:val="5F6ABDE7"/>
    <w:rsid w:val="5F704614"/>
    <w:rsid w:val="5F94493C"/>
    <w:rsid w:val="5F985C71"/>
    <w:rsid w:val="5FB889CB"/>
    <w:rsid w:val="5FCAEC47"/>
    <w:rsid w:val="60052B31"/>
    <w:rsid w:val="601B8F35"/>
    <w:rsid w:val="604DD995"/>
    <w:rsid w:val="60899DB3"/>
    <w:rsid w:val="609761A6"/>
    <w:rsid w:val="60B37FA4"/>
    <w:rsid w:val="60B3C0CE"/>
    <w:rsid w:val="60BA0231"/>
    <w:rsid w:val="60DBC34B"/>
    <w:rsid w:val="60E3EE30"/>
    <w:rsid w:val="60F014A5"/>
    <w:rsid w:val="60F23B00"/>
    <w:rsid w:val="6100115E"/>
    <w:rsid w:val="61011A28"/>
    <w:rsid w:val="611CFDE7"/>
    <w:rsid w:val="613689DA"/>
    <w:rsid w:val="61581FFE"/>
    <w:rsid w:val="6199E796"/>
    <w:rsid w:val="61A661D1"/>
    <w:rsid w:val="61AF2046"/>
    <w:rsid w:val="61B72D1F"/>
    <w:rsid w:val="61C40472"/>
    <w:rsid w:val="61D144FB"/>
    <w:rsid w:val="61E4D9FE"/>
    <w:rsid w:val="61E9B9ED"/>
    <w:rsid w:val="61EDE659"/>
    <w:rsid w:val="61F6996E"/>
    <w:rsid w:val="6238C843"/>
    <w:rsid w:val="62574320"/>
    <w:rsid w:val="627ADD00"/>
    <w:rsid w:val="629AD3DD"/>
    <w:rsid w:val="62A65CF4"/>
    <w:rsid w:val="62AC8B18"/>
    <w:rsid w:val="62CF13F5"/>
    <w:rsid w:val="62DADA50"/>
    <w:rsid w:val="62E05ADF"/>
    <w:rsid w:val="62E7CDD3"/>
    <w:rsid w:val="62ED3B41"/>
    <w:rsid w:val="62F453EC"/>
    <w:rsid w:val="63075CF6"/>
    <w:rsid w:val="632095B3"/>
    <w:rsid w:val="6320AFFE"/>
    <w:rsid w:val="6321948F"/>
    <w:rsid w:val="63259AFD"/>
    <w:rsid w:val="632CCBB9"/>
    <w:rsid w:val="6335B7F7"/>
    <w:rsid w:val="63569514"/>
    <w:rsid w:val="635FD4D3"/>
    <w:rsid w:val="6364C987"/>
    <w:rsid w:val="637625A0"/>
    <w:rsid w:val="637F6330"/>
    <w:rsid w:val="63882BB7"/>
    <w:rsid w:val="638EE9AF"/>
    <w:rsid w:val="63D3AE7C"/>
    <w:rsid w:val="63D6A0AF"/>
    <w:rsid w:val="63DEFE08"/>
    <w:rsid w:val="63DF4A74"/>
    <w:rsid w:val="64086AAF"/>
    <w:rsid w:val="641FED7B"/>
    <w:rsid w:val="642A31AC"/>
    <w:rsid w:val="64631A3C"/>
    <w:rsid w:val="648A07C1"/>
    <w:rsid w:val="648BF949"/>
    <w:rsid w:val="648C8B91"/>
    <w:rsid w:val="64907AA0"/>
    <w:rsid w:val="64990068"/>
    <w:rsid w:val="64B1C82A"/>
    <w:rsid w:val="64B5CB32"/>
    <w:rsid w:val="64C2B5CA"/>
    <w:rsid w:val="64CBACFF"/>
    <w:rsid w:val="64FB806A"/>
    <w:rsid w:val="650C6E18"/>
    <w:rsid w:val="6520DA0A"/>
    <w:rsid w:val="653D0CFB"/>
    <w:rsid w:val="65488507"/>
    <w:rsid w:val="654F9998"/>
    <w:rsid w:val="65540623"/>
    <w:rsid w:val="6557869F"/>
    <w:rsid w:val="656557E1"/>
    <w:rsid w:val="656EC437"/>
    <w:rsid w:val="6584C47F"/>
    <w:rsid w:val="6593B3C7"/>
    <w:rsid w:val="659E0370"/>
    <w:rsid w:val="65B4B680"/>
    <w:rsid w:val="65B9E7AE"/>
    <w:rsid w:val="65BB3DF1"/>
    <w:rsid w:val="65C5147D"/>
    <w:rsid w:val="65D2E6C6"/>
    <w:rsid w:val="65F24FF7"/>
    <w:rsid w:val="660B7F27"/>
    <w:rsid w:val="6639C8F7"/>
    <w:rsid w:val="66418C43"/>
    <w:rsid w:val="6642838E"/>
    <w:rsid w:val="6646C5F0"/>
    <w:rsid w:val="6652270B"/>
    <w:rsid w:val="666C0E26"/>
    <w:rsid w:val="667110E4"/>
    <w:rsid w:val="669F631B"/>
    <w:rsid w:val="66B87C96"/>
    <w:rsid w:val="66DE0EED"/>
    <w:rsid w:val="66F5ADD2"/>
    <w:rsid w:val="6708CBB8"/>
    <w:rsid w:val="670DD64F"/>
    <w:rsid w:val="6718EE1C"/>
    <w:rsid w:val="6729EF06"/>
    <w:rsid w:val="6729F464"/>
    <w:rsid w:val="6763D7B8"/>
    <w:rsid w:val="677CDEE5"/>
    <w:rsid w:val="67841614"/>
    <w:rsid w:val="6793D76F"/>
    <w:rsid w:val="67959F99"/>
    <w:rsid w:val="67A4CE24"/>
    <w:rsid w:val="67B2B473"/>
    <w:rsid w:val="67BCDCA1"/>
    <w:rsid w:val="67E17600"/>
    <w:rsid w:val="67E187BA"/>
    <w:rsid w:val="67EFD595"/>
    <w:rsid w:val="67F132BC"/>
    <w:rsid w:val="67FAAB2E"/>
    <w:rsid w:val="682E20F6"/>
    <w:rsid w:val="68361B9D"/>
    <w:rsid w:val="683A4469"/>
    <w:rsid w:val="683D5ADC"/>
    <w:rsid w:val="68406E56"/>
    <w:rsid w:val="685896CA"/>
    <w:rsid w:val="68601EAE"/>
    <w:rsid w:val="686AC5B3"/>
    <w:rsid w:val="687774BA"/>
    <w:rsid w:val="688E7C89"/>
    <w:rsid w:val="6897627B"/>
    <w:rsid w:val="68ACC4F9"/>
    <w:rsid w:val="68C7B110"/>
    <w:rsid w:val="68CC4911"/>
    <w:rsid w:val="68DBD62A"/>
    <w:rsid w:val="69277A9C"/>
    <w:rsid w:val="692BDB52"/>
    <w:rsid w:val="69A140E3"/>
    <w:rsid w:val="69AC2FE7"/>
    <w:rsid w:val="69AE89E9"/>
    <w:rsid w:val="69B76FEF"/>
    <w:rsid w:val="69C49B22"/>
    <w:rsid w:val="69D21AEA"/>
    <w:rsid w:val="69E16AEE"/>
    <w:rsid w:val="69F829A6"/>
    <w:rsid w:val="69FFBFAD"/>
    <w:rsid w:val="6A04F97D"/>
    <w:rsid w:val="6A2AA898"/>
    <w:rsid w:val="6A2FD175"/>
    <w:rsid w:val="6A4E8BF8"/>
    <w:rsid w:val="6A5547A3"/>
    <w:rsid w:val="6A639B1C"/>
    <w:rsid w:val="6A6438CE"/>
    <w:rsid w:val="6A8705D0"/>
    <w:rsid w:val="6A8F2EFF"/>
    <w:rsid w:val="6A8FF5CB"/>
    <w:rsid w:val="6A9BDD21"/>
    <w:rsid w:val="6A9FF672"/>
    <w:rsid w:val="6AB46C9E"/>
    <w:rsid w:val="6AE39697"/>
    <w:rsid w:val="6B148D34"/>
    <w:rsid w:val="6B17AF49"/>
    <w:rsid w:val="6B52CD83"/>
    <w:rsid w:val="6B54B384"/>
    <w:rsid w:val="6B61BCD8"/>
    <w:rsid w:val="6B6842F4"/>
    <w:rsid w:val="6B6C24B1"/>
    <w:rsid w:val="6B75131F"/>
    <w:rsid w:val="6B798675"/>
    <w:rsid w:val="6B7D8DE8"/>
    <w:rsid w:val="6B7FE72D"/>
    <w:rsid w:val="6B82F43D"/>
    <w:rsid w:val="6BD1D6C9"/>
    <w:rsid w:val="6BD8276A"/>
    <w:rsid w:val="6BE63104"/>
    <w:rsid w:val="6BF249DF"/>
    <w:rsid w:val="6BF470FB"/>
    <w:rsid w:val="6C013E26"/>
    <w:rsid w:val="6C199C67"/>
    <w:rsid w:val="6C22DC60"/>
    <w:rsid w:val="6C257D3F"/>
    <w:rsid w:val="6C36FF1A"/>
    <w:rsid w:val="6C60BFCD"/>
    <w:rsid w:val="6C660EDD"/>
    <w:rsid w:val="6C685CFB"/>
    <w:rsid w:val="6C821DC8"/>
    <w:rsid w:val="6C93BAF4"/>
    <w:rsid w:val="6CBCC646"/>
    <w:rsid w:val="6CF7B45D"/>
    <w:rsid w:val="6D0F4B2A"/>
    <w:rsid w:val="6D21BC29"/>
    <w:rsid w:val="6D3C78F8"/>
    <w:rsid w:val="6D484A7D"/>
    <w:rsid w:val="6D4AEC57"/>
    <w:rsid w:val="6D551236"/>
    <w:rsid w:val="6D583B26"/>
    <w:rsid w:val="6D8DEF7C"/>
    <w:rsid w:val="6DB24E5C"/>
    <w:rsid w:val="6DBA55C3"/>
    <w:rsid w:val="6DBEB453"/>
    <w:rsid w:val="6DC14AF4"/>
    <w:rsid w:val="6DD47A02"/>
    <w:rsid w:val="6DD89CE2"/>
    <w:rsid w:val="6DD8C5C9"/>
    <w:rsid w:val="6DE328E9"/>
    <w:rsid w:val="6DE8799C"/>
    <w:rsid w:val="6DEB545B"/>
    <w:rsid w:val="6DFAA6C5"/>
    <w:rsid w:val="6E140FA8"/>
    <w:rsid w:val="6E276D46"/>
    <w:rsid w:val="6E2A9954"/>
    <w:rsid w:val="6E3627AE"/>
    <w:rsid w:val="6E4D91B0"/>
    <w:rsid w:val="6E5D0BC0"/>
    <w:rsid w:val="6E685BFE"/>
    <w:rsid w:val="6E709FCD"/>
    <w:rsid w:val="6E79EFAD"/>
    <w:rsid w:val="6E7B8A30"/>
    <w:rsid w:val="6E7E7357"/>
    <w:rsid w:val="6E7EE3E8"/>
    <w:rsid w:val="6E9912B0"/>
    <w:rsid w:val="6EA52363"/>
    <w:rsid w:val="6EC0ADCC"/>
    <w:rsid w:val="6EC5C460"/>
    <w:rsid w:val="6EF3B19C"/>
    <w:rsid w:val="6EF60A4A"/>
    <w:rsid w:val="6F11D28F"/>
    <w:rsid w:val="6F3C81B0"/>
    <w:rsid w:val="6F480739"/>
    <w:rsid w:val="6F4E1EBD"/>
    <w:rsid w:val="6F540426"/>
    <w:rsid w:val="6F78FE50"/>
    <w:rsid w:val="6F88E26F"/>
    <w:rsid w:val="6F8B4F97"/>
    <w:rsid w:val="6F8BB5C3"/>
    <w:rsid w:val="6F8F4DA8"/>
    <w:rsid w:val="6FB115F5"/>
    <w:rsid w:val="6FBB84F3"/>
    <w:rsid w:val="6FCF6D6B"/>
    <w:rsid w:val="6FE4351F"/>
    <w:rsid w:val="6FEC076A"/>
    <w:rsid w:val="6FF4B906"/>
    <w:rsid w:val="6FF978D5"/>
    <w:rsid w:val="7008E362"/>
    <w:rsid w:val="703BB417"/>
    <w:rsid w:val="703D36F2"/>
    <w:rsid w:val="70464561"/>
    <w:rsid w:val="705A348D"/>
    <w:rsid w:val="70813870"/>
    <w:rsid w:val="70826007"/>
    <w:rsid w:val="70ABB325"/>
    <w:rsid w:val="70B9DA75"/>
    <w:rsid w:val="70D33FBB"/>
    <w:rsid w:val="71212AB9"/>
    <w:rsid w:val="712739F7"/>
    <w:rsid w:val="713526AB"/>
    <w:rsid w:val="7170F453"/>
    <w:rsid w:val="718CD68F"/>
    <w:rsid w:val="71A55822"/>
    <w:rsid w:val="71C2A480"/>
    <w:rsid w:val="71EBF76A"/>
    <w:rsid w:val="721782DD"/>
    <w:rsid w:val="72460B20"/>
    <w:rsid w:val="724996A6"/>
    <w:rsid w:val="724FE705"/>
    <w:rsid w:val="725558D4"/>
    <w:rsid w:val="72618B63"/>
    <w:rsid w:val="726A9436"/>
    <w:rsid w:val="727F4257"/>
    <w:rsid w:val="728BB8A3"/>
    <w:rsid w:val="7290ED99"/>
    <w:rsid w:val="72BD653C"/>
    <w:rsid w:val="72CE25A8"/>
    <w:rsid w:val="72DA15EE"/>
    <w:rsid w:val="72DCB1E0"/>
    <w:rsid w:val="72E583F9"/>
    <w:rsid w:val="731063C4"/>
    <w:rsid w:val="731A69DE"/>
    <w:rsid w:val="73353FE7"/>
    <w:rsid w:val="73366921"/>
    <w:rsid w:val="73387EF7"/>
    <w:rsid w:val="7356912D"/>
    <w:rsid w:val="735D42EE"/>
    <w:rsid w:val="737277C1"/>
    <w:rsid w:val="739073D1"/>
    <w:rsid w:val="739B2DC1"/>
    <w:rsid w:val="73A30F5C"/>
    <w:rsid w:val="73AE9F50"/>
    <w:rsid w:val="73BA543C"/>
    <w:rsid w:val="73E43367"/>
    <w:rsid w:val="74002642"/>
    <w:rsid w:val="7403BCC5"/>
    <w:rsid w:val="7413D693"/>
    <w:rsid w:val="7434F021"/>
    <w:rsid w:val="743A2538"/>
    <w:rsid w:val="74409458"/>
    <w:rsid w:val="7450CEDE"/>
    <w:rsid w:val="745FE791"/>
    <w:rsid w:val="7481545A"/>
    <w:rsid w:val="74889EFF"/>
    <w:rsid w:val="749D84B4"/>
    <w:rsid w:val="74B06E09"/>
    <w:rsid w:val="74C9EB85"/>
    <w:rsid w:val="74E40CC6"/>
    <w:rsid w:val="74E6AD6A"/>
    <w:rsid w:val="74F7837E"/>
    <w:rsid w:val="75063A73"/>
    <w:rsid w:val="750BE90B"/>
    <w:rsid w:val="7510A815"/>
    <w:rsid w:val="7520FEF0"/>
    <w:rsid w:val="7532C736"/>
    <w:rsid w:val="758E8FAD"/>
    <w:rsid w:val="759FA56A"/>
    <w:rsid w:val="75A00EA7"/>
    <w:rsid w:val="75DA3A18"/>
    <w:rsid w:val="75F1CF93"/>
    <w:rsid w:val="75F505FE"/>
    <w:rsid w:val="75F7854A"/>
    <w:rsid w:val="75FF0CCB"/>
    <w:rsid w:val="760CDC76"/>
    <w:rsid w:val="76224179"/>
    <w:rsid w:val="7622FED9"/>
    <w:rsid w:val="76308C62"/>
    <w:rsid w:val="763FEE43"/>
    <w:rsid w:val="764C7FBC"/>
    <w:rsid w:val="765A5B64"/>
    <w:rsid w:val="7660CBFE"/>
    <w:rsid w:val="76701FB9"/>
    <w:rsid w:val="7681882A"/>
    <w:rsid w:val="76818919"/>
    <w:rsid w:val="76827DCB"/>
    <w:rsid w:val="76A8C243"/>
    <w:rsid w:val="76AA1883"/>
    <w:rsid w:val="76C549AB"/>
    <w:rsid w:val="76CA818D"/>
    <w:rsid w:val="76CB2341"/>
    <w:rsid w:val="76D4789B"/>
    <w:rsid w:val="76F1CE9D"/>
    <w:rsid w:val="76F5F6AF"/>
    <w:rsid w:val="77002A9E"/>
    <w:rsid w:val="77100336"/>
    <w:rsid w:val="7720225D"/>
    <w:rsid w:val="7726487D"/>
    <w:rsid w:val="774022FD"/>
    <w:rsid w:val="778F970F"/>
    <w:rsid w:val="77CAF3CA"/>
    <w:rsid w:val="77D289C0"/>
    <w:rsid w:val="77D60AB7"/>
    <w:rsid w:val="77DD21F4"/>
    <w:rsid w:val="77FD5034"/>
    <w:rsid w:val="783DEC1F"/>
    <w:rsid w:val="7845E8E4"/>
    <w:rsid w:val="785850D9"/>
    <w:rsid w:val="789DA2CD"/>
    <w:rsid w:val="78A29FD8"/>
    <w:rsid w:val="78BD2B1A"/>
    <w:rsid w:val="78C0BC8C"/>
    <w:rsid w:val="78D50629"/>
    <w:rsid w:val="78D7EFB3"/>
    <w:rsid w:val="78D958F7"/>
    <w:rsid w:val="791895F4"/>
    <w:rsid w:val="79286F4B"/>
    <w:rsid w:val="79324BDC"/>
    <w:rsid w:val="79560664"/>
    <w:rsid w:val="7969242C"/>
    <w:rsid w:val="7994AE5D"/>
    <w:rsid w:val="79DAC9E6"/>
    <w:rsid w:val="79E649C0"/>
    <w:rsid w:val="7A1C4824"/>
    <w:rsid w:val="7A28D549"/>
    <w:rsid w:val="7A30C9E1"/>
    <w:rsid w:val="7A451208"/>
    <w:rsid w:val="7A4725E3"/>
    <w:rsid w:val="7A47A3F8"/>
    <w:rsid w:val="7A4F4F13"/>
    <w:rsid w:val="7A56823C"/>
    <w:rsid w:val="7A60B03C"/>
    <w:rsid w:val="7A711C45"/>
    <w:rsid w:val="7A731325"/>
    <w:rsid w:val="7A9CA716"/>
    <w:rsid w:val="7A9DF6A9"/>
    <w:rsid w:val="7ACD27AA"/>
    <w:rsid w:val="7AF37065"/>
    <w:rsid w:val="7B27296F"/>
    <w:rsid w:val="7B3767E1"/>
    <w:rsid w:val="7B4F3EB4"/>
    <w:rsid w:val="7B87C928"/>
    <w:rsid w:val="7B93B1B2"/>
    <w:rsid w:val="7B98BACE"/>
    <w:rsid w:val="7BA3F57F"/>
    <w:rsid w:val="7BA4B94E"/>
    <w:rsid w:val="7BBA5189"/>
    <w:rsid w:val="7BCABFE0"/>
    <w:rsid w:val="7BD1FFC6"/>
    <w:rsid w:val="7BE20BAD"/>
    <w:rsid w:val="7BE37459"/>
    <w:rsid w:val="7C033E4C"/>
    <w:rsid w:val="7C16EE06"/>
    <w:rsid w:val="7C68F80B"/>
    <w:rsid w:val="7C69EC9E"/>
    <w:rsid w:val="7C77AC07"/>
    <w:rsid w:val="7C7CBAFB"/>
    <w:rsid w:val="7C934F01"/>
    <w:rsid w:val="7CC83F12"/>
    <w:rsid w:val="7CCA3CE7"/>
    <w:rsid w:val="7CFC300E"/>
    <w:rsid w:val="7D13EFC1"/>
    <w:rsid w:val="7D16E5D9"/>
    <w:rsid w:val="7D19E792"/>
    <w:rsid w:val="7D39A6B9"/>
    <w:rsid w:val="7D3BB313"/>
    <w:rsid w:val="7D56E644"/>
    <w:rsid w:val="7D61CD47"/>
    <w:rsid w:val="7D6FD010"/>
    <w:rsid w:val="7D755AD6"/>
    <w:rsid w:val="7D76D779"/>
    <w:rsid w:val="7D7DDC0E"/>
    <w:rsid w:val="7DAACC7B"/>
    <w:rsid w:val="7DBECA6A"/>
    <w:rsid w:val="7DC633E7"/>
    <w:rsid w:val="7DD5E0B2"/>
    <w:rsid w:val="7DE62A71"/>
    <w:rsid w:val="7DEF8270"/>
    <w:rsid w:val="7DF2D8B4"/>
    <w:rsid w:val="7DF3548A"/>
    <w:rsid w:val="7DF40C9D"/>
    <w:rsid w:val="7E04B602"/>
    <w:rsid w:val="7E0A855E"/>
    <w:rsid w:val="7E216A8D"/>
    <w:rsid w:val="7E33B67A"/>
    <w:rsid w:val="7E460901"/>
    <w:rsid w:val="7E55B231"/>
    <w:rsid w:val="7E5C535B"/>
    <w:rsid w:val="7E6E41F6"/>
    <w:rsid w:val="7E6F08A3"/>
    <w:rsid w:val="7E82D930"/>
    <w:rsid w:val="7E832B98"/>
    <w:rsid w:val="7EA1BBFD"/>
    <w:rsid w:val="7EBFBB86"/>
    <w:rsid w:val="7ECB5274"/>
    <w:rsid w:val="7EFACA79"/>
    <w:rsid w:val="7EFEA5C5"/>
    <w:rsid w:val="7F01B592"/>
    <w:rsid w:val="7F030248"/>
    <w:rsid w:val="7F3331BF"/>
    <w:rsid w:val="7F3E9278"/>
    <w:rsid w:val="7F475645"/>
    <w:rsid w:val="7F68365A"/>
    <w:rsid w:val="7FA5A188"/>
    <w:rsid w:val="7FB9F774"/>
    <w:rsid w:val="7FE40640"/>
    <w:rsid w:val="7FE727C7"/>
    <w:rsid w:val="7FEAD8CE"/>
    <w:rsid w:val="7FFA9A92"/>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25C464"/>
  <w15:docId w15:val="{4A7DDE86-95F0-433D-ACDF-516ECFA0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CBF"/>
    <w:rPr>
      <w:color w:val="0000FF" w:themeColor="hyperlink"/>
      <w:u w:val="single"/>
    </w:rPr>
  </w:style>
  <w:style w:type="paragraph" w:styleId="FootnoteText">
    <w:name w:val="footnote text"/>
    <w:basedOn w:val="Normal"/>
    <w:link w:val="FootnoteTextChar"/>
    <w:uiPriority w:val="99"/>
    <w:semiHidden/>
    <w:unhideWhenUsed/>
    <w:rsid w:val="000E20A4"/>
    <w:rPr>
      <w:sz w:val="20"/>
      <w:szCs w:val="20"/>
    </w:rPr>
  </w:style>
  <w:style w:type="character" w:customStyle="1" w:styleId="FootnoteTextChar">
    <w:name w:val="Footnote Text Char"/>
    <w:basedOn w:val="DefaultParagraphFont"/>
    <w:link w:val="FootnoteText"/>
    <w:uiPriority w:val="99"/>
    <w:semiHidden/>
    <w:rsid w:val="000E20A4"/>
    <w:rPr>
      <w:sz w:val="20"/>
      <w:szCs w:val="20"/>
    </w:rPr>
  </w:style>
  <w:style w:type="character" w:styleId="FootnoteReference">
    <w:name w:val="footnote reference"/>
    <w:basedOn w:val="DefaultParagraphFont"/>
    <w:uiPriority w:val="99"/>
    <w:semiHidden/>
    <w:unhideWhenUsed/>
    <w:rsid w:val="000E20A4"/>
    <w:rPr>
      <w:vertAlign w:val="superscript"/>
    </w:rPr>
  </w:style>
  <w:style w:type="paragraph" w:styleId="Header">
    <w:name w:val="header"/>
    <w:basedOn w:val="Normal"/>
    <w:link w:val="HeaderChar"/>
    <w:uiPriority w:val="99"/>
    <w:unhideWhenUsed/>
    <w:rsid w:val="0016173B"/>
    <w:pPr>
      <w:tabs>
        <w:tab w:val="center" w:pos="4680"/>
        <w:tab w:val="right" w:pos="9360"/>
      </w:tabs>
    </w:pPr>
  </w:style>
  <w:style w:type="character" w:customStyle="1" w:styleId="HeaderChar">
    <w:name w:val="Header Char"/>
    <w:basedOn w:val="DefaultParagraphFont"/>
    <w:link w:val="Header"/>
    <w:uiPriority w:val="99"/>
    <w:rsid w:val="0016173B"/>
  </w:style>
  <w:style w:type="paragraph" w:styleId="Footer">
    <w:name w:val="footer"/>
    <w:basedOn w:val="Normal"/>
    <w:link w:val="FooterChar"/>
    <w:uiPriority w:val="99"/>
    <w:unhideWhenUsed/>
    <w:rsid w:val="0016173B"/>
    <w:pPr>
      <w:tabs>
        <w:tab w:val="center" w:pos="4680"/>
        <w:tab w:val="right" w:pos="9360"/>
      </w:tabs>
    </w:pPr>
  </w:style>
  <w:style w:type="character" w:customStyle="1" w:styleId="FooterChar">
    <w:name w:val="Footer Char"/>
    <w:basedOn w:val="DefaultParagraphFont"/>
    <w:link w:val="Footer"/>
    <w:uiPriority w:val="99"/>
    <w:rsid w:val="0016173B"/>
  </w:style>
  <w:style w:type="paragraph" w:styleId="Bibliography">
    <w:name w:val="Bibliography"/>
    <w:basedOn w:val="Normal"/>
    <w:next w:val="Normal"/>
    <w:uiPriority w:val="37"/>
    <w:unhideWhenUsed/>
    <w:rsid w:val="00755EC2"/>
    <w:pPr>
      <w:ind w:left="720" w:hanging="720"/>
    </w:pPr>
  </w:style>
  <w:style w:type="character" w:styleId="EndnoteReference">
    <w:name w:val="endnote reference"/>
    <w:basedOn w:val="DefaultParagraphFont"/>
    <w:uiPriority w:val="99"/>
    <w:semiHidden/>
    <w:unhideWhenUsed/>
    <w:rsid w:val="003B4029"/>
    <w:rPr>
      <w:vertAlign w:val="superscript"/>
    </w:rPr>
  </w:style>
  <w:style w:type="paragraph" w:styleId="ListParagraph">
    <w:name w:val="List Paragraph"/>
    <w:basedOn w:val="Normal"/>
    <w:uiPriority w:val="34"/>
    <w:qFormat/>
    <w:rsid w:val="00D44E7C"/>
    <w:pPr>
      <w:ind w:left="720"/>
      <w:contextualSpacing/>
    </w:pPr>
  </w:style>
  <w:style w:type="character" w:styleId="CommentReference">
    <w:name w:val="annotation reference"/>
    <w:basedOn w:val="DefaultParagraphFont"/>
    <w:uiPriority w:val="99"/>
    <w:semiHidden/>
    <w:unhideWhenUsed/>
    <w:rsid w:val="00C92E4E"/>
    <w:rPr>
      <w:sz w:val="16"/>
      <w:szCs w:val="16"/>
    </w:rPr>
  </w:style>
  <w:style w:type="paragraph" w:styleId="CommentText">
    <w:name w:val="annotation text"/>
    <w:basedOn w:val="Normal"/>
    <w:link w:val="CommentTextChar"/>
    <w:uiPriority w:val="99"/>
    <w:unhideWhenUsed/>
    <w:rsid w:val="00C92E4E"/>
    <w:rPr>
      <w:sz w:val="20"/>
      <w:szCs w:val="20"/>
    </w:rPr>
  </w:style>
  <w:style w:type="character" w:customStyle="1" w:styleId="CommentTextChar">
    <w:name w:val="Comment Text Char"/>
    <w:basedOn w:val="DefaultParagraphFont"/>
    <w:link w:val="CommentText"/>
    <w:uiPriority w:val="99"/>
    <w:rsid w:val="00C92E4E"/>
    <w:rPr>
      <w:sz w:val="20"/>
      <w:szCs w:val="20"/>
    </w:rPr>
  </w:style>
  <w:style w:type="paragraph" w:styleId="CommentSubject">
    <w:name w:val="annotation subject"/>
    <w:basedOn w:val="CommentText"/>
    <w:next w:val="CommentText"/>
    <w:link w:val="CommentSubjectChar"/>
    <w:uiPriority w:val="99"/>
    <w:semiHidden/>
    <w:unhideWhenUsed/>
    <w:rsid w:val="00C92E4E"/>
    <w:rPr>
      <w:b/>
      <w:bCs/>
    </w:rPr>
  </w:style>
  <w:style w:type="character" w:customStyle="1" w:styleId="CommentSubjectChar">
    <w:name w:val="Comment Subject Char"/>
    <w:basedOn w:val="CommentTextChar"/>
    <w:link w:val="CommentSubject"/>
    <w:uiPriority w:val="99"/>
    <w:semiHidden/>
    <w:rsid w:val="00C92E4E"/>
    <w:rPr>
      <w:b/>
      <w:bCs/>
      <w:sz w:val="20"/>
      <w:szCs w:val="20"/>
    </w:rPr>
  </w:style>
  <w:style w:type="paragraph" w:styleId="Revision">
    <w:name w:val="Revision"/>
    <w:hidden/>
    <w:uiPriority w:val="99"/>
    <w:semiHidden/>
    <w:rsid w:val="009E0588"/>
  </w:style>
  <w:style w:type="table" w:styleId="TableGrid">
    <w:name w:val="Table Grid"/>
    <w:basedOn w:val="TableNormal"/>
    <w:uiPriority w:val="59"/>
    <w:rsid w:val="00176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74B02"/>
  </w:style>
  <w:style w:type="character" w:customStyle="1" w:styleId="highlight">
    <w:name w:val="highlight"/>
    <w:basedOn w:val="DefaultParagraphFont"/>
    <w:rsid w:val="0099428C"/>
  </w:style>
  <w:style w:type="character" w:styleId="UnresolvedMention">
    <w:name w:val="Unresolved Mention"/>
    <w:basedOn w:val="DefaultParagraphFont"/>
    <w:uiPriority w:val="99"/>
    <w:semiHidden/>
    <w:unhideWhenUsed/>
    <w:rsid w:val="006C155D"/>
    <w:rPr>
      <w:color w:val="605E5C"/>
      <w:shd w:val="clear" w:color="auto" w:fill="E1DFDD"/>
    </w:rPr>
  </w:style>
  <w:style w:type="character" w:styleId="Mention">
    <w:name w:val="Mention"/>
    <w:basedOn w:val="DefaultParagraphFont"/>
    <w:uiPriority w:val="99"/>
    <w:unhideWhenUsed/>
    <w:rsid w:val="00FA30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71607">
      <w:bodyDiv w:val="1"/>
      <w:marLeft w:val="0"/>
      <w:marRight w:val="0"/>
      <w:marTop w:val="0"/>
      <w:marBottom w:val="0"/>
      <w:divBdr>
        <w:top w:val="none" w:sz="0" w:space="0" w:color="auto"/>
        <w:left w:val="none" w:sz="0" w:space="0" w:color="auto"/>
        <w:bottom w:val="none" w:sz="0" w:space="0" w:color="auto"/>
        <w:right w:val="none" w:sz="0" w:space="0" w:color="auto"/>
      </w:divBdr>
    </w:div>
    <w:div w:id="162136685">
      <w:bodyDiv w:val="1"/>
      <w:marLeft w:val="0"/>
      <w:marRight w:val="0"/>
      <w:marTop w:val="0"/>
      <w:marBottom w:val="0"/>
      <w:divBdr>
        <w:top w:val="none" w:sz="0" w:space="0" w:color="auto"/>
        <w:left w:val="none" w:sz="0" w:space="0" w:color="auto"/>
        <w:bottom w:val="none" w:sz="0" w:space="0" w:color="auto"/>
        <w:right w:val="none" w:sz="0" w:space="0" w:color="auto"/>
      </w:divBdr>
      <w:divsChild>
        <w:div w:id="711804443">
          <w:marLeft w:val="480"/>
          <w:marRight w:val="0"/>
          <w:marTop w:val="0"/>
          <w:marBottom w:val="0"/>
          <w:divBdr>
            <w:top w:val="none" w:sz="0" w:space="0" w:color="auto"/>
            <w:left w:val="none" w:sz="0" w:space="0" w:color="auto"/>
            <w:bottom w:val="none" w:sz="0" w:space="0" w:color="auto"/>
            <w:right w:val="none" w:sz="0" w:space="0" w:color="auto"/>
          </w:divBdr>
          <w:divsChild>
            <w:div w:id="163467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4901">
      <w:bodyDiv w:val="1"/>
      <w:marLeft w:val="0"/>
      <w:marRight w:val="0"/>
      <w:marTop w:val="0"/>
      <w:marBottom w:val="0"/>
      <w:divBdr>
        <w:top w:val="none" w:sz="0" w:space="0" w:color="auto"/>
        <w:left w:val="none" w:sz="0" w:space="0" w:color="auto"/>
        <w:bottom w:val="none" w:sz="0" w:space="0" w:color="auto"/>
        <w:right w:val="none" w:sz="0" w:space="0" w:color="auto"/>
      </w:divBdr>
    </w:div>
    <w:div w:id="248004624">
      <w:bodyDiv w:val="1"/>
      <w:marLeft w:val="0"/>
      <w:marRight w:val="0"/>
      <w:marTop w:val="0"/>
      <w:marBottom w:val="0"/>
      <w:divBdr>
        <w:top w:val="none" w:sz="0" w:space="0" w:color="auto"/>
        <w:left w:val="none" w:sz="0" w:space="0" w:color="auto"/>
        <w:bottom w:val="none" w:sz="0" w:space="0" w:color="auto"/>
        <w:right w:val="none" w:sz="0" w:space="0" w:color="auto"/>
      </w:divBdr>
    </w:div>
    <w:div w:id="268658893">
      <w:bodyDiv w:val="1"/>
      <w:marLeft w:val="0"/>
      <w:marRight w:val="0"/>
      <w:marTop w:val="0"/>
      <w:marBottom w:val="0"/>
      <w:divBdr>
        <w:top w:val="none" w:sz="0" w:space="0" w:color="auto"/>
        <w:left w:val="none" w:sz="0" w:space="0" w:color="auto"/>
        <w:bottom w:val="none" w:sz="0" w:space="0" w:color="auto"/>
        <w:right w:val="none" w:sz="0" w:space="0" w:color="auto"/>
      </w:divBdr>
      <w:divsChild>
        <w:div w:id="236865838">
          <w:marLeft w:val="480"/>
          <w:marRight w:val="0"/>
          <w:marTop w:val="0"/>
          <w:marBottom w:val="0"/>
          <w:divBdr>
            <w:top w:val="none" w:sz="0" w:space="0" w:color="auto"/>
            <w:left w:val="none" w:sz="0" w:space="0" w:color="auto"/>
            <w:bottom w:val="none" w:sz="0" w:space="0" w:color="auto"/>
            <w:right w:val="none" w:sz="0" w:space="0" w:color="auto"/>
          </w:divBdr>
          <w:divsChild>
            <w:div w:id="19048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3717">
      <w:bodyDiv w:val="1"/>
      <w:marLeft w:val="0"/>
      <w:marRight w:val="0"/>
      <w:marTop w:val="0"/>
      <w:marBottom w:val="0"/>
      <w:divBdr>
        <w:top w:val="none" w:sz="0" w:space="0" w:color="auto"/>
        <w:left w:val="none" w:sz="0" w:space="0" w:color="auto"/>
        <w:bottom w:val="none" w:sz="0" w:space="0" w:color="auto"/>
        <w:right w:val="none" w:sz="0" w:space="0" w:color="auto"/>
      </w:divBdr>
    </w:div>
    <w:div w:id="553658663">
      <w:bodyDiv w:val="1"/>
      <w:marLeft w:val="0"/>
      <w:marRight w:val="0"/>
      <w:marTop w:val="0"/>
      <w:marBottom w:val="0"/>
      <w:divBdr>
        <w:top w:val="none" w:sz="0" w:space="0" w:color="auto"/>
        <w:left w:val="none" w:sz="0" w:space="0" w:color="auto"/>
        <w:bottom w:val="none" w:sz="0" w:space="0" w:color="auto"/>
        <w:right w:val="none" w:sz="0" w:space="0" w:color="auto"/>
      </w:divBdr>
    </w:div>
    <w:div w:id="560554052">
      <w:bodyDiv w:val="1"/>
      <w:marLeft w:val="0"/>
      <w:marRight w:val="0"/>
      <w:marTop w:val="0"/>
      <w:marBottom w:val="0"/>
      <w:divBdr>
        <w:top w:val="none" w:sz="0" w:space="0" w:color="auto"/>
        <w:left w:val="none" w:sz="0" w:space="0" w:color="auto"/>
        <w:bottom w:val="none" w:sz="0" w:space="0" w:color="auto"/>
        <w:right w:val="none" w:sz="0" w:space="0" w:color="auto"/>
      </w:divBdr>
    </w:div>
    <w:div w:id="608390058">
      <w:bodyDiv w:val="1"/>
      <w:marLeft w:val="0"/>
      <w:marRight w:val="0"/>
      <w:marTop w:val="0"/>
      <w:marBottom w:val="0"/>
      <w:divBdr>
        <w:top w:val="none" w:sz="0" w:space="0" w:color="auto"/>
        <w:left w:val="none" w:sz="0" w:space="0" w:color="auto"/>
        <w:bottom w:val="none" w:sz="0" w:space="0" w:color="auto"/>
        <w:right w:val="none" w:sz="0" w:space="0" w:color="auto"/>
      </w:divBdr>
    </w:div>
    <w:div w:id="624652561">
      <w:bodyDiv w:val="1"/>
      <w:marLeft w:val="0"/>
      <w:marRight w:val="0"/>
      <w:marTop w:val="0"/>
      <w:marBottom w:val="0"/>
      <w:divBdr>
        <w:top w:val="none" w:sz="0" w:space="0" w:color="auto"/>
        <w:left w:val="none" w:sz="0" w:space="0" w:color="auto"/>
        <w:bottom w:val="none" w:sz="0" w:space="0" w:color="auto"/>
        <w:right w:val="none" w:sz="0" w:space="0" w:color="auto"/>
      </w:divBdr>
    </w:div>
    <w:div w:id="806631506">
      <w:bodyDiv w:val="1"/>
      <w:marLeft w:val="0"/>
      <w:marRight w:val="0"/>
      <w:marTop w:val="0"/>
      <w:marBottom w:val="0"/>
      <w:divBdr>
        <w:top w:val="none" w:sz="0" w:space="0" w:color="auto"/>
        <w:left w:val="none" w:sz="0" w:space="0" w:color="auto"/>
        <w:bottom w:val="none" w:sz="0" w:space="0" w:color="auto"/>
        <w:right w:val="none" w:sz="0" w:space="0" w:color="auto"/>
      </w:divBdr>
    </w:div>
    <w:div w:id="814101712">
      <w:bodyDiv w:val="1"/>
      <w:marLeft w:val="0"/>
      <w:marRight w:val="0"/>
      <w:marTop w:val="0"/>
      <w:marBottom w:val="0"/>
      <w:divBdr>
        <w:top w:val="none" w:sz="0" w:space="0" w:color="auto"/>
        <w:left w:val="none" w:sz="0" w:space="0" w:color="auto"/>
        <w:bottom w:val="none" w:sz="0" w:space="0" w:color="auto"/>
        <w:right w:val="none" w:sz="0" w:space="0" w:color="auto"/>
      </w:divBdr>
    </w:div>
    <w:div w:id="876548551">
      <w:bodyDiv w:val="1"/>
      <w:marLeft w:val="0"/>
      <w:marRight w:val="0"/>
      <w:marTop w:val="0"/>
      <w:marBottom w:val="0"/>
      <w:divBdr>
        <w:top w:val="none" w:sz="0" w:space="0" w:color="auto"/>
        <w:left w:val="none" w:sz="0" w:space="0" w:color="auto"/>
        <w:bottom w:val="none" w:sz="0" w:space="0" w:color="auto"/>
        <w:right w:val="none" w:sz="0" w:space="0" w:color="auto"/>
      </w:divBdr>
    </w:div>
    <w:div w:id="932780426">
      <w:bodyDiv w:val="1"/>
      <w:marLeft w:val="0"/>
      <w:marRight w:val="0"/>
      <w:marTop w:val="0"/>
      <w:marBottom w:val="0"/>
      <w:divBdr>
        <w:top w:val="none" w:sz="0" w:space="0" w:color="auto"/>
        <w:left w:val="none" w:sz="0" w:space="0" w:color="auto"/>
        <w:bottom w:val="none" w:sz="0" w:space="0" w:color="auto"/>
        <w:right w:val="none" w:sz="0" w:space="0" w:color="auto"/>
      </w:divBdr>
    </w:div>
    <w:div w:id="1007635538">
      <w:bodyDiv w:val="1"/>
      <w:marLeft w:val="0"/>
      <w:marRight w:val="0"/>
      <w:marTop w:val="0"/>
      <w:marBottom w:val="0"/>
      <w:divBdr>
        <w:top w:val="none" w:sz="0" w:space="0" w:color="auto"/>
        <w:left w:val="none" w:sz="0" w:space="0" w:color="auto"/>
        <w:bottom w:val="none" w:sz="0" w:space="0" w:color="auto"/>
        <w:right w:val="none" w:sz="0" w:space="0" w:color="auto"/>
      </w:divBdr>
    </w:div>
    <w:div w:id="1046484840">
      <w:bodyDiv w:val="1"/>
      <w:marLeft w:val="0"/>
      <w:marRight w:val="0"/>
      <w:marTop w:val="0"/>
      <w:marBottom w:val="0"/>
      <w:divBdr>
        <w:top w:val="none" w:sz="0" w:space="0" w:color="auto"/>
        <w:left w:val="none" w:sz="0" w:space="0" w:color="auto"/>
        <w:bottom w:val="none" w:sz="0" w:space="0" w:color="auto"/>
        <w:right w:val="none" w:sz="0" w:space="0" w:color="auto"/>
      </w:divBdr>
    </w:div>
    <w:div w:id="1149975095">
      <w:bodyDiv w:val="1"/>
      <w:marLeft w:val="0"/>
      <w:marRight w:val="0"/>
      <w:marTop w:val="0"/>
      <w:marBottom w:val="0"/>
      <w:divBdr>
        <w:top w:val="none" w:sz="0" w:space="0" w:color="auto"/>
        <w:left w:val="none" w:sz="0" w:space="0" w:color="auto"/>
        <w:bottom w:val="none" w:sz="0" w:space="0" w:color="auto"/>
        <w:right w:val="none" w:sz="0" w:space="0" w:color="auto"/>
      </w:divBdr>
    </w:div>
    <w:div w:id="1349867183">
      <w:bodyDiv w:val="1"/>
      <w:marLeft w:val="0"/>
      <w:marRight w:val="0"/>
      <w:marTop w:val="0"/>
      <w:marBottom w:val="0"/>
      <w:divBdr>
        <w:top w:val="none" w:sz="0" w:space="0" w:color="auto"/>
        <w:left w:val="none" w:sz="0" w:space="0" w:color="auto"/>
        <w:bottom w:val="none" w:sz="0" w:space="0" w:color="auto"/>
        <w:right w:val="none" w:sz="0" w:space="0" w:color="auto"/>
      </w:divBdr>
      <w:divsChild>
        <w:div w:id="847134723">
          <w:marLeft w:val="480"/>
          <w:marRight w:val="0"/>
          <w:marTop w:val="0"/>
          <w:marBottom w:val="0"/>
          <w:divBdr>
            <w:top w:val="none" w:sz="0" w:space="0" w:color="auto"/>
            <w:left w:val="none" w:sz="0" w:space="0" w:color="auto"/>
            <w:bottom w:val="none" w:sz="0" w:space="0" w:color="auto"/>
            <w:right w:val="none" w:sz="0" w:space="0" w:color="auto"/>
          </w:divBdr>
          <w:divsChild>
            <w:div w:id="1635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80575">
      <w:bodyDiv w:val="1"/>
      <w:marLeft w:val="0"/>
      <w:marRight w:val="0"/>
      <w:marTop w:val="0"/>
      <w:marBottom w:val="0"/>
      <w:divBdr>
        <w:top w:val="none" w:sz="0" w:space="0" w:color="auto"/>
        <w:left w:val="none" w:sz="0" w:space="0" w:color="auto"/>
        <w:bottom w:val="none" w:sz="0" w:space="0" w:color="auto"/>
        <w:right w:val="none" w:sz="0" w:space="0" w:color="auto"/>
      </w:divBdr>
    </w:div>
    <w:div w:id="1580208523">
      <w:bodyDiv w:val="1"/>
      <w:marLeft w:val="0"/>
      <w:marRight w:val="0"/>
      <w:marTop w:val="0"/>
      <w:marBottom w:val="0"/>
      <w:divBdr>
        <w:top w:val="none" w:sz="0" w:space="0" w:color="auto"/>
        <w:left w:val="none" w:sz="0" w:space="0" w:color="auto"/>
        <w:bottom w:val="none" w:sz="0" w:space="0" w:color="auto"/>
        <w:right w:val="none" w:sz="0" w:space="0" w:color="auto"/>
      </w:divBdr>
    </w:div>
    <w:div w:id="1603995622">
      <w:bodyDiv w:val="1"/>
      <w:marLeft w:val="0"/>
      <w:marRight w:val="0"/>
      <w:marTop w:val="0"/>
      <w:marBottom w:val="0"/>
      <w:divBdr>
        <w:top w:val="none" w:sz="0" w:space="0" w:color="auto"/>
        <w:left w:val="none" w:sz="0" w:space="0" w:color="auto"/>
        <w:bottom w:val="none" w:sz="0" w:space="0" w:color="auto"/>
        <w:right w:val="none" w:sz="0" w:space="0" w:color="auto"/>
      </w:divBdr>
    </w:div>
    <w:div w:id="1747147918">
      <w:bodyDiv w:val="1"/>
      <w:marLeft w:val="0"/>
      <w:marRight w:val="0"/>
      <w:marTop w:val="0"/>
      <w:marBottom w:val="0"/>
      <w:divBdr>
        <w:top w:val="none" w:sz="0" w:space="0" w:color="auto"/>
        <w:left w:val="none" w:sz="0" w:space="0" w:color="auto"/>
        <w:bottom w:val="none" w:sz="0" w:space="0" w:color="auto"/>
        <w:right w:val="none" w:sz="0" w:space="0" w:color="auto"/>
      </w:divBdr>
    </w:div>
    <w:div w:id="1823543053">
      <w:bodyDiv w:val="1"/>
      <w:marLeft w:val="0"/>
      <w:marRight w:val="0"/>
      <w:marTop w:val="0"/>
      <w:marBottom w:val="0"/>
      <w:divBdr>
        <w:top w:val="none" w:sz="0" w:space="0" w:color="auto"/>
        <w:left w:val="none" w:sz="0" w:space="0" w:color="auto"/>
        <w:bottom w:val="none" w:sz="0" w:space="0" w:color="auto"/>
        <w:right w:val="none" w:sz="0" w:space="0" w:color="auto"/>
      </w:divBdr>
    </w:div>
    <w:div w:id="2064909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zb.eu/en/research/dynamics-of-political-systems/center-for-civil-society-research/projects/the-manifesto-project"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microsoft.com/office/2020/10/relationships/intelligence" Target="intelligence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A366F-F037-0C46-8D86-3A4FA0AF6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3527</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23590</CharactersWithSpaces>
  <SharedDoc>false</SharedDoc>
  <HLinks>
    <vt:vector size="12" baseType="variant">
      <vt:variant>
        <vt:i4>1704005</vt:i4>
      </vt:variant>
      <vt:variant>
        <vt:i4>0</vt:i4>
      </vt:variant>
      <vt:variant>
        <vt:i4>0</vt:i4>
      </vt:variant>
      <vt:variant>
        <vt:i4>5</vt:i4>
      </vt:variant>
      <vt:variant>
        <vt:lpwstr>https://wzb.eu/en/research/dynamics-of-political-systems/center-for-civil-society-research/projects/the-manifesto-project</vt:lpwstr>
      </vt:variant>
      <vt:variant>
        <vt:lpwstr/>
      </vt:variant>
      <vt:variant>
        <vt:i4>8192087</vt:i4>
      </vt:variant>
      <vt:variant>
        <vt:i4>0</vt:i4>
      </vt:variant>
      <vt:variant>
        <vt:i4>0</vt:i4>
      </vt:variant>
      <vt:variant>
        <vt:i4>5</vt:i4>
      </vt:variant>
      <vt:variant>
        <vt:lpwstr>mailto:S.Huntington@lse.ac.uk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Mareike O Kleine</dc:creator>
  <cp:keywords/>
  <dc:description/>
  <cp:lastModifiedBy>Huntington,S (pgt)</cp:lastModifiedBy>
  <cp:revision>1306</cp:revision>
  <cp:lastPrinted>2023-02-11T04:48:00Z</cp:lastPrinted>
  <dcterms:created xsi:type="dcterms:W3CDTF">2024-05-22T23:55:00Z</dcterms:created>
  <dcterms:modified xsi:type="dcterms:W3CDTF">2024-10-16T11:30:00Z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zotero-version="6.0.21"&gt;&lt;session id="1FWtIs8N"/&gt;&lt;style id="http://www.zotero.org/styles/international-organization" hasBibliography="1" bibliographyStyleHasBeenSet="1"/&gt;&lt;prefs&gt;&lt;pref name="fieldType" value="Field"/&gt;&lt;pref name="noteTy</vt:lpwstr>
  </property>
  <property fmtid="{D5CDD505-2E9C-101B-9397-08002B2CF9AE}" pid="3" name="ZOTERO_PREF_2">
    <vt:lpwstr>pe" value="1"/&gt;&lt;/prefs&gt;&lt;/data&gt;</vt:lpwstr>
  </property>
</Properties>
</file>