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0B0AE" w14:textId="2D5447DE" w:rsidR="00C57BE4" w:rsidRDefault="00A61666">
      <w:r>
        <w:t>Review Comments Responses.</w:t>
      </w:r>
      <w:r w:rsidR="008C5FF2">
        <w:t xml:space="preserve"> </w:t>
      </w:r>
    </w:p>
    <w:p w14:paraId="1555EE23" w14:textId="1C9D6A11" w:rsidR="006942F3" w:rsidRDefault="006942F3"/>
    <w:p w14:paraId="15258A3D" w14:textId="77777777" w:rsidR="0015158E" w:rsidRPr="0015158E" w:rsidRDefault="006942F3" w:rsidP="0015158E">
      <w:pPr>
        <w:rPr>
          <w:b/>
        </w:rPr>
      </w:pPr>
      <w:r>
        <w:t xml:space="preserve">Paper title: </w:t>
      </w:r>
      <w:r w:rsidR="0015158E" w:rsidRPr="0015158E">
        <w:rPr>
          <w:b/>
        </w:rPr>
        <w:t>When Islam Goes to TED Talk: Discourse Features of a Postsecular Storytelling on Islam in New Media</w:t>
      </w:r>
    </w:p>
    <w:p w14:paraId="5DFACE3D" w14:textId="5C34FEBB" w:rsidR="006942F3" w:rsidRDefault="006942F3"/>
    <w:p w14:paraId="049161BB" w14:textId="585EEEFE" w:rsidR="00A61666" w:rsidRDefault="00A61666"/>
    <w:tbl>
      <w:tblPr>
        <w:tblStyle w:val="TableGrid"/>
        <w:tblW w:w="0" w:type="auto"/>
        <w:tblLook w:val="04A0" w:firstRow="1" w:lastRow="0" w:firstColumn="1" w:lastColumn="0" w:noHBand="0" w:noVBand="1"/>
      </w:tblPr>
      <w:tblGrid>
        <w:gridCol w:w="3005"/>
        <w:gridCol w:w="3005"/>
        <w:gridCol w:w="3006"/>
      </w:tblGrid>
      <w:tr w:rsidR="00A61666" w14:paraId="1740767A" w14:textId="77777777" w:rsidTr="00A61666">
        <w:tc>
          <w:tcPr>
            <w:tcW w:w="3005" w:type="dxa"/>
          </w:tcPr>
          <w:p w14:paraId="0F0D507A" w14:textId="0631F2AE" w:rsidR="00A61666" w:rsidRDefault="00A61666">
            <w:r>
              <w:t>Reviewer Comments</w:t>
            </w:r>
          </w:p>
        </w:tc>
        <w:tc>
          <w:tcPr>
            <w:tcW w:w="3005" w:type="dxa"/>
          </w:tcPr>
          <w:p w14:paraId="0CD51936" w14:textId="32B8F97A" w:rsidR="00A61666" w:rsidRDefault="00A61666">
            <w:r>
              <w:t>Author Responses</w:t>
            </w:r>
          </w:p>
        </w:tc>
        <w:tc>
          <w:tcPr>
            <w:tcW w:w="3006" w:type="dxa"/>
          </w:tcPr>
          <w:p w14:paraId="6634EBA1" w14:textId="505C1A5A" w:rsidR="00A61666" w:rsidRDefault="00A61666">
            <w:r>
              <w:t>Page number</w:t>
            </w:r>
          </w:p>
        </w:tc>
      </w:tr>
      <w:tr w:rsidR="0015158E" w14:paraId="65BB9918" w14:textId="77777777" w:rsidTr="00A61666">
        <w:tc>
          <w:tcPr>
            <w:tcW w:w="3005" w:type="dxa"/>
          </w:tcPr>
          <w:p w14:paraId="5AF4F46F" w14:textId="292B57CF" w:rsidR="0015158E" w:rsidRDefault="0015158E">
            <w:r w:rsidRPr="002A4E4E">
              <w:rPr>
                <w:rFonts w:ascii="Calibri" w:eastAsia="Times New Roman" w:hAnsi="Calibri" w:cs="Calibri"/>
                <w:color w:val="000000"/>
                <w:sz w:val="22"/>
                <w:szCs w:val="22"/>
                <w:lang w:eastAsia="en-GB"/>
              </w:rPr>
              <w:t>The central argument needs to be tightened/strengthened: what is the central argument that frames the empirical exploration and how does the paper contribute to a larger debate/bigger picture? </w:t>
            </w:r>
          </w:p>
        </w:tc>
        <w:tc>
          <w:tcPr>
            <w:tcW w:w="3005" w:type="dxa"/>
          </w:tcPr>
          <w:p w14:paraId="025233E0" w14:textId="6E8DA1DA" w:rsidR="0015158E" w:rsidRDefault="002C2C1E">
            <w:r>
              <w:t>This is important feedback. I have revised the paper by adding new sentences on the contribution of this study into the abstract, introduction, and conclusion of the paper.</w:t>
            </w:r>
          </w:p>
        </w:tc>
        <w:tc>
          <w:tcPr>
            <w:tcW w:w="3006" w:type="dxa"/>
          </w:tcPr>
          <w:p w14:paraId="269CBAEB" w14:textId="3C709701" w:rsidR="0015158E" w:rsidRDefault="002C2C1E">
            <w:r>
              <w:t>Page. 1, 2, and 23.</w:t>
            </w:r>
          </w:p>
        </w:tc>
      </w:tr>
      <w:tr w:rsidR="0015158E" w14:paraId="4D96E386" w14:textId="77777777" w:rsidTr="00A61666">
        <w:tc>
          <w:tcPr>
            <w:tcW w:w="3005" w:type="dxa"/>
          </w:tcPr>
          <w:p w14:paraId="34A1E338" w14:textId="383BD8EC" w:rsidR="0015158E" w:rsidRDefault="0015158E">
            <w:r w:rsidRPr="0015158E">
              <w:rPr>
                <w:rFonts w:ascii="Calibri" w:eastAsia="Times New Roman" w:hAnsi="Calibri" w:cs="Calibri"/>
                <w:color w:val="000000"/>
                <w:sz w:val="22"/>
                <w:szCs w:val="22"/>
                <w:lang w:eastAsia="en-GB"/>
              </w:rPr>
              <w:t>I suggest that the methodology</w:t>
            </w:r>
            <w:r w:rsidRPr="002A4E4E">
              <w:rPr>
                <w:rFonts w:ascii="Calibri" w:eastAsia="Times New Roman" w:hAnsi="Calibri" w:cs="Calibri"/>
                <w:color w:val="000000"/>
                <w:sz w:val="22"/>
                <w:szCs w:val="22"/>
                <w:lang w:eastAsia="en-GB"/>
              </w:rPr>
              <w:t xml:space="preserve"> includes a critical reflection on these points: firstly, why did the author choose 10 TED Talks taking place in 2018? Does the temporal context matter here? Why not give a broader overview? </w:t>
            </w:r>
          </w:p>
        </w:tc>
        <w:tc>
          <w:tcPr>
            <w:tcW w:w="3005" w:type="dxa"/>
          </w:tcPr>
          <w:p w14:paraId="4196B3FC" w14:textId="373566DD" w:rsidR="0015158E" w:rsidRDefault="002C2C1E">
            <w:r>
              <w:t xml:space="preserve">This is useful. The revised version of the paper responses to these questions by offering a rationale. I have </w:t>
            </w:r>
            <w:r w:rsidR="00D1640F">
              <w:t>revised this and added a sentence that reads: “</w:t>
            </w:r>
            <w:r w:rsidR="00D1640F">
              <w:rPr>
                <w:rFonts w:ascii="Times" w:hAnsi="Times"/>
              </w:rPr>
              <w:t>Since this paper emerged from my PhD research project – a comprehensive analysis of TED Talks on Islam: discourse, audience, and speakers – that was conducted between 2015-2019, the data taken were those published before 2019.</w:t>
            </w:r>
            <w:r w:rsidR="00D1640F">
              <w:t>”</w:t>
            </w:r>
          </w:p>
        </w:tc>
        <w:tc>
          <w:tcPr>
            <w:tcW w:w="3006" w:type="dxa"/>
          </w:tcPr>
          <w:p w14:paraId="4D839FD1" w14:textId="1CF10560" w:rsidR="0015158E" w:rsidRDefault="00D1640F">
            <w:r>
              <w:t>Page 6.</w:t>
            </w:r>
          </w:p>
        </w:tc>
      </w:tr>
      <w:tr w:rsidR="00D1640F" w14:paraId="74DB5E6F" w14:textId="77777777" w:rsidTr="00A61666">
        <w:tc>
          <w:tcPr>
            <w:tcW w:w="3005" w:type="dxa"/>
          </w:tcPr>
          <w:p w14:paraId="5A44665F" w14:textId="6AFD9D24" w:rsidR="00D1640F" w:rsidRPr="0015158E" w:rsidRDefault="00D1640F">
            <w:pPr>
              <w:rPr>
                <w:rFonts w:ascii="Calibri" w:eastAsia="Times New Roman" w:hAnsi="Calibri" w:cs="Calibri"/>
                <w:color w:val="000000"/>
                <w:sz w:val="22"/>
                <w:szCs w:val="22"/>
                <w:lang w:eastAsia="en-GB"/>
              </w:rPr>
            </w:pPr>
            <w:r w:rsidRPr="002A4E4E">
              <w:rPr>
                <w:rFonts w:ascii="Calibri" w:eastAsia="Times New Roman" w:hAnsi="Calibri" w:cs="Calibri"/>
                <w:color w:val="000000"/>
                <w:sz w:val="22"/>
                <w:szCs w:val="22"/>
                <w:lang w:eastAsia="en-GB"/>
              </w:rPr>
              <w:t xml:space="preserve">Secondly, using discourse analysis on videos presents a challenge </w:t>
            </w:r>
            <w:proofErr w:type="gramStart"/>
            <w:r w:rsidRPr="002A4E4E">
              <w:rPr>
                <w:rFonts w:ascii="Calibri" w:eastAsia="Times New Roman" w:hAnsi="Calibri" w:cs="Calibri"/>
                <w:color w:val="000000"/>
                <w:sz w:val="22"/>
                <w:szCs w:val="22"/>
                <w:lang w:eastAsia="en-GB"/>
              </w:rPr>
              <w:t>due to the fact that</w:t>
            </w:r>
            <w:proofErr w:type="gramEnd"/>
            <w:r w:rsidRPr="002A4E4E">
              <w:rPr>
                <w:rFonts w:ascii="Calibri" w:eastAsia="Times New Roman" w:hAnsi="Calibri" w:cs="Calibri"/>
                <w:color w:val="000000"/>
                <w:sz w:val="22"/>
                <w:szCs w:val="22"/>
                <w:lang w:eastAsia="en-GB"/>
              </w:rPr>
              <w:t xml:space="preserve"> this approach will not in any detail capture the appearance, body language and dress of the presenter. Thus, the reader would expect reflections/analysis of why/how video/discourse interact.</w:t>
            </w:r>
          </w:p>
        </w:tc>
        <w:tc>
          <w:tcPr>
            <w:tcW w:w="3005" w:type="dxa"/>
          </w:tcPr>
          <w:p w14:paraId="0D1832D1" w14:textId="348EBE07" w:rsidR="00D1640F" w:rsidRDefault="00D1640F">
            <w:r>
              <w:t xml:space="preserve">This comment has been addressed by adding three new sentences in the second last paragraph of the Data &amp; Methods section. These new sentences </w:t>
            </w:r>
            <w:r w:rsidR="002B602A">
              <w:t>acknowledge</w:t>
            </w:r>
            <w:r>
              <w:t xml:space="preserve"> the importance of future research </w:t>
            </w:r>
            <w:r w:rsidR="002B602A">
              <w:t xml:space="preserve">by reflections on the analysis of on-stage non-verbal communication cues deployed by the TED speakers. The new sentences also validate the scope of analysing video by using transcripts – a popular </w:t>
            </w:r>
            <w:r w:rsidR="002B602A">
              <w:lastRenderedPageBreak/>
              <w:t>method adopted by discourse analysis studies.</w:t>
            </w:r>
          </w:p>
        </w:tc>
        <w:tc>
          <w:tcPr>
            <w:tcW w:w="3006" w:type="dxa"/>
          </w:tcPr>
          <w:p w14:paraId="74622968" w14:textId="76413AD9" w:rsidR="00D1640F" w:rsidRDefault="00D1640F">
            <w:r>
              <w:lastRenderedPageBreak/>
              <w:t>Page 8.</w:t>
            </w:r>
          </w:p>
        </w:tc>
      </w:tr>
      <w:tr w:rsidR="0015158E" w14:paraId="15D0ED05" w14:textId="77777777" w:rsidTr="00A61666">
        <w:tc>
          <w:tcPr>
            <w:tcW w:w="3005" w:type="dxa"/>
          </w:tcPr>
          <w:p w14:paraId="6ADFE75D" w14:textId="526916BE" w:rsidR="0015158E" w:rsidRDefault="0015158E">
            <w:r w:rsidRPr="0015158E">
              <w:rPr>
                <w:rFonts w:ascii="Calibri" w:eastAsia="Times New Roman" w:hAnsi="Calibri" w:cs="Calibri"/>
                <w:color w:val="000000"/>
                <w:sz w:val="22"/>
                <w:szCs w:val="22"/>
                <w:lang w:eastAsia="en-GB"/>
              </w:rPr>
              <w:t>3. The analysis builds on discourse</w:t>
            </w:r>
            <w:r w:rsidRPr="002A4E4E">
              <w:rPr>
                <w:rFonts w:ascii="Calibri" w:eastAsia="Times New Roman" w:hAnsi="Calibri" w:cs="Calibri"/>
                <w:color w:val="000000"/>
                <w:sz w:val="22"/>
                <w:szCs w:val="22"/>
                <w:lang w:eastAsia="en-GB"/>
              </w:rPr>
              <w:t xml:space="preserve"> analysis of quotes that often seem to be floating and I suggest that discourse analysis is more actively used. That would entail compressing quotes based on a deeper analysis taking into consideration the key contributions of discourse analysis.</w:t>
            </w:r>
          </w:p>
        </w:tc>
        <w:tc>
          <w:tcPr>
            <w:tcW w:w="3005" w:type="dxa"/>
          </w:tcPr>
          <w:p w14:paraId="2ABBBC7E" w14:textId="0A39C313" w:rsidR="0015158E" w:rsidRDefault="002B602A">
            <w:r>
              <w:t xml:space="preserve">This is </w:t>
            </w:r>
            <w:proofErr w:type="gramStart"/>
            <w:r>
              <w:t>a useful feedback</w:t>
            </w:r>
            <w:proofErr w:type="gramEnd"/>
            <w:r>
              <w:t xml:space="preserve">. I have reduced the length of a few quotes to enhance the quality of analysis and </w:t>
            </w:r>
            <w:proofErr w:type="gramStart"/>
            <w:r>
              <w:t>lift up</w:t>
            </w:r>
            <w:proofErr w:type="gramEnd"/>
            <w:r>
              <w:t xml:space="preserve"> the readability. </w:t>
            </w:r>
          </w:p>
        </w:tc>
        <w:tc>
          <w:tcPr>
            <w:tcW w:w="3006" w:type="dxa"/>
          </w:tcPr>
          <w:p w14:paraId="7F3B0237" w14:textId="64770710" w:rsidR="0015158E" w:rsidRDefault="002B602A">
            <w:r>
              <w:t>Page 10, 13, 14, and 21.</w:t>
            </w:r>
          </w:p>
        </w:tc>
      </w:tr>
      <w:tr w:rsidR="0015158E" w14:paraId="0534E508" w14:textId="77777777" w:rsidTr="00A61666">
        <w:tc>
          <w:tcPr>
            <w:tcW w:w="3005" w:type="dxa"/>
          </w:tcPr>
          <w:p w14:paraId="34251C7F" w14:textId="6BEA2970" w:rsidR="0015158E" w:rsidRDefault="0015158E">
            <w:r w:rsidRPr="002A4E4E">
              <w:rPr>
                <w:rFonts w:ascii="Calibri" w:eastAsia="Times New Roman" w:hAnsi="Calibri" w:cs="Calibri"/>
                <w:color w:val="000000"/>
                <w:sz w:val="22"/>
                <w:szCs w:val="22"/>
                <w:lang w:eastAsia="en-GB"/>
              </w:rPr>
              <w:t xml:space="preserve">There is no mention of the TED talk by the Turkish journalist Mustafa Akyol, who in my opinion cannot be condescended to as "middlebrow": indeed, it seems to me a very intelligent and </w:t>
            </w:r>
            <w:r>
              <w:rPr>
                <w:rFonts w:ascii="Calibri" w:eastAsia="Times New Roman" w:hAnsi="Calibri" w:cs="Calibri"/>
                <w:color w:val="000000"/>
                <w:sz w:val="22"/>
                <w:szCs w:val="22"/>
                <w:lang w:eastAsia="en-GB"/>
              </w:rPr>
              <w:t>well-reasoned</w:t>
            </w:r>
            <w:r w:rsidRPr="002A4E4E">
              <w:rPr>
                <w:rFonts w:ascii="Calibri" w:eastAsia="Times New Roman" w:hAnsi="Calibri" w:cs="Calibri"/>
                <w:color w:val="000000"/>
                <w:sz w:val="22"/>
                <w:szCs w:val="22"/>
                <w:lang w:eastAsia="en-GB"/>
              </w:rPr>
              <w:t xml:space="preserve"> use of his 15 minutes. It is true that he argues in favour of a modern, liberal Islam likely to attract Western liberals and democrats, but he is not guilty of "awe-inducing, personalized storytelling" (the second of the three "discourse features" that the author identifies as characterizing TED Talks on Islam). The author of this submission seems to have focused on weaker examples. Surely if s/he is setting out to analyse the</w:t>
            </w:r>
            <w:r w:rsidRPr="002A4E4E">
              <w:rPr>
                <w:rFonts w:ascii="Calibri" w:eastAsia="Times New Roman" w:hAnsi="Calibri" w:cs="Calibri"/>
                <w:color w:val="000000"/>
                <w:sz w:val="22"/>
                <w:szCs w:val="22"/>
                <w:lang w:eastAsia="en-GB"/>
              </w:rPr>
              <w:br/>
              <w:t>totality of TED talks on Islamic topics s/he should not ignore such a strong one.</w:t>
            </w:r>
          </w:p>
        </w:tc>
        <w:tc>
          <w:tcPr>
            <w:tcW w:w="3005" w:type="dxa"/>
          </w:tcPr>
          <w:p w14:paraId="0EC2FA33" w14:textId="1694616F" w:rsidR="0015158E" w:rsidRDefault="00201150">
            <w:r>
              <w:t xml:space="preserve">This is an important point to be clarified. The revised </w:t>
            </w:r>
            <w:proofErr w:type="spellStart"/>
            <w:r>
              <w:t>verion</w:t>
            </w:r>
            <w:proofErr w:type="spellEnd"/>
            <w:r>
              <w:t xml:space="preserve"> of the paper contains explanations on the exceptional quality of Akyol’s TED Talk and therefore, the reasons for not to be considered as a popular model of TED Talks on Islam. Akyol’s presentation for various reasons can be considered as a unique intellectual initiative using the TED’s platform. But at the same time Akyol’s presentation has little significance to the conceptual </w:t>
            </w:r>
            <w:r w:rsidR="00E220C0">
              <w:t xml:space="preserve">framework of this paper – postsecular translation and Judaeo-Christian interpretation of Islamic themes. This is further explained in the revised version of the paper. </w:t>
            </w:r>
            <w:r>
              <w:t xml:space="preserve">  </w:t>
            </w:r>
          </w:p>
        </w:tc>
        <w:tc>
          <w:tcPr>
            <w:tcW w:w="3006" w:type="dxa"/>
          </w:tcPr>
          <w:p w14:paraId="690523A2" w14:textId="42752D52" w:rsidR="0015158E" w:rsidRDefault="00201150">
            <w:r>
              <w:t>Page 6 and 7.</w:t>
            </w:r>
          </w:p>
        </w:tc>
      </w:tr>
      <w:tr w:rsidR="004B150A" w14:paraId="74CECD57" w14:textId="77777777" w:rsidTr="00A61666">
        <w:tc>
          <w:tcPr>
            <w:tcW w:w="3005" w:type="dxa"/>
          </w:tcPr>
          <w:p w14:paraId="4B756847" w14:textId="3CA88881" w:rsidR="004B150A" w:rsidRPr="002A4E4E" w:rsidRDefault="004B150A">
            <w:pPr>
              <w:rPr>
                <w:rFonts w:ascii="Calibri" w:eastAsia="Times New Roman" w:hAnsi="Calibri" w:cs="Calibri"/>
                <w:color w:val="000000"/>
                <w:sz w:val="22"/>
                <w:szCs w:val="22"/>
                <w:lang w:eastAsia="en-GB"/>
              </w:rPr>
            </w:pPr>
            <w:r w:rsidRPr="004B150A">
              <w:rPr>
                <w:rFonts w:ascii="Calibri" w:eastAsia="Times New Roman" w:hAnsi="Calibri" w:cs="Calibri"/>
                <w:color w:val="000000"/>
                <w:sz w:val="22"/>
                <w:szCs w:val="22"/>
                <w:lang w:eastAsia="en-GB"/>
              </w:rPr>
              <w:t>S/he says that the transcripts</w:t>
            </w:r>
            <w:r w:rsidRPr="002A4E4E">
              <w:rPr>
                <w:rFonts w:ascii="Calibri" w:eastAsia="Times New Roman" w:hAnsi="Calibri" w:cs="Calibri"/>
                <w:color w:val="000000"/>
                <w:sz w:val="22"/>
                <w:szCs w:val="22"/>
                <w:lang w:eastAsia="en-GB"/>
              </w:rPr>
              <w:t xml:space="preserve"> were "collected" in 2018 (p.6), but some of them were recorded several years ago, </w:t>
            </w:r>
            <w:proofErr w:type="gramStart"/>
            <w:r w:rsidRPr="002A4E4E">
              <w:rPr>
                <w:rFonts w:ascii="Calibri" w:eastAsia="Times New Roman" w:hAnsi="Calibri" w:cs="Calibri"/>
                <w:color w:val="000000"/>
                <w:sz w:val="22"/>
                <w:szCs w:val="22"/>
                <w:lang w:eastAsia="en-GB"/>
              </w:rPr>
              <w:t>e.g.</w:t>
            </w:r>
            <w:proofErr w:type="gramEnd"/>
            <w:r w:rsidRPr="002A4E4E">
              <w:rPr>
                <w:rFonts w:ascii="Calibri" w:eastAsia="Times New Roman" w:hAnsi="Calibri" w:cs="Calibri"/>
                <w:color w:val="000000"/>
                <w:sz w:val="22"/>
                <w:szCs w:val="22"/>
                <w:lang w:eastAsia="en-GB"/>
              </w:rPr>
              <w:t xml:space="preserve"> the one by Faisal Abdul Rauf was posted in 2008.</w:t>
            </w:r>
          </w:p>
        </w:tc>
        <w:tc>
          <w:tcPr>
            <w:tcW w:w="3005" w:type="dxa"/>
          </w:tcPr>
          <w:p w14:paraId="722E4002" w14:textId="4D58725F" w:rsidR="004B150A" w:rsidRDefault="00E220C0">
            <w:r>
              <w:t xml:space="preserve">This comment has been addressed in the first paragraph of the Data &amp; Methods section </w:t>
            </w:r>
          </w:p>
        </w:tc>
        <w:tc>
          <w:tcPr>
            <w:tcW w:w="3006" w:type="dxa"/>
          </w:tcPr>
          <w:p w14:paraId="735A9338" w14:textId="7CB2860A" w:rsidR="004B150A" w:rsidRDefault="00E220C0">
            <w:r>
              <w:t>Page 6</w:t>
            </w:r>
          </w:p>
        </w:tc>
      </w:tr>
      <w:tr w:rsidR="004B150A" w14:paraId="68D3B5AD" w14:textId="77777777" w:rsidTr="00A61666">
        <w:tc>
          <w:tcPr>
            <w:tcW w:w="3005" w:type="dxa"/>
          </w:tcPr>
          <w:p w14:paraId="3EAA4D1B" w14:textId="1CEDA7AF" w:rsidR="004B150A" w:rsidRPr="004B150A" w:rsidRDefault="004B150A">
            <w:pPr>
              <w:rPr>
                <w:rFonts w:ascii="Calibri" w:eastAsia="Times New Roman" w:hAnsi="Calibri" w:cs="Calibri"/>
                <w:color w:val="000000"/>
                <w:sz w:val="22"/>
                <w:szCs w:val="22"/>
                <w:lang w:eastAsia="en-GB"/>
              </w:rPr>
            </w:pPr>
            <w:r w:rsidRPr="004B150A">
              <w:rPr>
                <w:rFonts w:ascii="Calibri" w:eastAsia="Times New Roman" w:hAnsi="Calibri" w:cs="Calibri"/>
                <w:color w:val="000000"/>
                <w:sz w:val="22"/>
                <w:szCs w:val="22"/>
                <w:lang w:eastAsia="en-GB"/>
              </w:rPr>
              <w:t>A more serious flaw: The author does</w:t>
            </w:r>
            <w:r w:rsidRPr="002A4E4E">
              <w:rPr>
                <w:rFonts w:ascii="Calibri" w:eastAsia="Times New Roman" w:hAnsi="Calibri" w:cs="Calibri"/>
                <w:color w:val="000000"/>
                <w:sz w:val="22"/>
                <w:szCs w:val="22"/>
                <w:lang w:eastAsia="en-GB"/>
              </w:rPr>
              <w:t xml:space="preserve"> not explain what s/he means by "Islamic epistemologies" or "a great deal of Islamic insight" or </w:t>
            </w:r>
            <w:r w:rsidRPr="002A4E4E">
              <w:rPr>
                <w:rFonts w:ascii="Calibri" w:eastAsia="Times New Roman" w:hAnsi="Calibri" w:cs="Calibri"/>
                <w:color w:val="000000"/>
                <w:sz w:val="22"/>
                <w:szCs w:val="22"/>
                <w:lang w:eastAsia="en-GB"/>
              </w:rPr>
              <w:lastRenderedPageBreak/>
              <w:t xml:space="preserve">"Islamic subjectivities". There is as much variation in Islamic religiosity and civilization as in their Christian counterparts, and we are left with the contention that the TED talks ignore something important to this </w:t>
            </w:r>
            <w:proofErr w:type="gramStart"/>
            <w:r w:rsidRPr="002A4E4E">
              <w:rPr>
                <w:rFonts w:ascii="Calibri" w:eastAsia="Times New Roman" w:hAnsi="Calibri" w:cs="Calibri"/>
                <w:color w:val="000000"/>
                <w:sz w:val="22"/>
                <w:szCs w:val="22"/>
                <w:lang w:eastAsia="en-GB"/>
              </w:rPr>
              <w:t>author</w:t>
            </w:r>
            <w:proofErr w:type="gramEnd"/>
            <w:r w:rsidRPr="002A4E4E">
              <w:rPr>
                <w:rFonts w:ascii="Calibri" w:eastAsia="Times New Roman" w:hAnsi="Calibri" w:cs="Calibri"/>
                <w:color w:val="000000"/>
                <w:sz w:val="22"/>
                <w:szCs w:val="22"/>
                <w:lang w:eastAsia="en-GB"/>
              </w:rPr>
              <w:t xml:space="preserve"> but we are left with little idea as to what this is. One is left with the gnawing suspicion that perhaps these are impressive words without much substance.</w:t>
            </w:r>
          </w:p>
        </w:tc>
        <w:tc>
          <w:tcPr>
            <w:tcW w:w="3005" w:type="dxa"/>
          </w:tcPr>
          <w:p w14:paraId="2CBF89CA" w14:textId="21778317" w:rsidR="004B150A" w:rsidRDefault="00E220C0">
            <w:r>
              <w:lastRenderedPageBreak/>
              <w:t xml:space="preserve">This is an important point to be clarified. After a thorough revision of the data and analysis for a few </w:t>
            </w:r>
            <w:r>
              <w:lastRenderedPageBreak/>
              <w:t>rounds, I have decided to remove reference to “</w:t>
            </w:r>
            <w:r w:rsidRPr="002A4E4E">
              <w:rPr>
                <w:rFonts w:ascii="Calibri" w:eastAsia="Times New Roman" w:hAnsi="Calibri" w:cs="Calibri"/>
                <w:color w:val="000000"/>
                <w:sz w:val="22"/>
                <w:szCs w:val="22"/>
                <w:lang w:eastAsia="en-GB"/>
              </w:rPr>
              <w:t>Islamic epistemologies</w:t>
            </w:r>
            <w:r>
              <w:t xml:space="preserve">”, </w:t>
            </w:r>
            <w:r w:rsidR="00EE6E6F">
              <w:t xml:space="preserve">and “Islamic subjectivities” </w:t>
            </w:r>
            <w:r>
              <w:t xml:space="preserve">instead use terms such as “Islamic themes”, “Islamic topics”. </w:t>
            </w:r>
          </w:p>
          <w:p w14:paraId="21C7518C" w14:textId="77777777" w:rsidR="00EE6E6F" w:rsidRDefault="00EE6E6F"/>
          <w:p w14:paraId="298DEB28" w14:textId="77777777" w:rsidR="00EE6E6F" w:rsidRDefault="00EE6E6F" w:rsidP="00365514">
            <w:r>
              <w:t>The term “Islamic insight”</w:t>
            </w:r>
            <w:r w:rsidRPr="00EE6E6F">
              <w:t xml:space="preserve"> is used </w:t>
            </w:r>
            <w:r>
              <w:t xml:space="preserve">in this </w:t>
            </w:r>
            <w:r w:rsidRPr="00EE6E6F">
              <w:t xml:space="preserve">paper to refer to the views, opinions, attitudes, and knowledge constructed by </w:t>
            </w:r>
            <w:r>
              <w:t xml:space="preserve">based on </w:t>
            </w:r>
            <w:r w:rsidRPr="00EE6E6F">
              <w:t xml:space="preserve">the normative textual tradition of Islam, as enshrined in the Qur'an and </w:t>
            </w:r>
            <w:r>
              <w:t>the teachings of Prophet Muhammad</w:t>
            </w:r>
            <w:r w:rsidR="00365514">
              <w:t xml:space="preserve"> </w:t>
            </w:r>
            <w:proofErr w:type="gramStart"/>
            <w:r w:rsidR="00365514">
              <w:t>in order to</w:t>
            </w:r>
            <w:proofErr w:type="gramEnd"/>
            <w:r w:rsidR="00365514">
              <w:t xml:space="preserve"> facilitate interpretation of</w:t>
            </w:r>
            <w:r w:rsidRPr="00EE6E6F">
              <w:t xml:space="preserve"> peculiar choices and assertions</w:t>
            </w:r>
            <w:r w:rsidR="00365514">
              <w:t>.</w:t>
            </w:r>
          </w:p>
          <w:p w14:paraId="75C28DC8" w14:textId="77777777" w:rsidR="00535767" w:rsidRDefault="00535767" w:rsidP="00365514"/>
          <w:p w14:paraId="37DE27EF" w14:textId="1E748F93" w:rsidR="00535767" w:rsidRDefault="00535767" w:rsidP="00365514">
            <w:r>
              <w:t>In page 9, the following additional sentences are included to bring clarity:</w:t>
            </w:r>
          </w:p>
          <w:p w14:paraId="2A5F5970" w14:textId="77777777" w:rsidR="00535767" w:rsidRDefault="00535767" w:rsidP="00365514"/>
          <w:p w14:paraId="265CDFB3" w14:textId="124C4D6E" w:rsidR="00535767" w:rsidRDefault="00535767" w:rsidP="00365514">
            <w:r>
              <w:rPr>
                <w:rFonts w:ascii="Times" w:hAnsi="Times"/>
                <w:lang w:val="en-US"/>
              </w:rPr>
              <w:t>“</w:t>
            </w:r>
            <w:r w:rsidRPr="00D16401">
              <w:rPr>
                <w:rFonts w:ascii="Times" w:hAnsi="Times"/>
                <w:lang w:val="en-US"/>
              </w:rPr>
              <w:t xml:space="preserve">Such </w:t>
            </w:r>
            <w:r>
              <w:rPr>
                <w:rFonts w:ascii="Times" w:hAnsi="Times"/>
                <w:lang w:val="en-US"/>
              </w:rPr>
              <w:t xml:space="preserve">mediatized </w:t>
            </w:r>
            <w:r w:rsidRPr="00D16401">
              <w:rPr>
                <w:rFonts w:ascii="Times" w:hAnsi="Times"/>
                <w:lang w:val="en-US"/>
              </w:rPr>
              <w:t xml:space="preserve">storytelling on Islam, this </w:t>
            </w:r>
            <w:r>
              <w:rPr>
                <w:rFonts w:ascii="Times" w:hAnsi="Times"/>
                <w:lang w:val="en-US"/>
              </w:rPr>
              <w:t xml:space="preserve">study </w:t>
            </w:r>
            <w:r w:rsidRPr="00D16401">
              <w:rPr>
                <w:rFonts w:ascii="Times" w:hAnsi="Times"/>
                <w:lang w:val="en-US"/>
              </w:rPr>
              <w:t xml:space="preserve">views, can lead to a mere individualistic interpretation of Islam tailored to cater to Western secular liberal mindsets, wherein a great deal of Islamic </w:t>
            </w:r>
            <w:r>
              <w:rPr>
                <w:rFonts w:ascii="Times" w:hAnsi="Times"/>
                <w:lang w:val="en-US"/>
              </w:rPr>
              <w:t xml:space="preserve">theological vocabulary, jargon, and symbols are </w:t>
            </w:r>
            <w:r w:rsidRPr="00D16401">
              <w:rPr>
                <w:rFonts w:ascii="Times" w:hAnsi="Times"/>
                <w:lang w:val="en-US"/>
              </w:rPr>
              <w:t>at stake.</w:t>
            </w:r>
            <w:r>
              <w:rPr>
                <w:rFonts w:ascii="Times" w:hAnsi="Times"/>
                <w:lang w:val="en-US"/>
              </w:rPr>
              <w:t xml:space="preserve"> This process of postsecular translation of Islamic themes, evident in TED Talks, establishes an open hermeneutic margin for secular convincing interpretation and negotiation, which then leads to a reading of Islamic subjects with an increased level of vagueness and malleability.</w:t>
            </w:r>
            <w:r>
              <w:rPr>
                <w:rFonts w:ascii="Times" w:hAnsi="Times"/>
                <w:lang w:val="en-US"/>
              </w:rPr>
              <w:t>”</w:t>
            </w:r>
            <w:r>
              <w:rPr>
                <w:rFonts w:ascii="Times" w:hAnsi="Times"/>
                <w:lang w:val="en-US"/>
              </w:rPr>
              <w:t xml:space="preserve"> </w:t>
            </w:r>
          </w:p>
        </w:tc>
        <w:tc>
          <w:tcPr>
            <w:tcW w:w="3006" w:type="dxa"/>
          </w:tcPr>
          <w:p w14:paraId="53FE962A" w14:textId="4F1134E9" w:rsidR="004B150A" w:rsidRDefault="002C5966">
            <w:r>
              <w:lastRenderedPageBreak/>
              <w:t>Page 1</w:t>
            </w:r>
            <w:r w:rsidR="00535767">
              <w:t xml:space="preserve"> &amp; 9.</w:t>
            </w:r>
          </w:p>
        </w:tc>
      </w:tr>
    </w:tbl>
    <w:p w14:paraId="4D03589F" w14:textId="77777777" w:rsidR="00A61666" w:rsidRDefault="00A61666"/>
    <w:sectPr w:rsidR="00A616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666"/>
    <w:rsid w:val="00027A61"/>
    <w:rsid w:val="0015158E"/>
    <w:rsid w:val="00201150"/>
    <w:rsid w:val="002B602A"/>
    <w:rsid w:val="002C2C1E"/>
    <w:rsid w:val="002C5966"/>
    <w:rsid w:val="002F2736"/>
    <w:rsid w:val="00331402"/>
    <w:rsid w:val="00365514"/>
    <w:rsid w:val="004B150A"/>
    <w:rsid w:val="00535767"/>
    <w:rsid w:val="006942F3"/>
    <w:rsid w:val="00717049"/>
    <w:rsid w:val="008C5FF2"/>
    <w:rsid w:val="00A61666"/>
    <w:rsid w:val="00B057D9"/>
    <w:rsid w:val="00B257AA"/>
    <w:rsid w:val="00BC22BA"/>
    <w:rsid w:val="00BF3FCD"/>
    <w:rsid w:val="00C57BE4"/>
    <w:rsid w:val="00C610E0"/>
    <w:rsid w:val="00D1640F"/>
    <w:rsid w:val="00DA3176"/>
    <w:rsid w:val="00DF3671"/>
    <w:rsid w:val="00E220C0"/>
    <w:rsid w:val="00EE6E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8312241"/>
  <w15:chartTrackingRefBased/>
  <w15:docId w15:val="{D4ABE992-DFFA-9547-805E-700634C3F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158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5158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849</Words>
  <Characters>4843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Jasbeer Musthafa Mamalipurath</dc:creator>
  <cp:keywords/>
  <dc:description/>
  <cp:lastModifiedBy>Jasbeer Musthafa Mamalipurath</cp:lastModifiedBy>
  <cp:revision>8</cp:revision>
  <dcterms:created xsi:type="dcterms:W3CDTF">2022-09-26T01:35:00Z</dcterms:created>
  <dcterms:modified xsi:type="dcterms:W3CDTF">2022-10-01T05:24:00Z</dcterms:modified>
</cp:coreProperties>
</file>