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BDD2" w14:textId="77777777" w:rsidR="003F298E" w:rsidRPr="006F0FF1" w:rsidRDefault="003F298E" w:rsidP="003F298E">
      <w:pPr>
        <w:rPr>
          <w:rFonts w:ascii="Times New Roman" w:hAnsi="Times New Roman"/>
          <w:bCs/>
          <w:sz w:val="24"/>
          <w:lang w:val="en-GB"/>
        </w:rPr>
      </w:pPr>
      <w:r>
        <w:rPr>
          <w:rFonts w:ascii="Times New Roman" w:hAnsi="Times New Roman"/>
          <w:b/>
          <w:sz w:val="24"/>
          <w:lang w:val="en-GB"/>
        </w:rPr>
        <w:t xml:space="preserve">Web </w:t>
      </w:r>
      <w:r w:rsidRPr="00D22F42">
        <w:rPr>
          <w:rFonts w:ascii="Times New Roman" w:hAnsi="Times New Roman"/>
          <w:b/>
          <w:sz w:val="24"/>
          <w:lang w:val="en-GB"/>
        </w:rPr>
        <w:t xml:space="preserve">Appendix </w:t>
      </w:r>
      <w:r>
        <w:rPr>
          <w:rFonts w:ascii="Times New Roman" w:hAnsi="Times New Roman" w:hint="eastAsia"/>
          <w:b/>
          <w:sz w:val="24"/>
          <w:lang w:val="en-GB"/>
        </w:rPr>
        <w:t>A</w:t>
      </w:r>
      <w:r w:rsidRPr="003C0A6D">
        <w:rPr>
          <w:rFonts w:ascii="Times New Roman" w:hAnsi="Times New Roman"/>
          <w:bCs/>
          <w:sz w:val="24"/>
          <w:lang w:val="en-GB"/>
        </w:rPr>
        <w:t>. Specific examples of studies that were included or excluded from this review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824"/>
        <w:gridCol w:w="1843"/>
        <w:gridCol w:w="4898"/>
      </w:tblGrid>
      <w:tr w:rsidR="003F298E" w14:paraId="660D9D05" w14:textId="77777777" w:rsidTr="00207AC1">
        <w:tc>
          <w:tcPr>
            <w:tcW w:w="2122" w:type="dxa"/>
            <w:tcBorders>
              <w:top w:val="single" w:sz="4" w:space="0" w:color="auto"/>
              <w:bottom w:val="single" w:sz="4" w:space="0" w:color="auto"/>
            </w:tcBorders>
          </w:tcPr>
          <w:p w14:paraId="1222F7E9" w14:textId="77777777" w:rsidR="003F298E" w:rsidRDefault="003F298E" w:rsidP="00207AC1">
            <w:pPr>
              <w:jc w:val="left"/>
              <w:rPr>
                <w:rFonts w:ascii="Times New Roman" w:hAnsi="Times New Roman"/>
                <w:sz w:val="24"/>
                <w:lang w:val="en-GB"/>
              </w:rPr>
            </w:pPr>
            <w:r>
              <w:rPr>
                <w:rFonts w:ascii="Times New Roman" w:hAnsi="Times New Roman" w:hint="eastAsia"/>
                <w:sz w:val="24"/>
                <w:lang w:val="en-GB"/>
              </w:rPr>
              <w:t>Category</w:t>
            </w:r>
          </w:p>
        </w:tc>
        <w:tc>
          <w:tcPr>
            <w:tcW w:w="4824" w:type="dxa"/>
            <w:tcBorders>
              <w:top w:val="single" w:sz="4" w:space="0" w:color="auto"/>
              <w:bottom w:val="single" w:sz="4" w:space="0" w:color="auto"/>
            </w:tcBorders>
          </w:tcPr>
          <w:p w14:paraId="628D6F39" w14:textId="77777777" w:rsidR="003F298E" w:rsidRDefault="003F298E" w:rsidP="00207AC1">
            <w:pPr>
              <w:jc w:val="left"/>
              <w:rPr>
                <w:rFonts w:ascii="Times New Roman" w:hAnsi="Times New Roman"/>
                <w:sz w:val="24"/>
                <w:lang w:val="en-GB"/>
              </w:rPr>
            </w:pPr>
            <w:r>
              <w:rPr>
                <w:rFonts w:ascii="Times New Roman" w:hAnsi="Times New Roman" w:hint="eastAsia"/>
                <w:sz w:val="24"/>
                <w:lang w:val="en-GB"/>
              </w:rPr>
              <w:t>Example</w:t>
            </w:r>
          </w:p>
        </w:tc>
        <w:tc>
          <w:tcPr>
            <w:tcW w:w="1843" w:type="dxa"/>
            <w:tcBorders>
              <w:top w:val="single" w:sz="4" w:space="0" w:color="auto"/>
              <w:bottom w:val="single" w:sz="4" w:space="0" w:color="auto"/>
            </w:tcBorders>
          </w:tcPr>
          <w:p w14:paraId="66F0C5C8" w14:textId="77777777" w:rsidR="003F298E" w:rsidRDefault="003F298E" w:rsidP="00207AC1">
            <w:pPr>
              <w:jc w:val="left"/>
              <w:rPr>
                <w:rFonts w:ascii="Times New Roman" w:hAnsi="Times New Roman"/>
                <w:sz w:val="24"/>
                <w:lang w:val="en-GB"/>
              </w:rPr>
            </w:pPr>
            <w:r>
              <w:rPr>
                <w:rFonts w:ascii="Times New Roman" w:hAnsi="Times New Roman" w:hint="eastAsia"/>
                <w:sz w:val="24"/>
                <w:lang w:val="en-GB"/>
              </w:rPr>
              <w:t>Classification</w:t>
            </w:r>
          </w:p>
        </w:tc>
        <w:tc>
          <w:tcPr>
            <w:tcW w:w="4898" w:type="dxa"/>
            <w:tcBorders>
              <w:top w:val="single" w:sz="4" w:space="0" w:color="auto"/>
              <w:bottom w:val="single" w:sz="4" w:space="0" w:color="auto"/>
            </w:tcBorders>
          </w:tcPr>
          <w:p w14:paraId="3DE06EF6" w14:textId="77777777" w:rsidR="003F298E" w:rsidRDefault="003F298E" w:rsidP="00207AC1">
            <w:pPr>
              <w:jc w:val="left"/>
              <w:rPr>
                <w:rFonts w:ascii="Times New Roman" w:hAnsi="Times New Roman"/>
                <w:sz w:val="24"/>
                <w:lang w:val="en-GB"/>
              </w:rPr>
            </w:pPr>
            <w:r>
              <w:rPr>
                <w:rFonts w:ascii="Times New Roman" w:hAnsi="Times New Roman" w:hint="eastAsia"/>
                <w:sz w:val="24"/>
                <w:lang w:val="en-GB"/>
              </w:rPr>
              <w:t>Reason for classification</w:t>
            </w:r>
          </w:p>
        </w:tc>
      </w:tr>
      <w:tr w:rsidR="003F298E" w14:paraId="7BF5C75A" w14:textId="77777777" w:rsidTr="00207AC1">
        <w:tc>
          <w:tcPr>
            <w:tcW w:w="2122" w:type="dxa"/>
            <w:tcBorders>
              <w:top w:val="single" w:sz="4" w:space="0" w:color="auto"/>
            </w:tcBorders>
          </w:tcPr>
          <w:p w14:paraId="334DB7DC" w14:textId="77777777" w:rsidR="003F298E" w:rsidRDefault="003F298E" w:rsidP="00207AC1">
            <w:pPr>
              <w:jc w:val="left"/>
              <w:rPr>
                <w:rFonts w:ascii="Times New Roman" w:hAnsi="Times New Roman"/>
                <w:sz w:val="24"/>
                <w:lang w:val="en-GB"/>
              </w:rPr>
            </w:pPr>
            <w:r w:rsidRPr="003205F2">
              <w:rPr>
                <w:rFonts w:ascii="Times New Roman" w:hAnsi="Times New Roman"/>
                <w:sz w:val="24"/>
                <w:lang w:val="en-GB"/>
              </w:rPr>
              <w:t>A. – Global study without European contextualization</w:t>
            </w:r>
          </w:p>
        </w:tc>
        <w:tc>
          <w:tcPr>
            <w:tcW w:w="4824" w:type="dxa"/>
            <w:tcBorders>
              <w:top w:val="single" w:sz="4" w:space="0" w:color="auto"/>
            </w:tcBorders>
          </w:tcPr>
          <w:p w14:paraId="4793541B" w14:textId="77777777" w:rsidR="003F298E" w:rsidRPr="003205F2" w:rsidRDefault="003F298E" w:rsidP="00207AC1">
            <w:pPr>
              <w:jc w:val="left"/>
              <w:rPr>
                <w:rFonts w:ascii="Times New Roman" w:hAnsi="Times New Roman"/>
                <w:sz w:val="24"/>
                <w:lang w:val="en-GB"/>
              </w:rPr>
            </w:pPr>
            <w:r w:rsidRPr="003205F2">
              <w:rPr>
                <w:rFonts w:ascii="Times New Roman" w:hAnsi="Times New Roman"/>
                <w:sz w:val="24"/>
                <w:lang w:val="en-GB"/>
              </w:rPr>
              <w:t xml:space="preserve">Contractor, Kundu, &amp; Hsu (2003) analyzed the relationship between multinationality and performance in global service </w:t>
            </w:r>
            <w:r>
              <w:rPr>
                <w:rFonts w:ascii="Times New Roman" w:hAnsi="Times New Roman"/>
                <w:sz w:val="24"/>
                <w:lang w:val="en-GB"/>
              </w:rPr>
              <w:t>firms</w:t>
            </w:r>
            <w:r w:rsidRPr="003205F2">
              <w:rPr>
                <w:rFonts w:ascii="Times New Roman" w:hAnsi="Times New Roman"/>
                <w:sz w:val="24"/>
                <w:lang w:val="en-GB"/>
              </w:rPr>
              <w:t xml:space="preserve">. While some European </w:t>
            </w:r>
            <w:r>
              <w:rPr>
                <w:rFonts w:ascii="Times New Roman" w:hAnsi="Times New Roman"/>
                <w:sz w:val="24"/>
                <w:lang w:val="en-GB"/>
              </w:rPr>
              <w:t>firms</w:t>
            </w:r>
            <w:r w:rsidRPr="003205F2">
              <w:rPr>
                <w:rFonts w:ascii="Times New Roman" w:hAnsi="Times New Roman"/>
                <w:sz w:val="24"/>
                <w:lang w:val="en-GB"/>
              </w:rPr>
              <w:t xml:space="preserve"> were included in the study, most were headquartered in the United States, and no discussion was made of European institutional or market factors.</w:t>
            </w:r>
          </w:p>
        </w:tc>
        <w:tc>
          <w:tcPr>
            <w:tcW w:w="1843" w:type="dxa"/>
            <w:tcBorders>
              <w:top w:val="single" w:sz="4" w:space="0" w:color="auto"/>
            </w:tcBorders>
          </w:tcPr>
          <w:p w14:paraId="7A0E59D6" w14:textId="77777777" w:rsidR="003F298E" w:rsidRDefault="003F298E" w:rsidP="00207AC1">
            <w:pPr>
              <w:jc w:val="left"/>
              <w:rPr>
                <w:rFonts w:ascii="Times New Roman" w:hAnsi="Times New Roman"/>
                <w:sz w:val="24"/>
                <w:lang w:val="en-GB"/>
              </w:rPr>
            </w:pPr>
            <w:r>
              <w:rPr>
                <w:rFonts w:ascii="Times New Roman" w:hAnsi="Times New Roman" w:hint="eastAsia"/>
                <w:sz w:val="24"/>
                <w:lang w:val="en-GB"/>
              </w:rPr>
              <w:t>Excluded</w:t>
            </w:r>
          </w:p>
        </w:tc>
        <w:tc>
          <w:tcPr>
            <w:tcW w:w="4898" w:type="dxa"/>
            <w:tcBorders>
              <w:top w:val="single" w:sz="4" w:space="0" w:color="auto"/>
            </w:tcBorders>
          </w:tcPr>
          <w:p w14:paraId="13995244" w14:textId="77777777" w:rsidR="003F298E" w:rsidRDefault="003F298E" w:rsidP="00207AC1">
            <w:pPr>
              <w:jc w:val="left"/>
              <w:rPr>
                <w:rFonts w:ascii="Times New Roman" w:hAnsi="Times New Roman"/>
                <w:sz w:val="24"/>
                <w:lang w:val="en-GB"/>
              </w:rPr>
            </w:pPr>
            <w:r w:rsidRPr="003205F2">
              <w:rPr>
                <w:rFonts w:ascii="Times New Roman" w:hAnsi="Times New Roman"/>
                <w:sz w:val="24"/>
                <w:lang w:val="en-GB"/>
              </w:rPr>
              <w:t>Europe appears only as part of a global sample, and the focus and theoretical framework of the study are universal rather than contextual.</w:t>
            </w:r>
          </w:p>
        </w:tc>
      </w:tr>
      <w:tr w:rsidR="003F298E" w14:paraId="29CC6E90" w14:textId="77777777" w:rsidTr="00207AC1">
        <w:tc>
          <w:tcPr>
            <w:tcW w:w="2122" w:type="dxa"/>
          </w:tcPr>
          <w:p w14:paraId="1EEDC0EF" w14:textId="77777777" w:rsidR="003F298E" w:rsidRDefault="003F298E" w:rsidP="00207AC1">
            <w:pPr>
              <w:jc w:val="left"/>
              <w:rPr>
                <w:rFonts w:ascii="Times New Roman" w:hAnsi="Times New Roman"/>
                <w:sz w:val="24"/>
                <w:lang w:val="en-GB"/>
              </w:rPr>
            </w:pPr>
            <w:r>
              <w:rPr>
                <w:rFonts w:ascii="Times New Roman" w:hAnsi="Times New Roman" w:hint="eastAsia"/>
                <w:sz w:val="24"/>
                <w:lang w:val="en-GB"/>
              </w:rPr>
              <w:t xml:space="preserve">B. </w:t>
            </w:r>
            <w:r w:rsidRPr="003205F2">
              <w:rPr>
                <w:rFonts w:ascii="Times New Roman" w:hAnsi="Times New Roman"/>
                <w:sz w:val="24"/>
                <w:lang w:val="en-GB"/>
              </w:rPr>
              <w:t>– Empirical emphasis on European MNEs and context</w:t>
            </w:r>
          </w:p>
        </w:tc>
        <w:tc>
          <w:tcPr>
            <w:tcW w:w="4824" w:type="dxa"/>
          </w:tcPr>
          <w:p w14:paraId="220F4068" w14:textId="77777777" w:rsidR="003F298E" w:rsidRPr="003205F2" w:rsidRDefault="003F298E" w:rsidP="00207AC1">
            <w:pPr>
              <w:jc w:val="left"/>
              <w:rPr>
                <w:rFonts w:ascii="Times New Roman" w:hAnsi="Times New Roman"/>
                <w:sz w:val="24"/>
                <w:lang w:val="en-GB"/>
              </w:rPr>
            </w:pPr>
            <w:r w:rsidRPr="00C2755D">
              <w:rPr>
                <w:rFonts w:ascii="Times New Roman" w:hAnsi="Times New Roman"/>
                <w:sz w:val="24"/>
                <w:lang w:val="en-GB"/>
              </w:rPr>
              <w:t xml:space="preserve">Gupta &amp; Govindarajan (2000) </w:t>
            </w:r>
            <w:r>
              <w:rPr>
                <w:rFonts w:ascii="Times New Roman" w:hAnsi="Times New Roman"/>
                <w:sz w:val="24"/>
                <w:lang w:val="en-GB"/>
              </w:rPr>
              <w:t>examined</w:t>
            </w:r>
            <w:r w:rsidRPr="00C2755D">
              <w:rPr>
                <w:rFonts w:ascii="Times New Roman" w:hAnsi="Times New Roman"/>
                <w:sz w:val="24"/>
                <w:lang w:val="en-GB"/>
              </w:rPr>
              <w:t xml:space="preserve"> knowledge flows within </w:t>
            </w:r>
            <w:r>
              <w:rPr>
                <w:rFonts w:ascii="Times New Roman" w:hAnsi="Times New Roman"/>
                <w:sz w:val="24"/>
                <w:lang w:val="en-GB"/>
              </w:rPr>
              <w:t>MNEs</w:t>
            </w:r>
            <w:r w:rsidRPr="00C2755D">
              <w:rPr>
                <w:rFonts w:ascii="Times New Roman" w:hAnsi="Times New Roman"/>
                <w:sz w:val="24"/>
                <w:lang w:val="en-GB"/>
              </w:rPr>
              <w:t>. Their sample consisted of subsidiaries in the United States, Japan, and Europe, with 46% of these being European MN</w:t>
            </w:r>
            <w:r>
              <w:rPr>
                <w:rFonts w:ascii="Times New Roman" w:hAnsi="Times New Roman"/>
                <w:sz w:val="24"/>
                <w:lang w:val="en-GB"/>
              </w:rPr>
              <w:t>E</w:t>
            </w:r>
            <w:r w:rsidRPr="00C2755D">
              <w:rPr>
                <w:rFonts w:ascii="Times New Roman" w:hAnsi="Times New Roman"/>
                <w:sz w:val="24"/>
                <w:lang w:val="en-GB"/>
              </w:rPr>
              <w:t>s. However, this study did not explicitly address institutional, regulatory, or cultural factors in Europe. Instead, the theoretical framework and interpretation focused on generalizable mechanisms of knowledge transfer within MN</w:t>
            </w:r>
            <w:r>
              <w:rPr>
                <w:rFonts w:ascii="Times New Roman" w:hAnsi="Times New Roman"/>
                <w:sz w:val="24"/>
                <w:lang w:val="en-GB"/>
              </w:rPr>
              <w:t>E</w:t>
            </w:r>
            <w:r w:rsidRPr="00C2755D">
              <w:rPr>
                <w:rFonts w:ascii="Times New Roman" w:hAnsi="Times New Roman"/>
                <w:sz w:val="24"/>
                <w:lang w:val="en-GB"/>
              </w:rPr>
              <w:t>s.</w:t>
            </w:r>
          </w:p>
        </w:tc>
        <w:tc>
          <w:tcPr>
            <w:tcW w:w="1843" w:type="dxa"/>
          </w:tcPr>
          <w:p w14:paraId="3E26965F" w14:textId="77777777" w:rsidR="003F298E" w:rsidRDefault="003F298E" w:rsidP="00207AC1">
            <w:pPr>
              <w:jc w:val="left"/>
              <w:rPr>
                <w:rFonts w:ascii="Times New Roman" w:hAnsi="Times New Roman"/>
                <w:sz w:val="24"/>
                <w:lang w:val="en-GB"/>
              </w:rPr>
            </w:pPr>
            <w:r>
              <w:rPr>
                <w:rFonts w:ascii="Times New Roman" w:hAnsi="Times New Roman"/>
                <w:sz w:val="24"/>
                <w:lang w:val="en-GB"/>
              </w:rPr>
              <w:t>Ex</w:t>
            </w:r>
            <w:r>
              <w:rPr>
                <w:rFonts w:ascii="Times New Roman" w:hAnsi="Times New Roman" w:hint="eastAsia"/>
                <w:sz w:val="24"/>
                <w:lang w:val="en-GB"/>
              </w:rPr>
              <w:t>cluded</w:t>
            </w:r>
          </w:p>
        </w:tc>
        <w:tc>
          <w:tcPr>
            <w:tcW w:w="4898" w:type="dxa"/>
          </w:tcPr>
          <w:p w14:paraId="69638404" w14:textId="77777777" w:rsidR="003F298E" w:rsidRDefault="003F298E" w:rsidP="00207AC1">
            <w:pPr>
              <w:jc w:val="left"/>
              <w:rPr>
                <w:rFonts w:ascii="Times New Roman" w:hAnsi="Times New Roman"/>
                <w:sz w:val="24"/>
                <w:lang w:val="en-GB"/>
              </w:rPr>
            </w:pPr>
            <w:r w:rsidRPr="00343794">
              <w:rPr>
                <w:rFonts w:ascii="Times New Roman" w:hAnsi="Times New Roman"/>
                <w:sz w:val="24"/>
                <w:lang w:val="en-GB"/>
              </w:rPr>
              <w:t>Despite the significant presence of European subsidiaries in the sample, the analysis and theoretical discussion of this study were not directly linked to the European context. Therefore, this study was not classified as a Europe-focused study according to our contextual screening criteria.</w:t>
            </w:r>
          </w:p>
        </w:tc>
      </w:tr>
      <w:tr w:rsidR="003F298E" w14:paraId="5A2C035D" w14:textId="77777777" w:rsidTr="00207AC1">
        <w:tc>
          <w:tcPr>
            <w:tcW w:w="2122" w:type="dxa"/>
            <w:tcBorders>
              <w:bottom w:val="single" w:sz="4" w:space="0" w:color="auto"/>
            </w:tcBorders>
          </w:tcPr>
          <w:p w14:paraId="22BA4D60" w14:textId="77777777" w:rsidR="003F298E" w:rsidRDefault="003F298E" w:rsidP="00207AC1">
            <w:pPr>
              <w:jc w:val="left"/>
              <w:rPr>
                <w:rFonts w:ascii="Times New Roman" w:hAnsi="Times New Roman"/>
                <w:sz w:val="24"/>
                <w:lang w:val="en-GB"/>
              </w:rPr>
            </w:pPr>
            <w:r w:rsidRPr="003205F2">
              <w:rPr>
                <w:rFonts w:ascii="Times New Roman" w:hAnsi="Times New Roman"/>
                <w:sz w:val="24"/>
                <w:lang w:val="en-GB"/>
              </w:rPr>
              <w:t>C. – European data with partially contextual insights</w:t>
            </w:r>
          </w:p>
        </w:tc>
        <w:tc>
          <w:tcPr>
            <w:tcW w:w="4824" w:type="dxa"/>
            <w:tcBorders>
              <w:bottom w:val="single" w:sz="4" w:space="0" w:color="auto"/>
            </w:tcBorders>
          </w:tcPr>
          <w:p w14:paraId="60372527" w14:textId="77777777" w:rsidR="003F298E" w:rsidRDefault="003F298E" w:rsidP="00207AC1">
            <w:pPr>
              <w:jc w:val="left"/>
              <w:rPr>
                <w:rFonts w:ascii="Times New Roman" w:hAnsi="Times New Roman"/>
                <w:sz w:val="24"/>
                <w:lang w:val="en-GB"/>
              </w:rPr>
            </w:pPr>
            <w:r w:rsidRPr="003205F2">
              <w:rPr>
                <w:rFonts w:ascii="Times New Roman" w:hAnsi="Times New Roman"/>
                <w:sz w:val="24"/>
                <w:lang w:val="en-GB"/>
              </w:rPr>
              <w:t xml:space="preserve">Barkema &amp; Drogendijk (2007) </w:t>
            </w:r>
            <w:r>
              <w:rPr>
                <w:rFonts w:ascii="Times New Roman" w:hAnsi="Times New Roman"/>
                <w:sz w:val="24"/>
                <w:lang w:val="en-GB"/>
              </w:rPr>
              <w:t>investigat</w:t>
            </w:r>
            <w:r w:rsidRPr="003205F2">
              <w:rPr>
                <w:rFonts w:ascii="Times New Roman" w:hAnsi="Times New Roman"/>
                <w:sz w:val="24"/>
                <w:lang w:val="en-GB"/>
              </w:rPr>
              <w:t xml:space="preserve">ed internationalization paths and learning patterns of European </w:t>
            </w:r>
            <w:r>
              <w:rPr>
                <w:rFonts w:ascii="Times New Roman" w:hAnsi="Times New Roman"/>
                <w:sz w:val="24"/>
                <w:lang w:val="en-GB"/>
              </w:rPr>
              <w:t>firms</w:t>
            </w:r>
            <w:r w:rsidRPr="003205F2">
              <w:rPr>
                <w:rFonts w:ascii="Times New Roman" w:hAnsi="Times New Roman"/>
                <w:sz w:val="24"/>
                <w:lang w:val="en-GB"/>
              </w:rPr>
              <w:t>. While the theoretical framework (gradual internationalization, experiential learning) is broadly generalizable, the empirical design and interpretation focused on the European business environment, including the continent</w:t>
            </w:r>
            <w:r>
              <w:rPr>
                <w:rFonts w:ascii="Times New Roman" w:hAnsi="Times New Roman"/>
                <w:sz w:val="24"/>
                <w:lang w:val="en-GB"/>
              </w:rPr>
              <w:t>’</w:t>
            </w:r>
            <w:r w:rsidRPr="003205F2">
              <w:rPr>
                <w:rFonts w:ascii="Times New Roman" w:hAnsi="Times New Roman"/>
                <w:sz w:val="24"/>
                <w:lang w:val="en-GB"/>
              </w:rPr>
              <w:t>s institutional complexity and market diversity.</w:t>
            </w:r>
          </w:p>
        </w:tc>
        <w:tc>
          <w:tcPr>
            <w:tcW w:w="1843" w:type="dxa"/>
            <w:tcBorders>
              <w:bottom w:val="single" w:sz="4" w:space="0" w:color="auto"/>
            </w:tcBorders>
          </w:tcPr>
          <w:p w14:paraId="3E993BBC" w14:textId="77777777" w:rsidR="003F298E" w:rsidRDefault="003F298E" w:rsidP="00207AC1">
            <w:pPr>
              <w:jc w:val="left"/>
              <w:rPr>
                <w:rFonts w:ascii="Times New Roman" w:hAnsi="Times New Roman"/>
                <w:sz w:val="24"/>
                <w:lang w:val="en-GB"/>
              </w:rPr>
            </w:pPr>
            <w:r w:rsidRPr="003205F2">
              <w:rPr>
                <w:rFonts w:ascii="Times New Roman" w:hAnsi="Times New Roman"/>
                <w:sz w:val="24"/>
                <w:lang w:val="en-GB"/>
              </w:rPr>
              <w:t>Included</w:t>
            </w:r>
          </w:p>
        </w:tc>
        <w:tc>
          <w:tcPr>
            <w:tcW w:w="4898" w:type="dxa"/>
            <w:tcBorders>
              <w:bottom w:val="single" w:sz="4" w:space="0" w:color="auto"/>
            </w:tcBorders>
          </w:tcPr>
          <w:p w14:paraId="17956AB9" w14:textId="77777777" w:rsidR="003F298E" w:rsidRDefault="003F298E" w:rsidP="00207AC1">
            <w:pPr>
              <w:jc w:val="left"/>
              <w:rPr>
                <w:rFonts w:ascii="Times New Roman" w:hAnsi="Times New Roman"/>
                <w:sz w:val="24"/>
                <w:lang w:val="en-GB"/>
              </w:rPr>
            </w:pPr>
            <w:r w:rsidRPr="003205F2">
              <w:rPr>
                <w:rFonts w:ascii="Times New Roman" w:hAnsi="Times New Roman"/>
                <w:sz w:val="24"/>
                <w:lang w:val="en-GB"/>
              </w:rPr>
              <w:t xml:space="preserve">While the theoretical model of this study is universal, the empirical focus and interpretation are centered on European </w:t>
            </w:r>
            <w:r>
              <w:rPr>
                <w:rFonts w:ascii="Times New Roman" w:hAnsi="Times New Roman"/>
                <w:sz w:val="24"/>
                <w:lang w:val="en-GB"/>
              </w:rPr>
              <w:t>firms</w:t>
            </w:r>
            <w:r w:rsidRPr="003205F2">
              <w:rPr>
                <w:rFonts w:ascii="Times New Roman" w:hAnsi="Times New Roman"/>
                <w:sz w:val="24"/>
                <w:lang w:val="en-GB"/>
              </w:rPr>
              <w:t>. The study provides meaningful contextual insights into how Europe</w:t>
            </w:r>
            <w:r>
              <w:rPr>
                <w:rFonts w:ascii="Times New Roman" w:hAnsi="Times New Roman"/>
                <w:sz w:val="24"/>
                <w:lang w:val="en-GB"/>
              </w:rPr>
              <w:t>’</w:t>
            </w:r>
            <w:r w:rsidRPr="003205F2">
              <w:rPr>
                <w:rFonts w:ascii="Times New Roman" w:hAnsi="Times New Roman"/>
                <w:sz w:val="24"/>
                <w:lang w:val="en-GB"/>
              </w:rPr>
              <w:t xml:space="preserve">s heterogeneous institutional environment impacts the internationalization process of </w:t>
            </w:r>
            <w:r>
              <w:rPr>
                <w:rFonts w:ascii="Times New Roman" w:hAnsi="Times New Roman"/>
                <w:sz w:val="24"/>
                <w:lang w:val="en-GB"/>
              </w:rPr>
              <w:t>firms</w:t>
            </w:r>
            <w:r w:rsidRPr="003205F2">
              <w:rPr>
                <w:rFonts w:ascii="Times New Roman" w:hAnsi="Times New Roman"/>
                <w:sz w:val="24"/>
                <w:lang w:val="en-GB"/>
              </w:rPr>
              <w:t>. Th</w:t>
            </w:r>
            <w:r>
              <w:rPr>
                <w:rFonts w:ascii="Times New Roman" w:hAnsi="Times New Roman"/>
                <w:sz w:val="24"/>
                <w:lang w:val="en-GB"/>
              </w:rPr>
              <w:t>us</w:t>
            </w:r>
            <w:r w:rsidRPr="003205F2">
              <w:rPr>
                <w:rFonts w:ascii="Times New Roman" w:hAnsi="Times New Roman"/>
                <w:sz w:val="24"/>
                <w:lang w:val="en-GB"/>
              </w:rPr>
              <w:t>, while conceptually general, its substantive contributions are closely tied to the European context, warranting its inclusion in this review.</w:t>
            </w:r>
          </w:p>
        </w:tc>
      </w:tr>
    </w:tbl>
    <w:p w14:paraId="6589DD8D" w14:textId="77777777" w:rsidR="003F298E" w:rsidRDefault="003F298E" w:rsidP="003F298E">
      <w:pPr>
        <w:rPr>
          <w:rFonts w:ascii="Times New Roman" w:hAnsi="Times New Roman"/>
          <w:sz w:val="24"/>
          <w:lang w:val="en-GB"/>
        </w:rPr>
      </w:pPr>
    </w:p>
    <w:p w14:paraId="75055119" w14:textId="77777777" w:rsidR="003F298E" w:rsidRDefault="003F298E" w:rsidP="003F298E">
      <w:pPr>
        <w:rPr>
          <w:rFonts w:ascii="Times New Roman" w:hAnsi="Times New Roman"/>
          <w:sz w:val="24"/>
          <w:lang w:val="en-GB"/>
        </w:rPr>
      </w:pPr>
    </w:p>
    <w:p w14:paraId="680514FB" w14:textId="77777777" w:rsidR="003F298E" w:rsidRPr="003C0A6D" w:rsidRDefault="003F298E" w:rsidP="003F298E">
      <w:pPr>
        <w:rPr>
          <w:rFonts w:ascii="Times New Roman" w:hAnsi="Times New Roman"/>
          <w:bCs/>
          <w:sz w:val="24"/>
          <w:lang w:val="en-GB"/>
        </w:rPr>
      </w:pPr>
      <w:r>
        <w:rPr>
          <w:rFonts w:ascii="Times New Roman" w:hAnsi="Times New Roman" w:hint="eastAsia"/>
          <w:b/>
          <w:sz w:val="24"/>
          <w:lang w:val="en-GB"/>
        </w:rPr>
        <w:lastRenderedPageBreak/>
        <w:t xml:space="preserve">Web Appendix B. </w:t>
      </w:r>
      <w:r w:rsidRPr="003C0A6D">
        <w:rPr>
          <w:rFonts w:ascii="Times New Roman" w:hAnsi="Times New Roman"/>
          <w:bCs/>
          <w:sz w:val="24"/>
          <w:lang w:val="en-GB"/>
        </w:rPr>
        <w:t>Research contexts</w:t>
      </w:r>
    </w:p>
    <w:tbl>
      <w:tblPr>
        <w:tblStyle w:val="TableGrid"/>
        <w:tblW w:w="5000" w:type="pct"/>
        <w:tblLook w:val="04A0" w:firstRow="1" w:lastRow="0" w:firstColumn="1" w:lastColumn="0" w:noHBand="0" w:noVBand="1"/>
      </w:tblPr>
      <w:tblGrid>
        <w:gridCol w:w="3288"/>
        <w:gridCol w:w="1985"/>
        <w:gridCol w:w="3301"/>
        <w:gridCol w:w="3134"/>
        <w:gridCol w:w="988"/>
        <w:gridCol w:w="991"/>
      </w:tblGrid>
      <w:tr w:rsidR="003F298E" w:rsidRPr="003F298E" w14:paraId="207C4350" w14:textId="77777777" w:rsidTr="00B01EEA">
        <w:trPr>
          <w:trHeight w:val="340"/>
        </w:trPr>
        <w:tc>
          <w:tcPr>
            <w:tcW w:w="1201" w:type="pct"/>
            <w:noWrap/>
            <w:hideMark/>
          </w:tcPr>
          <w:p w14:paraId="2602C66A" w14:textId="77777777" w:rsidR="003F298E" w:rsidRPr="003F298E" w:rsidRDefault="003F298E" w:rsidP="00207AC1">
            <w:pPr>
              <w:rPr>
                <w:rFonts w:ascii="Times New Roman" w:hAnsi="Times New Roman" w:cs="Times New Roman"/>
                <w:sz w:val="24"/>
                <w:szCs w:val="24"/>
              </w:rPr>
            </w:pPr>
          </w:p>
        </w:tc>
        <w:tc>
          <w:tcPr>
            <w:tcW w:w="725" w:type="pct"/>
            <w:noWrap/>
            <w:hideMark/>
          </w:tcPr>
          <w:p w14:paraId="53829331"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Intra-European</w:t>
            </w:r>
          </w:p>
        </w:tc>
        <w:tc>
          <w:tcPr>
            <w:tcW w:w="1206" w:type="pct"/>
            <w:noWrap/>
            <w:hideMark/>
          </w:tcPr>
          <w:p w14:paraId="5355B1F7"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Outward (Extra-European)</w:t>
            </w:r>
          </w:p>
        </w:tc>
        <w:tc>
          <w:tcPr>
            <w:tcW w:w="1145" w:type="pct"/>
            <w:noWrap/>
            <w:hideMark/>
          </w:tcPr>
          <w:p w14:paraId="1999318A"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Inward (Extra-European)</w:t>
            </w:r>
          </w:p>
        </w:tc>
        <w:tc>
          <w:tcPr>
            <w:tcW w:w="361" w:type="pct"/>
            <w:noWrap/>
            <w:hideMark/>
          </w:tcPr>
          <w:p w14:paraId="250E48B0"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Other</w:t>
            </w:r>
          </w:p>
        </w:tc>
        <w:tc>
          <w:tcPr>
            <w:tcW w:w="362" w:type="pct"/>
            <w:noWrap/>
            <w:hideMark/>
          </w:tcPr>
          <w:p w14:paraId="30073B57"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hint="eastAsia"/>
                <w:bCs/>
                <w:sz w:val="24"/>
                <w:szCs w:val="24"/>
              </w:rPr>
              <w:t>Total</w:t>
            </w:r>
          </w:p>
        </w:tc>
      </w:tr>
      <w:tr w:rsidR="003F298E" w:rsidRPr="003F298E" w14:paraId="2235AC4B" w14:textId="77777777" w:rsidTr="00B01EEA">
        <w:trPr>
          <w:trHeight w:val="340"/>
        </w:trPr>
        <w:tc>
          <w:tcPr>
            <w:tcW w:w="1201" w:type="pct"/>
            <w:noWrap/>
            <w:hideMark/>
          </w:tcPr>
          <w:p w14:paraId="5A2F0B35"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Europe</w:t>
            </w:r>
          </w:p>
        </w:tc>
        <w:tc>
          <w:tcPr>
            <w:tcW w:w="725" w:type="pct"/>
            <w:noWrap/>
            <w:hideMark/>
          </w:tcPr>
          <w:p w14:paraId="59CDE477"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11</w:t>
            </w:r>
          </w:p>
        </w:tc>
        <w:tc>
          <w:tcPr>
            <w:tcW w:w="1206" w:type="pct"/>
            <w:noWrap/>
            <w:hideMark/>
          </w:tcPr>
          <w:p w14:paraId="4AC29ED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18</w:t>
            </w:r>
          </w:p>
        </w:tc>
        <w:tc>
          <w:tcPr>
            <w:tcW w:w="1145" w:type="pct"/>
            <w:noWrap/>
            <w:hideMark/>
          </w:tcPr>
          <w:p w14:paraId="27558B3C"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20</w:t>
            </w:r>
          </w:p>
        </w:tc>
        <w:tc>
          <w:tcPr>
            <w:tcW w:w="361" w:type="pct"/>
            <w:noWrap/>
            <w:hideMark/>
          </w:tcPr>
          <w:p w14:paraId="17CB3572"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12</w:t>
            </w:r>
          </w:p>
        </w:tc>
        <w:tc>
          <w:tcPr>
            <w:tcW w:w="362" w:type="pct"/>
            <w:noWrap/>
            <w:hideMark/>
          </w:tcPr>
          <w:p w14:paraId="69CE162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61</w:t>
            </w:r>
          </w:p>
        </w:tc>
      </w:tr>
      <w:tr w:rsidR="003F298E" w:rsidRPr="003F298E" w14:paraId="71FABA96" w14:textId="77777777" w:rsidTr="00B01EEA">
        <w:trPr>
          <w:trHeight w:val="340"/>
        </w:trPr>
        <w:tc>
          <w:tcPr>
            <w:tcW w:w="1201" w:type="pct"/>
            <w:noWrap/>
            <w:hideMark/>
          </w:tcPr>
          <w:p w14:paraId="001F7AF6"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Western Europe</w:t>
            </w:r>
          </w:p>
        </w:tc>
        <w:tc>
          <w:tcPr>
            <w:tcW w:w="725" w:type="pct"/>
            <w:noWrap/>
            <w:hideMark/>
          </w:tcPr>
          <w:p w14:paraId="52BCEE4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3</w:t>
            </w:r>
          </w:p>
        </w:tc>
        <w:tc>
          <w:tcPr>
            <w:tcW w:w="1206" w:type="pct"/>
            <w:noWrap/>
            <w:hideMark/>
          </w:tcPr>
          <w:p w14:paraId="350F165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4</w:t>
            </w:r>
          </w:p>
        </w:tc>
        <w:tc>
          <w:tcPr>
            <w:tcW w:w="1145" w:type="pct"/>
            <w:noWrap/>
            <w:hideMark/>
          </w:tcPr>
          <w:p w14:paraId="1ED9782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5</w:t>
            </w:r>
          </w:p>
        </w:tc>
        <w:tc>
          <w:tcPr>
            <w:tcW w:w="361" w:type="pct"/>
            <w:noWrap/>
            <w:hideMark/>
          </w:tcPr>
          <w:p w14:paraId="17E2400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2" w:type="pct"/>
            <w:noWrap/>
            <w:hideMark/>
          </w:tcPr>
          <w:p w14:paraId="5DBE8B8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14</w:t>
            </w:r>
          </w:p>
        </w:tc>
      </w:tr>
      <w:tr w:rsidR="003F298E" w:rsidRPr="003F298E" w14:paraId="3C6FADC2" w14:textId="77777777" w:rsidTr="00B01EEA">
        <w:trPr>
          <w:trHeight w:val="340"/>
        </w:trPr>
        <w:tc>
          <w:tcPr>
            <w:tcW w:w="1201" w:type="pct"/>
            <w:noWrap/>
            <w:hideMark/>
          </w:tcPr>
          <w:p w14:paraId="3AD50DD2"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Eastern Europe</w:t>
            </w:r>
          </w:p>
        </w:tc>
        <w:tc>
          <w:tcPr>
            <w:tcW w:w="725" w:type="pct"/>
            <w:noWrap/>
            <w:hideMark/>
          </w:tcPr>
          <w:p w14:paraId="1A7FF88C"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206" w:type="pct"/>
            <w:noWrap/>
            <w:hideMark/>
          </w:tcPr>
          <w:p w14:paraId="3A6EE2BC"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4AFD11E6"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69A488F5"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2" w:type="pct"/>
            <w:noWrap/>
            <w:hideMark/>
          </w:tcPr>
          <w:p w14:paraId="68270820"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4</w:t>
            </w:r>
          </w:p>
        </w:tc>
      </w:tr>
      <w:tr w:rsidR="003F298E" w:rsidRPr="003F298E" w14:paraId="65A2A306" w14:textId="77777777" w:rsidTr="00B01EEA">
        <w:trPr>
          <w:trHeight w:val="340"/>
        </w:trPr>
        <w:tc>
          <w:tcPr>
            <w:tcW w:w="1201" w:type="pct"/>
            <w:noWrap/>
            <w:hideMark/>
          </w:tcPr>
          <w:p w14:paraId="2369C82A"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Central Europe</w:t>
            </w:r>
          </w:p>
        </w:tc>
        <w:tc>
          <w:tcPr>
            <w:tcW w:w="725" w:type="pct"/>
            <w:noWrap/>
            <w:hideMark/>
          </w:tcPr>
          <w:p w14:paraId="2C30C12F"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656FFE5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147C45E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1" w:type="pct"/>
            <w:noWrap/>
            <w:hideMark/>
          </w:tcPr>
          <w:p w14:paraId="7E91F4D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406B0B70"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2</w:t>
            </w:r>
          </w:p>
        </w:tc>
      </w:tr>
      <w:tr w:rsidR="003F298E" w:rsidRPr="003F298E" w14:paraId="1FD998F2" w14:textId="77777777" w:rsidTr="00B01EEA">
        <w:trPr>
          <w:trHeight w:val="340"/>
        </w:trPr>
        <w:tc>
          <w:tcPr>
            <w:tcW w:w="1201" w:type="pct"/>
            <w:noWrap/>
            <w:hideMark/>
          </w:tcPr>
          <w:p w14:paraId="2B550721"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CEE</w:t>
            </w:r>
          </w:p>
        </w:tc>
        <w:tc>
          <w:tcPr>
            <w:tcW w:w="725" w:type="pct"/>
            <w:noWrap/>
            <w:hideMark/>
          </w:tcPr>
          <w:p w14:paraId="77FF50A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8</w:t>
            </w:r>
          </w:p>
        </w:tc>
        <w:tc>
          <w:tcPr>
            <w:tcW w:w="1206" w:type="pct"/>
            <w:noWrap/>
            <w:hideMark/>
          </w:tcPr>
          <w:p w14:paraId="18C71F4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1145" w:type="pct"/>
            <w:noWrap/>
            <w:hideMark/>
          </w:tcPr>
          <w:p w14:paraId="2A08524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11</w:t>
            </w:r>
          </w:p>
        </w:tc>
        <w:tc>
          <w:tcPr>
            <w:tcW w:w="361" w:type="pct"/>
            <w:noWrap/>
            <w:hideMark/>
          </w:tcPr>
          <w:p w14:paraId="1C49DD1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58B4818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22</w:t>
            </w:r>
          </w:p>
        </w:tc>
      </w:tr>
      <w:tr w:rsidR="003F298E" w:rsidRPr="003F298E" w14:paraId="5F0B85D4" w14:textId="77777777" w:rsidTr="00B01EEA">
        <w:trPr>
          <w:trHeight w:val="340"/>
        </w:trPr>
        <w:tc>
          <w:tcPr>
            <w:tcW w:w="1201" w:type="pct"/>
            <w:noWrap/>
            <w:hideMark/>
          </w:tcPr>
          <w:p w14:paraId="79CD3648"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Nordic countries</w:t>
            </w:r>
          </w:p>
        </w:tc>
        <w:tc>
          <w:tcPr>
            <w:tcW w:w="725" w:type="pct"/>
            <w:noWrap/>
            <w:hideMark/>
          </w:tcPr>
          <w:p w14:paraId="50A8551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206" w:type="pct"/>
            <w:noWrap/>
            <w:hideMark/>
          </w:tcPr>
          <w:p w14:paraId="64D5A47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1145" w:type="pct"/>
            <w:noWrap/>
            <w:hideMark/>
          </w:tcPr>
          <w:p w14:paraId="7313DAF2"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1" w:type="pct"/>
            <w:noWrap/>
            <w:hideMark/>
          </w:tcPr>
          <w:p w14:paraId="5BC3751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746EF07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3</w:t>
            </w:r>
          </w:p>
        </w:tc>
      </w:tr>
      <w:tr w:rsidR="003F298E" w:rsidRPr="003F298E" w14:paraId="081ED8BF" w14:textId="77777777" w:rsidTr="00B01EEA">
        <w:trPr>
          <w:trHeight w:val="340"/>
        </w:trPr>
        <w:tc>
          <w:tcPr>
            <w:tcW w:w="1201" w:type="pct"/>
            <w:noWrap/>
            <w:hideMark/>
          </w:tcPr>
          <w:p w14:paraId="581A013D"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The UK</w:t>
            </w:r>
          </w:p>
        </w:tc>
        <w:tc>
          <w:tcPr>
            <w:tcW w:w="725" w:type="pct"/>
            <w:noWrap/>
            <w:hideMark/>
          </w:tcPr>
          <w:p w14:paraId="78AE583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537B8575"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1145" w:type="pct"/>
            <w:noWrap/>
            <w:hideMark/>
          </w:tcPr>
          <w:p w14:paraId="44BBB1FF"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1" w:type="pct"/>
            <w:noWrap/>
            <w:hideMark/>
          </w:tcPr>
          <w:p w14:paraId="6FA84AF7"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2650E2F0"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5</w:t>
            </w:r>
          </w:p>
        </w:tc>
      </w:tr>
      <w:tr w:rsidR="003F298E" w:rsidRPr="003F298E" w14:paraId="26958C7C" w14:textId="77777777" w:rsidTr="00B01EEA">
        <w:trPr>
          <w:trHeight w:val="340"/>
        </w:trPr>
        <w:tc>
          <w:tcPr>
            <w:tcW w:w="1201" w:type="pct"/>
            <w:noWrap/>
            <w:hideMark/>
          </w:tcPr>
          <w:p w14:paraId="226DDCC6"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Austria</w:t>
            </w:r>
          </w:p>
        </w:tc>
        <w:tc>
          <w:tcPr>
            <w:tcW w:w="725" w:type="pct"/>
            <w:noWrap/>
            <w:hideMark/>
          </w:tcPr>
          <w:p w14:paraId="6BBB530C"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0C6DD94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6D34BA60"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1" w:type="pct"/>
            <w:noWrap/>
            <w:hideMark/>
          </w:tcPr>
          <w:p w14:paraId="1ADEE95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74A98663"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3</w:t>
            </w:r>
          </w:p>
        </w:tc>
      </w:tr>
      <w:tr w:rsidR="003F298E" w:rsidRPr="003F298E" w14:paraId="2272C4B5" w14:textId="77777777" w:rsidTr="00B01EEA">
        <w:trPr>
          <w:trHeight w:val="340"/>
        </w:trPr>
        <w:tc>
          <w:tcPr>
            <w:tcW w:w="1201" w:type="pct"/>
            <w:noWrap/>
            <w:hideMark/>
          </w:tcPr>
          <w:p w14:paraId="523B4916"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Bulgaria</w:t>
            </w:r>
          </w:p>
        </w:tc>
        <w:tc>
          <w:tcPr>
            <w:tcW w:w="725" w:type="pct"/>
            <w:noWrap/>
            <w:hideMark/>
          </w:tcPr>
          <w:p w14:paraId="476FBB3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246F02B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51C8852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14A9962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48F2B767"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w:t>
            </w:r>
          </w:p>
        </w:tc>
      </w:tr>
      <w:tr w:rsidR="003F298E" w:rsidRPr="003F298E" w14:paraId="0D48B25D" w14:textId="77777777" w:rsidTr="00B01EEA">
        <w:trPr>
          <w:trHeight w:val="340"/>
        </w:trPr>
        <w:tc>
          <w:tcPr>
            <w:tcW w:w="1201" w:type="pct"/>
            <w:noWrap/>
            <w:hideMark/>
          </w:tcPr>
          <w:p w14:paraId="27F128E0"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Czech Republic</w:t>
            </w:r>
          </w:p>
        </w:tc>
        <w:tc>
          <w:tcPr>
            <w:tcW w:w="725" w:type="pct"/>
            <w:noWrap/>
            <w:hideMark/>
          </w:tcPr>
          <w:p w14:paraId="69B9DA0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19EE821C"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6E0222C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62FDAF8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3944539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2</w:t>
            </w:r>
          </w:p>
        </w:tc>
      </w:tr>
      <w:tr w:rsidR="003F298E" w:rsidRPr="003F298E" w14:paraId="6289722E" w14:textId="77777777" w:rsidTr="00B01EEA">
        <w:trPr>
          <w:trHeight w:val="340"/>
        </w:trPr>
        <w:tc>
          <w:tcPr>
            <w:tcW w:w="1201" w:type="pct"/>
            <w:noWrap/>
            <w:hideMark/>
          </w:tcPr>
          <w:p w14:paraId="38EF44B8"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France</w:t>
            </w:r>
          </w:p>
        </w:tc>
        <w:tc>
          <w:tcPr>
            <w:tcW w:w="725" w:type="pct"/>
            <w:noWrap/>
            <w:hideMark/>
          </w:tcPr>
          <w:p w14:paraId="4E2C23C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0E6485F2"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41735EC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1" w:type="pct"/>
            <w:noWrap/>
            <w:hideMark/>
          </w:tcPr>
          <w:p w14:paraId="02086F56"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2" w:type="pct"/>
            <w:noWrap/>
            <w:hideMark/>
          </w:tcPr>
          <w:p w14:paraId="18A3E4B3"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2</w:t>
            </w:r>
          </w:p>
        </w:tc>
      </w:tr>
      <w:tr w:rsidR="003F298E" w:rsidRPr="003F298E" w14:paraId="7CDE4C1A" w14:textId="77777777" w:rsidTr="00B01EEA">
        <w:trPr>
          <w:trHeight w:val="340"/>
        </w:trPr>
        <w:tc>
          <w:tcPr>
            <w:tcW w:w="1201" w:type="pct"/>
            <w:noWrap/>
            <w:hideMark/>
          </w:tcPr>
          <w:p w14:paraId="4DEE46AC"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Germany</w:t>
            </w:r>
          </w:p>
        </w:tc>
        <w:tc>
          <w:tcPr>
            <w:tcW w:w="725" w:type="pct"/>
            <w:noWrap/>
            <w:hideMark/>
          </w:tcPr>
          <w:p w14:paraId="491A06E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0687C4A2"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5</w:t>
            </w:r>
          </w:p>
        </w:tc>
        <w:tc>
          <w:tcPr>
            <w:tcW w:w="1145" w:type="pct"/>
            <w:noWrap/>
            <w:hideMark/>
          </w:tcPr>
          <w:p w14:paraId="218F1FD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3</w:t>
            </w:r>
          </w:p>
        </w:tc>
        <w:tc>
          <w:tcPr>
            <w:tcW w:w="361" w:type="pct"/>
            <w:noWrap/>
            <w:hideMark/>
          </w:tcPr>
          <w:p w14:paraId="0AC65727"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2" w:type="pct"/>
            <w:noWrap/>
            <w:hideMark/>
          </w:tcPr>
          <w:p w14:paraId="760A1BE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10</w:t>
            </w:r>
          </w:p>
        </w:tc>
      </w:tr>
      <w:tr w:rsidR="003F298E" w:rsidRPr="003F298E" w14:paraId="30299B51" w14:textId="77777777" w:rsidTr="00B01EEA">
        <w:trPr>
          <w:trHeight w:val="340"/>
        </w:trPr>
        <w:tc>
          <w:tcPr>
            <w:tcW w:w="1201" w:type="pct"/>
            <w:noWrap/>
            <w:hideMark/>
          </w:tcPr>
          <w:p w14:paraId="771A8F22"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Greece</w:t>
            </w:r>
          </w:p>
        </w:tc>
        <w:tc>
          <w:tcPr>
            <w:tcW w:w="725" w:type="pct"/>
            <w:noWrap/>
            <w:hideMark/>
          </w:tcPr>
          <w:p w14:paraId="50F1F7C6"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6DBB3A7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42BF221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1" w:type="pct"/>
            <w:noWrap/>
            <w:hideMark/>
          </w:tcPr>
          <w:p w14:paraId="398C19E2"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4EC9D62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w:t>
            </w:r>
          </w:p>
        </w:tc>
      </w:tr>
      <w:tr w:rsidR="003F298E" w:rsidRPr="003F298E" w14:paraId="66BDE192" w14:textId="77777777" w:rsidTr="00B01EEA">
        <w:trPr>
          <w:trHeight w:val="340"/>
        </w:trPr>
        <w:tc>
          <w:tcPr>
            <w:tcW w:w="1201" w:type="pct"/>
            <w:noWrap/>
            <w:hideMark/>
          </w:tcPr>
          <w:p w14:paraId="473843A6"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Hungary</w:t>
            </w:r>
          </w:p>
        </w:tc>
        <w:tc>
          <w:tcPr>
            <w:tcW w:w="725" w:type="pct"/>
            <w:noWrap/>
            <w:hideMark/>
          </w:tcPr>
          <w:p w14:paraId="54880D3F"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206" w:type="pct"/>
            <w:noWrap/>
            <w:hideMark/>
          </w:tcPr>
          <w:p w14:paraId="027110D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469FD19C"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7C392EC7"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38C488B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4</w:t>
            </w:r>
          </w:p>
        </w:tc>
      </w:tr>
      <w:tr w:rsidR="003F298E" w:rsidRPr="003F298E" w14:paraId="292CCF89" w14:textId="77777777" w:rsidTr="00B01EEA">
        <w:trPr>
          <w:trHeight w:val="340"/>
        </w:trPr>
        <w:tc>
          <w:tcPr>
            <w:tcW w:w="1201" w:type="pct"/>
            <w:noWrap/>
            <w:hideMark/>
          </w:tcPr>
          <w:p w14:paraId="1D837901"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Italy</w:t>
            </w:r>
          </w:p>
        </w:tc>
        <w:tc>
          <w:tcPr>
            <w:tcW w:w="725" w:type="pct"/>
            <w:noWrap/>
            <w:hideMark/>
          </w:tcPr>
          <w:p w14:paraId="57C5E27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5D8DFDE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2B520E0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05F152E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160717E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2</w:t>
            </w:r>
          </w:p>
        </w:tc>
      </w:tr>
      <w:tr w:rsidR="003F298E" w:rsidRPr="003F298E" w14:paraId="670549A0" w14:textId="77777777" w:rsidTr="00B01EEA">
        <w:trPr>
          <w:trHeight w:val="340"/>
        </w:trPr>
        <w:tc>
          <w:tcPr>
            <w:tcW w:w="1201" w:type="pct"/>
            <w:noWrap/>
            <w:hideMark/>
          </w:tcPr>
          <w:p w14:paraId="372293B6"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Lithuania</w:t>
            </w:r>
          </w:p>
        </w:tc>
        <w:tc>
          <w:tcPr>
            <w:tcW w:w="725" w:type="pct"/>
            <w:noWrap/>
            <w:hideMark/>
          </w:tcPr>
          <w:p w14:paraId="448977E5"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68C970A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12F4403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1" w:type="pct"/>
            <w:noWrap/>
            <w:hideMark/>
          </w:tcPr>
          <w:p w14:paraId="3F504DA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06BEF68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w:t>
            </w:r>
          </w:p>
        </w:tc>
      </w:tr>
      <w:tr w:rsidR="003F298E" w:rsidRPr="003F298E" w14:paraId="253F4590" w14:textId="77777777" w:rsidTr="00B01EEA">
        <w:trPr>
          <w:trHeight w:val="340"/>
        </w:trPr>
        <w:tc>
          <w:tcPr>
            <w:tcW w:w="1201" w:type="pct"/>
            <w:noWrap/>
            <w:hideMark/>
          </w:tcPr>
          <w:p w14:paraId="50E66720"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Netherlands</w:t>
            </w:r>
          </w:p>
        </w:tc>
        <w:tc>
          <w:tcPr>
            <w:tcW w:w="725" w:type="pct"/>
            <w:noWrap/>
            <w:hideMark/>
          </w:tcPr>
          <w:p w14:paraId="320F14F6"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07A3EF26"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371A26C0"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1" w:type="pct"/>
            <w:noWrap/>
            <w:hideMark/>
          </w:tcPr>
          <w:p w14:paraId="014D5218"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0E531AF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2</w:t>
            </w:r>
          </w:p>
        </w:tc>
      </w:tr>
      <w:tr w:rsidR="003F298E" w:rsidRPr="003F298E" w14:paraId="79850CF1" w14:textId="77777777" w:rsidTr="00B01EEA">
        <w:trPr>
          <w:trHeight w:val="340"/>
        </w:trPr>
        <w:tc>
          <w:tcPr>
            <w:tcW w:w="1201" w:type="pct"/>
            <w:noWrap/>
            <w:hideMark/>
          </w:tcPr>
          <w:p w14:paraId="075C68A4"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Norway</w:t>
            </w:r>
          </w:p>
        </w:tc>
        <w:tc>
          <w:tcPr>
            <w:tcW w:w="725" w:type="pct"/>
            <w:noWrap/>
            <w:hideMark/>
          </w:tcPr>
          <w:p w14:paraId="7F2703B3"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16C5E15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1145" w:type="pct"/>
            <w:noWrap/>
            <w:hideMark/>
          </w:tcPr>
          <w:p w14:paraId="40630A8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32984FF6"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18406590"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3</w:t>
            </w:r>
          </w:p>
        </w:tc>
      </w:tr>
      <w:tr w:rsidR="003F298E" w:rsidRPr="003F298E" w14:paraId="3ABA0A21" w14:textId="77777777" w:rsidTr="00B01EEA">
        <w:trPr>
          <w:trHeight w:val="340"/>
        </w:trPr>
        <w:tc>
          <w:tcPr>
            <w:tcW w:w="1201" w:type="pct"/>
            <w:noWrap/>
            <w:hideMark/>
          </w:tcPr>
          <w:p w14:paraId="004E6C45"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Poland</w:t>
            </w:r>
          </w:p>
        </w:tc>
        <w:tc>
          <w:tcPr>
            <w:tcW w:w="725" w:type="pct"/>
            <w:noWrap/>
            <w:hideMark/>
          </w:tcPr>
          <w:p w14:paraId="5B9C4A23"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206" w:type="pct"/>
            <w:noWrap/>
            <w:hideMark/>
          </w:tcPr>
          <w:p w14:paraId="15D50DF7"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29857826"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005F253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5D239FE5"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4</w:t>
            </w:r>
          </w:p>
        </w:tc>
      </w:tr>
      <w:tr w:rsidR="003F298E" w:rsidRPr="003F298E" w14:paraId="599C9450" w14:textId="77777777" w:rsidTr="00B01EEA">
        <w:trPr>
          <w:trHeight w:val="340"/>
        </w:trPr>
        <w:tc>
          <w:tcPr>
            <w:tcW w:w="1201" w:type="pct"/>
            <w:noWrap/>
            <w:hideMark/>
          </w:tcPr>
          <w:p w14:paraId="0E237878"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Slovenia</w:t>
            </w:r>
          </w:p>
        </w:tc>
        <w:tc>
          <w:tcPr>
            <w:tcW w:w="725" w:type="pct"/>
            <w:noWrap/>
            <w:hideMark/>
          </w:tcPr>
          <w:p w14:paraId="01D15D5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57F608C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14BC7D8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1E28D22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1F13E74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2</w:t>
            </w:r>
          </w:p>
        </w:tc>
      </w:tr>
      <w:tr w:rsidR="003F298E" w:rsidRPr="003F298E" w14:paraId="2BC18EDE" w14:textId="77777777" w:rsidTr="00B01EEA">
        <w:trPr>
          <w:trHeight w:val="340"/>
        </w:trPr>
        <w:tc>
          <w:tcPr>
            <w:tcW w:w="1201" w:type="pct"/>
            <w:noWrap/>
            <w:hideMark/>
          </w:tcPr>
          <w:p w14:paraId="66F2B520"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Sweden</w:t>
            </w:r>
          </w:p>
        </w:tc>
        <w:tc>
          <w:tcPr>
            <w:tcW w:w="725" w:type="pct"/>
            <w:noWrap/>
            <w:hideMark/>
          </w:tcPr>
          <w:p w14:paraId="081B745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204A7CFB"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1145" w:type="pct"/>
            <w:noWrap/>
            <w:hideMark/>
          </w:tcPr>
          <w:p w14:paraId="64A9611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50FE296F"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41887A1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3</w:t>
            </w:r>
          </w:p>
        </w:tc>
      </w:tr>
      <w:tr w:rsidR="003F298E" w:rsidRPr="003F298E" w14:paraId="2D5183F0" w14:textId="77777777" w:rsidTr="00B01EEA">
        <w:trPr>
          <w:trHeight w:val="340"/>
        </w:trPr>
        <w:tc>
          <w:tcPr>
            <w:tcW w:w="1201" w:type="pct"/>
            <w:noWrap/>
            <w:hideMark/>
          </w:tcPr>
          <w:p w14:paraId="3B929671"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Switzerland</w:t>
            </w:r>
          </w:p>
        </w:tc>
        <w:tc>
          <w:tcPr>
            <w:tcW w:w="725" w:type="pct"/>
            <w:noWrap/>
            <w:hideMark/>
          </w:tcPr>
          <w:p w14:paraId="01A244F2"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493BADD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1145" w:type="pct"/>
            <w:noWrap/>
            <w:hideMark/>
          </w:tcPr>
          <w:p w14:paraId="1189C8B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2</w:t>
            </w:r>
          </w:p>
        </w:tc>
        <w:tc>
          <w:tcPr>
            <w:tcW w:w="361" w:type="pct"/>
            <w:noWrap/>
            <w:hideMark/>
          </w:tcPr>
          <w:p w14:paraId="6DE6A43E"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4437D775"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3</w:t>
            </w:r>
          </w:p>
        </w:tc>
      </w:tr>
      <w:tr w:rsidR="003F298E" w:rsidRPr="003F298E" w14:paraId="36F778C0" w14:textId="77777777" w:rsidTr="00B01EEA">
        <w:trPr>
          <w:trHeight w:val="340"/>
        </w:trPr>
        <w:tc>
          <w:tcPr>
            <w:tcW w:w="1201" w:type="pct"/>
            <w:noWrap/>
            <w:hideMark/>
          </w:tcPr>
          <w:p w14:paraId="2B3F5F43"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Türkiye</w:t>
            </w:r>
          </w:p>
        </w:tc>
        <w:tc>
          <w:tcPr>
            <w:tcW w:w="725" w:type="pct"/>
            <w:noWrap/>
            <w:hideMark/>
          </w:tcPr>
          <w:p w14:paraId="3936555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7475002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47941403"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16D09F51"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5C7CB34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w:t>
            </w:r>
          </w:p>
        </w:tc>
      </w:tr>
      <w:tr w:rsidR="003F298E" w:rsidRPr="003F298E" w14:paraId="7795C43D" w14:textId="77777777" w:rsidTr="00B01EEA">
        <w:trPr>
          <w:trHeight w:val="340"/>
        </w:trPr>
        <w:tc>
          <w:tcPr>
            <w:tcW w:w="1201" w:type="pct"/>
            <w:noWrap/>
            <w:hideMark/>
          </w:tcPr>
          <w:p w14:paraId="4EE0272E"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lastRenderedPageBreak/>
              <w:t>Ukraine</w:t>
            </w:r>
          </w:p>
        </w:tc>
        <w:tc>
          <w:tcPr>
            <w:tcW w:w="725" w:type="pct"/>
            <w:noWrap/>
            <w:hideMark/>
          </w:tcPr>
          <w:p w14:paraId="084BE9D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63571760"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1F28AD25"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1" w:type="pct"/>
            <w:noWrap/>
            <w:hideMark/>
          </w:tcPr>
          <w:p w14:paraId="7687342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2" w:type="pct"/>
            <w:noWrap/>
            <w:hideMark/>
          </w:tcPr>
          <w:p w14:paraId="3BE9134A"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w:t>
            </w:r>
          </w:p>
        </w:tc>
      </w:tr>
      <w:tr w:rsidR="003F298E" w:rsidRPr="003F298E" w14:paraId="3FC67CCB" w14:textId="77777777" w:rsidTr="00B01EEA">
        <w:trPr>
          <w:trHeight w:val="340"/>
        </w:trPr>
        <w:tc>
          <w:tcPr>
            <w:tcW w:w="1201" w:type="pct"/>
            <w:noWrap/>
            <w:hideMark/>
          </w:tcPr>
          <w:p w14:paraId="47964781" w14:textId="77777777" w:rsidR="003F298E" w:rsidRPr="003F298E" w:rsidRDefault="003F298E" w:rsidP="00207AC1">
            <w:pPr>
              <w:rPr>
                <w:rFonts w:ascii="Times New Roman" w:hAnsi="Times New Roman" w:cs="Times New Roman"/>
                <w:bCs/>
                <w:sz w:val="24"/>
                <w:szCs w:val="24"/>
              </w:rPr>
            </w:pPr>
            <w:r w:rsidRPr="003F298E">
              <w:rPr>
                <w:rFonts w:ascii="Times New Roman" w:hAnsi="Times New Roman" w:cs="Times New Roman"/>
                <w:bCs/>
                <w:sz w:val="24"/>
                <w:szCs w:val="24"/>
              </w:rPr>
              <w:t>European business school</w:t>
            </w:r>
          </w:p>
        </w:tc>
        <w:tc>
          <w:tcPr>
            <w:tcW w:w="725" w:type="pct"/>
            <w:noWrap/>
            <w:hideMark/>
          </w:tcPr>
          <w:p w14:paraId="6B41F6B4"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206" w:type="pct"/>
            <w:noWrap/>
            <w:hideMark/>
          </w:tcPr>
          <w:p w14:paraId="5CA2453C"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1145" w:type="pct"/>
            <w:noWrap/>
            <w:hideMark/>
          </w:tcPr>
          <w:p w14:paraId="5846F3B9"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0</w:t>
            </w:r>
          </w:p>
        </w:tc>
        <w:tc>
          <w:tcPr>
            <w:tcW w:w="361" w:type="pct"/>
            <w:noWrap/>
            <w:hideMark/>
          </w:tcPr>
          <w:p w14:paraId="3500F3BF"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sz w:val="24"/>
                <w:szCs w:val="24"/>
              </w:rPr>
              <w:t>1</w:t>
            </w:r>
          </w:p>
        </w:tc>
        <w:tc>
          <w:tcPr>
            <w:tcW w:w="362" w:type="pct"/>
            <w:noWrap/>
            <w:hideMark/>
          </w:tcPr>
          <w:p w14:paraId="0093C3AD" w14:textId="77777777" w:rsidR="003F298E" w:rsidRPr="003F298E" w:rsidRDefault="003F298E" w:rsidP="000642F0">
            <w:pPr>
              <w:jc w:val="center"/>
              <w:rPr>
                <w:rFonts w:ascii="Times New Roman" w:hAnsi="Times New Roman" w:cs="Times New Roman"/>
                <w:sz w:val="24"/>
                <w:szCs w:val="24"/>
              </w:rPr>
            </w:pPr>
            <w:r w:rsidRPr="003F298E">
              <w:rPr>
                <w:rFonts w:ascii="Times New Roman" w:hAnsi="Times New Roman" w:cs="Times New Roman" w:hint="eastAsia"/>
                <w:sz w:val="24"/>
                <w:szCs w:val="24"/>
              </w:rPr>
              <w:t>1</w:t>
            </w:r>
          </w:p>
        </w:tc>
      </w:tr>
    </w:tbl>
    <w:p w14:paraId="3CAE5363" w14:textId="77777777" w:rsidR="003F298E" w:rsidRPr="00F955D7" w:rsidRDefault="003F298E" w:rsidP="003F298E">
      <w:pPr>
        <w:rPr>
          <w:rFonts w:ascii="Times New Roman" w:hAnsi="Times New Roman" w:cs="Times New Roman"/>
          <w:sz w:val="24"/>
          <w:szCs w:val="24"/>
        </w:rPr>
      </w:pPr>
    </w:p>
    <w:p w14:paraId="06C1C187" w14:textId="77777777" w:rsidR="003F298E" w:rsidRPr="00F955D7" w:rsidRDefault="003F298E" w:rsidP="003F298E">
      <w:pPr>
        <w:rPr>
          <w:rFonts w:ascii="Times New Roman" w:hAnsi="Times New Roman"/>
          <w:sz w:val="24"/>
          <w:lang w:val="en-GB"/>
        </w:rPr>
      </w:pPr>
      <w:r w:rsidRPr="00F955D7">
        <w:rPr>
          <w:rFonts w:ascii="Times New Roman" w:hAnsi="Times New Roman"/>
          <w:sz w:val="24"/>
          <w:lang w:val="en-GB"/>
        </w:rPr>
        <w:t xml:space="preserve">The research contexts reported in </w:t>
      </w:r>
      <w:r>
        <w:rPr>
          <w:rFonts w:ascii="Times New Roman" w:hAnsi="Times New Roman"/>
          <w:sz w:val="24"/>
          <w:lang w:val="en-GB"/>
        </w:rPr>
        <w:t>Web Appendix B</w:t>
      </w:r>
      <w:r w:rsidRPr="00F955D7">
        <w:rPr>
          <w:rFonts w:ascii="Times New Roman" w:hAnsi="Times New Roman"/>
          <w:sz w:val="24"/>
          <w:lang w:val="en-GB"/>
        </w:rPr>
        <w:t xml:space="preserve"> were identified through a thorough review of each individual paper. For all included studies, the geographical context of the </w:t>
      </w:r>
      <w:r>
        <w:rPr>
          <w:rFonts w:ascii="Times New Roman" w:hAnsi="Times New Roman"/>
          <w:sz w:val="24"/>
          <w:lang w:val="en-GB"/>
        </w:rPr>
        <w:t xml:space="preserve">previous studies </w:t>
      </w:r>
      <w:r w:rsidRPr="00F955D7">
        <w:rPr>
          <w:rFonts w:ascii="Times New Roman" w:hAnsi="Times New Roman"/>
          <w:sz w:val="24"/>
          <w:lang w:val="en-GB"/>
        </w:rPr>
        <w:t>was carefully identified based on the data, case studies, and descriptions of the countries and regions analyzed. The relevant countries or regions were then manually noted and categorized into four directional categories: Intra-European, Outward, Inward, and Other.</w:t>
      </w:r>
      <w:r>
        <w:rPr>
          <w:rFonts w:ascii="Times New Roman" w:hAnsi="Times New Roman"/>
          <w:sz w:val="24"/>
          <w:lang w:val="en-GB"/>
        </w:rPr>
        <w:t xml:space="preserve"> </w:t>
      </w:r>
      <w:r w:rsidRPr="00F955D7">
        <w:rPr>
          <w:rFonts w:ascii="Times New Roman" w:hAnsi="Times New Roman"/>
          <w:sz w:val="24"/>
          <w:lang w:val="en-GB"/>
        </w:rPr>
        <w:t>When a study included multiple countries, each country was recorded individually. For example, if a paper analyzed France, Austria, and Switzerland, all three countries were entered into the corresponding directional category. Regional designations such as “Nordic countries,” “Western Europe,” and “CEE” were retained as independent categories only when explicitly used by the authors and were not automatically disaggregated into their constituent countries. Similarly, country-level contexts such as Germany, Italy, and Poland were maintained as separate entries and not aggregated into broader regional categories.</w:t>
      </w:r>
      <w:r>
        <w:rPr>
          <w:rFonts w:ascii="Times New Roman" w:hAnsi="Times New Roman"/>
          <w:sz w:val="24"/>
          <w:lang w:val="en-GB"/>
        </w:rPr>
        <w:t xml:space="preserve"> The category “</w:t>
      </w:r>
      <w:r w:rsidRPr="00F955D7">
        <w:rPr>
          <w:rFonts w:ascii="Times New Roman" w:hAnsi="Times New Roman"/>
          <w:sz w:val="24"/>
          <w:lang w:val="en-GB"/>
        </w:rPr>
        <w:t>Europe</w:t>
      </w:r>
      <w:r>
        <w:rPr>
          <w:rFonts w:ascii="Times New Roman" w:hAnsi="Times New Roman"/>
          <w:sz w:val="24"/>
          <w:lang w:val="en-GB"/>
        </w:rPr>
        <w:t>”</w:t>
      </w:r>
      <w:r w:rsidRPr="00F955D7">
        <w:rPr>
          <w:rFonts w:ascii="Times New Roman" w:hAnsi="Times New Roman"/>
          <w:sz w:val="24"/>
          <w:lang w:val="en-GB"/>
        </w:rPr>
        <w:t xml:space="preserve"> was used only when studies explicitly mentioned Europe as the research context. It was not inferred from the presence of individual European countries or derive</w:t>
      </w:r>
      <w:r>
        <w:rPr>
          <w:rFonts w:ascii="Times New Roman" w:hAnsi="Times New Roman"/>
          <w:sz w:val="24"/>
          <w:lang w:val="en-GB"/>
        </w:rPr>
        <w:t>d from more general terms like “</w:t>
      </w:r>
      <w:r w:rsidRPr="00F955D7">
        <w:rPr>
          <w:rFonts w:ascii="Times New Roman" w:hAnsi="Times New Roman"/>
          <w:sz w:val="24"/>
          <w:lang w:val="en-GB"/>
        </w:rPr>
        <w:t>European.</w:t>
      </w:r>
      <w:r>
        <w:rPr>
          <w:rFonts w:ascii="Times New Roman" w:hAnsi="Times New Roman"/>
          <w:sz w:val="24"/>
          <w:lang w:val="en-GB"/>
        </w:rPr>
        <w:t>”</w:t>
      </w:r>
      <w:r w:rsidRPr="00F955D7">
        <w:rPr>
          <w:rFonts w:ascii="Times New Roman" w:hAnsi="Times New Roman"/>
          <w:sz w:val="24"/>
          <w:lang w:val="en-GB"/>
        </w:rPr>
        <w:t xml:space="preserve"> Therefore, if a single article </w:t>
      </w:r>
      <w:r>
        <w:rPr>
          <w:rFonts w:ascii="Times New Roman" w:hAnsi="Times New Roman"/>
          <w:sz w:val="24"/>
          <w:lang w:val="en-GB"/>
        </w:rPr>
        <w:t>examined</w:t>
      </w:r>
      <w:r w:rsidRPr="00F955D7">
        <w:rPr>
          <w:rFonts w:ascii="Times New Roman" w:hAnsi="Times New Roman"/>
          <w:sz w:val="24"/>
          <w:lang w:val="en-GB"/>
        </w:rPr>
        <w:t xml:space="preserve"> multiple regions, it could contribute to multiple context categories.</w:t>
      </w:r>
      <w:r>
        <w:rPr>
          <w:rFonts w:ascii="Times New Roman" w:hAnsi="Times New Roman"/>
          <w:sz w:val="24"/>
          <w:lang w:val="en-GB"/>
        </w:rPr>
        <w:t xml:space="preserve"> </w:t>
      </w:r>
      <w:r w:rsidRPr="00F955D7">
        <w:rPr>
          <w:rFonts w:ascii="Times New Roman" w:hAnsi="Times New Roman"/>
          <w:sz w:val="24"/>
          <w:lang w:val="en-GB"/>
        </w:rPr>
        <w:t xml:space="preserve">After manually coding all articles in this manner, frequencies were tallied to produce the figures reported in </w:t>
      </w:r>
      <w:r>
        <w:rPr>
          <w:rFonts w:ascii="Times New Roman" w:hAnsi="Times New Roman"/>
          <w:sz w:val="24"/>
          <w:lang w:val="en-GB"/>
        </w:rPr>
        <w:t>Web Appendix B</w:t>
      </w:r>
      <w:r w:rsidRPr="00F955D7">
        <w:rPr>
          <w:rFonts w:ascii="Times New Roman" w:hAnsi="Times New Roman"/>
          <w:sz w:val="24"/>
          <w:lang w:val="en-GB"/>
        </w:rPr>
        <w:t>.</w:t>
      </w:r>
    </w:p>
    <w:p w14:paraId="522A133C" w14:textId="77777777" w:rsidR="003F298E" w:rsidRPr="00F955D7" w:rsidRDefault="003F298E" w:rsidP="003F298E">
      <w:pPr>
        <w:rPr>
          <w:rFonts w:ascii="Times New Roman" w:hAnsi="Times New Roman"/>
          <w:sz w:val="24"/>
          <w:lang w:val="en-GB"/>
        </w:rPr>
      </w:pPr>
    </w:p>
    <w:p w14:paraId="3330D1AB" w14:textId="77777777" w:rsidR="003F298E" w:rsidRDefault="003F298E" w:rsidP="003F298E">
      <w:pPr>
        <w:rPr>
          <w:rFonts w:ascii="Times New Roman" w:hAnsi="Times New Roman"/>
          <w:sz w:val="24"/>
          <w:lang w:val="en-GB"/>
        </w:rPr>
      </w:pPr>
    </w:p>
    <w:p w14:paraId="72E86409" w14:textId="77777777" w:rsidR="003F298E" w:rsidRDefault="003F298E" w:rsidP="003F298E">
      <w:pPr>
        <w:rPr>
          <w:rFonts w:ascii="Times New Roman" w:hAnsi="Times New Roman"/>
          <w:sz w:val="24"/>
          <w:lang w:val="en-GB"/>
        </w:rPr>
      </w:pPr>
    </w:p>
    <w:p w14:paraId="5852A215" w14:textId="77777777" w:rsidR="003F298E" w:rsidRDefault="003F298E" w:rsidP="003F298E">
      <w:pPr>
        <w:rPr>
          <w:rFonts w:ascii="Times New Roman" w:hAnsi="Times New Roman"/>
          <w:sz w:val="24"/>
          <w:lang w:val="en-GB"/>
        </w:rPr>
      </w:pPr>
    </w:p>
    <w:p w14:paraId="7520E05C" w14:textId="77777777" w:rsidR="003F298E" w:rsidRDefault="003F298E" w:rsidP="003F298E">
      <w:pPr>
        <w:rPr>
          <w:rFonts w:ascii="Times New Roman" w:hAnsi="Times New Roman"/>
          <w:sz w:val="24"/>
          <w:lang w:val="en-GB"/>
        </w:rPr>
      </w:pPr>
    </w:p>
    <w:p w14:paraId="094C165F" w14:textId="77777777" w:rsidR="003F298E" w:rsidRDefault="003F298E" w:rsidP="003F298E">
      <w:pPr>
        <w:rPr>
          <w:rFonts w:ascii="Times New Roman" w:hAnsi="Times New Roman"/>
          <w:sz w:val="24"/>
          <w:lang w:val="en-GB"/>
        </w:rPr>
      </w:pPr>
    </w:p>
    <w:p w14:paraId="4702F22F" w14:textId="77777777" w:rsidR="003F298E" w:rsidRDefault="003F298E" w:rsidP="003F298E">
      <w:pPr>
        <w:rPr>
          <w:rFonts w:ascii="Times New Roman" w:hAnsi="Times New Roman"/>
          <w:sz w:val="24"/>
          <w:lang w:val="en-GB"/>
        </w:rPr>
      </w:pPr>
    </w:p>
    <w:p w14:paraId="5711CD57" w14:textId="77777777" w:rsidR="003F298E" w:rsidRDefault="003F298E" w:rsidP="003F298E">
      <w:pPr>
        <w:rPr>
          <w:rFonts w:ascii="Times New Roman" w:hAnsi="Times New Roman"/>
          <w:sz w:val="24"/>
          <w:lang w:val="en-GB"/>
        </w:rPr>
      </w:pPr>
    </w:p>
    <w:p w14:paraId="60FF5B65" w14:textId="77777777" w:rsidR="003F298E" w:rsidRDefault="003F298E" w:rsidP="003F298E">
      <w:pPr>
        <w:rPr>
          <w:rFonts w:ascii="Times New Roman" w:hAnsi="Times New Roman"/>
          <w:sz w:val="24"/>
          <w:lang w:val="en-GB"/>
        </w:rPr>
      </w:pPr>
    </w:p>
    <w:p w14:paraId="3F6214E6" w14:textId="77777777" w:rsidR="003F298E" w:rsidRPr="00F955D7" w:rsidRDefault="003F298E" w:rsidP="003F298E">
      <w:pPr>
        <w:rPr>
          <w:rFonts w:ascii="Times New Roman" w:hAnsi="Times New Roman"/>
          <w:sz w:val="24"/>
          <w:lang w:val="en-GB"/>
        </w:rPr>
      </w:pPr>
    </w:p>
    <w:p w14:paraId="30C881EA" w14:textId="77777777" w:rsidR="003F298E" w:rsidRPr="007344D6" w:rsidRDefault="003F298E" w:rsidP="003F298E">
      <w:pPr>
        <w:rPr>
          <w:rFonts w:ascii="Times New Roman" w:hAnsi="Times New Roman"/>
          <w:b/>
          <w:sz w:val="24"/>
          <w:lang w:val="en-GB"/>
        </w:rPr>
      </w:pPr>
      <w:r>
        <w:rPr>
          <w:rFonts w:ascii="Times New Roman" w:hAnsi="Times New Roman"/>
          <w:b/>
          <w:sz w:val="24"/>
          <w:lang w:val="en-GB"/>
        </w:rPr>
        <w:lastRenderedPageBreak/>
        <w:t xml:space="preserve">Web </w:t>
      </w:r>
      <w:r w:rsidRPr="007344D6">
        <w:rPr>
          <w:rFonts w:ascii="Times New Roman" w:hAnsi="Times New Roman"/>
          <w:b/>
          <w:sz w:val="24"/>
          <w:lang w:val="en-GB"/>
        </w:rPr>
        <w:t xml:space="preserve">Appendix </w:t>
      </w:r>
      <w:r>
        <w:rPr>
          <w:rFonts w:ascii="Times New Roman" w:hAnsi="Times New Roman"/>
          <w:b/>
          <w:sz w:val="24"/>
          <w:lang w:val="en-GB"/>
        </w:rPr>
        <w:t>C</w:t>
      </w:r>
      <w:r w:rsidRPr="007344D6">
        <w:rPr>
          <w:rFonts w:ascii="Times New Roman" w:hAnsi="Times New Roman"/>
          <w:b/>
          <w:sz w:val="24"/>
          <w:lang w:val="en-GB"/>
        </w:rPr>
        <w:t xml:space="preserve">. </w:t>
      </w:r>
      <w:r w:rsidRPr="003C0A6D">
        <w:rPr>
          <w:rFonts w:ascii="Times New Roman" w:hAnsi="Times New Roman"/>
          <w:bCs/>
          <w:sz w:val="24"/>
          <w:lang w:val="en-GB"/>
        </w:rPr>
        <w:t>Theory-topic network</w:t>
      </w:r>
    </w:p>
    <w:p w14:paraId="172CB6FE" w14:textId="77777777" w:rsidR="003F298E" w:rsidRPr="0016482E" w:rsidRDefault="003F298E" w:rsidP="003F298E">
      <w:pPr>
        <w:pStyle w:val="text"/>
        <w:spacing w:line="240" w:lineRule="auto"/>
        <w:ind w:firstLine="0"/>
        <w:rPr>
          <w:lang w:val="en-GB"/>
        </w:rPr>
      </w:pPr>
      <w:r w:rsidRPr="009E6B47">
        <w:rPr>
          <w:lang w:val="en-GB"/>
        </w:rPr>
        <w:t>The theory–topic network provides a descriptive visual overview of recurring linkages between theories and research topics across the reviewed studies. To enhance interpretability, the visualization focuses on the most frequently used theoretical perspectives. The network was constructed using standard Python-based tools (Matplotlib, Pandas, and NetworkX), with nodes representing theories and topics and edges indicating the relative strength of their associations.</w:t>
      </w:r>
    </w:p>
    <w:p w14:paraId="2974DE9B" w14:textId="77777777" w:rsidR="003F298E" w:rsidRDefault="003F298E" w:rsidP="003F298E">
      <w:pPr>
        <w:rPr>
          <w:lang w:val="en-GB"/>
        </w:rPr>
      </w:pPr>
      <w:r>
        <w:rPr>
          <w:noProof/>
        </w:rPr>
        <w:drawing>
          <wp:inline distT="0" distB="0" distL="0" distR="0" wp14:anchorId="6F851E7F" wp14:editId="60EFEAF7">
            <wp:extent cx="6005893" cy="4600575"/>
            <wp:effectExtent l="0" t="0" r="0" b="0"/>
            <wp:docPr id="1" name="Picture 3"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77169" name="Picture 3" descr="A diagram of a network&#10;&#10;Description automatically generated"/>
                    <pic:cNvPicPr/>
                  </pic:nvPicPr>
                  <pic:blipFill rotWithShape="1">
                    <a:blip r:embed="rId6" cstate="print">
                      <a:extLst>
                        <a:ext uri="{28A0092B-C50C-407E-A947-70E740481C1C}">
                          <a14:useLocalDpi xmlns:a14="http://schemas.microsoft.com/office/drawing/2010/main"/>
                        </a:ext>
                      </a:extLst>
                    </a:blip>
                    <a:srcRect l="6906" t="7647" r="7171" b="6017"/>
                    <a:stretch/>
                  </pic:blipFill>
                  <pic:spPr bwMode="auto">
                    <a:xfrm>
                      <a:off x="0" y="0"/>
                      <a:ext cx="6016674" cy="4608833"/>
                    </a:xfrm>
                    <a:prstGeom prst="rect">
                      <a:avLst/>
                    </a:prstGeom>
                    <a:ln>
                      <a:noFill/>
                    </a:ln>
                    <a:extLst>
                      <a:ext uri="{53640926-AAD7-44D8-BBD7-CCE9431645EC}">
                        <a14:shadowObscured xmlns:a14="http://schemas.microsoft.com/office/drawing/2010/main"/>
                      </a:ext>
                    </a:extLst>
                  </pic:spPr>
                </pic:pic>
              </a:graphicData>
            </a:graphic>
          </wp:inline>
        </w:drawing>
      </w:r>
      <w:r w:rsidRPr="00BE40E8" w:rsidDel="00681202">
        <w:rPr>
          <w:lang w:val="en-GB"/>
        </w:rPr>
        <w:t xml:space="preserve"> </w:t>
      </w:r>
      <w:r>
        <w:rPr>
          <w:lang w:val="en-GB"/>
        </w:rPr>
        <w:br w:type="page"/>
      </w:r>
    </w:p>
    <w:p w14:paraId="038C99DC" w14:textId="77777777" w:rsidR="003F298E" w:rsidRPr="003C0A6D" w:rsidRDefault="003F298E" w:rsidP="003F298E">
      <w:pPr>
        <w:rPr>
          <w:rFonts w:ascii="Times New Roman" w:hAnsi="Times New Roman"/>
          <w:bCs/>
          <w:sz w:val="24"/>
          <w:lang w:val="en-GB"/>
        </w:rPr>
      </w:pPr>
      <w:r>
        <w:rPr>
          <w:rFonts w:ascii="Times New Roman" w:hAnsi="Times New Roman"/>
          <w:b/>
          <w:sz w:val="24"/>
          <w:lang w:val="en-GB"/>
        </w:rPr>
        <w:lastRenderedPageBreak/>
        <w:t xml:space="preserve">Web </w:t>
      </w:r>
      <w:r w:rsidRPr="007344D6">
        <w:rPr>
          <w:rFonts w:ascii="Times New Roman" w:hAnsi="Times New Roman"/>
          <w:b/>
          <w:sz w:val="24"/>
          <w:lang w:val="en-GB"/>
        </w:rPr>
        <w:t xml:space="preserve">Appendix </w:t>
      </w:r>
      <w:r>
        <w:rPr>
          <w:rFonts w:ascii="Times New Roman" w:hAnsi="Times New Roman"/>
          <w:b/>
          <w:sz w:val="24"/>
          <w:lang w:val="en-GB"/>
        </w:rPr>
        <w:t>D</w:t>
      </w:r>
      <w:r w:rsidRPr="007344D6">
        <w:rPr>
          <w:rFonts w:ascii="Times New Roman" w:hAnsi="Times New Roman"/>
          <w:b/>
          <w:sz w:val="24"/>
          <w:lang w:val="en-GB"/>
        </w:rPr>
        <w:t xml:space="preserve">. </w:t>
      </w:r>
      <w:r w:rsidRPr="003C0A6D">
        <w:rPr>
          <w:rFonts w:ascii="Times New Roman" w:hAnsi="Times New Roman"/>
          <w:bCs/>
          <w:sz w:val="24"/>
          <w:lang w:val="en-GB"/>
        </w:rPr>
        <w:t>Methods and data sources</w:t>
      </w:r>
    </w:p>
    <w:p w14:paraId="43F72D37" w14:textId="77777777" w:rsidR="003F298E" w:rsidRDefault="003F298E" w:rsidP="003F298E">
      <w:pPr>
        <w:rPr>
          <w:rFonts w:ascii="Times New Roman" w:hAnsi="Times New Roman"/>
          <w:bCs/>
          <w:sz w:val="24"/>
          <w:lang w:val="en-GB"/>
        </w:rPr>
      </w:pPr>
      <w:r>
        <w:rPr>
          <w:rFonts w:ascii="Times New Roman" w:hAnsi="Times New Roman"/>
          <w:bCs/>
          <w:sz w:val="24"/>
          <w:lang w:val="en-GB"/>
        </w:rPr>
        <w:t xml:space="preserve">The </w:t>
      </w:r>
      <w:r w:rsidRPr="007344D6">
        <w:rPr>
          <w:rFonts w:ascii="Times New Roman" w:hAnsi="Times New Roman"/>
          <w:bCs/>
          <w:sz w:val="24"/>
          <w:lang w:val="en-GB"/>
        </w:rPr>
        <w:t xml:space="preserve">Figure </w:t>
      </w:r>
      <w:r>
        <w:rPr>
          <w:rFonts w:ascii="Times New Roman" w:hAnsi="Times New Roman"/>
          <w:bCs/>
          <w:sz w:val="24"/>
          <w:lang w:val="en-GB"/>
        </w:rPr>
        <w:t>below</w:t>
      </w:r>
      <w:r w:rsidRPr="007344D6">
        <w:rPr>
          <w:rFonts w:ascii="Times New Roman" w:hAnsi="Times New Roman"/>
          <w:bCs/>
          <w:sz w:val="24"/>
          <w:lang w:val="en-GB"/>
        </w:rPr>
        <w:t xml:space="preserve"> shows the research methods and data sources used in empirical studies conducted on IB in Europe and IB from 2000 to 2023. The majority of these studies were quantitative (N = </w:t>
      </w:r>
      <w:r>
        <w:rPr>
          <w:rFonts w:ascii="Times New Roman" w:hAnsi="Times New Roman"/>
          <w:bCs/>
          <w:sz w:val="24"/>
          <w:lang w:val="en-GB"/>
        </w:rPr>
        <w:t>85</w:t>
      </w:r>
      <w:r w:rsidRPr="007344D6">
        <w:rPr>
          <w:rFonts w:ascii="Times New Roman" w:hAnsi="Times New Roman"/>
          <w:bCs/>
          <w:sz w:val="24"/>
          <w:lang w:val="en-GB"/>
        </w:rPr>
        <w:t>; 7</w:t>
      </w:r>
      <w:r>
        <w:rPr>
          <w:rFonts w:ascii="Times New Roman" w:hAnsi="Times New Roman"/>
          <w:bCs/>
          <w:sz w:val="24"/>
          <w:lang w:val="en-GB"/>
        </w:rPr>
        <w:t>3.91</w:t>
      </w:r>
      <w:r w:rsidRPr="007344D6">
        <w:rPr>
          <w:rFonts w:ascii="Times New Roman" w:hAnsi="Times New Roman"/>
          <w:bCs/>
          <w:sz w:val="24"/>
          <w:lang w:val="en-GB"/>
        </w:rPr>
        <w:t xml:space="preserve">%), with over half relying on secondary data (N = </w:t>
      </w:r>
      <w:r>
        <w:rPr>
          <w:rFonts w:ascii="Times New Roman" w:hAnsi="Times New Roman"/>
          <w:bCs/>
          <w:sz w:val="24"/>
          <w:lang w:val="en-GB"/>
        </w:rPr>
        <w:t>45</w:t>
      </w:r>
      <w:r w:rsidRPr="007344D6">
        <w:rPr>
          <w:rFonts w:ascii="Times New Roman" w:hAnsi="Times New Roman"/>
          <w:bCs/>
          <w:sz w:val="24"/>
          <w:lang w:val="en-GB"/>
        </w:rPr>
        <w:t xml:space="preserve">) and </w:t>
      </w:r>
      <w:r>
        <w:rPr>
          <w:rFonts w:ascii="Times New Roman" w:hAnsi="Times New Roman"/>
          <w:bCs/>
          <w:sz w:val="24"/>
          <w:lang w:val="en-GB"/>
        </w:rPr>
        <w:t>38</w:t>
      </w:r>
      <w:r w:rsidRPr="007344D6">
        <w:rPr>
          <w:rFonts w:ascii="Times New Roman" w:hAnsi="Times New Roman"/>
          <w:bCs/>
          <w:sz w:val="24"/>
          <w:lang w:val="en-GB"/>
        </w:rPr>
        <w:t xml:space="preserve"> using survey data.  In contrast, qualitative studies were less common (N = 17; 1</w:t>
      </w:r>
      <w:r>
        <w:rPr>
          <w:rFonts w:ascii="Times New Roman" w:hAnsi="Times New Roman"/>
          <w:bCs/>
          <w:sz w:val="24"/>
          <w:lang w:val="en-GB"/>
        </w:rPr>
        <w:t>4.78</w:t>
      </w:r>
      <w:r w:rsidRPr="007344D6">
        <w:rPr>
          <w:rFonts w:ascii="Times New Roman" w:hAnsi="Times New Roman"/>
          <w:bCs/>
          <w:sz w:val="24"/>
          <w:lang w:val="en-GB"/>
        </w:rPr>
        <w:t xml:space="preserve">%), with interviews being the domiant approach (N = 12). Triangulation—combining multiple methods to reduce bias—remained underutilized, employed in only </w:t>
      </w:r>
      <w:r>
        <w:rPr>
          <w:rFonts w:ascii="Times New Roman" w:hAnsi="Times New Roman"/>
          <w:bCs/>
          <w:sz w:val="24"/>
          <w:lang w:val="en-GB"/>
        </w:rPr>
        <w:t>5.22</w:t>
      </w:r>
      <w:r w:rsidRPr="007344D6">
        <w:rPr>
          <w:rFonts w:ascii="Times New Roman" w:hAnsi="Times New Roman"/>
          <w:bCs/>
          <w:sz w:val="24"/>
          <w:lang w:val="en-GB"/>
        </w:rPr>
        <w:t xml:space="preserve">% of studies (N = 6). The remaining </w:t>
      </w:r>
      <w:r>
        <w:rPr>
          <w:rFonts w:ascii="Times New Roman" w:hAnsi="Times New Roman"/>
          <w:bCs/>
          <w:sz w:val="24"/>
          <w:lang w:val="en-GB"/>
        </w:rPr>
        <w:t>6.09% (N = 8</w:t>
      </w:r>
      <w:r w:rsidRPr="007344D6">
        <w:rPr>
          <w:rFonts w:ascii="Times New Roman" w:hAnsi="Times New Roman"/>
          <w:bCs/>
          <w:sz w:val="24"/>
          <w:lang w:val="en-GB"/>
        </w:rPr>
        <w:t>) included commentary or conceptual articles. Overall, the findings suggest a continued preference for statistical approaches in research on IB in Europe.</w:t>
      </w:r>
    </w:p>
    <w:p w14:paraId="7C8E7BD5" w14:textId="77777777" w:rsidR="003F298E" w:rsidRPr="006D5C7F" w:rsidRDefault="003F298E" w:rsidP="003F298E">
      <w:pPr>
        <w:spacing w:after="0"/>
        <w:rPr>
          <w:rFonts w:ascii="Times New Roman" w:hAnsi="Times New Roman"/>
          <w:sz w:val="24"/>
          <w:lang w:val="en-GB"/>
        </w:rPr>
      </w:pPr>
      <w:r>
        <w:rPr>
          <w:rFonts w:ascii="Times New Roman" w:hAnsi="Times New Roman"/>
          <w:noProof/>
          <w:sz w:val="24"/>
        </w:rPr>
        <w:drawing>
          <wp:inline distT="0" distB="0" distL="0" distR="0" wp14:anchorId="6F15F73F" wp14:editId="69A82529">
            <wp:extent cx="6626797" cy="3983421"/>
            <wp:effectExtent l="0" t="0" r="317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39337" cy="3990959"/>
                    </a:xfrm>
                    <a:prstGeom prst="rect">
                      <a:avLst/>
                    </a:prstGeom>
                    <a:noFill/>
                  </pic:spPr>
                </pic:pic>
              </a:graphicData>
            </a:graphic>
          </wp:inline>
        </w:drawing>
      </w:r>
    </w:p>
    <w:p w14:paraId="0FE508BE" w14:textId="4607256F" w:rsidR="00E20049" w:rsidRDefault="00E20049">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46DF48D9" w14:textId="6B115CB6" w:rsidR="00E20049" w:rsidRPr="003C0A6D" w:rsidRDefault="00E20049" w:rsidP="00E20049">
      <w:pPr>
        <w:rPr>
          <w:rFonts w:ascii="Times New Roman" w:hAnsi="Times New Roman"/>
          <w:bCs/>
          <w:sz w:val="24"/>
          <w:lang w:val="en-GB"/>
        </w:rPr>
      </w:pPr>
      <w:r>
        <w:rPr>
          <w:rFonts w:ascii="Times New Roman" w:hAnsi="Times New Roman"/>
          <w:b/>
          <w:sz w:val="24"/>
          <w:lang w:val="en-GB"/>
        </w:rPr>
        <w:lastRenderedPageBreak/>
        <w:t xml:space="preserve">Web </w:t>
      </w:r>
      <w:r w:rsidRPr="007344D6">
        <w:rPr>
          <w:rFonts w:ascii="Times New Roman" w:hAnsi="Times New Roman"/>
          <w:b/>
          <w:sz w:val="24"/>
          <w:lang w:val="en-GB"/>
        </w:rPr>
        <w:t xml:space="preserve">Appendix </w:t>
      </w:r>
      <w:r>
        <w:rPr>
          <w:rFonts w:ascii="Times New Roman" w:hAnsi="Times New Roman" w:hint="eastAsia"/>
          <w:b/>
          <w:sz w:val="24"/>
          <w:lang w:val="en-GB"/>
        </w:rPr>
        <w:t>E</w:t>
      </w:r>
      <w:r w:rsidRPr="007344D6">
        <w:rPr>
          <w:rFonts w:ascii="Times New Roman" w:hAnsi="Times New Roman"/>
          <w:b/>
          <w:sz w:val="24"/>
          <w:lang w:val="en-GB"/>
        </w:rPr>
        <w:t xml:space="preserve">. </w:t>
      </w:r>
      <w:r w:rsidRPr="003C0A6D">
        <w:rPr>
          <w:rFonts w:ascii="Times New Roman" w:hAnsi="Times New Roman"/>
          <w:bCs/>
          <w:sz w:val="24"/>
          <w:lang w:val="en-GB"/>
        </w:rPr>
        <w:t>Keyword network and time-series weight changes</w:t>
      </w:r>
    </w:p>
    <w:p w14:paraId="1B33E8F8" w14:textId="71D52EF1" w:rsidR="003F298E" w:rsidRDefault="000007F8">
      <w:pPr>
        <w:rPr>
          <w:rFonts w:ascii="Times New Roman" w:hAnsi="Times New Roman" w:cs="Times New Roman"/>
          <w:sz w:val="24"/>
          <w:szCs w:val="24"/>
        </w:rPr>
      </w:pPr>
      <w:r w:rsidRPr="000007F8">
        <w:rPr>
          <w:rFonts w:ascii="Times New Roman" w:hAnsi="Times New Roman" w:cs="Times New Roman"/>
          <w:sz w:val="24"/>
          <w:szCs w:val="24"/>
        </w:rPr>
        <w:t xml:space="preserve">From the 555 initially retrieved co-occurring keywords, 433 formed a connected network and were retained for analysis. Figures </w:t>
      </w:r>
      <w:r w:rsidR="0068408D">
        <w:rPr>
          <w:rFonts w:ascii="Times New Roman" w:hAnsi="Times New Roman" w:cs="Times New Roman" w:hint="eastAsia"/>
          <w:sz w:val="24"/>
          <w:szCs w:val="24"/>
        </w:rPr>
        <w:t>below</w:t>
      </w:r>
      <w:r w:rsidRPr="000007F8">
        <w:rPr>
          <w:rFonts w:ascii="Times New Roman" w:hAnsi="Times New Roman" w:cs="Times New Roman"/>
          <w:sz w:val="24"/>
          <w:szCs w:val="24"/>
        </w:rPr>
        <w:t xml:space="preserve"> present the resulting keyword network and time-series weight changes, highlighting both emerging and established themes. </w:t>
      </w:r>
    </w:p>
    <w:p w14:paraId="57654E14" w14:textId="77777777" w:rsidR="000749EA" w:rsidRDefault="000749EA">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1"/>
        <w:gridCol w:w="6936"/>
      </w:tblGrid>
      <w:tr w:rsidR="003B7FD2" w14:paraId="2182644B" w14:textId="77777777" w:rsidTr="003C0A6D">
        <w:tc>
          <w:tcPr>
            <w:tcW w:w="6843" w:type="dxa"/>
          </w:tcPr>
          <w:p w14:paraId="27D3E02B" w14:textId="3618D500" w:rsidR="003B7FD2" w:rsidRPr="00E06FE3" w:rsidRDefault="003B7FD2" w:rsidP="003B7FD2">
            <w:pPr>
              <w:pStyle w:val="Caption"/>
              <w:keepNext/>
              <w:rPr>
                <w:rFonts w:ascii="Times New Roman" w:hAnsi="Times New Roman" w:cs="Times New Roman"/>
                <w:sz w:val="24"/>
                <w:szCs w:val="24"/>
              </w:rPr>
            </w:pPr>
            <w:r w:rsidRPr="00E06FE3">
              <w:rPr>
                <w:rFonts w:ascii="Times New Roman" w:hAnsi="Times New Roman" w:cs="Times New Roman"/>
                <w:sz w:val="24"/>
                <w:szCs w:val="24"/>
              </w:rPr>
              <w:t>Diagram of the keyword co-occurrence analysis</w:t>
            </w:r>
          </w:p>
          <w:p w14:paraId="064BA745" w14:textId="77777777" w:rsidR="003B7FD2" w:rsidRDefault="003B7FD2" w:rsidP="003B7FD2">
            <w:pPr>
              <w:pStyle w:val="NormalWeb"/>
              <w:keepNext/>
              <w:rPr>
                <w:noProof/>
              </w:rPr>
            </w:pPr>
            <w:r w:rsidRPr="003B0AB1">
              <w:rPr>
                <w:noProof/>
              </w:rPr>
              <w:drawing>
                <wp:inline distT="0" distB="0" distL="0" distR="0" wp14:anchorId="1F5CA6C9" wp14:editId="407720A5">
                  <wp:extent cx="3678865" cy="2166529"/>
                  <wp:effectExtent l="0" t="0" r="0" b="5715"/>
                  <wp:docPr id="1502439194" name="그림 1502439194" descr="도표, 텍스트, 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descr="도표, 텍스트, 지도이(가) 표시된 사진&#10;&#10;자동 생성된 설명"/>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78865" cy="2166529"/>
                          </a:xfrm>
                          <a:prstGeom prst="rect">
                            <a:avLst/>
                          </a:prstGeom>
                          <a:noFill/>
                        </pic:spPr>
                      </pic:pic>
                    </a:graphicData>
                  </a:graphic>
                </wp:inline>
              </w:drawing>
            </w:r>
            <w:r w:rsidRPr="003B0AB1">
              <w:rPr>
                <w:noProof/>
              </w:rPr>
              <w:t xml:space="preserve"> </w:t>
            </w:r>
          </w:p>
          <w:p w14:paraId="65727A02" w14:textId="77777777" w:rsidR="003B7FD2" w:rsidRPr="003B0AB1" w:rsidRDefault="003B7FD2" w:rsidP="003C0A6D">
            <w:pPr>
              <w:wordWrap/>
              <w:adjustRightInd w:val="0"/>
              <w:snapToGrid w:val="0"/>
              <w:spacing w:line="360" w:lineRule="auto"/>
              <w:rPr>
                <w:rFonts w:ascii="Times New Roman" w:hAnsi="Times New Roman" w:cs="Times New Roman"/>
                <w:sz w:val="24"/>
                <w:szCs w:val="24"/>
              </w:rPr>
            </w:pPr>
            <w:r w:rsidRPr="003B0AB1">
              <w:rPr>
                <w:rFonts w:ascii="Times New Roman" w:hAnsi="Times New Roman" w:cs="Times New Roman"/>
                <w:i/>
                <w:iCs/>
                <w:sz w:val="24"/>
                <w:szCs w:val="24"/>
              </w:rPr>
              <w:t>Notes:</w:t>
            </w:r>
            <w:r w:rsidRPr="003B0AB1">
              <w:rPr>
                <w:rFonts w:ascii="Times New Roman" w:hAnsi="Times New Roman" w:cs="Times New Roman"/>
                <w:sz w:val="24"/>
                <w:szCs w:val="24"/>
              </w:rPr>
              <w:t xml:space="preserve"> Cluster 1 (yellow), Cluster 2 (blue), Cluster 3 (red), Cluster 4 (purple), Cluster 5 (green)</w:t>
            </w:r>
          </w:p>
          <w:p w14:paraId="577E661E" w14:textId="77777777" w:rsidR="003B7FD2" w:rsidRDefault="003B7FD2">
            <w:pPr>
              <w:rPr>
                <w:rFonts w:ascii="Times New Roman" w:hAnsi="Times New Roman" w:cs="Times New Roman"/>
                <w:sz w:val="24"/>
                <w:szCs w:val="24"/>
              </w:rPr>
            </w:pPr>
          </w:p>
        </w:tc>
        <w:tc>
          <w:tcPr>
            <w:tcW w:w="6844" w:type="dxa"/>
          </w:tcPr>
          <w:p w14:paraId="36E0AF65" w14:textId="52BB5CB5" w:rsidR="003B7FD2" w:rsidRPr="00E06FE3" w:rsidRDefault="003B7FD2" w:rsidP="003B7FD2">
            <w:pPr>
              <w:pStyle w:val="Caption"/>
              <w:keepNext/>
              <w:spacing w:line="480" w:lineRule="auto"/>
              <w:rPr>
                <w:rFonts w:ascii="Times New Roman" w:hAnsi="Times New Roman" w:cs="Times New Roman"/>
                <w:sz w:val="24"/>
                <w:szCs w:val="24"/>
              </w:rPr>
            </w:pPr>
            <w:r w:rsidRPr="00E06FE3">
              <w:rPr>
                <w:rFonts w:ascii="Times New Roman" w:hAnsi="Times New Roman" w:cs="Times New Roman"/>
                <w:sz w:val="24"/>
                <w:szCs w:val="24"/>
              </w:rPr>
              <w:t>Overlay diagram of the keywords co-occurrence analysis by year</w:t>
            </w:r>
          </w:p>
          <w:p w14:paraId="272069AA" w14:textId="57AB063C" w:rsidR="003B7FD2" w:rsidRDefault="003B7FD2">
            <w:pPr>
              <w:rPr>
                <w:rFonts w:ascii="Times New Roman" w:hAnsi="Times New Roman" w:cs="Times New Roman"/>
                <w:sz w:val="24"/>
                <w:szCs w:val="24"/>
              </w:rPr>
            </w:pPr>
            <w:r w:rsidRPr="003B0AB1">
              <w:rPr>
                <w:rFonts w:ascii="Times New Roman" w:hAnsi="Times New Roman" w:cs="Times New Roman"/>
                <w:noProof/>
                <w:sz w:val="24"/>
                <w:szCs w:val="24"/>
              </w:rPr>
              <w:drawing>
                <wp:inline distT="0" distB="0" distL="0" distR="0" wp14:anchorId="571B13B9" wp14:editId="44D07793">
                  <wp:extent cx="4263656" cy="2509706"/>
                  <wp:effectExtent l="0" t="0" r="3810" b="5080"/>
                  <wp:docPr id="269732488" name="그림 269732488" descr="도표, 텍스트, 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도표, 텍스트, 지도이(가) 표시된 사진&#10;&#10;자동 생성된 설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6251" cy="2517120"/>
                          </a:xfrm>
                          <a:prstGeom prst="rect">
                            <a:avLst/>
                          </a:prstGeom>
                          <a:noFill/>
                        </pic:spPr>
                      </pic:pic>
                    </a:graphicData>
                  </a:graphic>
                </wp:inline>
              </w:drawing>
            </w:r>
          </w:p>
        </w:tc>
      </w:tr>
    </w:tbl>
    <w:p w14:paraId="2FCD8340" w14:textId="77777777" w:rsidR="000F2926" w:rsidRDefault="000F2926">
      <w:pPr>
        <w:rPr>
          <w:rFonts w:ascii="Times New Roman" w:hAnsi="Times New Roman" w:cs="Times New Roman"/>
          <w:sz w:val="24"/>
          <w:szCs w:val="24"/>
        </w:rPr>
      </w:pPr>
    </w:p>
    <w:p w14:paraId="6CAA5B41" w14:textId="77777777" w:rsidR="000007F8" w:rsidRPr="003F298E" w:rsidRDefault="000007F8">
      <w:pPr>
        <w:rPr>
          <w:rFonts w:ascii="Times New Roman" w:hAnsi="Times New Roman" w:cs="Times New Roman"/>
          <w:sz w:val="24"/>
          <w:szCs w:val="24"/>
        </w:rPr>
      </w:pPr>
    </w:p>
    <w:sectPr w:rsidR="000007F8" w:rsidRPr="003F298E" w:rsidSect="003F298E">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9A34" w14:textId="77777777" w:rsidR="00D336AB" w:rsidRDefault="00D336AB" w:rsidP="000642F0">
      <w:pPr>
        <w:spacing w:after="0" w:line="240" w:lineRule="auto"/>
      </w:pPr>
      <w:r>
        <w:separator/>
      </w:r>
    </w:p>
  </w:endnote>
  <w:endnote w:type="continuationSeparator" w:id="0">
    <w:p w14:paraId="342F6EA0" w14:textId="77777777" w:rsidR="00D336AB" w:rsidRDefault="00D336AB" w:rsidP="00064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D79D3" w14:textId="77777777" w:rsidR="00D336AB" w:rsidRDefault="00D336AB" w:rsidP="000642F0">
      <w:pPr>
        <w:spacing w:after="0" w:line="240" w:lineRule="auto"/>
      </w:pPr>
      <w:r>
        <w:separator/>
      </w:r>
    </w:p>
  </w:footnote>
  <w:footnote w:type="continuationSeparator" w:id="0">
    <w:p w14:paraId="5797B74F" w14:textId="77777777" w:rsidR="00D336AB" w:rsidRDefault="00D336AB" w:rsidP="000642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2MzO1NDQ3MjAzMjVW0lEKTi0uzszPAykwqgUAMKI71CwAAAA="/>
  </w:docVars>
  <w:rsids>
    <w:rsidRoot w:val="003F298E"/>
    <w:rsid w:val="000007F8"/>
    <w:rsid w:val="000642F0"/>
    <w:rsid w:val="000749EA"/>
    <w:rsid w:val="0008686B"/>
    <w:rsid w:val="000F2926"/>
    <w:rsid w:val="00132FF1"/>
    <w:rsid w:val="001D5EF2"/>
    <w:rsid w:val="003009C4"/>
    <w:rsid w:val="00310CAC"/>
    <w:rsid w:val="00354F8C"/>
    <w:rsid w:val="003B7FD2"/>
    <w:rsid w:val="003C0A6D"/>
    <w:rsid w:val="003F298E"/>
    <w:rsid w:val="00433CE8"/>
    <w:rsid w:val="005000C6"/>
    <w:rsid w:val="006508E2"/>
    <w:rsid w:val="0068408D"/>
    <w:rsid w:val="006F0FF1"/>
    <w:rsid w:val="0070594C"/>
    <w:rsid w:val="008D5FC0"/>
    <w:rsid w:val="009E0B55"/>
    <w:rsid w:val="009E2AD2"/>
    <w:rsid w:val="00B01EEA"/>
    <w:rsid w:val="00CA5711"/>
    <w:rsid w:val="00D336AB"/>
    <w:rsid w:val="00D81863"/>
    <w:rsid w:val="00DF4B05"/>
    <w:rsid w:val="00E06FE3"/>
    <w:rsid w:val="00E20049"/>
    <w:rsid w:val="00F847EC"/>
    <w:rsid w:val="00FD458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E6D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98E"/>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3F298E"/>
    <w:pPr>
      <w:spacing w:after="0" w:line="480" w:lineRule="auto"/>
      <w:ind w:firstLine="426"/>
    </w:pPr>
    <w:rPr>
      <w:rFonts w:ascii="Times New Roman" w:hAnsi="Times New Roman" w:cs="Times New Roman"/>
      <w:sz w:val="24"/>
      <w:szCs w:val="24"/>
    </w:rPr>
  </w:style>
  <w:style w:type="character" w:customStyle="1" w:styleId="textChar">
    <w:name w:val="text Char"/>
    <w:basedOn w:val="DefaultParagraphFont"/>
    <w:link w:val="text"/>
    <w:rsid w:val="003F298E"/>
    <w:rPr>
      <w:rFonts w:ascii="Times New Roman" w:hAnsi="Times New Roman" w:cs="Times New Roman"/>
      <w:sz w:val="24"/>
      <w:szCs w:val="24"/>
    </w:rPr>
  </w:style>
  <w:style w:type="paragraph" w:styleId="Header">
    <w:name w:val="header"/>
    <w:basedOn w:val="Normal"/>
    <w:link w:val="HeaderChar"/>
    <w:uiPriority w:val="99"/>
    <w:unhideWhenUsed/>
    <w:rsid w:val="000642F0"/>
    <w:pPr>
      <w:tabs>
        <w:tab w:val="center" w:pos="4513"/>
        <w:tab w:val="right" w:pos="9026"/>
      </w:tabs>
      <w:snapToGrid w:val="0"/>
    </w:pPr>
  </w:style>
  <w:style w:type="character" w:customStyle="1" w:styleId="HeaderChar">
    <w:name w:val="Header Char"/>
    <w:basedOn w:val="DefaultParagraphFont"/>
    <w:link w:val="Header"/>
    <w:uiPriority w:val="99"/>
    <w:rsid w:val="000642F0"/>
  </w:style>
  <w:style w:type="paragraph" w:styleId="Footer">
    <w:name w:val="footer"/>
    <w:basedOn w:val="Normal"/>
    <w:link w:val="FooterChar"/>
    <w:uiPriority w:val="99"/>
    <w:unhideWhenUsed/>
    <w:rsid w:val="000642F0"/>
    <w:pPr>
      <w:tabs>
        <w:tab w:val="center" w:pos="4513"/>
        <w:tab w:val="right" w:pos="9026"/>
      </w:tabs>
      <w:snapToGrid w:val="0"/>
    </w:pPr>
  </w:style>
  <w:style w:type="character" w:customStyle="1" w:styleId="FooterChar">
    <w:name w:val="Footer Char"/>
    <w:basedOn w:val="DefaultParagraphFont"/>
    <w:link w:val="Footer"/>
    <w:uiPriority w:val="99"/>
    <w:rsid w:val="000642F0"/>
  </w:style>
  <w:style w:type="paragraph" w:styleId="Revision">
    <w:name w:val="Revision"/>
    <w:hidden/>
    <w:uiPriority w:val="99"/>
    <w:semiHidden/>
    <w:rsid w:val="00E20049"/>
    <w:pPr>
      <w:spacing w:after="0" w:line="240" w:lineRule="auto"/>
      <w:jc w:val="left"/>
    </w:pPr>
  </w:style>
  <w:style w:type="paragraph" w:styleId="NormalWeb">
    <w:name w:val="Normal (Web)"/>
    <w:basedOn w:val="Normal"/>
    <w:uiPriority w:val="99"/>
    <w:unhideWhenUsed/>
    <w:rsid w:val="000007F8"/>
    <w:rPr>
      <w:rFonts w:ascii="Times New Roman" w:hAnsi="Times New Roman" w:cs="Times New Roman"/>
      <w:sz w:val="24"/>
      <w:szCs w:val="24"/>
    </w:rPr>
  </w:style>
  <w:style w:type="paragraph" w:styleId="Caption">
    <w:name w:val="caption"/>
    <w:basedOn w:val="Normal"/>
    <w:next w:val="Normal"/>
    <w:uiPriority w:val="35"/>
    <w:unhideWhenUsed/>
    <w:qFormat/>
    <w:rsid w:val="000007F8"/>
    <w:pPr>
      <w:spacing w:line="240" w:lineRule="auto"/>
      <w:jc w:val="left"/>
    </w:pPr>
    <w:rPr>
      <w:b/>
      <w:bCs/>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4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940</Words>
  <Characters>5358</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2026-04-04T21:45:00Z</dcterms:created>
  <dcterms:modified xsi:type="dcterms:W3CDTF">2026-04-04T21:45:00Z</dcterms:modified>
</cp:coreProperties>
</file>