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DC78B" w14:textId="55BD4318" w:rsidR="00B65385" w:rsidRDefault="00CC2818" w:rsidP="006A26DE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Journal name: </w:t>
      </w:r>
      <w:r w:rsidRPr="006A26DE">
        <w:rPr>
          <w:rFonts w:ascii="Times New Roman" w:eastAsia="Times New Roman" w:hAnsi="Times New Roman" w:cs="Times New Roman"/>
          <w:bCs/>
          <w:i/>
          <w:iCs/>
          <w:sz w:val="24"/>
        </w:rPr>
        <w:t>Japanese Journal of Radiology</w:t>
      </w:r>
    </w:p>
    <w:p w14:paraId="2D8B455E" w14:textId="77777777" w:rsidR="00B65385" w:rsidRDefault="00B65385" w:rsidP="006A26DE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</w:p>
    <w:p w14:paraId="656E5008" w14:textId="1BC48DD5" w:rsidR="00B65385" w:rsidRPr="00EE1E2C" w:rsidRDefault="00CC2818" w:rsidP="006A26DE">
      <w:pPr>
        <w:spacing w:line="48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Title: </w:t>
      </w:r>
      <w:r w:rsidRPr="00EE1E2C">
        <w:rPr>
          <w:rFonts w:ascii="Times New Roman" w:eastAsia="Times New Roman" w:hAnsi="Times New Roman" w:cs="Times New Roman"/>
          <w:bCs/>
          <w:sz w:val="24"/>
        </w:rPr>
        <w:t xml:space="preserve">Correlation of Tumor Maximum Standardized Uptake Value from </w:t>
      </w:r>
      <w:r w:rsidRPr="00AC6B9A">
        <w:rPr>
          <w:rFonts w:ascii="Times New Roman" w:eastAsia="Times New Roman" w:hAnsi="Times New Roman" w:cs="Times New Roman"/>
          <w:bCs/>
          <w:sz w:val="24"/>
          <w:vertAlign w:val="superscript"/>
        </w:rPr>
        <w:t>18</w:t>
      </w:r>
      <w:r w:rsidRPr="00EE1E2C">
        <w:rPr>
          <w:rFonts w:ascii="Times New Roman" w:eastAsia="Times New Roman" w:hAnsi="Times New Roman" w:cs="Times New Roman"/>
          <w:bCs/>
          <w:sz w:val="24"/>
        </w:rPr>
        <w:t>F-BPA PET and Boron Neutron Capture Therapy Tumor Dose with Treatment Outcomes in Head and Neck Cancer: A Retrospective Analysis</w:t>
      </w:r>
    </w:p>
    <w:p w14:paraId="15A3AEBD" w14:textId="77777777" w:rsidR="00B65385" w:rsidRDefault="00B65385" w:rsidP="006A26DE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</w:p>
    <w:p w14:paraId="1E4DB0CE" w14:textId="77777777" w:rsidR="00B65385" w:rsidRPr="0007210D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</w:pP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Yuki Yoshino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a,b,c*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Satoshi Takeno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a,b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Teruhito Aihara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a,d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Kayako Isohashi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e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Naonori Hu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a,f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Yasukazu Kanai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a,g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Akinori Sasaki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Mai Nojiri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Tetsuya Terada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d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Shinichi Haginomori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d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Keiji Nihei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a,b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Koji Ono 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a,g</w:t>
      </w:r>
    </w:p>
    <w:p w14:paraId="25849A97" w14:textId="77777777" w:rsidR="00B65385" w:rsidRPr="0007210D" w:rsidRDefault="00B65385" w:rsidP="00825526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B2B5ED5" w14:textId="77777777" w:rsidR="00B65385" w:rsidRPr="0007210D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Kansai BNCT Medical Center, Osaka Medical and Pharmaceutical University, Osaka, Japan</w:t>
      </w:r>
    </w:p>
    <w:p w14:paraId="79E1F242" w14:textId="77777777" w:rsidR="00B65385" w:rsidRPr="0007210D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b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Department of Radiation Oncology, Osaka Medical and Pharmaceutical University, Osaka, Japan</w:t>
      </w:r>
    </w:p>
    <w:p w14:paraId="6C17C8EE" w14:textId="77777777" w:rsidR="00B65385" w:rsidRPr="0007210D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c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Department of Radiology, Kyoto Prefectural University of Medicine, Kyoto, Japan</w:t>
      </w:r>
    </w:p>
    <w:p w14:paraId="67845582" w14:textId="77777777" w:rsidR="00B65385" w:rsidRPr="0007210D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d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Department of Otorhinolaryngology – Head and Neck Surgery, Osaka Medical and Pharmaceutical University, Osaka, Japan</w:t>
      </w:r>
    </w:p>
    <w:p w14:paraId="5AD15097" w14:textId="77777777" w:rsidR="00B65385" w:rsidRPr="0007210D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e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Department of Radiology, Graduate School of Medicine, The University of Osaka, Osaka, Japan</w:t>
      </w:r>
    </w:p>
    <w:p w14:paraId="2B0D8E11" w14:textId="77777777" w:rsidR="00B65385" w:rsidRPr="0007210D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f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Institute for Integrated Radiation and Nuclear Science, Kyoto University, Kyoto, Japan</w:t>
      </w:r>
    </w:p>
    <w:p w14:paraId="420FFA84" w14:textId="77777777" w:rsidR="00B65385" w:rsidRPr="0007210D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g</w:t>
      </w: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BNCT Joint Clinical Institute, Osaka Medical and Pharmaceutical University, Osaka, Japan</w:t>
      </w:r>
    </w:p>
    <w:p w14:paraId="7A0A79B5" w14:textId="77777777" w:rsidR="00B65385" w:rsidRPr="0007210D" w:rsidRDefault="00B65385" w:rsidP="00825526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EEC1A33" w14:textId="77777777" w:rsidR="00B65385" w:rsidRPr="0007210D" w:rsidRDefault="00CC2818" w:rsidP="00825526">
      <w:pPr>
        <w:spacing w:line="48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7210D">
        <w:rPr>
          <w:rFonts w:ascii="Times New Roman" w:eastAsia="Times New Roman" w:hAnsi="Times New Roman" w:cs="Times New Roman"/>
          <w:b/>
          <w:sz w:val="20"/>
          <w:szCs w:val="20"/>
        </w:rPr>
        <w:t>*Corresponding Author:</w:t>
      </w:r>
    </w:p>
    <w:p w14:paraId="411B8E3B" w14:textId="3927B423" w:rsidR="00E6207E" w:rsidRDefault="00CC2818" w:rsidP="00825526">
      <w:pPr>
        <w:spacing w:line="480" w:lineRule="auto"/>
        <w:rPr>
          <w:rStyle w:val="ae"/>
          <w:rFonts w:ascii="Times New Roman" w:eastAsia="Times New Roman" w:hAnsi="Times New Roman" w:cs="Times New Roman"/>
          <w:sz w:val="20"/>
          <w:szCs w:val="20"/>
        </w:rPr>
      </w:pPr>
      <w:r w:rsidRPr="0007210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Email: </w:t>
      </w:r>
      <w:hyperlink r:id="rId5" w:history="1">
        <w:r w:rsidRPr="0007210D">
          <w:rPr>
            <w:rStyle w:val="ae"/>
            <w:rFonts w:ascii="Times New Roman" w:eastAsia="Times New Roman" w:hAnsi="Times New Roman" w:cs="Times New Roman"/>
            <w:sz w:val="20"/>
            <w:szCs w:val="20"/>
          </w:rPr>
          <w:t>yuki.yoshino@ompu.ac.jp</w:t>
        </w:r>
      </w:hyperlink>
    </w:p>
    <w:p w14:paraId="46A16836" w14:textId="1BB42C81" w:rsidR="00B65385" w:rsidRPr="006A26DE" w:rsidRDefault="00E6207E" w:rsidP="006A26DE">
      <w:pPr>
        <w:widowControl/>
        <w:jc w:val="left"/>
        <w:rPr>
          <w:rFonts w:ascii="Times New Roman" w:hAnsi="Times New Roman" w:cs="Times New Roman"/>
          <w:color w:val="0563C1"/>
          <w:sz w:val="20"/>
          <w:szCs w:val="20"/>
        </w:rPr>
      </w:pPr>
      <w:r>
        <w:rPr>
          <w:rStyle w:val="ae"/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53B94BBF" w14:textId="383A8998" w:rsidR="00796BD0" w:rsidRPr="00F759A1" w:rsidRDefault="0056074C" w:rsidP="006A26DE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5E29E3F5" wp14:editId="7E59340B">
            <wp:extent cx="5400675" cy="4133850"/>
            <wp:effectExtent l="0" t="0" r="952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FDDC1" w14:textId="3392FE52" w:rsidR="00C36360" w:rsidRPr="006A26DE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bookmarkStart w:id="0" w:name="_Hlk227330714"/>
      <w:r w:rsidRPr="006A26D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Online Resource 1. 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Compari</w:t>
      </w:r>
      <w:r w:rsidR="00A56AB3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son between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the CR and non-CR groups using a two-sided Mann–Whitney U test</w:t>
      </w:r>
      <w:r w:rsidR="00B56C16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(individual model)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. The </w:t>
      </w:r>
      <w:r w:rsidR="00D127C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interval</w:t>
      </w:r>
      <w:r w:rsidR="00D127CE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time </w:t>
      </w:r>
      <w:r w:rsidR="00B56C16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refers to 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="00B56C16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number of 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days between 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18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F-BPA and BNCT. </w:t>
      </w:r>
      <w:r w:rsidRPr="006A26D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(a)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Comparison of tumor SUVmax, Dmin, Dmax, and D80% </w:t>
      </w:r>
      <w:r w:rsidR="007B1910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duration time </w:t>
      </w:r>
      <w:r w:rsidRPr="006A26DE">
        <w:rPr>
          <w:rFonts w:ascii="Times New Roman" w:hAnsi="Times New Roman" w:cs="Times New Roman"/>
          <w:color w:val="000000" w:themeColor="text1"/>
          <w:sz w:val="20"/>
          <w:szCs w:val="20"/>
        </w:rPr>
        <w:t>≤</w:t>
      </w:r>
      <w:r w:rsidR="00661246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13 days. </w:t>
      </w:r>
      <w:r w:rsidRPr="006A26D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(b)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Comparison of tumor SUVmax, Dmin, Dmax, and D80% </w:t>
      </w:r>
      <w:r w:rsidR="007B1910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127C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interval</w:t>
      </w:r>
      <w:r w:rsidR="00D127CE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time </w:t>
      </w:r>
      <w:r w:rsidRPr="006A26DE">
        <w:rPr>
          <w:rFonts w:ascii="Times New Roman" w:hAnsi="Times New Roman" w:cs="Times New Roman"/>
          <w:color w:val="000000" w:themeColor="text1"/>
          <w:sz w:val="20"/>
          <w:szCs w:val="20"/>
        </w:rPr>
        <w:t>&gt;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13 days.</w:t>
      </w:r>
    </w:p>
    <w:p w14:paraId="785B1B76" w14:textId="6DA485B6" w:rsidR="00C36360" w:rsidRPr="006A26DE" w:rsidRDefault="00CC2818" w:rsidP="00825526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Abbreviations: CR = complete response; Dmax = the maximum dose of the tumor; Dmin = the minimum dose of the tumor; D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bscript"/>
        </w:rPr>
        <w:t xml:space="preserve">80% 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= dose </w:t>
      </w:r>
      <w:r w:rsidR="007B1910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received by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80%</w:t>
      </w:r>
      <w:r w:rsidR="009D0603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of the</w:t>
      </w:r>
      <w:r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tumor volume</w:t>
      </w:r>
      <w:r w:rsidR="006C7C38" w:rsidRPr="006A26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</w:t>
      </w:r>
      <w:r w:rsidR="006C7C38" w:rsidRPr="006A26DE">
        <w:rPr>
          <w:rFonts w:ascii="Times New Roman" w:eastAsia="Yu Gothic" w:hAnsi="Times New Roman" w:cs="Times New Roman"/>
          <w:color w:val="000000" w:themeColor="text1"/>
          <w:kern w:val="0"/>
          <w:sz w:val="20"/>
          <w:szCs w:val="20"/>
        </w:rPr>
        <w:t xml:space="preserve"> SUVmax = maximum standardized uptake value.</w:t>
      </w:r>
    </w:p>
    <w:bookmarkEnd w:id="0"/>
    <w:p w14:paraId="476F8AE5" w14:textId="77777777" w:rsidR="00796BD0" w:rsidRDefault="00CC2818" w:rsidP="006A26DE">
      <w:pPr>
        <w:widowControl/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br w:type="page"/>
      </w:r>
    </w:p>
    <w:p w14:paraId="341A6C14" w14:textId="77777777" w:rsidR="00B65385" w:rsidRPr="00EE1E2C" w:rsidRDefault="00B65385" w:rsidP="006A26DE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</w:p>
    <w:p w14:paraId="696B69B3" w14:textId="4CD52B40" w:rsidR="00365690" w:rsidRPr="00AC6B9A" w:rsidRDefault="00CC2818" w:rsidP="006A26DE">
      <w:pPr>
        <w:spacing w:line="480" w:lineRule="auto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drawing>
          <wp:inline distT="0" distB="0" distL="0" distR="0" wp14:anchorId="4FE50F05" wp14:editId="217E03F7">
            <wp:extent cx="5391150" cy="6657975"/>
            <wp:effectExtent l="0" t="0" r="0" b="952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5385" w:rsidRPr="00AC6B9A">
        <w:rPr>
          <w:rFonts w:ascii="Times New Roman" w:eastAsia="Times New Roman" w:hAnsi="Times New Roman" w:cs="Times New Roman"/>
          <w:b/>
          <w:sz w:val="20"/>
          <w:szCs w:val="20"/>
        </w:rPr>
        <w:t xml:space="preserve">Online Resource </w:t>
      </w:r>
      <w:r w:rsidR="006229FA" w:rsidRPr="00AC6B9A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="00EE1E2C" w:rsidRPr="00AC6B9A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EE1E2C" w:rsidRPr="00AC6B9A">
        <w:rPr>
          <w:rFonts w:ascii="Times New Roman" w:eastAsia="Times New Roman" w:hAnsi="Times New Roman" w:cs="Times New Roman"/>
          <w:sz w:val="20"/>
          <w:szCs w:val="20"/>
        </w:rPr>
        <w:t xml:space="preserve"> Tumor images of </w:t>
      </w:r>
      <w:r w:rsidR="00EE1E2C" w:rsidRPr="00AC6B9A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18</w:t>
      </w:r>
      <w:r w:rsidR="00EE1E2C" w:rsidRPr="00AC6B9A">
        <w:rPr>
          <w:rFonts w:ascii="Times New Roman" w:eastAsia="Times New Roman" w:hAnsi="Times New Roman" w:cs="Times New Roman"/>
          <w:sz w:val="20"/>
          <w:szCs w:val="20"/>
        </w:rPr>
        <w:t xml:space="preserve">F-BPA PET/CT before BNCT with GTV volumes. The area outlined in green indicates the tumor. The higher the brightness, the more </w:t>
      </w:r>
      <w:r w:rsidR="00EE1E2C" w:rsidRPr="00AC6B9A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18</w:t>
      </w:r>
      <w:r w:rsidR="00EE1E2C" w:rsidRPr="00AC6B9A">
        <w:rPr>
          <w:rFonts w:ascii="Times New Roman" w:eastAsia="Times New Roman" w:hAnsi="Times New Roman" w:cs="Times New Roman"/>
          <w:sz w:val="20"/>
          <w:szCs w:val="20"/>
        </w:rPr>
        <w:t xml:space="preserve">F-BPA accumulates. </w:t>
      </w:r>
      <w:r w:rsidR="00EE1E2C" w:rsidRPr="00AC6B9A"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r w:rsidR="00B65385" w:rsidRPr="00AC6B9A">
        <w:rPr>
          <w:rFonts w:ascii="Times New Roman" w:eastAsia="Times New Roman" w:hAnsi="Times New Roman" w:cs="Times New Roman"/>
          <w:b/>
          <w:sz w:val="20"/>
          <w:szCs w:val="20"/>
        </w:rPr>
        <w:t>a</w:t>
      </w:r>
      <w:r w:rsidR="00EE1E2C" w:rsidRPr="00AC6B9A">
        <w:rPr>
          <w:rFonts w:ascii="Times New Roman" w:eastAsia="Times New Roman" w:hAnsi="Times New Roman" w:cs="Times New Roman"/>
          <w:b/>
          <w:sz w:val="20"/>
          <w:szCs w:val="20"/>
        </w:rPr>
        <w:t xml:space="preserve">) </w:t>
      </w:r>
      <w:r w:rsidR="00EE1E2C" w:rsidRPr="00AC6B9A">
        <w:rPr>
          <w:rFonts w:ascii="Times New Roman" w:eastAsia="Times New Roman" w:hAnsi="Times New Roman" w:cs="Times New Roman"/>
          <w:sz w:val="20"/>
          <w:szCs w:val="20"/>
        </w:rPr>
        <w:t xml:space="preserve">All CR cases. </w:t>
      </w:r>
      <w:r w:rsidR="00EE1E2C" w:rsidRPr="00AC6B9A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(</w:t>
      </w:r>
      <w:r w:rsidR="00B65385" w:rsidRPr="00AC6B9A">
        <w:rPr>
          <w:rFonts w:ascii="Times New Roman" w:eastAsia="Times New Roman" w:hAnsi="Times New Roman" w:cs="Times New Roman"/>
          <w:b/>
          <w:sz w:val="20"/>
          <w:szCs w:val="20"/>
        </w:rPr>
        <w:t>b</w:t>
      </w:r>
      <w:r w:rsidR="00EE1E2C" w:rsidRPr="00AC6B9A">
        <w:rPr>
          <w:rFonts w:ascii="Times New Roman" w:eastAsia="Times New Roman" w:hAnsi="Times New Roman" w:cs="Times New Roman"/>
          <w:b/>
          <w:sz w:val="20"/>
          <w:szCs w:val="20"/>
        </w:rPr>
        <w:t>)</w:t>
      </w:r>
      <w:r w:rsidR="00EE1E2C" w:rsidRPr="00AC6B9A">
        <w:rPr>
          <w:rFonts w:ascii="Times New Roman" w:eastAsia="Times New Roman" w:hAnsi="Times New Roman" w:cs="Times New Roman"/>
          <w:sz w:val="20"/>
          <w:szCs w:val="20"/>
        </w:rPr>
        <w:t xml:space="preserve"> All non-CR cases. </w:t>
      </w:r>
      <w:r w:rsidR="00EE1E2C" w:rsidRPr="00AC6B9A"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r w:rsidR="00B65385" w:rsidRPr="00AC6B9A">
        <w:rPr>
          <w:rFonts w:ascii="Times New Roman" w:eastAsia="Times New Roman" w:hAnsi="Times New Roman" w:cs="Times New Roman"/>
          <w:b/>
          <w:sz w:val="20"/>
          <w:szCs w:val="20"/>
        </w:rPr>
        <w:t>c</w:t>
      </w:r>
      <w:r w:rsidR="00EE1E2C" w:rsidRPr="00AC6B9A">
        <w:rPr>
          <w:rFonts w:ascii="Times New Roman" w:eastAsia="Times New Roman" w:hAnsi="Times New Roman" w:cs="Times New Roman"/>
          <w:b/>
          <w:sz w:val="20"/>
          <w:szCs w:val="20"/>
        </w:rPr>
        <w:t>)</w:t>
      </w:r>
      <w:r w:rsidR="00EE1E2C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1E2C" w:rsidRPr="00AC6B9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Comparison of GTV volumes </w:t>
      </w:r>
      <w:r w:rsidR="00EE1E2C" w:rsidRPr="00AC6B9A">
        <w:rPr>
          <w:rFonts w:ascii="Times New Roman" w:eastAsia="Times New Roman" w:hAnsi="Times New Roman" w:cs="Times New Roman"/>
          <w:sz w:val="20"/>
          <w:szCs w:val="20"/>
        </w:rPr>
        <w:t>between the CR group and non-CR group using a two-sided Mann–Whitney U test.</w:t>
      </w:r>
    </w:p>
    <w:p w14:paraId="58C2D610" w14:textId="6546313D" w:rsidR="00365690" w:rsidRPr="00AC6B9A" w:rsidRDefault="00CC2818" w:rsidP="006A26DE">
      <w:pPr>
        <w:spacing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C6B9A">
        <w:rPr>
          <w:rFonts w:ascii="Times New Roman" w:eastAsia="Times New Roman" w:hAnsi="Times New Roman" w:cs="Times New Roman"/>
          <w:sz w:val="20"/>
          <w:szCs w:val="20"/>
        </w:rPr>
        <w:t>Abbreviations:</w:t>
      </w:r>
      <w:r w:rsidR="00B65385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C6B9A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18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F-BPA PET/CT</w:t>
      </w:r>
      <w:r w:rsidR="005E01B0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=</w:t>
      </w:r>
      <w:r w:rsidR="005E01B0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C6B9A">
        <w:rPr>
          <w:rFonts w:ascii="Times New Roman" w:eastAsia="Times New Roman" w:hAnsi="Times New Roman" w:cs="Times New Roman"/>
          <w:color w:val="1F1F1F"/>
          <w:sz w:val="20"/>
          <w:szCs w:val="20"/>
        </w:rPr>
        <w:t xml:space="preserve">fluorine-18-labeled 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4-borono-L-phenylalanine positron emission tomography/</w:t>
      </w:r>
      <w:r w:rsidRPr="00AC6B9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computed tomography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; CR</w:t>
      </w:r>
      <w:r w:rsidR="005E01B0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=</w:t>
      </w:r>
      <w:r w:rsidR="005E01B0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complete response; GTV</w:t>
      </w:r>
      <w:r w:rsidR="005E01B0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=</w:t>
      </w:r>
      <w:r w:rsidR="005E01B0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gross tumor volume; BNCT</w:t>
      </w:r>
      <w:r w:rsidR="005E01B0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=</w:t>
      </w:r>
      <w:r w:rsidR="005E01B0" w:rsidRPr="00AC6B9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C6B9A">
        <w:rPr>
          <w:rFonts w:ascii="Times New Roman" w:eastAsia="Times New Roman" w:hAnsi="Times New Roman" w:cs="Times New Roman"/>
          <w:sz w:val="20"/>
          <w:szCs w:val="20"/>
        </w:rPr>
        <w:t>boron neutron capture therapy.</w:t>
      </w:r>
    </w:p>
    <w:sectPr w:rsidR="00365690" w:rsidRPr="00AC6B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A356B"/>
    <w:multiLevelType w:val="multilevel"/>
    <w:tmpl w:val="2D6E2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E1F8C"/>
    <w:multiLevelType w:val="multilevel"/>
    <w:tmpl w:val="D73C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90"/>
    <w:rsid w:val="000638F2"/>
    <w:rsid w:val="000641E2"/>
    <w:rsid w:val="0007210D"/>
    <w:rsid w:val="00124796"/>
    <w:rsid w:val="002346A9"/>
    <w:rsid w:val="00365690"/>
    <w:rsid w:val="0056074C"/>
    <w:rsid w:val="005E01B0"/>
    <w:rsid w:val="006229FA"/>
    <w:rsid w:val="00661246"/>
    <w:rsid w:val="00684ABA"/>
    <w:rsid w:val="00695774"/>
    <w:rsid w:val="006A26DE"/>
    <w:rsid w:val="006A42F0"/>
    <w:rsid w:val="006C7C38"/>
    <w:rsid w:val="00796BD0"/>
    <w:rsid w:val="007B1910"/>
    <w:rsid w:val="00825526"/>
    <w:rsid w:val="00834F8D"/>
    <w:rsid w:val="00893307"/>
    <w:rsid w:val="009372D2"/>
    <w:rsid w:val="009B5836"/>
    <w:rsid w:val="009D0603"/>
    <w:rsid w:val="00A4239B"/>
    <w:rsid w:val="00A56AB3"/>
    <w:rsid w:val="00A91347"/>
    <w:rsid w:val="00AC6B9A"/>
    <w:rsid w:val="00B56C16"/>
    <w:rsid w:val="00B65385"/>
    <w:rsid w:val="00B73697"/>
    <w:rsid w:val="00BE2FA2"/>
    <w:rsid w:val="00C36360"/>
    <w:rsid w:val="00C57409"/>
    <w:rsid w:val="00CC2818"/>
    <w:rsid w:val="00D127CE"/>
    <w:rsid w:val="00D614D5"/>
    <w:rsid w:val="00E24056"/>
    <w:rsid w:val="00E6207E"/>
    <w:rsid w:val="00EC0FD7"/>
    <w:rsid w:val="00EE1E2C"/>
    <w:rsid w:val="00F165E8"/>
    <w:rsid w:val="00F652D1"/>
    <w:rsid w:val="00F759A1"/>
    <w:rsid w:val="00F9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3DEF92"/>
  <w15:docId w15:val="{B36593CE-4918-4F49-8F2B-9F7B0DCF9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Postcode">
    <w:name w:val="Postcode"/>
    <w:basedOn w:val="a0"/>
  </w:style>
  <w:style w:type="character" w:customStyle="1" w:styleId="Country">
    <w:name w:val="Country"/>
    <w:basedOn w:val="a0"/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GeneSequence">
    <w:name w:val="Gene Sequence"/>
    <w:basedOn w:val="a0"/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styleId="a7">
    <w:name w:val="endnote text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</w:style>
  <w:style w:type="character" w:customStyle="1" w:styleId="NameScientific">
    <w:name w:val="Name Scientific"/>
    <w:basedOn w:val="a0"/>
  </w:style>
  <w:style w:type="character" w:customStyle="1" w:styleId="IssueNumber">
    <w:name w:val="Issue Number"/>
    <w:basedOn w:val="a0"/>
  </w:style>
  <w:style w:type="character" w:customStyle="1" w:styleId="Heading">
    <w:name w:val="Heading:"/>
    <w:basedOn w:val="a0"/>
    <w:rPr>
      <w:color w:val="5B89C1"/>
    </w:rPr>
  </w:style>
  <w:style w:type="character" w:customStyle="1" w:styleId="GivenName">
    <w:name w:val="Given Name"/>
    <w:basedOn w:val="a0"/>
  </w:style>
  <w:style w:type="paragraph" w:styleId="a8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a0"/>
  </w:style>
  <w:style w:type="paragraph" w:styleId="a9">
    <w:name w:val="footnote text"/>
    <w:basedOn w:val="a"/>
    <w:rPr>
      <w:rFonts w:ascii="Calibri" w:eastAsia="Calibri" w:hAnsi="Calibri" w:cs="Calibri"/>
    </w:rPr>
  </w:style>
  <w:style w:type="paragraph" w:customStyle="1" w:styleId="TableList">
    <w:name w:val="Table List"/>
    <w:basedOn w:val="a"/>
    <w:pPr>
      <w:ind w:left="300" w:hanging="300"/>
      <w:jc w:val="left"/>
    </w:pPr>
    <w:rPr>
      <w:sz w:val="20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styleId="aa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</w:style>
  <w:style w:type="character" w:customStyle="1" w:styleId="PageNumbers">
    <w:name w:val="Page Numbers"/>
    <w:basedOn w:val="a0"/>
  </w:style>
  <w:style w:type="character" w:customStyle="1" w:styleId="Edition">
    <w:name w:val="Edition"/>
    <w:basedOn w:val="a0"/>
  </w:style>
  <w:style w:type="character" w:customStyle="1" w:styleId="Label">
    <w:name w:val="Label"/>
    <w:basedOn w:val="a0"/>
    <w:rPr>
      <w:vertAlign w:val="baseline"/>
    </w:rPr>
  </w:style>
  <w:style w:type="paragraph" w:customStyle="1" w:styleId="AbstractSubheading">
    <w:name w:val="Abstract Subheading"/>
    <w:basedOn w:val="a"/>
    <w:next w:val="a"/>
    <w:pPr>
      <w:keepNext/>
      <w:keepLines/>
      <w:ind w:left="1440"/>
      <w:outlineLvl w:val="8"/>
    </w:pPr>
    <w:rPr>
      <w:sz w:val="22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</w:style>
  <w:style w:type="paragraph" w:styleId="ab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styleId="ac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styleId="ad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styleId="ae">
    <w:name w:val="Hyperlink"/>
    <w:basedOn w:val="a0"/>
    <w:rPr>
      <w:color w:val="0563C1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City">
    <w:name w:val="City"/>
    <w:basedOn w:val="a0"/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Miscellaneous">
    <w:name w:val="Miscellaneous"/>
    <w:basedOn w:val="a0"/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Cross-reference">
    <w:name w:val="Cross-reference"/>
    <w:basedOn w:val="a0"/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</w:style>
  <w:style w:type="character" w:customStyle="1" w:styleId="DatabaseLink">
    <w:name w:val="Database Link"/>
    <w:basedOn w:val="a0"/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</w:style>
  <w:style w:type="character" w:customStyle="1" w:styleId="VolumeNumber">
    <w:name w:val="Volume Number"/>
    <w:basedOn w:val="a0"/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GrantID">
    <w:name w:val="Grant ID"/>
    <w:basedOn w:val="a0"/>
  </w:style>
  <w:style w:type="character" w:customStyle="1" w:styleId="FamilyName">
    <w:name w:val="Family Name"/>
    <w:basedOn w:val="a0"/>
  </w:style>
  <w:style w:type="character" w:customStyle="1" w:styleId="ArticleTitle">
    <w:name w:val="Article Title"/>
    <w:basedOn w:val="a0"/>
    <w:qFormat/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">
    <w:name w:val="Revision"/>
  </w:style>
  <w:style w:type="paragraph" w:styleId="af0">
    <w:name w:val="annotation subject"/>
    <w:basedOn w:val="ac"/>
    <w:pPr>
      <w:jc w:val="both"/>
    </w:pPr>
    <w:rPr>
      <w:b/>
    </w:rPr>
  </w:style>
  <w:style w:type="paragraph" w:styleId="af1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2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uki.yoshino@ompu.ac.j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Aditya venkat</dc:creator>
  <cp:lastModifiedBy>吉野 祐樹</cp:lastModifiedBy>
  <cp:revision>6</cp:revision>
  <dcterms:created xsi:type="dcterms:W3CDTF">2026-04-20T05:44:00Z</dcterms:created>
  <dcterms:modified xsi:type="dcterms:W3CDTF">2026-04-21T00:21:00Z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8b43b9a2-7791-4964-afa7-080403992f6c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11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0</vt:lpwstr>
  </property>
  <property fmtid="{D5CDD505-2E9C-101B-9397-08002B2CF9AE}" pid="13" name="Merops figures count">
    <vt:lpwstr>1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1</vt:lpwstr>
  </property>
  <property fmtid="{D5CDD505-2E9C-101B-9397-08002B2CF9AE}" pid="16" name="Merops input file path">
    <vt:lpwstr>24fed4c3-751b-4a76-b5b9-b31ff3f28681.docx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MG-Session/On-20260109/I:1599c340-f88c-4bb7-a006-a6bd8cfcc79a</vt:lpwstr>
  </property>
  <property fmtid="{D5CDD505-2E9C-101B-9397-08002B2CF9AE}" pid="19" name="Merops processed date">
    <vt:lpwstr>2026/01/09 01:10:11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0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merops/preset-v1/springer-vancouver-brackets</vt:lpwstr>
  </property>
  <property fmtid="{D5CDD505-2E9C-101B-9397-08002B2CF9AE}" pid="25" name="Merops Standard Set modified">
    <vt:lpwstr/>
  </property>
  <property fmtid="{D5CDD505-2E9C-101B-9397-08002B2CF9AE}" pid="26" name="Merops tables count">
    <vt:lpwstr>0</vt:lpwstr>
  </property>
  <property fmtid="{D5CDD505-2E9C-101B-9397-08002B2CF9AE}" pid="27" name="Merops word count">
    <vt:lpwstr>74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/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