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 w:hint="eastAsia"/>
          <w:b/>
          <w:bCs/>
          <w:sz w:val="20"/>
          <w:szCs w:val="20"/>
        </w:rPr>
        <w:t>Supplementary Table S1.</w:t>
      </w:r>
      <w:r w:rsidRPr="00E63AB1">
        <w:rPr>
          <w:rFonts w:ascii="Times New Roman" w:hAnsi="Times New Roman" w:cs="Times New Roman" w:hint="eastAsia"/>
          <w:sz w:val="20"/>
          <w:szCs w:val="20"/>
        </w:rPr>
        <w:t xml:space="preserve"> </w:t>
      </w:r>
      <w:bookmarkStart w:id="0" w:name="_GoBack"/>
      <w:bookmarkEnd w:id="0"/>
      <w:r w:rsidRPr="00E63AB1">
        <w:rPr>
          <w:rFonts w:ascii="Times New Roman" w:hAnsi="Times New Roman" w:cs="Times New Roman" w:hint="eastAsia"/>
          <w:sz w:val="20"/>
          <w:szCs w:val="20"/>
        </w:rPr>
        <w:t xml:space="preserve">Diagnostic performance of combinations of bone marrow </w:t>
      </w:r>
      <w:proofErr w:type="spellStart"/>
      <w:r w:rsidRPr="00E63AB1">
        <w:rPr>
          <w:rFonts w:ascii="Times New Roman" w:hAnsi="Times New Roman" w:cs="Times New Roman" w:hint="eastAsia"/>
          <w:sz w:val="20"/>
          <w:szCs w:val="20"/>
        </w:rPr>
        <w:t>hyperattenuation</w:t>
      </w:r>
      <w:proofErr w:type="spellEnd"/>
      <w:r w:rsidRPr="00E63AB1">
        <w:rPr>
          <w:rFonts w:ascii="Times New Roman" w:hAnsi="Times New Roman" w:cs="Times New Roman" w:hint="eastAsia"/>
          <w:sz w:val="20"/>
          <w:szCs w:val="20"/>
        </w:rPr>
        <w:t xml:space="preserve"> and other CT findings for fracture detection in the cortical disruption</w:t>
      </w:r>
      <w:r w:rsidRPr="00E63AB1">
        <w:rPr>
          <w:rFonts w:ascii="Times New Roman" w:hAnsi="Times New Roman" w:cs="Times New Roman"/>
          <w:sz w:val="20"/>
          <w:szCs w:val="20"/>
        </w:rPr>
        <w:t>–</w:t>
      </w:r>
      <w:r w:rsidRPr="00E63AB1">
        <w:rPr>
          <w:rFonts w:ascii="Times New Roman" w:hAnsi="Times New Roman" w:cs="Times New Roman" w:hint="eastAsia"/>
          <w:sz w:val="20"/>
          <w:szCs w:val="20"/>
        </w:rPr>
        <w:t>negative group</w:t>
      </w:r>
    </w:p>
    <w:tbl>
      <w:tblPr>
        <w:tblStyle w:val="TableGrid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0"/>
        <w:gridCol w:w="1700"/>
      </w:tblGrid>
      <w:tr w:rsidR="00E63AB1" w:rsidRPr="00E63AB1" w:rsidTr="00537683">
        <w:trPr>
          <w:trHeight w:val="130"/>
        </w:trPr>
        <w:tc>
          <w:tcPr>
            <w:tcW w:w="1700" w:type="dxa"/>
            <w:tcBorders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Reader 1</w:t>
            </w:r>
          </w:p>
        </w:tc>
        <w:tc>
          <w:tcPr>
            <w:tcW w:w="1700" w:type="dxa"/>
            <w:tcBorders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Reader 2</w:t>
            </w:r>
          </w:p>
        </w:tc>
        <w:tc>
          <w:tcPr>
            <w:tcW w:w="1700" w:type="dxa"/>
            <w:tcBorders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Reader 3</w:t>
            </w:r>
          </w:p>
        </w:tc>
        <w:tc>
          <w:tcPr>
            <w:tcW w:w="1700" w:type="dxa"/>
            <w:tcBorders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Median</w:t>
            </w:r>
          </w:p>
        </w:tc>
      </w:tr>
      <w:tr w:rsidR="00E63AB1" w:rsidRPr="00E63AB1" w:rsidTr="00537683"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BMH or soft tissue hematoma (n = 57)</w:t>
            </w:r>
          </w:p>
        </w:tc>
      </w:tr>
      <w:tr w:rsidR="00E63AB1" w:rsidRPr="00E63AB1" w:rsidTr="00537683"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90.5 (69.6–98.8)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95.2 (76.2–99.9)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(83.9–100)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95.2</w:t>
            </w:r>
          </w:p>
        </w:tc>
      </w:tr>
      <w:tr w:rsidR="00E63AB1" w:rsidRPr="00E63AB1" w:rsidTr="00537683"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77.8 (60.8–89.9)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86.1 (70.5–95.3)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61.1 (43.5–76.9)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77.8</w:t>
            </w:r>
          </w:p>
        </w:tc>
      </w:tr>
      <w:tr w:rsidR="00E63AB1" w:rsidRPr="00E63AB1" w:rsidTr="00537683"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70.4 (49.8–86.2)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80.0 (59.3–93.2)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60.0 (42.1–76.1)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70.4</w:t>
            </w:r>
          </w:p>
        </w:tc>
      </w:tr>
      <w:tr w:rsidR="00E63AB1" w:rsidRPr="00E63AB1" w:rsidTr="00537683"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93.3 (77.9–99.2)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96.9 (83.8–99.9)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(84.6–100)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96.9</w:t>
            </w:r>
          </w:p>
        </w:tc>
      </w:tr>
      <w:tr w:rsidR="00E63AB1" w:rsidRPr="00E63AB1" w:rsidTr="00537683"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82.5 (70.1–91.3)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89.5 (78.5–96.0)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75.4 (62.2–85.9)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82.5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BMH or CT capsular sign (n = 5</w:t>
            </w:r>
            <w:r w:rsidRPr="00E63AB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)*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75.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–88.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78.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1.1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–86.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75.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70.4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9.8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3.1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70.4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(86.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5.8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84.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.9–9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86.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–94.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82.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84.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BMH or </w:t>
            </w:r>
            <w:proofErr w:type="spellStart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lipohemarthrosis</w:t>
            </w:r>
            <w:proofErr w:type="spellEnd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 = 57)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90.5 (69.6–98.8)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95.2 (76.2–99.9)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95.2 (76.2–99.9)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95.2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97.2 (85.5–99.9)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80.6 (64.0–91.8)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97.2 (85.5–99.9)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97.2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95.0 (75.1–99.9)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74.1 (53.7–88.9)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95.2 (76.2–99.9)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94.6 (81.8–99.3)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96.7 (82.8–99.9)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97.2 (85.5–99.9)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96.7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94.7 (85.4–98.9)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86.0 (74.2–93.7)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96.5 (87.9–99.6)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94.7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BMH or any other CT finding (n = 5</w:t>
            </w:r>
            <w:r w:rsidRPr="00E63AB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)*†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–86.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.6 (4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5.1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79.6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1.9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(42.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(37.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(85.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(83.9–100)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(81.5–100)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82.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.5)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BMH and soft tissue hematoma (n = 57)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42.9 (21.8–66.0)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71.4 (47.8–88.7)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66.7 (43.0–85.4)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(66.4–100)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(78.2–100)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(76.8–100)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75.0 (60.4–86.4)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85.7 (71.5–94.6)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83.7 (69.3–93.2)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83.7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78.9 (66.1–88.6)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89.5 (78.5–96.0)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87.7 (76.3–94.9)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87.7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BMH and CT capsular sign (n = 5</w:t>
            </w:r>
            <w:r w:rsidRPr="00E63AB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)*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.3–6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2.1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88.9 (51.8–99.7)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(59.0–100)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(66.4–100)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3.3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(58.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.4–8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.5)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.4)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BMH and </w:t>
            </w:r>
            <w:proofErr w:type="spellStart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lipohemarthrosis</w:t>
            </w:r>
            <w:proofErr w:type="spellEnd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 = 57)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9.5 (1.2–30.4)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9.5 (1.2–30.4)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9.5 (1.2–30.4)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9.5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(15.8–100)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(15.8–100)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(15.8–100)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65.5 (51.4–77.8)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65.5 (51.4–77.8)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65.5 (51.4–77.8)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65.5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66.7 (52.9–78.6)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66.7 (52.9–78.6)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66.7 (52.9–78.6)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66.7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BMH, soft tissue hematoma, and CT capsular sign (n = 5</w:t>
            </w:r>
            <w:r w:rsidRPr="00E63AB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)*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1.6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.3–6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(47.8–100)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(54.1–100)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(59.0–100)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(55.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.7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(58.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.4)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.0 (61.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–86.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.5)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BMH, soft tissue hematoma, and </w:t>
            </w:r>
            <w:proofErr w:type="spellStart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lipohemarthrosis</w:t>
            </w:r>
            <w:proofErr w:type="spellEnd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 = 57)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4.8 (0.1–23.8)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4.8 (0.1–23.8)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4.8 (0.1–23.8)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4.8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(90.3–100)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(2.5–100)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(2.5–100)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(2.5–100)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64.3 (50.4–76.6)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64.3 (50.4–76.6)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64.3 (50.4–76.6)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64.3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64.9 (51.1–77.1)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64.9 (51.1–77.1)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64.9 (51.1–77.1)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64.9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BMH, CT capsular sign, and </w:t>
            </w:r>
            <w:proofErr w:type="spellStart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lipohemarthrosis</w:t>
            </w:r>
            <w:proofErr w:type="spellEnd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 = 5</w:t>
            </w:r>
            <w:r w:rsidRPr="00E63AB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)*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3.1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0.5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3.1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10.5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(15.8–100)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(15.8–100)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(15.8–100)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66.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66.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8.8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66.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(51.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8.8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66.0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79.7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79.7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79.7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67.3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BMH, soft tissue hematoma, CT capsular sign, and </w:t>
            </w:r>
            <w:proofErr w:type="spellStart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lipohemarthrosis</w:t>
            </w:r>
            <w:proofErr w:type="spellEnd"/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 = 5</w:t>
            </w:r>
            <w:r w:rsidRPr="00E63AB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)*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(0.1–2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(0.1–2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(0.1–2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5.3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173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(2.5–100)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(2.5–100)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(2.5–100)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(50.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(50.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(50.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4.7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0.9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–78.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–78.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–78.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8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65.4</w:t>
            </w:r>
          </w:p>
        </w:tc>
      </w:tr>
      <w:tr w:rsidR="00E63AB1" w:rsidRPr="00E63AB1" w:rsidTr="00537683">
        <w:trPr>
          <w:trHeight w:val="30"/>
        </w:trPr>
        <w:tc>
          <w:tcPr>
            <w:tcW w:w="8500" w:type="dxa"/>
            <w:gridSpan w:val="5"/>
            <w:tcBorders>
              <w:top w:val="single" w:sz="8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BMH and any other CT finding (n = 5</w:t>
            </w:r>
            <w:r w:rsidRPr="00E63AB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)*‡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Sensitivity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8.4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.7)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.4–93.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.4–93.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Specificity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–99.9)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(89.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PPV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–99.8)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(78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100 (78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–100)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100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NPV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2.1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6.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5–92.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9.2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4.6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7.0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.2</w:t>
            </w:r>
          </w:p>
        </w:tc>
      </w:tr>
      <w:tr w:rsidR="00E63AB1" w:rsidRPr="00E63AB1" w:rsidTr="00537683">
        <w:trPr>
          <w:trHeight w:val="30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Accuracy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84.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(7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.9–9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3.1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92.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1.5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–97.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92.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 xml:space="preserve"> (8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–97.</w:t>
            </w: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E63A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E63AB1" w:rsidRPr="00E63AB1" w:rsidRDefault="00E63AB1" w:rsidP="0053768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3AB1">
              <w:rPr>
                <w:rFonts w:ascii="Times New Roman" w:hAnsi="Times New Roman" w:cs="Times New Roman" w:hint="eastAsia"/>
                <w:sz w:val="20"/>
                <w:szCs w:val="20"/>
              </w:rPr>
              <w:t>92.3</w:t>
            </w:r>
          </w:p>
        </w:tc>
      </w:tr>
    </w:tbl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 w:hint="eastAsia"/>
          <w:sz w:val="20"/>
          <w:szCs w:val="20"/>
        </w:rPr>
        <w:t xml:space="preserve">BMH = bone marrow </w:t>
      </w:r>
      <w:proofErr w:type="spellStart"/>
      <w:r w:rsidRPr="00E63AB1">
        <w:rPr>
          <w:rFonts w:ascii="Times New Roman" w:hAnsi="Times New Roman" w:cs="Times New Roman" w:hint="eastAsia"/>
          <w:sz w:val="20"/>
          <w:szCs w:val="20"/>
        </w:rPr>
        <w:t>hyperattenuation</w:t>
      </w:r>
      <w:proofErr w:type="spellEnd"/>
      <w:r w:rsidRPr="00E63AB1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E63AB1">
        <w:rPr>
          <w:rFonts w:ascii="Times New Roman" w:hAnsi="Times New Roman" w:cs="Times New Roman"/>
          <w:sz w:val="20"/>
          <w:szCs w:val="20"/>
        </w:rPr>
        <w:t>NPV = negative predictive value, PPV = positive predictive value.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sz w:val="20"/>
          <w:szCs w:val="20"/>
        </w:rPr>
        <w:t xml:space="preserve">Data are presented as percentage (95% confidence interval), calculated using the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Clopper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>–Pearson exact method.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E63AB1">
        <w:rPr>
          <w:rFonts w:ascii="Times New Roman" w:hAnsi="Times New Roman" w:cs="Times New Roman"/>
          <w:sz w:val="20"/>
          <w:szCs w:val="20"/>
        </w:rPr>
        <w:t xml:space="preserve">For combinations including the CT capsular sign, patients in whom the contralateral hip </w:t>
      </w:r>
      <w:r w:rsidRPr="00E63AB1">
        <w:rPr>
          <w:rFonts w:ascii="Times New Roman" w:hAnsi="Times New Roman" w:cs="Times New Roman" w:hint="eastAsia"/>
          <w:sz w:val="20"/>
          <w:szCs w:val="20"/>
        </w:rPr>
        <w:t xml:space="preserve">joint capsule </w:t>
      </w:r>
      <w:r w:rsidRPr="00E63AB1">
        <w:rPr>
          <w:rFonts w:ascii="Times New Roman" w:hAnsi="Times New Roman" w:cs="Times New Roman"/>
          <w:sz w:val="20"/>
          <w:szCs w:val="20"/>
        </w:rPr>
        <w:t>could not be evaluated were excluded.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 w:hint="eastAsia"/>
          <w:sz w:val="20"/>
          <w:szCs w:val="20"/>
        </w:rPr>
        <w:t>†</w:t>
      </w:r>
      <w:r w:rsidRPr="00E63AB1">
        <w:rPr>
          <w:rFonts w:ascii="Times New Roman" w:hAnsi="Times New Roman" w:cs="Times New Roman"/>
          <w:sz w:val="20"/>
          <w:szCs w:val="20"/>
        </w:rPr>
        <w:t xml:space="preserve"> “BMH or any other CT finding” was considered positive when BMH or any of the following findings was positive: soft tissue hematoma, the CT capsular sign, or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lipohemarthrosis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>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 w:hint="eastAsia"/>
          <w:sz w:val="20"/>
          <w:szCs w:val="20"/>
        </w:rPr>
        <w:t>‡</w:t>
      </w:r>
      <w:r w:rsidRPr="00E63AB1">
        <w:rPr>
          <w:rFonts w:ascii="Times New Roman" w:hAnsi="Times New Roman" w:cs="Times New Roman"/>
          <w:sz w:val="20"/>
          <w:szCs w:val="20"/>
        </w:rPr>
        <w:t xml:space="preserve"> “BMH and any other CT finding” was considered positive when both BMH and at least one of the following findings was positive: soft tissue hematoma, the CT capsular sign, or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lipohemarthrosis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>.</w:t>
      </w:r>
    </w:p>
    <w:p w:rsidR="00E279D4" w:rsidRPr="00E63AB1" w:rsidRDefault="00E279D4"/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b/>
          <w:bCs/>
          <w:sz w:val="20"/>
          <w:szCs w:val="20"/>
        </w:rPr>
        <w:t>Supplementary Fig. S1</w:t>
      </w:r>
      <w:r w:rsidRPr="00E63AB1">
        <w:rPr>
          <w:rFonts w:ascii="Times New Roman" w:hAnsi="Times New Roman" w:cs="Times New Roman"/>
          <w:sz w:val="20"/>
          <w:szCs w:val="20"/>
        </w:rPr>
        <w:t xml:space="preserve"> Example of false-negative bone marrow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hyperattenuation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 xml:space="preserve"> assessment in the cortical disruption–negative group.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sz w:val="20"/>
          <w:szCs w:val="20"/>
        </w:rPr>
        <w:t xml:space="preserve">(a) Initial coronal CT image of the symptomatic right femur obtained 2 days after the injury shows no definite cortical disruption. A subtle area of increased attenuation can be seen within the femoral neck marrow (white arrow), but the finding is equivocal, and all three readers interpreted this case as bone marrow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hyperattenuation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>–negative.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sz w:val="20"/>
          <w:szCs w:val="20"/>
        </w:rPr>
        <w:t>(b) Coronal CT image of the contralateral femur is shown for comparison.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sz w:val="20"/>
          <w:szCs w:val="20"/>
        </w:rPr>
        <w:t>(c) Follow-up coronal CT image obtained 5 days later shows a displaced right femoral neck fracture (black arrow)</w:t>
      </w:r>
      <w:r w:rsidRPr="00E63AB1">
        <w:rPr>
          <w:rFonts w:ascii="Times New Roman" w:hAnsi="Times New Roman" w:cs="Times New Roman" w:hint="eastAsia"/>
          <w:sz w:val="20"/>
          <w:szCs w:val="20"/>
        </w:rPr>
        <w:t>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b/>
          <w:bCs/>
          <w:sz w:val="20"/>
          <w:szCs w:val="20"/>
        </w:rPr>
        <w:t>Supplementary Fig. S2</w:t>
      </w:r>
      <w:r w:rsidRPr="00E63AB1">
        <w:rPr>
          <w:rFonts w:ascii="Times New Roman" w:hAnsi="Times New Roman" w:cs="Times New Roman"/>
          <w:sz w:val="20"/>
          <w:szCs w:val="20"/>
        </w:rPr>
        <w:t xml:space="preserve"> Example of false-positive assessment of intertrochanteric extension in a suspected isolated greater trochanter fracture.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sz w:val="20"/>
          <w:szCs w:val="20"/>
        </w:rPr>
        <w:t xml:space="preserve">(a) Coronal CT image shows a fracture of the greater trochanter (black arrow) and an apparent area of increased attenuation extending from the fracture site into the intertrochanteric region (white arrow). The apparent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hyperattenuation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 xml:space="preserve"> reaches the calcar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femorale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 xml:space="preserve"> (arrowhead). The contralateral femur could not be used for comparison because of an implant (not shown).</w:t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sz w:val="20"/>
          <w:szCs w:val="20"/>
        </w:rPr>
        <w:t xml:space="preserve">(b) Coronal T1-weighted MRI shows a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hypointense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 xml:space="preserve"> fracture line with surrounding bone marrow edema confined </w:t>
      </w:r>
      <w:r w:rsidRPr="00E63AB1">
        <w:rPr>
          <w:rFonts w:ascii="Times New Roman" w:hAnsi="Times New Roman" w:cs="Times New Roman"/>
          <w:sz w:val="20"/>
          <w:szCs w:val="20"/>
        </w:rPr>
        <w:lastRenderedPageBreak/>
        <w:t>to &lt;50% of the intertrochanteric line (white arrow).</w:t>
      </w:r>
    </w:p>
    <w:p w:rsidR="00E63AB1" w:rsidRPr="00E63AB1" w:rsidRDefault="00E63AB1"/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b/>
          <w:bCs/>
          <w:sz w:val="20"/>
          <w:szCs w:val="20"/>
        </w:rPr>
        <w:t>Supplementary Fig. S1</w:t>
      </w:r>
      <w:r w:rsidRPr="00E63AB1">
        <w:rPr>
          <w:rFonts w:ascii="Times New Roman" w:hAnsi="Times New Roman" w:cs="Times New Roman"/>
          <w:sz w:val="20"/>
          <w:szCs w:val="20"/>
        </w:rPr>
        <w:t xml:space="preserve"> Example of false-negative bone marrow </w:t>
      </w:r>
      <w:proofErr w:type="spellStart"/>
      <w:r w:rsidRPr="00E63AB1">
        <w:rPr>
          <w:rFonts w:ascii="Times New Roman" w:hAnsi="Times New Roman" w:cs="Times New Roman"/>
          <w:sz w:val="20"/>
          <w:szCs w:val="20"/>
        </w:rPr>
        <w:t>hyperattenuation</w:t>
      </w:r>
      <w:proofErr w:type="spellEnd"/>
      <w:r w:rsidRPr="00E63AB1">
        <w:rPr>
          <w:rFonts w:ascii="Times New Roman" w:hAnsi="Times New Roman" w:cs="Times New Roman"/>
          <w:sz w:val="20"/>
          <w:szCs w:val="20"/>
        </w:rPr>
        <w:t xml:space="preserve"> assessment in the cortical disruption–negative group.</w:t>
      </w:r>
    </w:p>
    <w:p w:rsidR="00E63AB1" w:rsidRPr="00E63AB1" w:rsidRDefault="00E63AB1" w:rsidP="00E63AB1">
      <w:pPr>
        <w:widowControl/>
        <w:spacing w:line="360" w:lineRule="auto"/>
        <w:rPr>
          <w:rFonts w:ascii="Times New Roman" w:hAnsi="Times New Roman" w:cs="Times New Roman"/>
          <w:sz w:val="20"/>
          <w:szCs w:val="22"/>
        </w:rPr>
      </w:pPr>
      <w:r w:rsidRPr="00E63AB1">
        <w:rPr>
          <w:noProof/>
          <w:lang w:val="en-IN" w:eastAsia="en-IN"/>
        </w:rPr>
        <w:drawing>
          <wp:inline distT="0" distB="0" distL="0" distR="0" wp14:anchorId="161FBAD8" wp14:editId="5A4FADC2">
            <wp:extent cx="5400040" cy="2102485"/>
            <wp:effectExtent l="0" t="0" r="0" b="0"/>
            <wp:docPr id="138593838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AB1" w:rsidRPr="00E63AB1" w:rsidRDefault="00E63AB1" w:rsidP="00E63AB1">
      <w:pPr>
        <w:widowControl/>
        <w:rPr>
          <w:rFonts w:ascii="Times New Roman" w:hAnsi="Times New Roman" w:cs="Times New Roman"/>
          <w:sz w:val="20"/>
          <w:szCs w:val="22"/>
        </w:rPr>
      </w:pPr>
      <w:r w:rsidRPr="00E63AB1">
        <w:rPr>
          <w:rFonts w:ascii="Times New Roman" w:hAnsi="Times New Roman" w:cs="Times New Roman"/>
          <w:sz w:val="20"/>
          <w:szCs w:val="22"/>
        </w:rPr>
        <w:br w:type="page"/>
      </w:r>
    </w:p>
    <w:p w:rsidR="00E63AB1" w:rsidRPr="00E63AB1" w:rsidRDefault="00E63AB1" w:rsidP="00E63AB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63AB1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Fig. S2</w:t>
      </w:r>
      <w:r w:rsidRPr="00E63AB1">
        <w:rPr>
          <w:rFonts w:ascii="Times New Roman" w:hAnsi="Times New Roman" w:cs="Times New Roman"/>
          <w:sz w:val="20"/>
          <w:szCs w:val="20"/>
        </w:rPr>
        <w:t xml:space="preserve"> Example of false-positive assessment of intertrochanteric extension in a suspected isolated greater trochanter fracture.</w:t>
      </w:r>
    </w:p>
    <w:p w:rsidR="00E63AB1" w:rsidRPr="00E63AB1" w:rsidRDefault="00E63AB1" w:rsidP="00E63AB1">
      <w:pPr>
        <w:widowControl/>
        <w:spacing w:line="360" w:lineRule="auto"/>
        <w:rPr>
          <w:rFonts w:ascii="Times New Roman" w:hAnsi="Times New Roman" w:cs="Times New Roman"/>
          <w:sz w:val="20"/>
          <w:szCs w:val="22"/>
        </w:rPr>
      </w:pPr>
      <w:r w:rsidRPr="00E63AB1">
        <w:rPr>
          <w:noProof/>
          <w:lang w:val="en-IN" w:eastAsia="en-IN"/>
        </w:rPr>
        <w:drawing>
          <wp:inline distT="0" distB="0" distL="0" distR="0" wp14:anchorId="3DC9DBA5" wp14:editId="03FC1F90">
            <wp:extent cx="3878580" cy="2265850"/>
            <wp:effectExtent l="0" t="0" r="7620" b="1270"/>
            <wp:docPr id="151651110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334" cy="227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AB1" w:rsidRPr="00E63AB1" w:rsidRDefault="00E63AB1"/>
    <w:sectPr w:rsidR="00E63AB1" w:rsidRPr="00E63A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B1"/>
    <w:rsid w:val="00610ECC"/>
    <w:rsid w:val="00B332A5"/>
    <w:rsid w:val="00E279D4"/>
    <w:rsid w:val="00E6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53B79-A591-4DA6-B7FF-67AC1A4A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AB1"/>
    <w:pPr>
      <w:widowControl w:val="0"/>
      <w:spacing w:after="0" w:line="240" w:lineRule="auto"/>
    </w:pPr>
    <w:rPr>
      <w:rFonts w:eastAsiaTheme="minorEastAsia"/>
      <w:kern w:val="2"/>
      <w:sz w:val="21"/>
      <w:szCs w:val="21"/>
      <w:lang w:val="en-US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AB1"/>
    <w:pPr>
      <w:spacing w:after="0" w:line="240" w:lineRule="auto"/>
    </w:pPr>
    <w:rPr>
      <w:rFonts w:eastAsiaTheme="minorEastAsia"/>
      <w:kern w:val="2"/>
      <w:sz w:val="21"/>
      <w:szCs w:val="21"/>
      <w:lang w:val="en-US"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1022</Words>
  <Characters>5830</Characters>
  <Application>Microsoft Office Word</Application>
  <DocSecurity>0</DocSecurity>
  <Lines>48</Lines>
  <Paragraphs>13</Paragraphs>
  <ScaleCrop>false</ScaleCrop>
  <Company>HP Inc.</Company>
  <LinksUpToDate>false</LinksUpToDate>
  <CharactersWithSpaces>6839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Devisri Perumal</dc:creator>
  <cp:keywords/>
  <dc:description/>
  <cp:lastModifiedBy>Devisri Perumal</cp:lastModifiedBy>
  <cp:revision>1</cp:revision>
  <dcterms:created xsi:type="dcterms:W3CDTF">2026-08-10T08:55:00Z</dcterms:created>
  <dcterms:modified xsi:type="dcterms:W3CDTF">2026-08-10T08:56:00Z</dcterms:modified>
</cp:coreProperties>
</file>