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299E" w14:textId="1E3D61AB" w:rsidR="00471A31" w:rsidRPr="00471A31" w:rsidRDefault="00AE774A" w:rsidP="00570B6E">
      <w:pPr>
        <w:spacing w:line="480" w:lineRule="auto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</w:t>
      </w:r>
      <w:r w:rsidR="00471A31" w:rsidRPr="00471A31">
        <w:rPr>
          <w:rFonts w:ascii="Times New Roman" w:hAnsi="Times New Roman" w:cs="Times New Roman"/>
          <w:b/>
          <w:bCs/>
          <w:sz w:val="22"/>
        </w:rPr>
        <w:t>ynamic CT protocol</w:t>
      </w:r>
    </w:p>
    <w:p w14:paraId="3C165321" w14:textId="1BE532DE" w:rsidR="003259B6" w:rsidRPr="00570B6E" w:rsidRDefault="00570B6E" w:rsidP="00570B6E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570B6E">
        <w:rPr>
          <w:rFonts w:ascii="Times New Roman" w:hAnsi="Times New Roman" w:cs="Times New Roman"/>
          <w:sz w:val="22"/>
        </w:rPr>
        <w:t>An automatic bolus-tracking program was used to time the</w:t>
      </w:r>
      <w:r>
        <w:rPr>
          <w:rFonts w:ascii="Times New Roman" w:hAnsi="Times New Roman" w:cs="Times New Roman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start of scanning for each phase after contrast medium injection.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The trigger threshold level was set at 200 Hounsfield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units in the abdominal aorta at the L1 vertebral body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 xml:space="preserve">level. </w:t>
      </w:r>
      <w:r>
        <w:rPr>
          <w:rFonts w:ascii="Times New Roman" w:hAnsi="Times New Roman" w:cs="Times New Roman"/>
          <w:color w:val="000000"/>
          <w:sz w:val="22"/>
        </w:rPr>
        <w:t>H</w:t>
      </w:r>
      <w:r w:rsidRPr="0037533A">
        <w:rPr>
          <w:rFonts w:ascii="Times New Roman" w:hAnsi="Times New Roman" w:cs="Times New Roman"/>
          <w:color w:val="000000"/>
          <w:sz w:val="22"/>
        </w:rPr>
        <w:t xml:space="preserve">epatic arterial- </w:t>
      </w:r>
      <w:r w:rsidRPr="0037533A">
        <w:rPr>
          <w:rFonts w:ascii="Times New Roman" w:hAnsi="Times New Roman" w:cs="Times New Roman" w:hint="eastAsia"/>
          <w:color w:val="000000"/>
          <w:sz w:val="22"/>
        </w:rPr>
        <w:t>and equilibrium phase</w:t>
      </w:r>
      <w:r w:rsidRPr="00570B6E">
        <w:rPr>
          <w:rFonts w:ascii="Times New Roman" w:hAnsi="Times New Roman" w:cs="Times New Roman"/>
          <w:sz w:val="22"/>
        </w:rPr>
        <w:t xml:space="preserve"> scans were started at 17 and 152 s after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 xml:space="preserve">triggering. The contrast material (600 </w:t>
      </w:r>
      <w:proofErr w:type="spellStart"/>
      <w:r w:rsidRPr="00570B6E">
        <w:rPr>
          <w:rFonts w:ascii="Times New Roman" w:hAnsi="Times New Roman" w:cs="Times New Roman"/>
          <w:sz w:val="22"/>
        </w:rPr>
        <w:t>mgI</w:t>
      </w:r>
      <w:proofErr w:type="spellEnd"/>
      <w:r w:rsidRPr="00570B6E">
        <w:rPr>
          <w:rFonts w:ascii="Times New Roman" w:hAnsi="Times New Roman" w:cs="Times New Roman"/>
          <w:sz w:val="22"/>
        </w:rPr>
        <w:t>/kg body weight)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was administered using a power injector (Dual Shot,</w:t>
      </w:r>
      <w:r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570B6E">
        <w:rPr>
          <w:rFonts w:ascii="Times New Roman" w:hAnsi="Times New Roman" w:cs="Times New Roman"/>
          <w:sz w:val="22"/>
        </w:rPr>
        <w:t>Nemoto</w:t>
      </w:r>
      <w:proofErr w:type="spellEnd"/>
      <w:r w:rsidRPr="00570B6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70B6E">
        <w:rPr>
          <w:rFonts w:ascii="Times New Roman" w:hAnsi="Times New Roman" w:cs="Times New Roman"/>
          <w:sz w:val="22"/>
        </w:rPr>
        <w:t>Kyorindo</w:t>
      </w:r>
      <w:proofErr w:type="spellEnd"/>
      <w:r w:rsidRPr="00570B6E">
        <w:rPr>
          <w:rFonts w:ascii="Times New Roman" w:hAnsi="Times New Roman" w:cs="Times New Roman"/>
          <w:sz w:val="22"/>
        </w:rPr>
        <w:t>) and a 20-gauge catheter inserted into an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antecubital vein. The injection duration was 30 s in all patients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and the delivery of contrast material was followed by flushing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70B6E">
        <w:rPr>
          <w:rFonts w:ascii="Times New Roman" w:hAnsi="Times New Roman" w:cs="Times New Roman"/>
          <w:sz w:val="22"/>
        </w:rPr>
        <w:t>with 30 mL of physiologic saline at the same injection rate.</w:t>
      </w:r>
    </w:p>
    <w:sectPr w:rsidR="003259B6" w:rsidRPr="00570B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99EFD" w14:textId="77777777" w:rsidR="006D7596" w:rsidRDefault="006D7596" w:rsidP="00AE774A">
      <w:r>
        <w:separator/>
      </w:r>
    </w:p>
  </w:endnote>
  <w:endnote w:type="continuationSeparator" w:id="0">
    <w:p w14:paraId="1F092FC0" w14:textId="77777777" w:rsidR="006D7596" w:rsidRDefault="006D7596" w:rsidP="00AE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029E" w14:textId="77777777" w:rsidR="006D7596" w:rsidRDefault="006D7596" w:rsidP="00AE774A">
      <w:r>
        <w:separator/>
      </w:r>
    </w:p>
  </w:footnote>
  <w:footnote w:type="continuationSeparator" w:id="0">
    <w:p w14:paraId="1A4D198F" w14:textId="77777777" w:rsidR="006D7596" w:rsidRDefault="006D7596" w:rsidP="00AE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6E"/>
    <w:rsid w:val="003259B6"/>
    <w:rsid w:val="00471A31"/>
    <w:rsid w:val="00570B6E"/>
    <w:rsid w:val="006D7596"/>
    <w:rsid w:val="00A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D06081"/>
  <w15:chartTrackingRefBased/>
  <w15:docId w15:val="{1DB65A8F-2455-4E2D-A1CC-8FA5DF8F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74A"/>
  </w:style>
  <w:style w:type="paragraph" w:styleId="a5">
    <w:name w:val="footer"/>
    <w:basedOn w:val="a"/>
    <w:link w:val="a6"/>
    <w:uiPriority w:val="99"/>
    <w:unhideWhenUsed/>
    <w:rsid w:val="00AE7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優子２ 中村</dc:creator>
  <cp:keywords/>
  <dc:description/>
  <cp:lastModifiedBy>優子２ 中村</cp:lastModifiedBy>
  <cp:revision>4</cp:revision>
  <dcterms:created xsi:type="dcterms:W3CDTF">2026-08-16T23:13:00Z</dcterms:created>
  <dcterms:modified xsi:type="dcterms:W3CDTF">2026-08-16T23:32:00Z</dcterms:modified>
</cp:coreProperties>
</file>