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bdr w:val="nil"/>
        </w:rPr>
      </w:pPr>
      <w:bookmarkStart w:id="0" w:name="_GoBack"/>
      <w:bookmarkEnd w:id="0"/>
      <w:r w:rsidRPr="00CA61A2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bdr w:val="nil"/>
        </w:rPr>
        <w:t>Appendix B: Supplemental Results</w:t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</w:pPr>
      <w:r w:rsidRPr="00CA61A2"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  <w:t xml:space="preserve">Stages of the Research Project in which Caregivers Were Engaged (among those projects engaging caregivers, n=15) </w:t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CA61A2">
        <w:rPr>
          <w:rFonts w:ascii="Calibri" w:eastAsia="Calibri" w:hAnsi="Calibri" w:cs="Calibri"/>
          <w:noProof/>
          <w:color w:val="000000"/>
          <w:u w:color="000000"/>
          <w:bdr w:val="nil"/>
        </w:rPr>
        <w:drawing>
          <wp:inline distT="0" distB="0" distL="0" distR="0" wp14:anchorId="4EE09362" wp14:editId="1882F9BC">
            <wp:extent cx="7394253" cy="3189431"/>
            <wp:effectExtent l="0" t="0" r="16510" b="11430"/>
            <wp:docPr id="1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Arial Unicode MS" w:cs="Arial Unicode MS"/>
          <w:color w:val="000000"/>
          <w:sz w:val="24"/>
          <w:szCs w:val="24"/>
          <w:u w:color="000000"/>
          <w:bdr w:val="nil"/>
        </w:rPr>
      </w:pPr>
      <w:r w:rsidRPr="00CA61A2">
        <w:rPr>
          <w:rFonts w:ascii="Times New Roman" w:eastAsia="Arial Unicode MS" w:hAnsi="Arial Unicode MS" w:cs="Arial Unicode MS"/>
          <w:i/>
          <w:iCs/>
          <w:color w:val="000000"/>
          <w:sz w:val="24"/>
          <w:szCs w:val="24"/>
          <w:u w:color="000000"/>
          <w:bdr w:val="nil"/>
        </w:rPr>
        <w:br w:type="page"/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  <w:u w:color="000000"/>
          <w:bdr w:val="nil"/>
        </w:rPr>
      </w:pP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</w:pPr>
      <w:r w:rsidRPr="00CA61A2"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  <w:t xml:space="preserve">Stages of the Research Project in which Advocacy Organizations were Engaged (among those projects engaging advocacy organizations, n=15) </w:t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CA61A2">
        <w:rPr>
          <w:rFonts w:ascii="Calibri" w:eastAsia="Calibri" w:hAnsi="Calibri" w:cs="Calibri"/>
          <w:noProof/>
          <w:color w:val="000000"/>
          <w:u w:color="000000"/>
          <w:bdr w:val="nil"/>
        </w:rPr>
        <w:drawing>
          <wp:inline distT="0" distB="0" distL="0" distR="0" wp14:anchorId="73B360AF" wp14:editId="43910D0A">
            <wp:extent cx="7394253" cy="3670206"/>
            <wp:effectExtent l="0" t="0" r="16510" b="6985"/>
            <wp:docPr id="2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u w:color="000000"/>
          <w:bdr w:val="nil"/>
        </w:rPr>
      </w:pP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Arial Unicode MS" w:cs="Arial Unicode MS"/>
          <w:color w:val="000000"/>
          <w:sz w:val="24"/>
          <w:szCs w:val="24"/>
          <w:u w:color="000000"/>
          <w:bdr w:val="nil"/>
        </w:rPr>
      </w:pPr>
      <w:r w:rsidRPr="00CA61A2">
        <w:rPr>
          <w:rFonts w:ascii="Times New Roman" w:eastAsia="Arial Unicode MS" w:hAnsi="Arial Unicode MS" w:cs="Arial Unicode MS"/>
          <w:i/>
          <w:iCs/>
          <w:color w:val="000000"/>
          <w:sz w:val="24"/>
          <w:szCs w:val="24"/>
          <w:u w:color="000000"/>
          <w:bdr w:val="nil"/>
        </w:rPr>
        <w:br w:type="page"/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  <w:u w:color="000000"/>
          <w:bdr w:val="nil"/>
        </w:rPr>
      </w:pP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sz w:val="24"/>
          <w:szCs w:val="24"/>
          <w:u w:color="000000"/>
          <w:bdr w:val="nil"/>
        </w:rPr>
      </w:pPr>
      <w:r w:rsidRPr="00CA61A2"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  <w:t xml:space="preserve">Stages of the Research Project in which Clinicians were Engaged (among those projects engaging clinicians, n=32) </w:t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CA61A2">
        <w:rPr>
          <w:rFonts w:ascii="Calibri" w:eastAsia="Calibri" w:hAnsi="Calibri" w:cs="Calibri"/>
          <w:noProof/>
          <w:color w:val="000000"/>
          <w:u w:color="000000"/>
          <w:bdr w:val="nil"/>
        </w:rPr>
        <w:drawing>
          <wp:inline distT="0" distB="0" distL="0" distR="0" wp14:anchorId="2EAE0F07" wp14:editId="66834393">
            <wp:extent cx="7460230" cy="3489586"/>
            <wp:effectExtent l="0" t="0" r="7620" b="15875"/>
            <wp:docPr id="3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Arial Unicode MS" w:cs="Arial Unicode MS"/>
          <w:color w:val="000000"/>
          <w:sz w:val="24"/>
          <w:szCs w:val="24"/>
          <w:u w:color="000000"/>
          <w:bdr w:val="nil"/>
        </w:rPr>
      </w:pPr>
      <w:r w:rsidRPr="00CA61A2">
        <w:rPr>
          <w:rFonts w:ascii="Times New Roman" w:eastAsia="Arial Unicode MS" w:hAnsi="Arial Unicode MS" w:cs="Arial Unicode MS"/>
          <w:i/>
          <w:iCs/>
          <w:color w:val="000000"/>
          <w:sz w:val="24"/>
          <w:szCs w:val="24"/>
          <w:u w:color="000000"/>
          <w:bdr w:val="nil"/>
        </w:rPr>
        <w:br w:type="page"/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  <w:u w:color="000000"/>
          <w:bdr w:val="nil"/>
        </w:rPr>
      </w:pP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</w:pPr>
      <w:r w:rsidRPr="00CA61A2">
        <w:rPr>
          <w:rFonts w:ascii="Calibri" w:eastAsia="Calibri" w:hAnsi="Calibri" w:cs="Calibri"/>
          <w:i/>
          <w:iCs/>
          <w:color w:val="000000"/>
          <w:sz w:val="24"/>
          <w:szCs w:val="24"/>
          <w:u w:color="000000"/>
          <w:bdr w:val="nil"/>
        </w:rPr>
        <w:t xml:space="preserve">Stages of the Research Project in which Hospital or Health System Representatives were Engaged (among those projects engaging hospital or health system representatives, n=16) </w:t>
      </w:r>
    </w:p>
    <w:p w:rsidR="00CA61A2" w:rsidRPr="00CA61A2" w:rsidRDefault="00CA61A2" w:rsidP="00CA61A2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CA61A2">
        <w:rPr>
          <w:rFonts w:ascii="Calibri" w:eastAsia="Calibri" w:hAnsi="Calibri" w:cs="Calibri"/>
          <w:noProof/>
          <w:color w:val="000000"/>
          <w:u w:color="000000"/>
          <w:bdr w:val="nil"/>
        </w:rPr>
        <w:drawing>
          <wp:inline distT="0" distB="0" distL="0" distR="0" wp14:anchorId="54C45BE8" wp14:editId="0C06B6A4">
            <wp:extent cx="7461780" cy="3489586"/>
            <wp:effectExtent l="0" t="0" r="6350" b="15875"/>
            <wp:docPr id="4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43558" w:rsidRDefault="00F43558"/>
    <w:sectPr w:rsidR="00F43558" w:rsidSect="00CA61A2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E74" w:rsidRDefault="00063E74" w:rsidP="005C2003">
      <w:pPr>
        <w:spacing w:after="0" w:line="240" w:lineRule="auto"/>
      </w:pPr>
      <w:r>
        <w:separator/>
      </w:r>
    </w:p>
  </w:endnote>
  <w:endnote w:type="continuationSeparator" w:id="0">
    <w:p w:rsidR="00063E74" w:rsidRDefault="00063E74" w:rsidP="005C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01302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2003" w:rsidRDefault="005C20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C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C2003" w:rsidRDefault="005C20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E74" w:rsidRDefault="00063E74" w:rsidP="005C2003">
      <w:pPr>
        <w:spacing w:after="0" w:line="240" w:lineRule="auto"/>
      </w:pPr>
      <w:r>
        <w:separator/>
      </w:r>
    </w:p>
  </w:footnote>
  <w:footnote w:type="continuationSeparator" w:id="0">
    <w:p w:rsidR="00063E74" w:rsidRDefault="00063E74" w:rsidP="005C2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A2"/>
    <w:rsid w:val="00063E74"/>
    <w:rsid w:val="005C2003"/>
    <w:rsid w:val="00726C31"/>
    <w:rsid w:val="00CA61A2"/>
    <w:rsid w:val="00F4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003"/>
  </w:style>
  <w:style w:type="paragraph" w:styleId="Footer">
    <w:name w:val="footer"/>
    <w:basedOn w:val="Normal"/>
    <w:link w:val="FooterChar"/>
    <w:uiPriority w:val="99"/>
    <w:unhideWhenUsed/>
    <w:rsid w:val="005C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003"/>
  </w:style>
  <w:style w:type="paragraph" w:styleId="BalloonText">
    <w:name w:val="Balloon Text"/>
    <w:basedOn w:val="Normal"/>
    <w:link w:val="BalloonTextChar"/>
    <w:uiPriority w:val="99"/>
    <w:semiHidden/>
    <w:unhideWhenUsed/>
    <w:rsid w:val="0072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003"/>
  </w:style>
  <w:style w:type="paragraph" w:styleId="Footer">
    <w:name w:val="footer"/>
    <w:basedOn w:val="Normal"/>
    <w:link w:val="FooterChar"/>
    <w:uiPriority w:val="99"/>
    <w:unhideWhenUsed/>
    <w:rsid w:val="005C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003"/>
  </w:style>
  <w:style w:type="paragraph" w:styleId="BalloonText">
    <w:name w:val="Balloon Text"/>
    <w:basedOn w:val="Normal"/>
    <w:link w:val="BalloonTextChar"/>
    <w:uiPriority w:val="99"/>
    <w:semiHidden/>
    <w:unhideWhenUsed/>
    <w:rsid w:val="00726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 lvl="0"/>
            <a:endParaRPr lang="en-US"/>
          </a:p>
        </c:rich>
      </c:tx>
      <c:layout/>
      <c:overlay val="1"/>
    </c:title>
    <c:autoTitleDeleted val="0"/>
    <c:plotArea>
      <c:layout>
        <c:manualLayout>
          <c:layoutTarget val="inner"/>
          <c:xMode val="edge"/>
          <c:yMode val="edge"/>
          <c:x val="0.34179199999999998"/>
          <c:y val="4.3800899999999997E-2"/>
          <c:w val="0.64383800000000002"/>
          <c:h val="0.8031150000000000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99BC9"/>
            </a:solidFill>
            <a:ln w="12700" cap="flat">
              <a:noFill/>
              <a:miter lim="400000"/>
            </a:ln>
            <a:effectLst/>
          </c:spPr>
          <c:invertIfNegative val="0"/>
          <c:cat>
            <c:strRef>
              <c:f>Sheet1!$B$1:$J$1</c:f>
              <c:strCache>
                <c:ptCount val="9"/>
                <c:pt idx="0">
                  <c:v>Topic solicitation/agenda setting</c:v>
                </c:pt>
                <c:pt idx="1">
                  <c:v>Question development/framing</c:v>
                </c:pt>
                <c:pt idx="2">
                  <c:v>Proposal development</c:v>
                </c:pt>
                <c:pt idx="3">
                  <c:v>Methods/study design</c:v>
                </c:pt>
                <c:pt idx="4">
                  <c:v>Data collection</c:v>
                </c:pt>
                <c:pt idx="5">
                  <c:v>Data analysis</c:v>
                </c:pt>
                <c:pt idx="6">
                  <c:v>Results review/interpretation/translation</c:v>
                </c:pt>
                <c:pt idx="7">
                  <c:v>Dissemination</c:v>
                </c:pt>
                <c:pt idx="8">
                  <c:v>Other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73.333332999999953</c:v>
                </c:pt>
                <c:pt idx="1">
                  <c:v>73.333332999999953</c:v>
                </c:pt>
                <c:pt idx="2">
                  <c:v>46.666666999999997</c:v>
                </c:pt>
                <c:pt idx="3">
                  <c:v>53.333333000000003</c:v>
                </c:pt>
                <c:pt idx="4">
                  <c:v>53.333333000000003</c:v>
                </c:pt>
                <c:pt idx="5">
                  <c:v>6.6666670000000003</c:v>
                </c:pt>
                <c:pt idx="6">
                  <c:v>26.666667</c:v>
                </c:pt>
                <c:pt idx="7">
                  <c:v>6.6666670000000003</c:v>
                </c:pt>
                <c:pt idx="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685248"/>
        <c:axId val="91687552"/>
      </c:barChart>
      <c:catAx>
        <c:axId val="916852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91687552"/>
        <c:crosses val="autoZero"/>
        <c:auto val="1"/>
        <c:lblAlgn val="ctr"/>
        <c:lblOffset val="100"/>
        <c:noMultiLvlLbl val="1"/>
      </c:catAx>
      <c:valAx>
        <c:axId val="91687552"/>
        <c:scaling>
          <c:orientation val="minMax"/>
          <c:max val="100"/>
          <c:min val="0"/>
        </c:scaling>
        <c:delete val="0"/>
        <c:axPos val="t"/>
        <c:majorGridlines>
          <c:spPr>
            <a:ln w="12700" cap="flat">
              <a:solidFill>
                <a:srgbClr val="888888"/>
              </a:solidFill>
              <a:prstDash val="solid"/>
              <a:bevel/>
            </a:ln>
          </c:spPr>
        </c:majorGridlines>
        <c:title>
          <c:tx>
            <c:rich>
              <a:bodyPr rot="0"/>
              <a:lstStyle/>
              <a:p>
                <a:pPr lvl="0">
                  <a:defRPr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defRPr>
                </a:pPr>
                <a:r>
                  <a:rPr lang="en-US"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rPr>
                  <a:t>Percent </a:t>
                </a:r>
              </a:p>
            </c:rich>
          </c:tx>
          <c:layout>
            <c:manualLayout>
              <c:xMode val="edge"/>
              <c:yMode val="edge"/>
              <c:x val="0.60563596675114995"/>
              <c:y val="0.93189964157706096"/>
            </c:manualLayout>
          </c:layout>
          <c:overlay val="1"/>
        </c:title>
        <c:numFmt formatCode="0" sourceLinked="0"/>
        <c:majorTickMark val="out"/>
        <c:minorTickMark val="none"/>
        <c:tickLblPos val="high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91685248"/>
        <c:crosses val="autoZero"/>
        <c:crossBetween val="between"/>
        <c:majorUnit val="10"/>
        <c:minorUnit val="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9525" cap="flat">
      <a:solidFill>
        <a:srgbClr val="888888"/>
      </a:solidFill>
      <a:prstDash val="solid"/>
      <a:bevel/>
    </a:ln>
    <a:effectLst/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 lvl="0"/>
            <a:endParaRPr lang="en-US"/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34179199999999998"/>
          <c:y val="3.8063300000000001E-2"/>
          <c:w val="0.64383800000000002"/>
          <c:h val="0.7857450000000000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99BC9"/>
            </a:solidFill>
            <a:ln w="12700" cap="flat">
              <a:noFill/>
              <a:miter lim="400000"/>
            </a:ln>
            <a:effectLst/>
          </c:spPr>
          <c:invertIfNegative val="0"/>
          <c:cat>
            <c:strRef>
              <c:f>Sheet1!$B$1:$J$1</c:f>
              <c:strCache>
                <c:ptCount val="9"/>
                <c:pt idx="0">
                  <c:v>Topic solicitation/agenda setting</c:v>
                </c:pt>
                <c:pt idx="1">
                  <c:v>Question development/framing</c:v>
                </c:pt>
                <c:pt idx="2">
                  <c:v>Proposal development</c:v>
                </c:pt>
                <c:pt idx="3">
                  <c:v>Methods/study design</c:v>
                </c:pt>
                <c:pt idx="4">
                  <c:v>Data collection</c:v>
                </c:pt>
                <c:pt idx="5">
                  <c:v>Data analysis</c:v>
                </c:pt>
                <c:pt idx="6">
                  <c:v>Results review/interpretation/translation</c:v>
                </c:pt>
                <c:pt idx="7">
                  <c:v>Dissemination</c:v>
                </c:pt>
                <c:pt idx="8">
                  <c:v>Other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46.666666999999997</c:v>
                </c:pt>
                <c:pt idx="1">
                  <c:v>66.666667000000004</c:v>
                </c:pt>
                <c:pt idx="2">
                  <c:v>26.666667</c:v>
                </c:pt>
                <c:pt idx="3">
                  <c:v>46.666666999999997</c:v>
                </c:pt>
                <c:pt idx="4">
                  <c:v>60</c:v>
                </c:pt>
                <c:pt idx="5">
                  <c:v>20</c:v>
                </c:pt>
                <c:pt idx="6">
                  <c:v>20</c:v>
                </c:pt>
                <c:pt idx="7">
                  <c:v>20</c:v>
                </c:pt>
                <c:pt idx="8">
                  <c:v>6.6666670000000003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0310656"/>
        <c:axId val="60312192"/>
      </c:barChart>
      <c:catAx>
        <c:axId val="6031065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60312192"/>
        <c:crosses val="autoZero"/>
        <c:auto val="1"/>
        <c:lblAlgn val="ctr"/>
        <c:lblOffset val="100"/>
        <c:noMultiLvlLbl val="1"/>
      </c:catAx>
      <c:valAx>
        <c:axId val="60312192"/>
        <c:scaling>
          <c:orientation val="minMax"/>
          <c:max val="100"/>
        </c:scaling>
        <c:delete val="0"/>
        <c:axPos val="t"/>
        <c:majorGridlines>
          <c:spPr>
            <a:ln w="12700" cap="flat">
              <a:solidFill>
                <a:srgbClr val="888888"/>
              </a:solidFill>
              <a:prstDash val="solid"/>
              <a:bevel/>
            </a:ln>
          </c:spPr>
        </c:majorGridlines>
        <c:title>
          <c:tx>
            <c:rich>
              <a:bodyPr rot="0"/>
              <a:lstStyle/>
              <a:p>
                <a:pPr lvl="0">
                  <a:defRPr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defRPr>
                </a:pPr>
                <a:r>
                  <a:rPr lang="en-US"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rPr>
                  <a:t>Percent 
</a:t>
                </a:r>
              </a:p>
            </c:rich>
          </c:tx>
          <c:layout>
            <c:manualLayout>
              <c:xMode val="edge"/>
              <c:yMode val="edge"/>
              <c:x val="0.622812194851459"/>
              <c:y val="0.90327046201765004"/>
            </c:manualLayout>
          </c:layout>
          <c:overlay val="1"/>
        </c:title>
        <c:numFmt formatCode="0" sourceLinked="0"/>
        <c:majorTickMark val="out"/>
        <c:minorTickMark val="none"/>
        <c:tickLblPos val="high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60310656"/>
        <c:crosses val="autoZero"/>
        <c:crossBetween val="between"/>
        <c:majorUnit val="10"/>
        <c:minorUnit val="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9525" cap="flat">
      <a:solidFill>
        <a:srgbClr val="888888"/>
      </a:solidFill>
      <a:prstDash val="solid"/>
      <a:bevel/>
    </a:ln>
    <a:effectLst/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 lvl="0"/>
            <a:endParaRPr lang="en-US"/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343026"/>
          <c:y val="4.0033399999999997E-2"/>
          <c:w val="0.64719599999999999"/>
          <c:h val="0.818975000000000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99BC9"/>
            </a:solidFill>
            <a:ln w="12700" cap="flat">
              <a:noFill/>
              <a:miter lim="400000"/>
            </a:ln>
            <a:effectLst/>
          </c:spPr>
          <c:invertIfNegative val="0"/>
          <c:cat>
            <c:strRef>
              <c:f>Sheet1!$B$1:$J$1</c:f>
              <c:strCache>
                <c:ptCount val="9"/>
                <c:pt idx="0">
                  <c:v>Topic solicitation/agenda setting</c:v>
                </c:pt>
                <c:pt idx="1">
                  <c:v>Question development/framing</c:v>
                </c:pt>
                <c:pt idx="2">
                  <c:v>Proposal development</c:v>
                </c:pt>
                <c:pt idx="3">
                  <c:v>Methods/study design</c:v>
                </c:pt>
                <c:pt idx="4">
                  <c:v>Data collection</c:v>
                </c:pt>
                <c:pt idx="5">
                  <c:v>Data analysis</c:v>
                </c:pt>
                <c:pt idx="6">
                  <c:v>Results review/interpretation/translation</c:v>
                </c:pt>
                <c:pt idx="7">
                  <c:v>Dissemination</c:v>
                </c:pt>
                <c:pt idx="8">
                  <c:v>Other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53.125</c:v>
                </c:pt>
                <c:pt idx="1">
                  <c:v>68.75</c:v>
                </c:pt>
                <c:pt idx="2">
                  <c:v>56.25</c:v>
                </c:pt>
                <c:pt idx="3">
                  <c:v>62.5</c:v>
                </c:pt>
                <c:pt idx="4">
                  <c:v>65.624999999999986</c:v>
                </c:pt>
                <c:pt idx="5">
                  <c:v>37.5</c:v>
                </c:pt>
                <c:pt idx="6">
                  <c:v>40.625</c:v>
                </c:pt>
                <c:pt idx="7">
                  <c:v>28.125</c:v>
                </c:pt>
                <c:pt idx="8">
                  <c:v>6.25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2126208"/>
        <c:axId val="92115712"/>
      </c:barChart>
      <c:catAx>
        <c:axId val="9212620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92115712"/>
        <c:crosses val="autoZero"/>
        <c:auto val="1"/>
        <c:lblAlgn val="ctr"/>
        <c:lblOffset val="100"/>
        <c:noMultiLvlLbl val="1"/>
      </c:catAx>
      <c:valAx>
        <c:axId val="92115712"/>
        <c:scaling>
          <c:orientation val="minMax"/>
          <c:max val="100"/>
        </c:scaling>
        <c:delete val="0"/>
        <c:axPos val="t"/>
        <c:majorGridlines>
          <c:spPr>
            <a:ln w="12700" cap="flat">
              <a:solidFill>
                <a:srgbClr val="888888"/>
              </a:solidFill>
              <a:prstDash val="solid"/>
              <a:bevel/>
            </a:ln>
          </c:spPr>
        </c:majorGridlines>
        <c:title>
          <c:tx>
            <c:rich>
              <a:bodyPr rot="0"/>
              <a:lstStyle/>
              <a:p>
                <a:pPr lvl="0">
                  <a:defRPr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defRPr>
                </a:pPr>
                <a:r>
                  <a:rPr lang="en-US"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rPr>
                  <a:t>Percent </a:t>
                </a:r>
              </a:p>
            </c:rich>
          </c:tx>
          <c:layout>
            <c:manualLayout>
              <c:xMode val="edge"/>
              <c:yMode val="edge"/>
              <c:x val="0.59268148171978996"/>
              <c:y val="0.93903548680618798"/>
            </c:manualLayout>
          </c:layout>
          <c:overlay val="1"/>
        </c:title>
        <c:numFmt formatCode="0" sourceLinked="0"/>
        <c:majorTickMark val="out"/>
        <c:minorTickMark val="none"/>
        <c:tickLblPos val="high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92126208"/>
        <c:crosses val="autoZero"/>
        <c:crossBetween val="between"/>
        <c:majorUnit val="10"/>
        <c:minorUnit val="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9525" cap="flat">
      <a:solidFill>
        <a:srgbClr val="888888"/>
      </a:solidFill>
      <a:prstDash val="solid"/>
      <a:bevel/>
    </a:ln>
    <a:effectLst/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/>
          <a:lstStyle/>
          <a:p>
            <a:pPr lvl="0"/>
            <a:endParaRPr lang="en-US"/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33869899999999997"/>
          <c:y val="4.0033399999999997E-2"/>
          <c:w val="0.647061"/>
          <c:h val="0.8189750000000000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Series1</c:v>
                </c:pt>
              </c:strCache>
            </c:strRef>
          </c:tx>
          <c:spPr>
            <a:solidFill>
              <a:srgbClr val="499BC9"/>
            </a:solidFill>
            <a:ln w="12700" cap="flat">
              <a:noFill/>
              <a:miter lim="400000"/>
            </a:ln>
            <a:effectLst/>
          </c:spPr>
          <c:invertIfNegative val="0"/>
          <c:cat>
            <c:strRef>
              <c:f>Sheet1!$B$1:$J$1</c:f>
              <c:strCache>
                <c:ptCount val="9"/>
                <c:pt idx="0">
                  <c:v>Topic solicitation/agenda setting</c:v>
                </c:pt>
                <c:pt idx="1">
                  <c:v>Question development/framing</c:v>
                </c:pt>
                <c:pt idx="2">
                  <c:v>Proposal development</c:v>
                </c:pt>
                <c:pt idx="3">
                  <c:v>Methods/study design</c:v>
                </c:pt>
                <c:pt idx="4">
                  <c:v>Data collection</c:v>
                </c:pt>
                <c:pt idx="5">
                  <c:v>Data analysis</c:v>
                </c:pt>
                <c:pt idx="6">
                  <c:v>Results review/interpretation/translation</c:v>
                </c:pt>
                <c:pt idx="7">
                  <c:v>Dissemination</c:v>
                </c:pt>
                <c:pt idx="8">
                  <c:v>Other</c:v>
                </c:pt>
              </c:strCache>
            </c:strRef>
          </c:cat>
          <c:val>
            <c:numRef>
              <c:f>Sheet1!$B$2:$J$2</c:f>
              <c:numCache>
                <c:formatCode>General</c:formatCode>
                <c:ptCount val="9"/>
                <c:pt idx="0">
                  <c:v>68.75</c:v>
                </c:pt>
                <c:pt idx="1">
                  <c:v>75</c:v>
                </c:pt>
                <c:pt idx="2">
                  <c:v>50</c:v>
                </c:pt>
                <c:pt idx="3">
                  <c:v>68.75</c:v>
                </c:pt>
                <c:pt idx="4">
                  <c:v>50</c:v>
                </c:pt>
                <c:pt idx="5">
                  <c:v>0</c:v>
                </c:pt>
                <c:pt idx="6">
                  <c:v>12.5</c:v>
                </c:pt>
                <c:pt idx="7">
                  <c:v>18.75</c:v>
                </c:pt>
                <c:pt idx="8">
                  <c:v>6.25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2658432"/>
        <c:axId val="102659968"/>
      </c:barChart>
      <c:catAx>
        <c:axId val="10265843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102659968"/>
        <c:crosses val="autoZero"/>
        <c:auto val="1"/>
        <c:lblAlgn val="ctr"/>
        <c:lblOffset val="100"/>
        <c:noMultiLvlLbl val="1"/>
      </c:catAx>
      <c:valAx>
        <c:axId val="102659968"/>
        <c:scaling>
          <c:orientation val="minMax"/>
          <c:max val="100"/>
        </c:scaling>
        <c:delete val="0"/>
        <c:axPos val="t"/>
        <c:majorGridlines>
          <c:spPr>
            <a:ln w="12700" cap="flat">
              <a:solidFill>
                <a:srgbClr val="888888"/>
              </a:solidFill>
              <a:prstDash val="solid"/>
              <a:bevel/>
            </a:ln>
          </c:spPr>
        </c:majorGridlines>
        <c:title>
          <c:tx>
            <c:rich>
              <a:bodyPr rot="0"/>
              <a:lstStyle/>
              <a:p>
                <a:pPr lvl="0">
                  <a:defRPr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defRPr>
                </a:pPr>
                <a:r>
                  <a:rPr lang="en-US" sz="1000" b="0" i="0" u="none" strike="noStrike">
                    <a:solidFill>
                      <a:srgbClr val="000000"/>
                    </a:solidFill>
                    <a:effectLst/>
                    <a:latin typeface="Verdana Bold"/>
                  </a:rPr>
                  <a:t>Percent</a:t>
                </a:r>
              </a:p>
            </c:rich>
          </c:tx>
          <c:layout>
            <c:manualLayout>
              <c:xMode val="edge"/>
              <c:yMode val="edge"/>
              <c:x val="0.58765675992628597"/>
              <c:y val="0.92811646951774296"/>
            </c:manualLayout>
          </c:layout>
          <c:overlay val="1"/>
        </c:title>
        <c:numFmt formatCode="0" sourceLinked="0"/>
        <c:majorTickMark val="out"/>
        <c:minorTickMark val="none"/>
        <c:tickLblPos val="high"/>
        <c:spPr>
          <a:ln w="12700" cap="flat">
            <a:solidFill>
              <a:srgbClr val="000000"/>
            </a:solidFill>
            <a:prstDash val="solid"/>
            <a:miter lim="400000"/>
          </a:ln>
        </c:spPr>
        <c:txPr>
          <a:bodyPr rot="0"/>
          <a:lstStyle/>
          <a:p>
            <a:pPr lvl="0">
              <a:defRPr sz="1000" b="0" i="0" u="none" strike="noStrike">
                <a:solidFill>
                  <a:srgbClr val="000000"/>
                </a:solidFill>
                <a:effectLst/>
                <a:latin typeface="Calibri"/>
              </a:defRPr>
            </a:pPr>
            <a:endParaRPr lang="en-US"/>
          </a:p>
        </c:txPr>
        <c:crossAx val="102658432"/>
        <c:crosses val="autoZero"/>
        <c:crossBetween val="between"/>
        <c:majorUnit val="10"/>
        <c:minorUnit val="5"/>
      </c:valAx>
      <c:spPr>
        <a:solidFill>
          <a:srgbClr val="FFFFFF"/>
        </a:solidFill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9525" cap="flat">
      <a:solidFill>
        <a:srgbClr val="888888"/>
      </a:solidFill>
      <a:prstDash val="solid"/>
      <a:bevel/>
    </a:ln>
    <a:effectLst/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Blank">
    <a:dk1>
      <a:srgbClr val="000000"/>
    </a:dk1>
    <a:lt1>
      <a:srgbClr val="FFFFFF"/>
    </a:lt1>
    <a:dk2>
      <a:srgbClr val="404040"/>
    </a:dk2>
    <a:lt2>
      <a:srgbClr val="BFBFBF"/>
    </a:lt2>
    <a:accent1>
      <a:srgbClr val="499BC9"/>
    </a:accent1>
    <a:accent2>
      <a:srgbClr val="6EC038"/>
    </a:accent2>
    <a:accent3>
      <a:srgbClr val="F1D130"/>
    </a:accent3>
    <a:accent4>
      <a:srgbClr val="FFA93A"/>
    </a:accent4>
    <a:accent5>
      <a:srgbClr val="FF2D21"/>
    </a:accent5>
    <a:accent6>
      <a:srgbClr val="6C2085"/>
    </a:accent6>
    <a:hlink>
      <a:srgbClr val="0000FF"/>
    </a:hlink>
    <a:folHlink>
      <a:srgbClr val="FF00FF"/>
    </a:folHlink>
  </a:clrScheme>
  <a:fontScheme name="Blank">
    <a:majorFont>
      <a:latin typeface="Helvetica"/>
      <a:ea typeface="Helvetica"/>
      <a:cs typeface="Helvetica"/>
    </a:majorFont>
    <a:minorFont>
      <a:latin typeface="Helvetica"/>
      <a:ea typeface="Helvetica"/>
      <a:cs typeface="Helvetic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Blank">
    <a:dk1>
      <a:srgbClr val="000000"/>
    </a:dk1>
    <a:lt1>
      <a:srgbClr val="FFFFFF"/>
    </a:lt1>
    <a:dk2>
      <a:srgbClr val="404040"/>
    </a:dk2>
    <a:lt2>
      <a:srgbClr val="BFBFBF"/>
    </a:lt2>
    <a:accent1>
      <a:srgbClr val="499BC9"/>
    </a:accent1>
    <a:accent2>
      <a:srgbClr val="6EC038"/>
    </a:accent2>
    <a:accent3>
      <a:srgbClr val="F1D130"/>
    </a:accent3>
    <a:accent4>
      <a:srgbClr val="FFA93A"/>
    </a:accent4>
    <a:accent5>
      <a:srgbClr val="FF2D21"/>
    </a:accent5>
    <a:accent6>
      <a:srgbClr val="6C2085"/>
    </a:accent6>
    <a:hlink>
      <a:srgbClr val="0000FF"/>
    </a:hlink>
    <a:folHlink>
      <a:srgbClr val="FF00FF"/>
    </a:folHlink>
  </a:clrScheme>
  <a:fontScheme name="Blank">
    <a:majorFont>
      <a:latin typeface="Helvetica"/>
      <a:ea typeface="Helvetica"/>
      <a:cs typeface="Helvetica"/>
    </a:majorFont>
    <a:minorFont>
      <a:latin typeface="Helvetica"/>
      <a:ea typeface="Helvetica"/>
      <a:cs typeface="Helvetic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Blank">
    <a:dk1>
      <a:srgbClr val="000000"/>
    </a:dk1>
    <a:lt1>
      <a:srgbClr val="FFFFFF"/>
    </a:lt1>
    <a:dk2>
      <a:srgbClr val="404040"/>
    </a:dk2>
    <a:lt2>
      <a:srgbClr val="BFBFBF"/>
    </a:lt2>
    <a:accent1>
      <a:srgbClr val="499BC9"/>
    </a:accent1>
    <a:accent2>
      <a:srgbClr val="6EC038"/>
    </a:accent2>
    <a:accent3>
      <a:srgbClr val="F1D130"/>
    </a:accent3>
    <a:accent4>
      <a:srgbClr val="FFA93A"/>
    </a:accent4>
    <a:accent5>
      <a:srgbClr val="FF2D21"/>
    </a:accent5>
    <a:accent6>
      <a:srgbClr val="6C2085"/>
    </a:accent6>
    <a:hlink>
      <a:srgbClr val="0000FF"/>
    </a:hlink>
    <a:folHlink>
      <a:srgbClr val="FF00FF"/>
    </a:folHlink>
  </a:clrScheme>
  <a:fontScheme name="Blank">
    <a:majorFont>
      <a:latin typeface="Helvetica"/>
      <a:ea typeface="Helvetica"/>
      <a:cs typeface="Helvetica"/>
    </a:majorFont>
    <a:minorFont>
      <a:latin typeface="Helvetica"/>
      <a:ea typeface="Helvetica"/>
      <a:cs typeface="Helvetic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Blank">
    <a:dk1>
      <a:srgbClr val="000000"/>
    </a:dk1>
    <a:lt1>
      <a:srgbClr val="FFFFFF"/>
    </a:lt1>
    <a:dk2>
      <a:srgbClr val="404040"/>
    </a:dk2>
    <a:lt2>
      <a:srgbClr val="BFBFBF"/>
    </a:lt2>
    <a:accent1>
      <a:srgbClr val="499BC9"/>
    </a:accent1>
    <a:accent2>
      <a:srgbClr val="6EC038"/>
    </a:accent2>
    <a:accent3>
      <a:srgbClr val="F1D130"/>
    </a:accent3>
    <a:accent4>
      <a:srgbClr val="FFA93A"/>
    </a:accent4>
    <a:accent5>
      <a:srgbClr val="FF2D21"/>
    </a:accent5>
    <a:accent6>
      <a:srgbClr val="6C2085"/>
    </a:accent6>
    <a:hlink>
      <a:srgbClr val="0000FF"/>
    </a:hlink>
    <a:folHlink>
      <a:srgbClr val="FF00FF"/>
    </a:folHlink>
  </a:clrScheme>
  <a:fontScheme name="Blank">
    <a:majorFont>
      <a:latin typeface="Helvetica"/>
      <a:ea typeface="Helvetica"/>
      <a:cs typeface="Helvetica"/>
    </a:majorFont>
    <a:minorFont>
      <a:latin typeface="Helvetica"/>
      <a:ea typeface="Helvetica"/>
      <a:cs typeface="Helvetic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38100" dist="25400" dir="5400000" rotWithShape="0">
            <a:srgbClr val="000000">
              <a:alpha val="50000"/>
            </a:srgbClr>
          </a:outerShdw>
        </a:effectLst>
      </a:effectStyle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</Words>
  <Characters>506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Regenstrief Institute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 Newell</dc:creator>
  <cp:lastModifiedBy>Clarkson, Jenni R</cp:lastModifiedBy>
  <cp:revision>2</cp:revision>
  <dcterms:created xsi:type="dcterms:W3CDTF">2015-06-01T15:23:00Z</dcterms:created>
  <dcterms:modified xsi:type="dcterms:W3CDTF">2015-06-01T15:23:00Z</dcterms:modified>
</cp:coreProperties>
</file>