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50" w:rsidRDefault="00AB6C50" w:rsidP="00AB6C5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Supplemental </w:t>
      </w:r>
      <w:r w:rsidRPr="00FD5C20">
        <w:rPr>
          <w:rFonts w:ascii="Calibri" w:hAnsi="Calibri"/>
          <w:b/>
        </w:rPr>
        <w:t>Table</w:t>
      </w:r>
      <w:r>
        <w:rPr>
          <w:rFonts w:ascii="Calibri" w:hAnsi="Calibri"/>
          <w:b/>
        </w:rPr>
        <w:t xml:space="preserve"> a.</w:t>
      </w:r>
      <w:r w:rsidRPr="00FD5C20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Missing Pain Outcome Data for Each Assessment*</w:t>
      </w:r>
    </w:p>
    <w:p w:rsidR="00AB6C50" w:rsidRDefault="00AB6C50" w:rsidP="00AB6C50">
      <w:pPr>
        <w:rPr>
          <w:rFonts w:ascii="Calibri" w:hAnsi="Calibri"/>
          <w:b/>
        </w:rPr>
      </w:pPr>
    </w:p>
    <w:tbl>
      <w:tblPr>
        <w:tblW w:w="8220" w:type="dxa"/>
        <w:jc w:val="center"/>
        <w:tblLook w:val="04A0" w:firstRow="1" w:lastRow="0" w:firstColumn="1" w:lastColumn="0" w:noHBand="0" w:noVBand="1"/>
      </w:tblPr>
      <w:tblGrid>
        <w:gridCol w:w="1526"/>
        <w:gridCol w:w="1526"/>
        <w:gridCol w:w="1527"/>
        <w:gridCol w:w="1527"/>
        <w:gridCol w:w="2114"/>
      </w:tblGrid>
      <w:tr w:rsidR="00AB6C50" w:rsidRPr="00B102A7" w:rsidTr="004B19F8">
        <w:trPr>
          <w:trHeight w:val="300"/>
          <w:jc w:val="center"/>
        </w:trPr>
        <w:tc>
          <w:tcPr>
            <w:tcW w:w="15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Pain Interference</w:t>
            </w:r>
          </w:p>
        </w:tc>
        <w:tc>
          <w:tcPr>
            <w:tcW w:w="364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Pain Severity</w:t>
            </w:r>
          </w:p>
        </w:tc>
      </w:tr>
      <w:tr w:rsidR="00AB6C50" w:rsidRPr="00B102A7" w:rsidTr="004B19F8">
        <w:trPr>
          <w:trHeight w:val="640"/>
          <w:jc w:val="center"/>
        </w:trPr>
        <w:tc>
          <w:tcPr>
            <w:tcW w:w="15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C50" w:rsidRPr="00B102A7" w:rsidRDefault="00AB6C50" w:rsidP="004B19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Group</w:t>
            </w: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(n=389)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Individual</w:t>
            </w: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(n=390)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Group</w:t>
            </w: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(n=389)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Individual</w:t>
            </w: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>(n=390)</w:t>
            </w:r>
          </w:p>
        </w:tc>
      </w:tr>
      <w:tr w:rsidR="00AB6C50" w:rsidRPr="00B102A7" w:rsidTr="004B19F8">
        <w:trPr>
          <w:trHeight w:val="300"/>
          <w:jc w:val="center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Baseline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4 (1%)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5 (1%)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0 (0%)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4 (1%)</w:t>
            </w:r>
          </w:p>
        </w:tc>
      </w:tr>
      <w:tr w:rsidR="00AB6C50" w:rsidRPr="00B102A7" w:rsidTr="004B19F8">
        <w:trPr>
          <w:trHeight w:val="300"/>
          <w:jc w:val="center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weeks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103 (26%)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85 (22%)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104 (27%)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82 (21%)</w:t>
            </w:r>
          </w:p>
        </w:tc>
      </w:tr>
      <w:tr w:rsidR="00AB6C50" w:rsidRPr="00B102A7" w:rsidTr="004B19F8">
        <w:trPr>
          <w:trHeight w:val="300"/>
          <w:jc w:val="center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12 weeks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110 (28%)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93 (24%)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104 (27%)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89 (23%)</w:t>
            </w:r>
          </w:p>
        </w:tc>
      </w:tr>
      <w:tr w:rsidR="00AB6C50" w:rsidRPr="00B102A7" w:rsidTr="004B19F8">
        <w:trPr>
          <w:trHeight w:val="320"/>
          <w:jc w:val="center"/>
        </w:trPr>
        <w:tc>
          <w:tcPr>
            <w:tcW w:w="152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 weeks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113 (29%)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98 (25%)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103 (26%)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B6C50" w:rsidRPr="00B102A7" w:rsidRDefault="00AB6C50" w:rsidP="004B19F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02A7">
              <w:rPr>
                <w:rFonts w:ascii="Calibri" w:hAnsi="Calibri" w:cs="Calibri"/>
                <w:color w:val="000000"/>
                <w:sz w:val="22"/>
                <w:szCs w:val="22"/>
              </w:rPr>
              <w:t>96 (25%)</w:t>
            </w:r>
          </w:p>
        </w:tc>
      </w:tr>
      <w:tr w:rsidR="00AB6C50" w:rsidRPr="00B102A7" w:rsidTr="004B19F8">
        <w:trPr>
          <w:trHeight w:val="320"/>
          <w:jc w:val="center"/>
        </w:trPr>
        <w:tc>
          <w:tcPr>
            <w:tcW w:w="822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B6C50" w:rsidRPr="00DD745F" w:rsidRDefault="00AB6C50" w:rsidP="004B19F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745F">
              <w:rPr>
                <w:rFonts w:ascii="Calibri" w:hAnsi="Calibri" w:cs="Calibri"/>
                <w:color w:val="000000"/>
                <w:sz w:val="20"/>
                <w:szCs w:val="20"/>
              </w:rPr>
              <w:t>*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due to no survey submitted or incomplete data for the pain outcome</w:t>
            </w:r>
          </w:p>
        </w:tc>
      </w:tr>
    </w:tbl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spacing w:after="200" w:line="276" w:lineRule="auto"/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AB6C50" w:rsidRDefault="00AB6C50" w:rsidP="00AB6C50">
      <w:pPr>
        <w:pStyle w:val="Heading3"/>
        <w:rPr>
          <w:bCs w:val="0"/>
        </w:rPr>
        <w:sectPr w:rsidR="00AB6C50" w:rsidSect="004A109A">
          <w:pgSz w:w="15840" w:h="12240" w:orient="landscape"/>
          <w:pgMar w:top="1440" w:right="720" w:bottom="720" w:left="720" w:header="576" w:footer="720" w:gutter="0"/>
          <w:cols w:space="720"/>
          <w:docGrid w:linePitch="360"/>
        </w:sectPr>
      </w:pPr>
    </w:p>
    <w:p w:rsidR="00AB6C50" w:rsidRDefault="00AB6C50" w:rsidP="00AB6C50">
      <w:pPr>
        <w:pStyle w:val="Heading3"/>
        <w:rPr>
          <w:bCs w:val="0"/>
        </w:rPr>
      </w:pPr>
      <w:proofErr w:type="gramStart"/>
      <w:r w:rsidRPr="003C057F">
        <w:rPr>
          <w:bCs w:val="0"/>
        </w:rPr>
        <w:lastRenderedPageBreak/>
        <w:t xml:space="preserve">Supplemental Table b. </w:t>
      </w:r>
      <w:r>
        <w:rPr>
          <w:bCs w:val="0"/>
        </w:rPr>
        <w:t>Comparison of baseline demographics for those with missing data for primary outcome at 12 weeks.</w:t>
      </w:r>
      <w:proofErr w:type="gramEnd"/>
    </w:p>
    <w:p w:rsidR="00AB6C50" w:rsidRDefault="00AB6C50" w:rsidP="00AB6C50"/>
    <w:tbl>
      <w:tblPr>
        <w:tblW w:w="8816" w:type="dxa"/>
        <w:tblInd w:w="922" w:type="dxa"/>
        <w:tblLayout w:type="fixed"/>
        <w:tblLook w:val="04A0" w:firstRow="1" w:lastRow="0" w:firstColumn="1" w:lastColumn="0" w:noHBand="0" w:noVBand="1"/>
      </w:tblPr>
      <w:tblGrid>
        <w:gridCol w:w="420"/>
        <w:gridCol w:w="2546"/>
        <w:gridCol w:w="1530"/>
        <w:gridCol w:w="1620"/>
        <w:gridCol w:w="1440"/>
        <w:gridCol w:w="1260"/>
      </w:tblGrid>
      <w:tr w:rsidR="00AB6C50" w:rsidRPr="0008783D" w:rsidTr="004B19F8">
        <w:trPr>
          <w:trHeight w:val="640"/>
        </w:trPr>
        <w:tc>
          <w:tcPr>
            <w:tcW w:w="296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Demographic Variable</w:t>
            </w:r>
          </w:p>
        </w:tc>
        <w:tc>
          <w:tcPr>
            <w:tcW w:w="1530" w:type="dxa"/>
            <w:tcBorders>
              <w:top w:val="single" w:sz="8" w:space="0" w:color="auto"/>
              <w:bottom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With missing data</w:t>
            </w:r>
          </w:p>
        </w:tc>
        <w:tc>
          <w:tcPr>
            <w:tcW w:w="1620" w:type="dxa"/>
            <w:tcBorders>
              <w:top w:val="single" w:sz="8" w:space="0" w:color="auto"/>
              <w:bottom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Without missing data</w:t>
            </w:r>
          </w:p>
        </w:tc>
        <w:tc>
          <w:tcPr>
            <w:tcW w:w="144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260" w:type="dxa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AB6C50" w:rsidRPr="0008783D" w:rsidTr="004B19F8">
        <w:trPr>
          <w:trHeight w:val="300"/>
        </w:trPr>
        <w:tc>
          <w:tcPr>
            <w:tcW w:w="29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(N=209)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(N=570)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(N=779)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29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Age, </w:t>
            </w: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Mean (SD)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52.81 (13.75)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55.64 (13.13)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54.88 (13.35)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0.01</w:t>
            </w:r>
          </w:p>
        </w:tc>
      </w:tr>
      <w:tr w:rsidR="00AB6C50" w:rsidRPr="0008783D" w:rsidTr="004B19F8">
        <w:trPr>
          <w:trHeight w:val="300"/>
        </w:trPr>
        <w:tc>
          <w:tcPr>
            <w:tcW w:w="29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Sex, n 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0.87</w:t>
            </w:r>
          </w:p>
        </w:tc>
      </w:tr>
      <w:tr w:rsidR="00AB6C50" w:rsidRPr="0008783D" w:rsidTr="004B19F8">
        <w:trPr>
          <w:trHeight w:val="32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169 (80.9%)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458 (80.4%)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627 (80.5%)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2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40 (19.1%)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112 (19.7%)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152 (19.5%)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7556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sz w:val="22"/>
                <w:szCs w:val="22"/>
              </w:rPr>
              <w:t>Spoken Language, n (%)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0.27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English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152 (79.2%)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430 (78.0%)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582 (78.3%)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Spanish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39 (20.3%)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121 (22.0%)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160 (21.5%)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Other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( 0.5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( 0.1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29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sz w:val="22"/>
                <w:szCs w:val="22"/>
              </w:rPr>
              <w:t>Ethnicity</w:t>
            </w:r>
            <w:r w:rsidRPr="0008783D">
              <w:rPr>
                <w:rFonts w:ascii="Calibri" w:hAnsi="Calibri"/>
                <w:sz w:val="22"/>
                <w:szCs w:val="22"/>
              </w:rPr>
              <w:t>, n 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0.13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Hispanic/Latino(a)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126 (60.6%)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317 (55.6%)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443 (56.9%)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Non-Hispanic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82 (39.4%)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245 (43.0%)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327 (42.0%)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Don’t Know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8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( 1.4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8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( 1.0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296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sz w:val="22"/>
                <w:szCs w:val="22"/>
              </w:rPr>
              <w:t>Race</w:t>
            </w:r>
            <w:r w:rsidRPr="0008783D">
              <w:rPr>
                <w:rFonts w:ascii="Calibri" w:hAnsi="Calibri"/>
                <w:sz w:val="22"/>
                <w:szCs w:val="22"/>
              </w:rPr>
              <w:t>, n (%)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0.10</w:t>
            </w:r>
          </w:p>
        </w:tc>
      </w:tr>
      <w:tr w:rsidR="00AB6C50" w:rsidRPr="0008783D" w:rsidTr="004B19F8">
        <w:trPr>
          <w:trHeight w:val="68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American Indian/Native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15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( 7.5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24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( 4.4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39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( 5.2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Asian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5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( 2.5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5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( 0.9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10 </w:t>
            </w:r>
            <w:proofErr w:type="gramStart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( 1.3</w:t>
            </w:r>
            <w:proofErr w:type="gramEnd"/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68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Black/African American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75 (37.3%)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200 (36.2%)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275 (36.5%)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White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26 (12.9%)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78 (14.1%)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104 (13.8%)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Multiracial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30 (14.9%)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66 (11.9%)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96 (12.7%)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Other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50 (24.9%)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180 (32.5%)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230 (30.5%)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7556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sz w:val="22"/>
                <w:szCs w:val="22"/>
              </w:rPr>
              <w:t>Working status</w:t>
            </w:r>
            <w:r w:rsidRPr="0008783D">
              <w:rPr>
                <w:rFonts w:ascii="Calibri" w:hAnsi="Calibri"/>
                <w:sz w:val="22"/>
                <w:szCs w:val="22"/>
              </w:rPr>
              <w:t>, n (%)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0.67</w:t>
            </w:r>
          </w:p>
        </w:tc>
      </w:tr>
      <w:tr w:rsidR="00AB6C50" w:rsidRPr="0008783D" w:rsidTr="004B19F8">
        <w:trPr>
          <w:trHeight w:val="68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Unable to work due to disability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75 (35.9%)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215 (37.7%)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290 (37.2%)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Unemployed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31 (14.8%)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71 (12.5%)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102 (13.1%)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68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Other (Employed, retired, etc.)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103 (49.3%)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284 (49.8%)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387 (49.7%)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7556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Highest Schooling Completed</w:t>
            </w: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, n (%)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&lt;0.0001</w:t>
            </w:r>
          </w:p>
        </w:tc>
      </w:tr>
      <w:tr w:rsidR="00AB6C50" w:rsidRPr="0008783D" w:rsidTr="004B19F8">
        <w:trPr>
          <w:trHeight w:val="30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HS education or less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142 (67.9%)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283 (49.6%)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425 (54.6%)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Some College or more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67 (32.1%)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287 (50.4%)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354 (45.4%)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00"/>
        </w:trPr>
        <w:tc>
          <w:tcPr>
            <w:tcW w:w="7556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Household Income Support, </w:t>
            </w: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n (%)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0.28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Any Support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64 (31.2%) 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153 (27.3%) 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217 (28.3%)</w:t>
            </w:r>
          </w:p>
        </w:tc>
        <w:tc>
          <w:tcPr>
            <w:tcW w:w="126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AB6C50" w:rsidRPr="0008783D" w:rsidTr="004B19F8">
        <w:trPr>
          <w:trHeight w:val="34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B6C50" w:rsidRPr="0008783D" w:rsidRDefault="00AB6C50" w:rsidP="004B19F8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B6C50" w:rsidRPr="0008783D" w:rsidRDefault="00AB6C50" w:rsidP="004B19F8">
            <w:pPr>
              <w:rPr>
                <w:rFonts w:ascii="Calibri" w:hAnsi="Calibri"/>
                <w:color w:val="000000"/>
              </w:rPr>
            </w:pPr>
            <w:r w:rsidRPr="0008783D">
              <w:rPr>
                <w:rFonts w:ascii="Calibri" w:hAnsi="Calibri"/>
                <w:color w:val="000000"/>
              </w:rPr>
              <w:t>No Support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141 (68.8%)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 xml:space="preserve">408 (72.7%)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549 (71.7%)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08783D" w:rsidRDefault="00AB6C50" w:rsidP="004B19F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08783D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AB6C50" w:rsidRDefault="00AB6C50" w:rsidP="00AB6C50">
      <w:pPr>
        <w:pStyle w:val="Heading3"/>
        <w:rPr>
          <w:rFonts w:cs="Calibri"/>
          <w:b w:val="0"/>
        </w:rPr>
      </w:pPr>
    </w:p>
    <w:p w:rsidR="00AB6C50" w:rsidRDefault="00AB6C50" w:rsidP="00AB6C50">
      <w:pPr>
        <w:pStyle w:val="Heading3"/>
        <w:rPr>
          <w:rFonts w:cs="Calibri"/>
          <w:b w:val="0"/>
        </w:rPr>
      </w:pPr>
    </w:p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spacing w:after="200" w:line="276" w:lineRule="auto"/>
        <w:rPr>
          <w:rFonts w:ascii="Calibri" w:eastAsiaTheme="majorEastAsia" w:hAnsi="Calibri" w:cstheme="majorBidi"/>
          <w:b/>
          <w:bCs/>
          <w:lang w:val="en"/>
        </w:rPr>
      </w:pPr>
      <w:r>
        <w:rPr>
          <w:lang w:val="en"/>
        </w:rPr>
        <w:lastRenderedPageBreak/>
        <w:br w:type="page"/>
      </w:r>
    </w:p>
    <w:p w:rsidR="00AB6C50" w:rsidRDefault="00AB6C50" w:rsidP="00AB6C50">
      <w:pPr>
        <w:pStyle w:val="Heading3"/>
        <w:rPr>
          <w:lang w:val="en"/>
        </w:rPr>
        <w:sectPr w:rsidR="00AB6C50" w:rsidSect="00DC7D8B">
          <w:pgSz w:w="12240" w:h="15840"/>
          <w:pgMar w:top="720" w:right="720" w:bottom="720" w:left="1440" w:header="576" w:footer="720" w:gutter="0"/>
          <w:cols w:space="720"/>
          <w:docGrid w:linePitch="360"/>
        </w:sectPr>
      </w:pPr>
    </w:p>
    <w:p w:rsidR="00AB6C50" w:rsidRDefault="00AB6C50" w:rsidP="00AB6C50">
      <w:pPr>
        <w:pStyle w:val="Heading3"/>
        <w:rPr>
          <w:lang w:val="en"/>
        </w:rPr>
      </w:pPr>
      <w:r>
        <w:rPr>
          <w:lang w:val="en"/>
        </w:rPr>
        <w:lastRenderedPageBreak/>
        <w:t xml:space="preserve">Supplemental </w:t>
      </w:r>
      <w:r w:rsidRPr="0012111F">
        <w:rPr>
          <w:lang w:val="en"/>
        </w:rPr>
        <w:t>Table</w:t>
      </w:r>
      <w:r>
        <w:rPr>
          <w:lang w:val="en"/>
        </w:rPr>
        <w:t xml:space="preserve"> c:</w:t>
      </w:r>
      <w:r w:rsidRPr="0012111F">
        <w:rPr>
          <w:lang w:val="en"/>
        </w:rPr>
        <w:t xml:space="preserve">  ITT</w:t>
      </w:r>
      <w:r>
        <w:rPr>
          <w:lang w:val="en"/>
        </w:rPr>
        <w:t xml:space="preserve"> </w:t>
      </w:r>
      <w:r w:rsidRPr="0012111F">
        <w:rPr>
          <w:lang w:val="en"/>
        </w:rPr>
        <w:t>and PP analyses of primary outcome using multiple imputation to handle missing data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3"/>
        <w:gridCol w:w="3625"/>
        <w:gridCol w:w="2043"/>
        <w:gridCol w:w="3321"/>
        <w:gridCol w:w="2075"/>
        <w:gridCol w:w="3189"/>
      </w:tblGrid>
      <w:tr w:rsidR="00AB6C50" w:rsidRPr="00B467DF" w:rsidTr="004B19F8">
        <w:trPr>
          <w:trHeight w:val="300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Outcome Measure</w:t>
            </w:r>
          </w:p>
        </w:tc>
        <w:tc>
          <w:tcPr>
            <w:tcW w:w="183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Intent to Treat (n=779)</w:t>
            </w:r>
          </w:p>
        </w:tc>
        <w:tc>
          <w:tcPr>
            <w:tcW w:w="180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Per Protocol (&gt;8 treatments) (n=450)</w:t>
            </w:r>
          </w:p>
        </w:tc>
      </w:tr>
      <w:tr w:rsidR="00AB6C50" w:rsidRPr="00B467DF" w:rsidTr="004B19F8">
        <w:trPr>
          <w:trHeight w:val="640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Between Group Difference*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Between Group Difference* 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95% CI</w:t>
            </w:r>
          </w:p>
        </w:tc>
      </w:tr>
      <w:tr w:rsidR="00AB6C50" w:rsidRPr="00B467DF" w:rsidTr="004B19F8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 Weeks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Pain severity </w:t>
            </w:r>
          </w:p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(≥ 30% improvement)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6C50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[-0.0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, 0.12]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B6C50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[-0.06, 0.13]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Pain interference  </w:t>
            </w:r>
          </w:p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(≥ 30% improvement)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[-0.0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, 0.14]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[-0.06, 0.13]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PROMIS physical health (2 points change)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, 0.10]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[-0.03, 0.15]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PROMIS mental health </w:t>
            </w:r>
          </w:p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(5 points change)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[-0.04, 0.09]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[-0.05, 0.11]</w:t>
            </w:r>
          </w:p>
        </w:tc>
      </w:tr>
      <w:tr w:rsidR="00AB6C50" w:rsidRPr="00B467DF" w:rsidTr="004B19F8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 Weeks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Pain severity (≥ 30% improvement)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[-0.04, 0.09]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[-0.04, 0.12]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Pain interference (≥ 30% improvement)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[-0.03, 0.11]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[-0.03, 0.16]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PROMIS physical health (2 points change)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, 0.12]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[-0.02, 0.17]</w:t>
            </w:r>
          </w:p>
        </w:tc>
      </w:tr>
      <w:tr w:rsidR="00AB6C50" w:rsidRPr="00B467DF" w:rsidTr="004B19F8">
        <w:trPr>
          <w:trHeight w:val="320"/>
        </w:trPr>
        <w:tc>
          <w:tcPr>
            <w:tcW w:w="12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PROMIS mental health (5 points change)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[-0.03, 0.11]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467DF">
              <w:rPr>
                <w:rFonts w:ascii="Arial" w:hAnsi="Arial" w:cs="Arial"/>
                <w:color w:val="000000"/>
                <w:sz w:val="22"/>
                <w:szCs w:val="22"/>
              </w:rPr>
              <w:t xml:space="preserve"> [-0.03, 0.14]</w:t>
            </w: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AB6C50" w:rsidRPr="00B467DF" w:rsidTr="004B19F8">
        <w:trPr>
          <w:trHeight w:val="300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B467D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*(Individual - Group)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6C50" w:rsidRPr="00B467DF" w:rsidRDefault="00AB6C50" w:rsidP="004B19F8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AB6C50" w:rsidRPr="007673C7" w:rsidRDefault="00AB6C50" w:rsidP="00AB6C50"/>
    <w:p w:rsidR="00AB6C50" w:rsidRPr="007673C7" w:rsidRDefault="00AB6C50" w:rsidP="00AB6C50">
      <w:r w:rsidRPr="00DD70A0">
        <w:rPr>
          <w:rFonts w:ascii="Calibri" w:hAnsi="Calibri"/>
        </w:rPr>
        <w:t xml:space="preserve">Variables included in the </w:t>
      </w:r>
      <w:r>
        <w:rPr>
          <w:rFonts w:ascii="Calibri" w:hAnsi="Calibri"/>
        </w:rPr>
        <w:t xml:space="preserve">multiple </w:t>
      </w:r>
      <w:r w:rsidRPr="00DD70A0">
        <w:rPr>
          <w:rFonts w:ascii="Calibri" w:hAnsi="Calibri"/>
        </w:rPr>
        <w:t xml:space="preserve">imputation </w:t>
      </w:r>
      <w:proofErr w:type="gramStart"/>
      <w:r w:rsidRPr="00DD70A0">
        <w:rPr>
          <w:rFonts w:ascii="Calibri" w:hAnsi="Calibri"/>
        </w:rPr>
        <w:t>model</w:t>
      </w:r>
      <w:proofErr w:type="gramEnd"/>
      <w:r w:rsidRPr="00DD70A0">
        <w:rPr>
          <w:rFonts w:ascii="Calibri" w:hAnsi="Calibri"/>
        </w:rPr>
        <w:t xml:space="preserve"> for the pain severity and interference outcomes were age, gender, place of birth, race/ethnicity, household income, education, insurance, marital status, work status, and source of pain, as well as the auxiliary variables, baseline and 12-week scores for secondary outcomes including PROMIS physical and mental health and PHQ9 score. Sensitivity analyses were</w:t>
      </w:r>
      <w:r>
        <w:rPr>
          <w:rFonts w:ascii="Calibri" w:hAnsi="Calibri"/>
        </w:rPr>
        <w:t xml:space="preserve"> also</w:t>
      </w:r>
      <w:r w:rsidRPr="00DD70A0">
        <w:rPr>
          <w:rFonts w:ascii="Calibri" w:hAnsi="Calibri"/>
        </w:rPr>
        <w:t xml:space="preserve"> performed by varying the covariates included in the imputation model.</w:t>
      </w:r>
    </w:p>
    <w:p w:rsidR="00AB6C50" w:rsidRPr="007673C7" w:rsidRDefault="00AB6C50" w:rsidP="00AB6C50"/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rPr>
          <w:rFonts w:ascii="Calibri" w:hAnsi="Calibri"/>
          <w:b/>
        </w:rPr>
      </w:pPr>
    </w:p>
    <w:p w:rsidR="00AB6C50" w:rsidRDefault="00AB6C50" w:rsidP="00AB6C50">
      <w:pPr>
        <w:spacing w:line="276" w:lineRule="auto"/>
        <w:rPr>
          <w:rFonts w:ascii="Calibri" w:hAnsi="Calibri" w:cs="Calibri"/>
        </w:rPr>
      </w:pPr>
    </w:p>
    <w:p w:rsidR="00AB6C50" w:rsidRPr="00F77845" w:rsidRDefault="00AB6C50" w:rsidP="00AB6C50">
      <w:pPr>
        <w:spacing w:after="200" w:line="276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Supplemental Table d. Proportion with Opioid Prescriptions (EMR-data), Intent to </w:t>
      </w:r>
      <w:proofErr w:type="gramStart"/>
      <w:r>
        <w:rPr>
          <w:rFonts w:ascii="Calibri" w:hAnsi="Calibri" w:cs="Calibri"/>
          <w:b/>
        </w:rPr>
        <w:t>Treat</w:t>
      </w:r>
      <w:proofErr w:type="gramEnd"/>
      <w:r>
        <w:rPr>
          <w:rFonts w:ascii="Calibri" w:hAnsi="Calibri" w:cs="Calibri"/>
          <w:b/>
        </w:rPr>
        <w:t xml:space="preserve"> and Per Protocol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7"/>
        <w:gridCol w:w="3896"/>
        <w:gridCol w:w="1180"/>
        <w:gridCol w:w="1596"/>
        <w:gridCol w:w="2418"/>
        <w:gridCol w:w="1180"/>
        <w:gridCol w:w="1197"/>
        <w:gridCol w:w="2406"/>
      </w:tblGrid>
      <w:tr w:rsidR="00AB6C50" w:rsidRPr="000F36A4" w:rsidTr="004B19F8">
        <w:trPr>
          <w:trHeight w:val="300"/>
        </w:trPr>
        <w:tc>
          <w:tcPr>
            <w:tcW w:w="1550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lastRenderedPageBreak/>
              <w:t>Proportion with Opioid Prescriptions</w:t>
            </w:r>
          </w:p>
        </w:tc>
        <w:tc>
          <w:tcPr>
            <w:tcW w:w="960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 xml:space="preserve">Intent to Treat </w:t>
            </w:r>
          </w:p>
        </w:tc>
        <w:tc>
          <w:tcPr>
            <w:tcW w:w="83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54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Per Protocol (</w:t>
            </w:r>
            <w:r w:rsidRPr="000F36A4">
              <w:rPr>
                <w:rFonts w:ascii="Calibri" w:hAnsi="Calibri" w:cs="Calibri"/>
                <w:b/>
                <w:bCs/>
                <w:color w:val="000000"/>
                <w:u w:val="single"/>
              </w:rPr>
              <w:t>&gt;</w:t>
            </w:r>
            <w:r w:rsidRPr="000F36A4">
              <w:rPr>
                <w:rFonts w:ascii="Calibri" w:hAnsi="Calibri" w:cs="Calibri"/>
                <w:b/>
                <w:bCs/>
                <w:color w:val="000000"/>
              </w:rPr>
              <w:t xml:space="preserve">8 treatments) </w:t>
            </w:r>
          </w:p>
        </w:tc>
      </w:tr>
      <w:tr w:rsidR="00AB6C50" w:rsidRPr="000F36A4" w:rsidTr="004B19F8">
        <w:trPr>
          <w:trHeight w:val="660"/>
        </w:trPr>
        <w:tc>
          <w:tcPr>
            <w:tcW w:w="1550" w:type="pct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Group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Individual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Group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Individual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AB6C50" w:rsidRPr="000F36A4" w:rsidTr="004B19F8">
        <w:trPr>
          <w:trHeight w:val="300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Prescription 12 weeks prior to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51/</w:t>
            </w:r>
            <w:r w:rsidRPr="000F36A4"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64/390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115/779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26/220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35/230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61/450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%</w:t>
            </w:r>
            <w:r w:rsidRPr="000F36A4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13.1%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16.4%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14.8%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11.8%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13.6%</w:t>
            </w:r>
          </w:p>
        </w:tc>
      </w:tr>
      <w:tr w:rsidR="00AB6C50" w:rsidRPr="000F36A4" w:rsidTr="004B19F8">
        <w:trPr>
          <w:trHeight w:val="363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Prescription 4-16 weeks after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57/389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43/390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100/779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28/220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22/230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50/450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%</w:t>
            </w:r>
            <w:r w:rsidRPr="000F36A4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14.7%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11.0%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12.8%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12.7%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9.6%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11.1%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Difference between time periods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+1.6%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-5.4%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+0.90%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5.6%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P-value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.014</w:t>
            </w:r>
          </w:p>
        </w:tc>
      </w:tr>
      <w:tr w:rsidR="00AB6C50" w:rsidRPr="000F36A4" w:rsidTr="004B19F8">
        <w:trPr>
          <w:trHeight w:val="300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F77845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Prescription 24 weeks prior to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66/389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73/390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139/779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31/220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41/230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72/450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17.0%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18.7%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17.8%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14.1%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17.8%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16.0%</w:t>
            </w:r>
          </w:p>
        </w:tc>
      </w:tr>
      <w:tr w:rsidR="00AB6C50" w:rsidRPr="000F36A4" w:rsidTr="004B19F8">
        <w:trPr>
          <w:trHeight w:val="300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F77845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Prescription 4-28 weeks after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65/389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55/390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120/779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32/220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28/230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60/450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16.7%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14.1%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15.4%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14.5%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13.3%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Difference between time periods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-0.3%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-4.6%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-2.4%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+0.4%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-5.6%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-2.7%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P-value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0.896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0.022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0.084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0.853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</w:tr>
    </w:tbl>
    <w:p w:rsidR="00AB6C50" w:rsidRDefault="00AB6C50" w:rsidP="00AB6C50">
      <w:pPr>
        <w:rPr>
          <w:b/>
        </w:rPr>
      </w:pPr>
    </w:p>
    <w:p w:rsidR="00AB6C50" w:rsidRPr="00FD5C20" w:rsidRDefault="00AB6C50" w:rsidP="00AB6C50">
      <w:pPr>
        <w:rPr>
          <w:rFonts w:ascii="Calibri" w:hAnsi="Calibri"/>
          <w:b/>
        </w:rPr>
      </w:pPr>
      <w:r w:rsidRPr="00860F08">
        <w:rPr>
          <w:rFonts w:ascii="Calibri" w:hAnsi="Calibri"/>
          <w:b/>
        </w:rPr>
        <w:t>Supplemental</w:t>
      </w:r>
      <w:r>
        <w:rPr>
          <w:rFonts w:ascii="Calibri" w:hAnsi="Calibri"/>
          <w:b/>
        </w:rPr>
        <w:t xml:space="preserve"> </w:t>
      </w:r>
      <w:r w:rsidRPr="00FD5C20">
        <w:rPr>
          <w:rFonts w:ascii="Calibri" w:hAnsi="Calibri"/>
          <w:b/>
        </w:rPr>
        <w:t>Table</w:t>
      </w:r>
      <w:r>
        <w:rPr>
          <w:rFonts w:ascii="Calibri" w:hAnsi="Calibri"/>
          <w:b/>
        </w:rPr>
        <w:t xml:space="preserve"> e. </w:t>
      </w:r>
      <w:r w:rsidRPr="00FD5C20">
        <w:rPr>
          <w:rFonts w:ascii="Calibri" w:hAnsi="Calibri"/>
          <w:b/>
        </w:rPr>
        <w:t>Self</w:t>
      </w:r>
      <w:r>
        <w:rPr>
          <w:rFonts w:ascii="Calibri" w:hAnsi="Calibri"/>
          <w:b/>
        </w:rPr>
        <w:t>-</w:t>
      </w:r>
      <w:r w:rsidRPr="00FD5C20">
        <w:rPr>
          <w:rFonts w:ascii="Calibri" w:hAnsi="Calibri"/>
          <w:b/>
        </w:rPr>
        <w:t>Report Opiate Use in the Last 7 days</w:t>
      </w:r>
      <w:r>
        <w:rPr>
          <w:rFonts w:ascii="Calibri" w:hAnsi="Calibri"/>
          <w:b/>
        </w:rPr>
        <w:t>, all participants</w:t>
      </w:r>
    </w:p>
    <w:p w:rsidR="00AB6C50" w:rsidRDefault="00AB6C50" w:rsidP="00AB6C50"/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4480"/>
        <w:gridCol w:w="1320"/>
        <w:gridCol w:w="1320"/>
        <w:gridCol w:w="1180"/>
      </w:tblGrid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t>Baseline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t>12 Weeks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</w:tr>
      <w:tr w:rsidR="00AB6C50" w:rsidRPr="009F2B45" w:rsidTr="004B19F8">
        <w:trPr>
          <w:trHeight w:val="300"/>
        </w:trPr>
        <w:tc>
          <w:tcPr>
            <w:tcW w:w="8800" w:type="dxa"/>
            <w:gridSpan w:val="5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t>Intent to Treat</w:t>
            </w:r>
          </w:p>
        </w:tc>
      </w:tr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765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596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Self-report Opiate use in Past 7 days (yes, %)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163 (21.3%)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108 (18.1%)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0.17</w:t>
            </w:r>
            <w:r>
              <w:rPr>
                <w:rFonts w:ascii="Calibri" w:hAnsi="Calibri" w:cs="Calibri"/>
                <w:color w:val="000000"/>
              </w:rPr>
              <w:t xml:space="preserve"> *</w:t>
            </w:r>
          </w:p>
        </w:tc>
      </w:tr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Mean days used in the past week (SD)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4.7 (3.2)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4.6 (3.2)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0.03</w:t>
            </w:r>
            <w:r>
              <w:rPr>
                <w:rFonts w:ascii="Calibri" w:hAnsi="Calibri" w:cs="Calibri"/>
                <w:color w:val="000000"/>
              </w:rPr>
              <w:t xml:space="preserve"> ^</w:t>
            </w:r>
          </w:p>
        </w:tc>
      </w:tr>
      <w:tr w:rsidR="00AB6C50" w:rsidRPr="009F2B45" w:rsidTr="004B19F8">
        <w:trPr>
          <w:trHeight w:val="300"/>
        </w:trPr>
        <w:tc>
          <w:tcPr>
            <w:tcW w:w="8800" w:type="dxa"/>
            <w:gridSpan w:val="5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9F2B45">
              <w:rPr>
                <w:rFonts w:ascii="Calibri" w:hAnsi="Calibri" w:cs="Calibri"/>
                <w:b/>
                <w:bCs/>
                <w:color w:val="000000"/>
              </w:rPr>
              <w:lastRenderedPageBreak/>
              <w:t>Per Protocol</w:t>
            </w:r>
          </w:p>
        </w:tc>
      </w:tr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441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422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Self-report Opiate use in Past 7 days (yes, %)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81 (18.4%)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65 (15.4%)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0.12</w:t>
            </w:r>
            <w:r>
              <w:rPr>
                <w:rFonts w:ascii="Calibri" w:hAnsi="Calibri" w:cs="Calibri"/>
                <w:color w:val="000000"/>
              </w:rPr>
              <w:t xml:space="preserve"> *</w:t>
            </w:r>
          </w:p>
        </w:tc>
      </w:tr>
      <w:tr w:rsidR="00AB6C50" w:rsidRPr="009F2B45" w:rsidTr="004B19F8">
        <w:trPr>
          <w:trHeight w:val="300"/>
        </w:trPr>
        <w:tc>
          <w:tcPr>
            <w:tcW w:w="500" w:type="dxa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480" w:type="dxa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Mean days used in the past week (SD)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4.3 (3)</w:t>
            </w:r>
          </w:p>
        </w:tc>
        <w:tc>
          <w:tcPr>
            <w:tcW w:w="132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3.9 (3)</w:t>
            </w:r>
          </w:p>
        </w:tc>
        <w:tc>
          <w:tcPr>
            <w:tcW w:w="1180" w:type="dxa"/>
            <w:shd w:val="clear" w:color="000000" w:fill="FFFFFF"/>
            <w:noWrap/>
            <w:vAlign w:val="bottom"/>
            <w:hideMark/>
          </w:tcPr>
          <w:p w:rsidR="00AB6C50" w:rsidRPr="009F2B45" w:rsidRDefault="00AB6C50" w:rsidP="004B19F8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B45">
              <w:rPr>
                <w:rFonts w:ascii="Calibri" w:hAnsi="Calibri" w:cs="Calibri"/>
                <w:color w:val="000000"/>
              </w:rPr>
              <w:t>0.0026</w:t>
            </w:r>
            <w:r>
              <w:rPr>
                <w:rFonts w:ascii="Calibri" w:hAnsi="Calibri" w:cs="Calibri"/>
                <w:color w:val="000000"/>
              </w:rPr>
              <w:t xml:space="preserve"> ^</w:t>
            </w:r>
          </w:p>
        </w:tc>
      </w:tr>
    </w:tbl>
    <w:p w:rsidR="00AB6C50" w:rsidRDefault="00AB6C50" w:rsidP="00AB6C50">
      <w:pPr>
        <w:spacing w:line="276" w:lineRule="auto"/>
        <w:rPr>
          <w:rFonts w:ascii="Calibri" w:hAnsi="Calibri" w:cs="Calibri"/>
        </w:rPr>
      </w:pPr>
      <w:r w:rsidRPr="00E06B11">
        <w:rPr>
          <w:rFonts w:ascii="Calibri" w:hAnsi="Calibri" w:cs="Calibri"/>
        </w:rPr>
        <w:t xml:space="preserve">* </w:t>
      </w:r>
      <w:proofErr w:type="spellStart"/>
      <w:r w:rsidRPr="00E06B11">
        <w:rPr>
          <w:rFonts w:ascii="Calibri" w:hAnsi="Calibri" w:cs="Calibri"/>
        </w:rPr>
        <w:t>McNemar</w:t>
      </w:r>
      <w:proofErr w:type="spellEnd"/>
      <w:r w:rsidRPr="00E06B11">
        <w:rPr>
          <w:rFonts w:ascii="Calibri" w:hAnsi="Calibri" w:cs="Calibri"/>
        </w:rPr>
        <w:t xml:space="preserve"> Test </w:t>
      </w:r>
    </w:p>
    <w:p w:rsidR="00AB6C50" w:rsidRDefault="00AB6C50" w:rsidP="00AB6C5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^ Wilcoxon signed ranked test</w:t>
      </w:r>
    </w:p>
    <w:p w:rsidR="00AB6C50" w:rsidRDefault="00AB6C50" w:rsidP="00AB6C50">
      <w:pPr>
        <w:rPr>
          <w:rFonts w:asciiTheme="minorHAnsi" w:hAnsiTheme="minorHAnsi" w:cstheme="minorHAnsi"/>
          <w:b/>
        </w:rPr>
      </w:pPr>
    </w:p>
    <w:p w:rsidR="00AB6C50" w:rsidRPr="00D630BE" w:rsidRDefault="00AB6C50" w:rsidP="00AB6C50">
      <w:pPr>
        <w:rPr>
          <w:rFonts w:asciiTheme="minorHAnsi" w:hAnsiTheme="minorHAnsi" w:cstheme="minorHAnsi"/>
          <w:b/>
        </w:rPr>
      </w:pPr>
      <w:r w:rsidRPr="00D630BE">
        <w:rPr>
          <w:rFonts w:asciiTheme="minorHAnsi" w:hAnsiTheme="minorHAnsi" w:cstheme="minorHAnsi"/>
          <w:b/>
        </w:rPr>
        <w:t>Supplemental Table</w:t>
      </w:r>
      <w:r>
        <w:rPr>
          <w:rFonts w:asciiTheme="minorHAnsi" w:hAnsiTheme="minorHAnsi" w:cstheme="minorHAnsi"/>
          <w:b/>
        </w:rPr>
        <w:t xml:space="preserve"> f.</w:t>
      </w:r>
      <w:r w:rsidRPr="00D630BE">
        <w:rPr>
          <w:rFonts w:asciiTheme="minorHAnsi" w:hAnsiTheme="minorHAnsi" w:cstheme="minorHAnsi"/>
          <w:b/>
        </w:rPr>
        <w:t xml:space="preserve"> Mean Morphine Equivalents (MME) from EMR-data</w:t>
      </w:r>
      <w:r>
        <w:rPr>
          <w:rFonts w:asciiTheme="minorHAnsi" w:hAnsiTheme="minorHAnsi" w:cstheme="minorHAnsi"/>
          <w:b/>
        </w:rPr>
        <w:t>, Intent to Treat and Per Protocol</w:t>
      </w:r>
    </w:p>
    <w:p w:rsidR="00AB6C50" w:rsidRDefault="00AB6C50" w:rsidP="00AB6C50">
      <w:pPr>
        <w:rPr>
          <w:b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7"/>
        <w:gridCol w:w="3896"/>
        <w:gridCol w:w="1180"/>
        <w:gridCol w:w="1596"/>
        <w:gridCol w:w="2418"/>
        <w:gridCol w:w="1180"/>
        <w:gridCol w:w="1197"/>
        <w:gridCol w:w="2406"/>
      </w:tblGrid>
      <w:tr w:rsidR="00AB6C50" w:rsidRPr="000F36A4" w:rsidTr="004B19F8">
        <w:trPr>
          <w:trHeight w:val="300"/>
        </w:trPr>
        <w:tc>
          <w:tcPr>
            <w:tcW w:w="1550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MME</w:t>
            </w:r>
          </w:p>
        </w:tc>
        <w:tc>
          <w:tcPr>
            <w:tcW w:w="960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 xml:space="preserve">Intent to Treat </w:t>
            </w:r>
          </w:p>
        </w:tc>
        <w:tc>
          <w:tcPr>
            <w:tcW w:w="83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54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Per Protocol (</w:t>
            </w:r>
            <w:r w:rsidRPr="000F36A4">
              <w:rPr>
                <w:rFonts w:ascii="Calibri" w:hAnsi="Calibri" w:cs="Calibri"/>
                <w:b/>
                <w:bCs/>
                <w:color w:val="000000"/>
                <w:u w:val="single"/>
              </w:rPr>
              <w:t>&gt;</w:t>
            </w:r>
            <w:r w:rsidRPr="000F36A4">
              <w:rPr>
                <w:rFonts w:ascii="Calibri" w:hAnsi="Calibri" w:cs="Calibri"/>
                <w:b/>
                <w:bCs/>
                <w:color w:val="000000"/>
              </w:rPr>
              <w:t xml:space="preserve">8 treatments) </w:t>
            </w:r>
          </w:p>
        </w:tc>
      </w:tr>
      <w:tr w:rsidR="00AB6C50" w:rsidRPr="000F36A4" w:rsidTr="004B19F8">
        <w:trPr>
          <w:trHeight w:val="660"/>
        </w:trPr>
        <w:tc>
          <w:tcPr>
            <w:tcW w:w="1550" w:type="pct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Group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Individual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Group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F36A4">
              <w:rPr>
                <w:rFonts w:ascii="Calibri" w:hAnsi="Calibri" w:cs="Calibri"/>
                <w:b/>
                <w:bCs/>
                <w:color w:val="000000"/>
              </w:rPr>
              <w:t>Individual</w:t>
            </w:r>
          </w:p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AB6C50" w:rsidRPr="000F36A4" w:rsidTr="004B19F8">
        <w:trPr>
          <w:trHeight w:val="300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 weeks prior to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 xml:space="preserve">Mean (SD) 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 mg</w:t>
            </w:r>
            <w:r w:rsidRPr="000F36A4">
              <w:rPr>
                <w:rFonts w:ascii="Calibri" w:hAnsi="Calibri" w:cs="Calibri"/>
                <w:color w:val="000000"/>
              </w:rPr>
              <w:t xml:space="preserve"> (</w:t>
            </w:r>
            <w:r>
              <w:rPr>
                <w:rFonts w:ascii="Calibri" w:hAnsi="Calibri" w:cs="Calibri"/>
                <w:color w:val="000000"/>
              </w:rPr>
              <w:t>29.1</w:t>
            </w:r>
            <w:r w:rsidRPr="000F36A4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32.4 mg (85.5)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24.4 mg (58.4)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 mg (26.3)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39.1 mg (109.1)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27.2 mg (82.5)</w:t>
            </w:r>
          </w:p>
        </w:tc>
      </w:tr>
      <w:tr w:rsidR="00AB6C50" w:rsidRPr="000F36A4" w:rsidTr="004B19F8">
        <w:trPr>
          <w:trHeight w:val="363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4-16 weeks after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0F36A4">
              <w:rPr>
                <w:rFonts w:ascii="Calibri" w:hAnsi="Calibri" w:cs="Calibri"/>
                <w:color w:val="000000"/>
              </w:rPr>
              <w:t xml:space="preserve">Mean (SD) 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 mg (27.4)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30.7 mg (77.6)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22.9 mg (58.4)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 mg (30.2)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 (90.6)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 mg (69.5)</w:t>
            </w:r>
          </w:p>
        </w:tc>
      </w:tr>
      <w:tr w:rsidR="00AB6C50" w:rsidRPr="000F36A4" w:rsidTr="004B19F8">
        <w:trPr>
          <w:trHeight w:val="30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Difference between time periods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-1.40 mg (19.12)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-1.73 mg (42.42)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-1.56 (32.8)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</w:t>
            </w:r>
            <w:r w:rsidRPr="000F36A4">
              <w:rPr>
                <w:rFonts w:ascii="Calibri" w:hAnsi="Calibri" w:cs="Calibri"/>
                <w:color w:val="000000"/>
              </w:rPr>
              <w:t>1.</w:t>
            </w:r>
            <w:r>
              <w:rPr>
                <w:rFonts w:ascii="Calibri" w:hAnsi="Calibri" w:cs="Calibri"/>
                <w:color w:val="000000"/>
              </w:rPr>
              <w:t>71 (13.34</w:t>
            </w:r>
            <w:r w:rsidRPr="000F36A4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-8.68 (37.24</w:t>
            </w:r>
            <w:r w:rsidRPr="000F36A4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-3.9 (29.1)</w:t>
            </w: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P-value</w:t>
            </w:r>
            <w:r w:rsidRPr="000F36A4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AB6C50" w:rsidRPr="000F36A4" w:rsidTr="004B19F8">
        <w:trPr>
          <w:trHeight w:val="340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77845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24 weeks prior to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Mean (SD)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15.24 mg (26.7)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28.6 mg (74.3)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21.9 mg (56.0)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 mg (25.5)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32.8 mg (94.1)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23.2 (71.5)</w:t>
            </w:r>
          </w:p>
        </w:tc>
      </w:tr>
      <w:tr w:rsidR="00AB6C50" w:rsidRPr="000F36A4" w:rsidTr="004B19F8">
        <w:trPr>
          <w:trHeight w:val="340"/>
        </w:trPr>
        <w:tc>
          <w:tcPr>
            <w:tcW w:w="1550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77845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4-28 weeks after randomization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389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779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Mean (SD)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14.51 mg (25.5)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27.8 mg (69.0)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21.1 mg (52.2)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14.1 mg (28.3)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28.2 mg (82.6)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21.6 mg (63.5)</w:t>
            </w: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Difference between time periods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-0.74 mg (15.4)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-0.77 mg (29.1)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-0.75 mg (23.2)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1.97mg</w:t>
            </w:r>
          </w:p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(9.98)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-4.7mg</w:t>
            </w:r>
          </w:p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(23.6)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F07B67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F07B67">
              <w:rPr>
                <w:rFonts w:ascii="Calibri" w:hAnsi="Calibri" w:cs="Calibri"/>
              </w:rPr>
              <w:t>-1.6% (18.7)</w:t>
            </w:r>
          </w:p>
        </w:tc>
      </w:tr>
      <w:tr w:rsidR="00AB6C50" w:rsidRPr="000F36A4" w:rsidTr="004B19F8">
        <w:trPr>
          <w:trHeight w:val="340"/>
        </w:trPr>
        <w:tc>
          <w:tcPr>
            <w:tcW w:w="2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P-value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5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4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4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B6C50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FFFFFF" w:fill="auto"/>
          </w:tcPr>
          <w:p w:rsidR="00AB6C50" w:rsidRPr="000F36A4" w:rsidRDefault="00AB6C50" w:rsidP="004B19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</w:tr>
    </w:tbl>
    <w:p w:rsidR="00AB6C50" w:rsidRDefault="00AB6C50" w:rsidP="00AB6C50">
      <w:pPr>
        <w:spacing w:after="200" w:line="276" w:lineRule="auto"/>
        <w:rPr>
          <w:rFonts w:ascii="Calibri" w:hAnsi="Calibri"/>
        </w:rPr>
        <w:sectPr w:rsidR="00AB6C50" w:rsidSect="004A109A">
          <w:pgSz w:w="15840" w:h="12240" w:orient="landscape"/>
          <w:pgMar w:top="1440" w:right="720" w:bottom="720" w:left="720" w:header="576" w:footer="720" w:gutter="0"/>
          <w:cols w:space="720"/>
          <w:docGrid w:linePitch="360"/>
        </w:sectPr>
      </w:pPr>
    </w:p>
    <w:p w:rsidR="00AB6C50" w:rsidRPr="00DC7D8B" w:rsidRDefault="00AB6C50" w:rsidP="00AB6C50">
      <w:pPr>
        <w:spacing w:after="200" w:line="276" w:lineRule="auto"/>
        <w:rPr>
          <w:rFonts w:ascii="Calibri" w:hAnsi="Calibri"/>
        </w:rPr>
      </w:pPr>
    </w:p>
    <w:p w:rsidR="00AB6C50" w:rsidRPr="00E06B11" w:rsidRDefault="00AB6C50" w:rsidP="00AB6C50">
      <w:pPr>
        <w:spacing w:line="276" w:lineRule="auto"/>
        <w:rPr>
          <w:rFonts w:ascii="Calibri" w:hAnsi="Calibri" w:cs="Calibri"/>
        </w:rPr>
      </w:pPr>
    </w:p>
    <w:p w:rsidR="00AB6C50" w:rsidRPr="00C06C33" w:rsidRDefault="00AB6C50" w:rsidP="00AB6C50">
      <w:pPr>
        <w:spacing w:after="200" w:line="276" w:lineRule="auto"/>
        <w:rPr>
          <w:rFonts w:ascii="Calibri" w:hAnsi="Calibri" w:cs="Calibri"/>
        </w:rPr>
      </w:pPr>
    </w:p>
    <w:p w:rsidR="00AB6C50" w:rsidRDefault="00AB6C50" w:rsidP="00AB6C50"/>
    <w:p w:rsidR="00AB6C50" w:rsidRPr="007673C7" w:rsidRDefault="00AB6C50" w:rsidP="00AB6C50">
      <w:pPr>
        <w:spacing w:after="200" w:line="276" w:lineRule="auto"/>
      </w:pPr>
    </w:p>
    <w:p w:rsidR="001A4A1C" w:rsidRDefault="001A4A1C">
      <w:bookmarkStart w:id="0" w:name="_GoBack"/>
      <w:bookmarkEnd w:id="0"/>
    </w:p>
    <w:sectPr w:rsidR="001A4A1C" w:rsidSect="00F07B67">
      <w:pgSz w:w="12240" w:h="15840"/>
      <w:pgMar w:top="720" w:right="1440" w:bottom="720" w:left="720" w:header="57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50"/>
    <w:rsid w:val="001A4A1C"/>
    <w:rsid w:val="00602044"/>
    <w:rsid w:val="006D71BE"/>
    <w:rsid w:val="00A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1BE"/>
    <w:rPr>
      <w:rFonts w:ascii="Times New Roman" w:hAnsi="Times New Roman"/>
      <w:kern w:val="0"/>
    </w:rPr>
  </w:style>
  <w:style w:type="paragraph" w:styleId="Heading1">
    <w:name w:val="heading 1"/>
    <w:basedOn w:val="Normal"/>
    <w:link w:val="Heading1Char"/>
    <w:uiPriority w:val="9"/>
    <w:qFormat/>
    <w:rsid w:val="006D71BE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D71BE"/>
    <w:pPr>
      <w:spacing w:before="100" w:beforeAutospacing="1" w:after="100" w:afterAutospacing="1"/>
      <w:outlineLvl w:val="1"/>
    </w:pPr>
    <w:rPr>
      <w:rFonts w:cs="Times New Roman"/>
      <w:b/>
      <w:bCs/>
      <w:sz w:val="36"/>
      <w:szCs w:val="36"/>
    </w:rPr>
  </w:style>
  <w:style w:type="paragraph" w:styleId="Heading3">
    <w:name w:val="heading 3"/>
    <w:aliases w:val="DFRR 3"/>
    <w:basedOn w:val="Normal"/>
    <w:next w:val="Normal"/>
    <w:link w:val="Heading3Char"/>
    <w:uiPriority w:val="99"/>
    <w:unhideWhenUsed/>
    <w:qFormat/>
    <w:rsid w:val="006D71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1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1B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1B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1B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1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1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1BE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D71BE"/>
    <w:rPr>
      <w:rFonts w:ascii="Times New Roman" w:hAnsi="Times New Roman" w:cs="Times New Roman"/>
      <w:b/>
      <w:bCs/>
      <w:kern w:val="0"/>
      <w:sz w:val="36"/>
      <w:szCs w:val="36"/>
    </w:rPr>
  </w:style>
  <w:style w:type="character" w:customStyle="1" w:styleId="Heading3Char">
    <w:name w:val="Heading 3 Char"/>
    <w:aliases w:val="DFRR 3 Char"/>
    <w:basedOn w:val="DefaultParagraphFont"/>
    <w:link w:val="Heading3"/>
    <w:uiPriority w:val="99"/>
    <w:rsid w:val="006D71BE"/>
    <w:rPr>
      <w:rFonts w:asciiTheme="majorHAnsi" w:eastAsiaTheme="majorEastAsia" w:hAnsiTheme="majorHAnsi" w:cstheme="majorBidi"/>
      <w:b/>
      <w:bCs/>
      <w:color w:val="4472C4" w:themeColor="accent1"/>
      <w:kern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1BE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1BE"/>
    <w:rPr>
      <w:rFonts w:asciiTheme="majorHAnsi" w:eastAsiaTheme="majorEastAsia" w:hAnsiTheme="majorHAnsi" w:cstheme="majorBidi"/>
      <w:color w:val="1F3763" w:themeColor="accent1" w:themeShade="7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1BE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1BE"/>
    <w:rPr>
      <w:rFonts w:asciiTheme="majorHAnsi" w:eastAsiaTheme="majorEastAsia" w:hAnsiTheme="majorHAnsi" w:cstheme="majorBidi"/>
      <w:i/>
      <w:iCs/>
      <w:color w:val="404040" w:themeColor="text1" w:themeTint="BF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1BE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1BE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71BE"/>
    <w:pPr>
      <w:spacing w:after="200"/>
    </w:pPr>
    <w:rPr>
      <w:rFonts w:cs="Times New Roman"/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D71BE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D71B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1B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71BE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</w:rPr>
  </w:style>
  <w:style w:type="character" w:styleId="Strong">
    <w:name w:val="Strong"/>
    <w:basedOn w:val="DefaultParagraphFont"/>
    <w:uiPriority w:val="22"/>
    <w:qFormat/>
    <w:rsid w:val="006D71BE"/>
    <w:rPr>
      <w:b/>
      <w:bCs/>
    </w:rPr>
  </w:style>
  <w:style w:type="character" w:styleId="Emphasis">
    <w:name w:val="Emphasis"/>
    <w:basedOn w:val="DefaultParagraphFont"/>
    <w:uiPriority w:val="20"/>
    <w:qFormat/>
    <w:rsid w:val="006D71BE"/>
    <w:rPr>
      <w:i/>
      <w:iCs/>
    </w:rPr>
  </w:style>
  <w:style w:type="paragraph" w:styleId="NoSpacing">
    <w:name w:val="No Spacing"/>
    <w:uiPriority w:val="1"/>
    <w:qFormat/>
    <w:rsid w:val="006D71BE"/>
    <w:rPr>
      <w:rFonts w:ascii="Times New Roman" w:hAnsi="Times New Roman" w:cs="Times New Roman"/>
      <w:kern w:val="0"/>
    </w:rPr>
  </w:style>
  <w:style w:type="paragraph" w:styleId="ListParagraph">
    <w:name w:val="List Paragraph"/>
    <w:basedOn w:val="Normal"/>
    <w:uiPriority w:val="34"/>
    <w:qFormat/>
    <w:rsid w:val="006D71BE"/>
    <w:pPr>
      <w:widowControl w:val="0"/>
      <w:ind w:firstLineChars="200" w:firstLine="420"/>
      <w:jc w:val="both"/>
    </w:pPr>
    <w:rPr>
      <w:rFonts w:asciiTheme="minorHAnsi" w:hAnsiTheme="minorHAnsi"/>
      <w:kern w:val="2"/>
    </w:rPr>
  </w:style>
  <w:style w:type="paragraph" w:styleId="Quote">
    <w:name w:val="Quote"/>
    <w:basedOn w:val="Normal"/>
    <w:next w:val="Normal"/>
    <w:link w:val="QuoteChar"/>
    <w:uiPriority w:val="29"/>
    <w:qFormat/>
    <w:rsid w:val="006D71BE"/>
    <w:rPr>
      <w:rFonts w:cs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D71BE"/>
    <w:rPr>
      <w:rFonts w:ascii="Times New Roman" w:hAnsi="Times New Roman" w:cs="Times New Roman"/>
      <w:i/>
      <w:iCs/>
      <w:color w:val="000000" w:themeColor="text1"/>
      <w:kern w:val="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1BE"/>
    <w:pPr>
      <w:pBdr>
        <w:bottom w:val="single" w:sz="4" w:space="4" w:color="4472C4" w:themeColor="accent1"/>
      </w:pBdr>
      <w:spacing w:before="200" w:after="280"/>
      <w:ind w:left="936" w:right="936"/>
    </w:pPr>
    <w:rPr>
      <w:rFonts w:cs="Times New Roman"/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1BE"/>
    <w:rPr>
      <w:rFonts w:ascii="Times New Roman" w:hAnsi="Times New Roman" w:cs="Times New Roman"/>
      <w:b/>
      <w:bCs/>
      <w:i/>
      <w:iCs/>
      <w:color w:val="4472C4" w:themeColor="accent1"/>
      <w:kern w:val="0"/>
    </w:rPr>
  </w:style>
  <w:style w:type="character" w:styleId="SubtleEmphasis">
    <w:name w:val="Subtle Emphasis"/>
    <w:basedOn w:val="DefaultParagraphFont"/>
    <w:uiPriority w:val="19"/>
    <w:qFormat/>
    <w:rsid w:val="006D71B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D71BE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6D71BE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D71BE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D71B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71BE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1BE"/>
    <w:rPr>
      <w:rFonts w:ascii="Times New Roman" w:hAnsi="Times New Roman"/>
      <w:kern w:val="0"/>
    </w:rPr>
  </w:style>
  <w:style w:type="paragraph" w:styleId="Heading1">
    <w:name w:val="heading 1"/>
    <w:basedOn w:val="Normal"/>
    <w:link w:val="Heading1Char"/>
    <w:uiPriority w:val="9"/>
    <w:qFormat/>
    <w:rsid w:val="006D71BE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D71BE"/>
    <w:pPr>
      <w:spacing w:before="100" w:beforeAutospacing="1" w:after="100" w:afterAutospacing="1"/>
      <w:outlineLvl w:val="1"/>
    </w:pPr>
    <w:rPr>
      <w:rFonts w:cs="Times New Roman"/>
      <w:b/>
      <w:bCs/>
      <w:sz w:val="36"/>
      <w:szCs w:val="36"/>
    </w:rPr>
  </w:style>
  <w:style w:type="paragraph" w:styleId="Heading3">
    <w:name w:val="heading 3"/>
    <w:aliases w:val="DFRR 3"/>
    <w:basedOn w:val="Normal"/>
    <w:next w:val="Normal"/>
    <w:link w:val="Heading3Char"/>
    <w:uiPriority w:val="99"/>
    <w:unhideWhenUsed/>
    <w:qFormat/>
    <w:rsid w:val="006D71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1B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1B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1B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1B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1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1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1BE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D71BE"/>
    <w:rPr>
      <w:rFonts w:ascii="Times New Roman" w:hAnsi="Times New Roman" w:cs="Times New Roman"/>
      <w:b/>
      <w:bCs/>
      <w:kern w:val="0"/>
      <w:sz w:val="36"/>
      <w:szCs w:val="36"/>
    </w:rPr>
  </w:style>
  <w:style w:type="character" w:customStyle="1" w:styleId="Heading3Char">
    <w:name w:val="Heading 3 Char"/>
    <w:aliases w:val="DFRR 3 Char"/>
    <w:basedOn w:val="DefaultParagraphFont"/>
    <w:link w:val="Heading3"/>
    <w:uiPriority w:val="99"/>
    <w:rsid w:val="006D71BE"/>
    <w:rPr>
      <w:rFonts w:asciiTheme="majorHAnsi" w:eastAsiaTheme="majorEastAsia" w:hAnsiTheme="majorHAnsi" w:cstheme="majorBidi"/>
      <w:b/>
      <w:bCs/>
      <w:color w:val="4472C4" w:themeColor="accent1"/>
      <w:kern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1BE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1BE"/>
    <w:rPr>
      <w:rFonts w:asciiTheme="majorHAnsi" w:eastAsiaTheme="majorEastAsia" w:hAnsiTheme="majorHAnsi" w:cstheme="majorBidi"/>
      <w:color w:val="1F3763" w:themeColor="accent1" w:themeShade="7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1BE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1BE"/>
    <w:rPr>
      <w:rFonts w:asciiTheme="majorHAnsi" w:eastAsiaTheme="majorEastAsia" w:hAnsiTheme="majorHAnsi" w:cstheme="majorBidi"/>
      <w:i/>
      <w:iCs/>
      <w:color w:val="404040" w:themeColor="text1" w:themeTint="BF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1BE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1BE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D71BE"/>
    <w:pPr>
      <w:spacing w:after="200"/>
    </w:pPr>
    <w:rPr>
      <w:rFonts w:cs="Times New Roman"/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D71BE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D71B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1B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D71BE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</w:rPr>
  </w:style>
  <w:style w:type="character" w:styleId="Strong">
    <w:name w:val="Strong"/>
    <w:basedOn w:val="DefaultParagraphFont"/>
    <w:uiPriority w:val="22"/>
    <w:qFormat/>
    <w:rsid w:val="006D71BE"/>
    <w:rPr>
      <w:b/>
      <w:bCs/>
    </w:rPr>
  </w:style>
  <w:style w:type="character" w:styleId="Emphasis">
    <w:name w:val="Emphasis"/>
    <w:basedOn w:val="DefaultParagraphFont"/>
    <w:uiPriority w:val="20"/>
    <w:qFormat/>
    <w:rsid w:val="006D71BE"/>
    <w:rPr>
      <w:i/>
      <w:iCs/>
    </w:rPr>
  </w:style>
  <w:style w:type="paragraph" w:styleId="NoSpacing">
    <w:name w:val="No Spacing"/>
    <w:uiPriority w:val="1"/>
    <w:qFormat/>
    <w:rsid w:val="006D71BE"/>
    <w:rPr>
      <w:rFonts w:ascii="Times New Roman" w:hAnsi="Times New Roman" w:cs="Times New Roman"/>
      <w:kern w:val="0"/>
    </w:rPr>
  </w:style>
  <w:style w:type="paragraph" w:styleId="ListParagraph">
    <w:name w:val="List Paragraph"/>
    <w:basedOn w:val="Normal"/>
    <w:uiPriority w:val="34"/>
    <w:qFormat/>
    <w:rsid w:val="006D71BE"/>
    <w:pPr>
      <w:widowControl w:val="0"/>
      <w:ind w:firstLineChars="200" w:firstLine="420"/>
      <w:jc w:val="both"/>
    </w:pPr>
    <w:rPr>
      <w:rFonts w:asciiTheme="minorHAnsi" w:hAnsiTheme="minorHAnsi"/>
      <w:kern w:val="2"/>
    </w:rPr>
  </w:style>
  <w:style w:type="paragraph" w:styleId="Quote">
    <w:name w:val="Quote"/>
    <w:basedOn w:val="Normal"/>
    <w:next w:val="Normal"/>
    <w:link w:val="QuoteChar"/>
    <w:uiPriority w:val="29"/>
    <w:qFormat/>
    <w:rsid w:val="006D71BE"/>
    <w:rPr>
      <w:rFonts w:cs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D71BE"/>
    <w:rPr>
      <w:rFonts w:ascii="Times New Roman" w:hAnsi="Times New Roman" w:cs="Times New Roman"/>
      <w:i/>
      <w:iCs/>
      <w:color w:val="000000" w:themeColor="text1"/>
      <w:kern w:val="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1BE"/>
    <w:pPr>
      <w:pBdr>
        <w:bottom w:val="single" w:sz="4" w:space="4" w:color="4472C4" w:themeColor="accent1"/>
      </w:pBdr>
      <w:spacing w:before="200" w:after="280"/>
      <w:ind w:left="936" w:right="936"/>
    </w:pPr>
    <w:rPr>
      <w:rFonts w:cs="Times New Roman"/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1BE"/>
    <w:rPr>
      <w:rFonts w:ascii="Times New Roman" w:hAnsi="Times New Roman" w:cs="Times New Roman"/>
      <w:b/>
      <w:bCs/>
      <w:i/>
      <w:iCs/>
      <w:color w:val="4472C4" w:themeColor="accent1"/>
      <w:kern w:val="0"/>
    </w:rPr>
  </w:style>
  <w:style w:type="character" w:styleId="SubtleEmphasis">
    <w:name w:val="Subtle Emphasis"/>
    <w:basedOn w:val="DefaultParagraphFont"/>
    <w:uiPriority w:val="19"/>
    <w:qFormat/>
    <w:rsid w:val="006D71B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D71BE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6D71BE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D71BE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D71B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D71BE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OE80</dc:creator>
  <cp:lastModifiedBy>OE80</cp:lastModifiedBy>
  <cp:revision>1</cp:revision>
  <dcterms:created xsi:type="dcterms:W3CDTF">2020-01-28T16:13:00Z</dcterms:created>
  <dcterms:modified xsi:type="dcterms:W3CDTF">2020-01-28T16:13:00Z</dcterms:modified>
</cp:coreProperties>
</file>