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49B" w:rsidRPr="00F5187D" w:rsidRDefault="0037249B" w:rsidP="0037249B">
      <w:pPr>
        <w:jc w:val="center"/>
        <w:rPr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Appendix</w:t>
      </w:r>
      <w:r w:rsidRPr="00F5187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A.</w:t>
      </w:r>
      <w:r w:rsidRPr="00F5187D">
        <w:rPr>
          <w:rFonts w:ascii="Times New Roman" w:hAnsi="Times New Roman" w:cs="Times New Roman"/>
          <w:b/>
        </w:rPr>
        <w:t xml:space="preserve"> Development Timeline for </w:t>
      </w:r>
      <w:r>
        <w:rPr>
          <w:rFonts w:ascii="Times New Roman" w:hAnsi="Times New Roman" w:cs="Times New Roman"/>
          <w:b/>
        </w:rPr>
        <w:t>Integrated Operations Platform</w:t>
      </w:r>
      <w:r w:rsidRPr="00F5187D">
        <w:rPr>
          <w:rFonts w:ascii="Times New Roman" w:hAnsi="Times New Roman" w:cs="Times New Roman"/>
          <w:b/>
        </w:rPr>
        <w:t>/”Hub”</w:t>
      </w:r>
      <w:r w:rsidRPr="00F5187D">
        <w:rPr>
          <w:b/>
        </w:rPr>
        <w:br/>
      </w:r>
    </w:p>
    <w:tbl>
      <w:tblPr>
        <w:tblStyle w:val="TableGrid"/>
        <w:tblpPr w:leftFromText="180" w:rightFromText="180" w:vertAnchor="text" w:horzAnchor="margin" w:tblpY="485"/>
        <w:tblOverlap w:val="never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6"/>
        <w:gridCol w:w="6269"/>
        <w:gridCol w:w="1170"/>
      </w:tblGrid>
      <w:tr w:rsidR="0037249B" w:rsidRPr="00713F3E" w:rsidTr="005E189E">
        <w:trPr>
          <w:trHeight w:val="394"/>
        </w:trPr>
        <w:tc>
          <w:tcPr>
            <w:tcW w:w="1736" w:type="dxa"/>
          </w:tcPr>
          <w:p w:rsidR="0037249B" w:rsidRPr="001C03F0" w:rsidRDefault="0037249B" w:rsidP="005E189E">
            <w:pPr>
              <w:rPr>
                <w:i/>
              </w:rPr>
            </w:pPr>
            <w:r w:rsidRPr="001C03F0">
              <w:rPr>
                <w:i/>
              </w:rPr>
              <w:t xml:space="preserve">Project Phase </w:t>
            </w:r>
          </w:p>
        </w:tc>
        <w:tc>
          <w:tcPr>
            <w:tcW w:w="6269" w:type="dxa"/>
          </w:tcPr>
          <w:p w:rsidR="0037249B" w:rsidRPr="0010345D" w:rsidRDefault="0037249B" w:rsidP="005E189E">
            <w:pPr>
              <w:rPr>
                <w:i/>
              </w:rPr>
            </w:pPr>
            <w:r w:rsidRPr="0010345D">
              <w:rPr>
                <w:i/>
              </w:rPr>
              <w:t>Key Development Tasks</w:t>
            </w:r>
          </w:p>
        </w:tc>
        <w:tc>
          <w:tcPr>
            <w:tcW w:w="1170" w:type="dxa"/>
          </w:tcPr>
          <w:p w:rsidR="0037249B" w:rsidRPr="0010345D" w:rsidRDefault="0037249B" w:rsidP="005E189E">
            <w:pPr>
              <w:rPr>
                <w:i/>
              </w:rPr>
            </w:pPr>
            <w:r w:rsidRPr="0010345D">
              <w:rPr>
                <w:i/>
              </w:rPr>
              <w:t>Month</w:t>
            </w:r>
          </w:p>
        </w:tc>
      </w:tr>
      <w:tr w:rsidR="0037249B" w:rsidRPr="00713F3E" w:rsidTr="005E189E">
        <w:trPr>
          <w:trHeight w:val="394"/>
        </w:trPr>
        <w:tc>
          <w:tcPr>
            <w:tcW w:w="1736" w:type="dxa"/>
            <w:vMerge w:val="restart"/>
            <w:shd w:val="clear" w:color="auto" w:fill="FFFFCC"/>
            <w:vAlign w:val="center"/>
          </w:tcPr>
          <w:p w:rsidR="0037249B" w:rsidRPr="0010345D" w:rsidRDefault="0037249B" w:rsidP="005E189E">
            <w:r w:rsidRPr="0010345D">
              <w:t>Baseline/</w:t>
            </w:r>
            <w:r w:rsidRPr="0010345D">
              <w:br/>
              <w:t>Pre-Implementation</w:t>
            </w:r>
          </w:p>
        </w:tc>
        <w:tc>
          <w:tcPr>
            <w:tcW w:w="6269" w:type="dxa"/>
            <w:shd w:val="clear" w:color="auto" w:fill="FFFFCC"/>
          </w:tcPr>
          <w:p w:rsidR="0037249B" w:rsidRPr="0010345D" w:rsidRDefault="0037249B" w:rsidP="005E189E">
            <w:pPr>
              <w:spacing w:after="120"/>
            </w:pPr>
            <w:r w:rsidRPr="0010345D">
              <w:t xml:space="preserve">Work began toward creating an Excel-based decision support tool and the </w:t>
            </w:r>
            <w:r>
              <w:t>Integrated Operations Platform/Hub</w:t>
            </w:r>
          </w:p>
        </w:tc>
        <w:tc>
          <w:tcPr>
            <w:tcW w:w="1170" w:type="dxa"/>
            <w:shd w:val="clear" w:color="auto" w:fill="FFFFCC"/>
          </w:tcPr>
          <w:p w:rsidR="0037249B" w:rsidRPr="0010345D" w:rsidRDefault="0037249B" w:rsidP="005E189E">
            <w:r w:rsidRPr="0010345D">
              <w:t>Sep 2016</w:t>
            </w:r>
          </w:p>
        </w:tc>
      </w:tr>
      <w:tr w:rsidR="0037249B" w:rsidRPr="00713F3E" w:rsidTr="005E189E">
        <w:trPr>
          <w:trHeight w:val="410"/>
        </w:trPr>
        <w:tc>
          <w:tcPr>
            <w:tcW w:w="1736" w:type="dxa"/>
            <w:vMerge/>
            <w:shd w:val="clear" w:color="auto" w:fill="FFFFCC"/>
            <w:vAlign w:val="center"/>
          </w:tcPr>
          <w:p w:rsidR="0037249B" w:rsidRPr="0010345D" w:rsidRDefault="0037249B" w:rsidP="005E189E"/>
        </w:tc>
        <w:tc>
          <w:tcPr>
            <w:tcW w:w="6269" w:type="dxa"/>
            <w:shd w:val="clear" w:color="auto" w:fill="FFFFCC"/>
          </w:tcPr>
          <w:p w:rsidR="0037249B" w:rsidRPr="0010345D" w:rsidRDefault="0037249B" w:rsidP="005E189E">
            <w:pPr>
              <w:spacing w:after="120"/>
            </w:pPr>
            <w:r w:rsidRPr="0010345D">
              <w:t>Iterative and collaborative design process with initial deployment for July kickoffs</w:t>
            </w:r>
          </w:p>
        </w:tc>
        <w:tc>
          <w:tcPr>
            <w:tcW w:w="1170" w:type="dxa"/>
            <w:shd w:val="clear" w:color="auto" w:fill="FFFFCC"/>
          </w:tcPr>
          <w:p w:rsidR="0037249B" w:rsidRPr="0010345D" w:rsidRDefault="0037249B" w:rsidP="005E189E">
            <w:r w:rsidRPr="0010345D">
              <w:t xml:space="preserve">Dec 2016 – </w:t>
            </w:r>
            <w:r>
              <w:br/>
            </w:r>
            <w:r w:rsidRPr="0010345D">
              <w:t>July 2017</w:t>
            </w:r>
          </w:p>
        </w:tc>
      </w:tr>
      <w:tr w:rsidR="0037249B" w:rsidRPr="00713F3E" w:rsidTr="005E189E">
        <w:trPr>
          <w:trHeight w:val="394"/>
        </w:trPr>
        <w:tc>
          <w:tcPr>
            <w:tcW w:w="1736" w:type="dxa"/>
            <w:vMerge/>
            <w:shd w:val="clear" w:color="auto" w:fill="FFFFCC"/>
            <w:vAlign w:val="center"/>
          </w:tcPr>
          <w:p w:rsidR="0037249B" w:rsidRPr="0010345D" w:rsidRDefault="0037249B" w:rsidP="005E189E"/>
        </w:tc>
        <w:tc>
          <w:tcPr>
            <w:tcW w:w="6269" w:type="dxa"/>
            <w:shd w:val="clear" w:color="auto" w:fill="FFFFCC"/>
          </w:tcPr>
          <w:p w:rsidR="0037249B" w:rsidRPr="0010345D" w:rsidRDefault="0037249B" w:rsidP="005E189E">
            <w:pPr>
              <w:spacing w:after="120"/>
            </w:pPr>
            <w:r w:rsidRPr="0010345D">
              <w:rPr>
                <w:i/>
              </w:rPr>
              <w:t xml:space="preserve">Without Fail </w:t>
            </w:r>
            <w:proofErr w:type="spellStart"/>
            <w:r w:rsidRPr="0010345D">
              <w:rPr>
                <w:i/>
              </w:rPr>
              <w:t>Rates</w:t>
            </w:r>
            <w:r w:rsidRPr="007A28B5">
              <w:rPr>
                <w:i/>
                <w:vertAlign w:val="superscript"/>
              </w:rPr>
              <w:t>a</w:t>
            </w:r>
            <w:proofErr w:type="spellEnd"/>
            <w:r w:rsidRPr="0010345D">
              <w:t xml:space="preserve"> on home page changed from most recent quarter to FYTD; facility rank added</w:t>
            </w:r>
          </w:p>
        </w:tc>
        <w:tc>
          <w:tcPr>
            <w:tcW w:w="1170" w:type="dxa"/>
            <w:shd w:val="clear" w:color="auto" w:fill="FFFFCC"/>
          </w:tcPr>
          <w:p w:rsidR="0037249B" w:rsidRPr="0010345D" w:rsidRDefault="0037249B" w:rsidP="005E189E">
            <w:r w:rsidRPr="0010345D">
              <w:t>Aug 2017</w:t>
            </w:r>
          </w:p>
        </w:tc>
      </w:tr>
      <w:tr w:rsidR="0037249B" w:rsidRPr="00713F3E" w:rsidTr="005E189E">
        <w:trPr>
          <w:trHeight w:val="410"/>
        </w:trPr>
        <w:tc>
          <w:tcPr>
            <w:tcW w:w="1736" w:type="dxa"/>
            <w:vMerge w:val="restart"/>
            <w:shd w:val="clear" w:color="auto" w:fill="F2DBDB" w:themeFill="accent2" w:themeFillTint="33"/>
            <w:vAlign w:val="center"/>
          </w:tcPr>
          <w:p w:rsidR="0037249B" w:rsidRPr="0010345D" w:rsidRDefault="0037249B" w:rsidP="005E189E">
            <w:r w:rsidRPr="0010345D">
              <w:t>Active implementation</w:t>
            </w:r>
          </w:p>
        </w:tc>
        <w:tc>
          <w:tcPr>
            <w:tcW w:w="6269" w:type="dxa"/>
            <w:shd w:val="clear" w:color="auto" w:fill="F2DBDB" w:themeFill="accent2" w:themeFillTint="33"/>
          </w:tcPr>
          <w:p w:rsidR="0037249B" w:rsidRPr="0010345D" w:rsidRDefault="0037249B" w:rsidP="005E189E">
            <w:pPr>
              <w:spacing w:after="120"/>
            </w:pPr>
            <w:r w:rsidRPr="0010345D">
              <w:t>Composite score removed from monthly metrics to minimize confusion</w:t>
            </w:r>
          </w:p>
        </w:tc>
        <w:tc>
          <w:tcPr>
            <w:tcW w:w="1170" w:type="dxa"/>
            <w:shd w:val="clear" w:color="auto" w:fill="F2DBDB" w:themeFill="accent2" w:themeFillTint="33"/>
          </w:tcPr>
          <w:p w:rsidR="0037249B" w:rsidRPr="0010345D" w:rsidRDefault="0037249B" w:rsidP="005E189E">
            <w:r w:rsidRPr="0010345D">
              <w:t>Sep 2017</w:t>
            </w:r>
          </w:p>
        </w:tc>
      </w:tr>
      <w:tr w:rsidR="0037249B" w:rsidRPr="00713F3E" w:rsidTr="005E189E">
        <w:trPr>
          <w:trHeight w:val="394"/>
        </w:trPr>
        <w:tc>
          <w:tcPr>
            <w:tcW w:w="1736" w:type="dxa"/>
            <w:vMerge/>
            <w:shd w:val="clear" w:color="auto" w:fill="F2DBDB" w:themeFill="accent2" w:themeFillTint="33"/>
          </w:tcPr>
          <w:p w:rsidR="0037249B" w:rsidRPr="0010345D" w:rsidRDefault="0037249B" w:rsidP="005E189E"/>
        </w:tc>
        <w:tc>
          <w:tcPr>
            <w:tcW w:w="6269" w:type="dxa"/>
            <w:shd w:val="clear" w:color="auto" w:fill="F2DBDB" w:themeFill="accent2" w:themeFillTint="33"/>
          </w:tcPr>
          <w:p w:rsidR="0037249B" w:rsidRPr="0010345D" w:rsidRDefault="0037249B" w:rsidP="005E189E">
            <w:pPr>
              <w:tabs>
                <w:tab w:val="left" w:pos="990"/>
              </w:tabs>
              <w:spacing w:after="120"/>
            </w:pPr>
            <w:r w:rsidRPr="0010345D">
              <w:rPr>
                <w:i/>
              </w:rPr>
              <w:t xml:space="preserve">Patient Risk </w:t>
            </w:r>
            <w:proofErr w:type="spellStart"/>
            <w:r w:rsidRPr="0010345D">
              <w:rPr>
                <w:i/>
              </w:rPr>
              <w:t>Score</w:t>
            </w:r>
            <w:r w:rsidRPr="00BF334C">
              <w:rPr>
                <w:i/>
                <w:vertAlign w:val="superscript"/>
              </w:rPr>
              <w:t>b</w:t>
            </w:r>
            <w:proofErr w:type="spellEnd"/>
            <w:r w:rsidRPr="0010345D">
              <w:t xml:space="preserve"> added to home page</w:t>
            </w:r>
          </w:p>
        </w:tc>
        <w:tc>
          <w:tcPr>
            <w:tcW w:w="1170" w:type="dxa"/>
            <w:shd w:val="clear" w:color="auto" w:fill="F2DBDB" w:themeFill="accent2" w:themeFillTint="33"/>
          </w:tcPr>
          <w:p w:rsidR="0037249B" w:rsidRPr="0010345D" w:rsidRDefault="0037249B" w:rsidP="005E189E">
            <w:pPr>
              <w:tabs>
                <w:tab w:val="left" w:pos="990"/>
              </w:tabs>
            </w:pPr>
            <w:r w:rsidRPr="0010345D">
              <w:t>Oct 2017</w:t>
            </w:r>
          </w:p>
        </w:tc>
      </w:tr>
      <w:tr w:rsidR="0037249B" w:rsidRPr="00713F3E" w:rsidTr="005E189E">
        <w:trPr>
          <w:trHeight w:val="227"/>
        </w:trPr>
        <w:tc>
          <w:tcPr>
            <w:tcW w:w="1736" w:type="dxa"/>
            <w:vMerge/>
            <w:shd w:val="clear" w:color="auto" w:fill="F2DBDB" w:themeFill="accent2" w:themeFillTint="33"/>
          </w:tcPr>
          <w:p w:rsidR="0037249B" w:rsidRPr="0010345D" w:rsidRDefault="0037249B" w:rsidP="005E189E"/>
        </w:tc>
        <w:tc>
          <w:tcPr>
            <w:tcW w:w="6269" w:type="dxa"/>
            <w:shd w:val="clear" w:color="auto" w:fill="F2DBDB" w:themeFill="accent2" w:themeFillTint="33"/>
          </w:tcPr>
          <w:p w:rsidR="0037249B" w:rsidRPr="0010345D" w:rsidRDefault="0037249B" w:rsidP="005E189E">
            <w:pPr>
              <w:spacing w:after="120"/>
            </w:pPr>
            <w:r w:rsidRPr="0010345D">
              <w:t>Metrics upload automation for project plans</w:t>
            </w:r>
          </w:p>
        </w:tc>
        <w:tc>
          <w:tcPr>
            <w:tcW w:w="1170" w:type="dxa"/>
            <w:shd w:val="clear" w:color="auto" w:fill="F2DBDB" w:themeFill="accent2" w:themeFillTint="33"/>
          </w:tcPr>
          <w:p w:rsidR="0037249B" w:rsidRPr="0010345D" w:rsidRDefault="0037249B" w:rsidP="005E189E">
            <w:r w:rsidRPr="0010345D">
              <w:t>Jan 2018</w:t>
            </w:r>
          </w:p>
        </w:tc>
      </w:tr>
      <w:tr w:rsidR="0037249B" w:rsidRPr="00713F3E" w:rsidTr="005E189E">
        <w:trPr>
          <w:trHeight w:val="173"/>
        </w:trPr>
        <w:tc>
          <w:tcPr>
            <w:tcW w:w="1736" w:type="dxa"/>
            <w:vMerge/>
            <w:shd w:val="clear" w:color="auto" w:fill="F2DBDB" w:themeFill="accent2" w:themeFillTint="33"/>
          </w:tcPr>
          <w:p w:rsidR="0037249B" w:rsidRPr="0010345D" w:rsidRDefault="0037249B" w:rsidP="005E189E"/>
        </w:tc>
        <w:tc>
          <w:tcPr>
            <w:tcW w:w="6269" w:type="dxa"/>
            <w:shd w:val="clear" w:color="auto" w:fill="F2DBDB" w:themeFill="accent2" w:themeFillTint="33"/>
          </w:tcPr>
          <w:p w:rsidR="0037249B" w:rsidRPr="0010345D" w:rsidRDefault="0037249B" w:rsidP="005E189E">
            <w:pPr>
              <w:spacing w:after="120"/>
            </w:pPr>
            <w:r w:rsidRPr="0010345D">
              <w:t>FYTD metrics available through project plans</w:t>
            </w:r>
          </w:p>
        </w:tc>
        <w:tc>
          <w:tcPr>
            <w:tcW w:w="1170" w:type="dxa"/>
            <w:shd w:val="clear" w:color="auto" w:fill="F2DBDB" w:themeFill="accent2" w:themeFillTint="33"/>
          </w:tcPr>
          <w:p w:rsidR="0037249B" w:rsidRPr="0010345D" w:rsidRDefault="0037249B" w:rsidP="005E189E">
            <w:r w:rsidRPr="0010345D">
              <w:t>Feb 2018</w:t>
            </w:r>
          </w:p>
        </w:tc>
      </w:tr>
      <w:tr w:rsidR="0037249B" w:rsidRPr="00713F3E" w:rsidTr="005E189E">
        <w:trPr>
          <w:trHeight w:val="394"/>
        </w:trPr>
        <w:tc>
          <w:tcPr>
            <w:tcW w:w="1736" w:type="dxa"/>
            <w:vMerge/>
            <w:shd w:val="clear" w:color="auto" w:fill="F2DBDB" w:themeFill="accent2" w:themeFillTint="33"/>
          </w:tcPr>
          <w:p w:rsidR="0037249B" w:rsidRPr="0010345D" w:rsidRDefault="0037249B" w:rsidP="005E189E"/>
        </w:tc>
        <w:tc>
          <w:tcPr>
            <w:tcW w:w="6269" w:type="dxa"/>
            <w:shd w:val="clear" w:color="auto" w:fill="F2DBDB" w:themeFill="accent2" w:themeFillTint="33"/>
          </w:tcPr>
          <w:p w:rsidR="0037249B" w:rsidRPr="0010345D" w:rsidRDefault="0037249B" w:rsidP="005E189E">
            <w:pPr>
              <w:spacing w:after="120"/>
            </w:pPr>
            <w:r w:rsidRPr="0010345D">
              <w:t>PREVENT team begins sending email updates regarding TIA performance data</w:t>
            </w:r>
          </w:p>
        </w:tc>
        <w:tc>
          <w:tcPr>
            <w:tcW w:w="1170" w:type="dxa"/>
            <w:shd w:val="clear" w:color="auto" w:fill="F2DBDB" w:themeFill="accent2" w:themeFillTint="33"/>
          </w:tcPr>
          <w:p w:rsidR="0037249B" w:rsidRPr="0010345D" w:rsidRDefault="0037249B" w:rsidP="005E189E">
            <w:r>
              <w:t>Feb</w:t>
            </w:r>
            <w:r w:rsidRPr="0010345D">
              <w:t xml:space="preserve"> 2018</w:t>
            </w:r>
          </w:p>
        </w:tc>
      </w:tr>
      <w:tr w:rsidR="0037249B" w:rsidRPr="00713F3E" w:rsidTr="005E189E">
        <w:trPr>
          <w:trHeight w:val="394"/>
        </w:trPr>
        <w:tc>
          <w:tcPr>
            <w:tcW w:w="1736" w:type="dxa"/>
            <w:vMerge/>
            <w:shd w:val="clear" w:color="auto" w:fill="F2DBDB" w:themeFill="accent2" w:themeFillTint="33"/>
          </w:tcPr>
          <w:p w:rsidR="0037249B" w:rsidRPr="0010345D" w:rsidRDefault="0037249B" w:rsidP="005E189E"/>
        </w:tc>
        <w:tc>
          <w:tcPr>
            <w:tcW w:w="6269" w:type="dxa"/>
            <w:shd w:val="clear" w:color="auto" w:fill="F2DBDB" w:themeFill="accent2" w:themeFillTint="33"/>
          </w:tcPr>
          <w:p w:rsidR="0037249B" w:rsidRPr="0010345D" w:rsidRDefault="0037249B" w:rsidP="005E189E">
            <w:pPr>
              <w:spacing w:after="120"/>
            </w:pPr>
            <w:r w:rsidRPr="0010345D">
              <w:t xml:space="preserve">Automation of data updates and layout redesign with </w:t>
            </w:r>
            <w:r>
              <w:t>3</w:t>
            </w:r>
            <w:r w:rsidRPr="0010345D">
              <w:t xml:space="preserve"> patient metrics (</w:t>
            </w:r>
            <w:r w:rsidRPr="0010345D">
              <w:rPr>
                <w:i/>
              </w:rPr>
              <w:t>Admitted, Left Against Medical Advice, Patient Risk Score</w:t>
            </w:r>
            <w:r w:rsidRPr="0010345D">
              <w:t>)</w:t>
            </w:r>
          </w:p>
        </w:tc>
        <w:tc>
          <w:tcPr>
            <w:tcW w:w="1170" w:type="dxa"/>
            <w:shd w:val="clear" w:color="auto" w:fill="F2DBDB" w:themeFill="accent2" w:themeFillTint="33"/>
          </w:tcPr>
          <w:p w:rsidR="0037249B" w:rsidRPr="0010345D" w:rsidRDefault="0037249B" w:rsidP="005E189E">
            <w:r w:rsidRPr="0010345D">
              <w:t>Mar 2018</w:t>
            </w:r>
          </w:p>
        </w:tc>
      </w:tr>
      <w:tr w:rsidR="0037249B" w:rsidRPr="00713F3E" w:rsidTr="005E189E">
        <w:trPr>
          <w:trHeight w:val="394"/>
        </w:trPr>
        <w:tc>
          <w:tcPr>
            <w:tcW w:w="1736" w:type="dxa"/>
            <w:vMerge/>
            <w:shd w:val="clear" w:color="auto" w:fill="F2DBDB" w:themeFill="accent2" w:themeFillTint="33"/>
          </w:tcPr>
          <w:p w:rsidR="0037249B" w:rsidRPr="0010345D" w:rsidRDefault="0037249B" w:rsidP="005E189E"/>
        </w:tc>
        <w:tc>
          <w:tcPr>
            <w:tcW w:w="6269" w:type="dxa"/>
            <w:shd w:val="clear" w:color="auto" w:fill="F2DBDB" w:themeFill="accent2" w:themeFillTint="33"/>
          </w:tcPr>
          <w:p w:rsidR="0037249B" w:rsidRPr="0010345D" w:rsidRDefault="0037249B" w:rsidP="005E189E">
            <w:pPr>
              <w:spacing w:after="120"/>
            </w:pPr>
            <w:r w:rsidRPr="0010345D">
              <w:t>Metrics added: “Visit to Neurology,” “Hypertension Assessment,” “Primary Care visit” (all within 30 days)</w:t>
            </w:r>
          </w:p>
        </w:tc>
        <w:tc>
          <w:tcPr>
            <w:tcW w:w="1170" w:type="dxa"/>
            <w:shd w:val="clear" w:color="auto" w:fill="F2DBDB" w:themeFill="accent2" w:themeFillTint="33"/>
          </w:tcPr>
          <w:p w:rsidR="0037249B" w:rsidRPr="0010345D" w:rsidRDefault="0037249B" w:rsidP="005E189E">
            <w:r w:rsidRPr="0010345D">
              <w:t>Jun 2018</w:t>
            </w:r>
          </w:p>
        </w:tc>
      </w:tr>
      <w:tr w:rsidR="0037249B" w:rsidRPr="00713F3E" w:rsidTr="005E189E">
        <w:trPr>
          <w:trHeight w:val="394"/>
        </w:trPr>
        <w:tc>
          <w:tcPr>
            <w:tcW w:w="1736" w:type="dxa"/>
            <w:vMerge/>
            <w:shd w:val="clear" w:color="auto" w:fill="F2DBDB" w:themeFill="accent2" w:themeFillTint="33"/>
          </w:tcPr>
          <w:p w:rsidR="0037249B" w:rsidRPr="0010345D" w:rsidRDefault="0037249B" w:rsidP="005E189E"/>
        </w:tc>
        <w:tc>
          <w:tcPr>
            <w:tcW w:w="6269" w:type="dxa"/>
            <w:shd w:val="clear" w:color="auto" w:fill="F2DBDB" w:themeFill="accent2" w:themeFillTint="33"/>
          </w:tcPr>
          <w:p w:rsidR="0037249B" w:rsidRPr="0010345D" w:rsidRDefault="0037249B" w:rsidP="005E189E">
            <w:pPr>
              <w:spacing w:after="120"/>
            </w:pPr>
            <w:r w:rsidRPr="0010345D">
              <w:t>Updated color scheme and user improvements following user-centered design evaluation</w:t>
            </w:r>
          </w:p>
        </w:tc>
        <w:tc>
          <w:tcPr>
            <w:tcW w:w="1170" w:type="dxa"/>
            <w:shd w:val="clear" w:color="auto" w:fill="F2DBDB" w:themeFill="accent2" w:themeFillTint="33"/>
          </w:tcPr>
          <w:p w:rsidR="0037249B" w:rsidRPr="0010345D" w:rsidRDefault="0037249B" w:rsidP="005E189E">
            <w:r w:rsidRPr="0010345D">
              <w:t>Jul 2018</w:t>
            </w:r>
          </w:p>
        </w:tc>
      </w:tr>
      <w:tr w:rsidR="0037249B" w:rsidRPr="00713F3E" w:rsidTr="005E189E">
        <w:trPr>
          <w:trHeight w:val="394"/>
        </w:trPr>
        <w:tc>
          <w:tcPr>
            <w:tcW w:w="9175" w:type="dxa"/>
            <w:gridSpan w:val="3"/>
            <w:shd w:val="clear" w:color="auto" w:fill="auto"/>
          </w:tcPr>
          <w:p w:rsidR="0037249B" w:rsidRDefault="0037249B" w:rsidP="005E189E">
            <w:proofErr w:type="gramStart"/>
            <w:r w:rsidRPr="00BF334C">
              <w:rPr>
                <w:vertAlign w:val="superscript"/>
              </w:rPr>
              <w:t>a</w:t>
            </w:r>
            <w:r w:rsidRPr="007A28B5">
              <w:t xml:space="preserve"> </w:t>
            </w:r>
            <w:r>
              <w:t xml:space="preserve"> </w:t>
            </w:r>
            <w:r w:rsidRPr="007A28B5">
              <w:t>Without</w:t>
            </w:r>
            <w:proofErr w:type="gramEnd"/>
            <w:r w:rsidRPr="007A28B5">
              <w:t xml:space="preserve"> Fail Rate: defined as the proportion of patients with TIA diagnosis that received all of the processes of care for which they were eligible; calculated at facility level based on validated algorithms of EHR data.</w:t>
            </w:r>
            <w:r w:rsidRPr="007A28B5">
              <w:fldChar w:fldCharType="begin">
                <w:fldData xml:space="preserve">PEVuZE5vdGU+PENpdGU+PEF1dGhvcj5CcmF2YXRhPC9BdXRob3I+PFllYXI+MjAxODwvWWVhcj48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PEVuZE5vdGU+PENpdGU+PEF1dGhvcj5CcmF2YXRhPC9BdXRob3I+PFllYXI+MjAxODwvWWVhcj48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 w:rsidRPr="007A28B5">
              <w:fldChar w:fldCharType="separate"/>
            </w:r>
            <w:r w:rsidRPr="00E00C37">
              <w:rPr>
                <w:noProof/>
                <w:vertAlign w:val="superscript"/>
              </w:rPr>
              <w:t>45</w:t>
            </w:r>
            <w:r w:rsidRPr="007A28B5">
              <w:fldChar w:fldCharType="end"/>
            </w:r>
            <w:r w:rsidRPr="007A28B5">
              <w:t xml:space="preserve"> </w:t>
            </w:r>
          </w:p>
          <w:p w:rsidR="0037249B" w:rsidRPr="00BF334C" w:rsidRDefault="0037249B" w:rsidP="005E189E">
            <w:proofErr w:type="gramStart"/>
            <w:r w:rsidRPr="00BF334C">
              <w:rPr>
                <w:vertAlign w:val="superscript"/>
              </w:rPr>
              <w:t>b</w:t>
            </w:r>
            <w:proofErr w:type="gramEnd"/>
            <w:r>
              <w:rPr>
                <w:vertAlign w:val="superscript"/>
              </w:rPr>
              <w:t xml:space="preserve">   </w:t>
            </w:r>
            <w:r w:rsidRPr="00BF334C">
              <w:t>Patient Risk Score:</w:t>
            </w:r>
            <w:r>
              <w:rPr>
                <w:vertAlign w:val="superscript"/>
              </w:rPr>
              <w:t xml:space="preserve"> </w:t>
            </w:r>
            <w:r>
              <w:t xml:space="preserve">describes the predicted risk of death within 1 year after TIA, based on both patient characteristics and care processes. </w:t>
            </w:r>
          </w:p>
        </w:tc>
      </w:tr>
    </w:tbl>
    <w:p w:rsidR="0037249B" w:rsidRDefault="0037249B" w:rsidP="0037249B"/>
    <w:p w:rsidR="0037249B" w:rsidRDefault="0037249B" w:rsidP="0037249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37249B" w:rsidRDefault="0037249B" w:rsidP="0037249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Appendix</w:t>
      </w:r>
      <w:r w:rsidRPr="00F5187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B.</w:t>
      </w:r>
      <w:r w:rsidRPr="00F5187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Glossary of Abbreviations</w:t>
      </w:r>
    </w:p>
    <w:p w:rsidR="0037249B" w:rsidRDefault="0037249B" w:rsidP="0037249B">
      <w:pPr>
        <w:jc w:val="center"/>
      </w:pPr>
    </w:p>
    <w:p w:rsidR="0037249B" w:rsidRPr="00AB740F" w:rsidRDefault="0037249B" w:rsidP="0037249B">
      <w:pPr>
        <w:spacing w:line="480" w:lineRule="auto"/>
        <w:rPr>
          <w:rFonts w:ascii="Times New Roman" w:hAnsi="Times New Roman" w:cs="Times New Roman"/>
        </w:rPr>
      </w:pPr>
      <w:r w:rsidRPr="00AB740F">
        <w:rPr>
          <w:rFonts w:ascii="Times New Roman" w:hAnsi="Times New Roman" w:cs="Times New Roman"/>
          <w:b/>
        </w:rPr>
        <w:t>A&amp;F</w:t>
      </w:r>
      <w:r w:rsidRPr="00AB740F">
        <w:rPr>
          <w:rFonts w:ascii="Times New Roman" w:hAnsi="Times New Roman" w:cs="Times New Roman"/>
        </w:rPr>
        <w:t>: Audit and Feedback</w:t>
      </w:r>
    </w:p>
    <w:p w:rsidR="0037249B" w:rsidRPr="00AB740F" w:rsidRDefault="0037249B" w:rsidP="0037249B">
      <w:pPr>
        <w:spacing w:line="480" w:lineRule="auto"/>
        <w:rPr>
          <w:rFonts w:ascii="Times New Roman" w:hAnsi="Times New Roman" w:cs="Times New Roman"/>
        </w:rPr>
      </w:pPr>
      <w:r w:rsidRPr="00AB740F">
        <w:rPr>
          <w:rFonts w:ascii="Times New Roman" w:hAnsi="Times New Roman" w:cs="Times New Roman"/>
          <w:b/>
        </w:rPr>
        <w:t>CDW</w:t>
      </w:r>
      <w:r w:rsidRPr="00AB740F">
        <w:rPr>
          <w:rFonts w:ascii="Times New Roman" w:hAnsi="Times New Roman" w:cs="Times New Roman"/>
        </w:rPr>
        <w:t>: Corporate Data Warehouse</w:t>
      </w:r>
    </w:p>
    <w:p w:rsidR="0037249B" w:rsidRPr="00AB740F" w:rsidRDefault="0037249B" w:rsidP="0037249B">
      <w:pPr>
        <w:spacing w:line="480" w:lineRule="auto"/>
        <w:rPr>
          <w:rFonts w:ascii="Times New Roman" w:hAnsi="Times New Roman" w:cs="Times New Roman"/>
        </w:rPr>
      </w:pPr>
      <w:r w:rsidRPr="00AB740F">
        <w:rPr>
          <w:rFonts w:ascii="Times New Roman" w:hAnsi="Times New Roman" w:cs="Times New Roman"/>
          <w:b/>
        </w:rPr>
        <w:t>CFIR</w:t>
      </w:r>
      <w:r w:rsidRPr="00AB740F">
        <w:rPr>
          <w:rFonts w:ascii="Times New Roman" w:hAnsi="Times New Roman" w:cs="Times New Roman"/>
        </w:rPr>
        <w:t>: Consolidated Framework for Implementation Research</w:t>
      </w:r>
    </w:p>
    <w:p w:rsidR="0037249B" w:rsidRPr="00AB740F" w:rsidRDefault="0037249B" w:rsidP="0037249B">
      <w:pPr>
        <w:spacing w:line="480" w:lineRule="auto"/>
        <w:rPr>
          <w:rFonts w:ascii="Times New Roman" w:hAnsi="Times New Roman" w:cs="Times New Roman"/>
        </w:rPr>
      </w:pPr>
      <w:r w:rsidRPr="00AB740F">
        <w:rPr>
          <w:rFonts w:ascii="Times New Roman" w:hAnsi="Times New Roman" w:cs="Times New Roman"/>
          <w:b/>
        </w:rPr>
        <w:t>EHR</w:t>
      </w:r>
      <w:r w:rsidRPr="00AB740F">
        <w:rPr>
          <w:rFonts w:ascii="Times New Roman" w:hAnsi="Times New Roman" w:cs="Times New Roman"/>
        </w:rPr>
        <w:t xml:space="preserve">: Electronic Health Record </w:t>
      </w:r>
    </w:p>
    <w:p w:rsidR="0037249B" w:rsidRPr="00AB740F" w:rsidRDefault="0037249B" w:rsidP="0037249B">
      <w:pPr>
        <w:spacing w:line="480" w:lineRule="auto"/>
        <w:rPr>
          <w:rFonts w:ascii="Times New Roman" w:hAnsi="Times New Roman" w:cs="Times New Roman"/>
        </w:rPr>
      </w:pPr>
      <w:r w:rsidRPr="00AB740F">
        <w:rPr>
          <w:rFonts w:ascii="Times New Roman" w:hAnsi="Times New Roman" w:cs="Times New Roman"/>
          <w:b/>
        </w:rPr>
        <w:t>IOP</w:t>
      </w:r>
      <w:r w:rsidRPr="00AB740F">
        <w:rPr>
          <w:rFonts w:ascii="Times New Roman" w:hAnsi="Times New Roman" w:cs="Times New Roman"/>
        </w:rPr>
        <w:t>: Integrated Operational Platform</w:t>
      </w:r>
    </w:p>
    <w:p w:rsidR="0037249B" w:rsidRPr="00AB740F" w:rsidRDefault="0037249B" w:rsidP="0037249B">
      <w:pPr>
        <w:spacing w:line="480" w:lineRule="auto"/>
        <w:rPr>
          <w:rFonts w:ascii="Times New Roman" w:hAnsi="Times New Roman" w:cs="Times New Roman"/>
        </w:rPr>
      </w:pPr>
      <w:r w:rsidRPr="00AB740F">
        <w:rPr>
          <w:rFonts w:ascii="Times New Roman" w:hAnsi="Times New Roman" w:cs="Times New Roman"/>
          <w:b/>
        </w:rPr>
        <w:t>LHS</w:t>
      </w:r>
      <w:r w:rsidRPr="00AB740F">
        <w:rPr>
          <w:rFonts w:ascii="Times New Roman" w:hAnsi="Times New Roman" w:cs="Times New Roman"/>
        </w:rPr>
        <w:t>: Learning Health System</w:t>
      </w:r>
    </w:p>
    <w:p w:rsidR="0037249B" w:rsidRPr="00AB740F" w:rsidRDefault="0037249B" w:rsidP="0037249B">
      <w:pPr>
        <w:spacing w:line="480" w:lineRule="auto"/>
        <w:rPr>
          <w:rFonts w:ascii="Times New Roman" w:hAnsi="Times New Roman" w:cs="Times New Roman"/>
        </w:rPr>
      </w:pPr>
      <w:r w:rsidRPr="00AB740F">
        <w:rPr>
          <w:rFonts w:ascii="Times New Roman" w:hAnsi="Times New Roman" w:cs="Times New Roman"/>
          <w:b/>
        </w:rPr>
        <w:t>PREVENT</w:t>
      </w:r>
      <w:r w:rsidRPr="00AB740F">
        <w:rPr>
          <w:rFonts w:ascii="Times New Roman" w:hAnsi="Times New Roman" w:cs="Times New Roman"/>
        </w:rPr>
        <w:t>: Protocol-guided Rapid Evaluation of Veterans Experiencing New Transient Neurological Symptoms</w:t>
      </w:r>
    </w:p>
    <w:p w:rsidR="0037249B" w:rsidRPr="00AB740F" w:rsidRDefault="0037249B" w:rsidP="0037249B">
      <w:pPr>
        <w:spacing w:line="480" w:lineRule="auto"/>
        <w:rPr>
          <w:rFonts w:ascii="Times New Roman" w:hAnsi="Times New Roman" w:cs="Times New Roman"/>
        </w:rPr>
      </w:pPr>
      <w:r w:rsidRPr="00AB740F">
        <w:rPr>
          <w:rFonts w:ascii="Times New Roman" w:hAnsi="Times New Roman" w:cs="Times New Roman"/>
          <w:b/>
        </w:rPr>
        <w:t>TIA</w:t>
      </w:r>
      <w:r w:rsidRPr="00AB740F">
        <w:rPr>
          <w:rFonts w:ascii="Times New Roman" w:hAnsi="Times New Roman" w:cs="Times New Roman"/>
        </w:rPr>
        <w:t>: Transient Ischemic Attack</w:t>
      </w:r>
    </w:p>
    <w:p w:rsidR="0037249B" w:rsidRPr="00AB740F" w:rsidRDefault="0037249B" w:rsidP="0037249B">
      <w:pPr>
        <w:spacing w:line="480" w:lineRule="auto"/>
        <w:rPr>
          <w:rFonts w:ascii="Times New Roman" w:hAnsi="Times New Roman" w:cs="Times New Roman"/>
        </w:rPr>
      </w:pPr>
      <w:r w:rsidRPr="00AB740F">
        <w:rPr>
          <w:rFonts w:ascii="Times New Roman" w:hAnsi="Times New Roman" w:cs="Times New Roman"/>
          <w:b/>
        </w:rPr>
        <w:t>QI</w:t>
      </w:r>
      <w:r w:rsidRPr="00AB740F">
        <w:rPr>
          <w:rFonts w:ascii="Times New Roman" w:hAnsi="Times New Roman" w:cs="Times New Roman"/>
        </w:rPr>
        <w:t>: Quality Improvement</w:t>
      </w:r>
    </w:p>
    <w:p w:rsidR="0037249B" w:rsidRPr="00AB740F" w:rsidRDefault="0037249B" w:rsidP="0037249B">
      <w:pPr>
        <w:spacing w:line="480" w:lineRule="auto"/>
        <w:rPr>
          <w:rFonts w:ascii="Times New Roman" w:hAnsi="Times New Roman" w:cs="Times New Roman"/>
        </w:rPr>
      </w:pPr>
      <w:r w:rsidRPr="00AB740F">
        <w:rPr>
          <w:rFonts w:ascii="Times New Roman" w:hAnsi="Times New Roman" w:cs="Times New Roman"/>
          <w:b/>
        </w:rPr>
        <w:t>VA</w:t>
      </w:r>
      <w:r w:rsidRPr="00AB740F">
        <w:rPr>
          <w:rFonts w:ascii="Times New Roman" w:hAnsi="Times New Roman" w:cs="Times New Roman"/>
        </w:rPr>
        <w:t>: Veterans Affairs</w:t>
      </w:r>
    </w:p>
    <w:p w:rsidR="0037249B" w:rsidRPr="00AB740F" w:rsidRDefault="0037249B" w:rsidP="0037249B">
      <w:pPr>
        <w:spacing w:line="480" w:lineRule="auto"/>
        <w:rPr>
          <w:rFonts w:ascii="Times New Roman" w:hAnsi="Times New Roman" w:cs="Times New Roman"/>
        </w:rPr>
      </w:pPr>
      <w:r w:rsidRPr="00AB740F">
        <w:rPr>
          <w:rFonts w:ascii="Times New Roman" w:hAnsi="Times New Roman" w:cs="Times New Roman"/>
          <w:b/>
        </w:rPr>
        <w:t>WFR</w:t>
      </w:r>
      <w:r w:rsidRPr="00AB740F">
        <w:rPr>
          <w:rFonts w:ascii="Times New Roman" w:hAnsi="Times New Roman" w:cs="Times New Roman"/>
        </w:rPr>
        <w:t>: Without Fail Rate</w:t>
      </w:r>
    </w:p>
    <w:p w:rsidR="00E96F34" w:rsidRDefault="00E96F34"/>
    <w:sectPr w:rsidR="00E96F34" w:rsidSect="0037249B">
      <w:headerReference w:type="default" r:id="rId7"/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734" w:rsidRDefault="00574734">
      <w:pPr>
        <w:spacing w:after="0" w:line="240" w:lineRule="auto"/>
      </w:pPr>
      <w:r>
        <w:separator/>
      </w:r>
    </w:p>
  </w:endnote>
  <w:endnote w:type="continuationSeparator" w:id="0">
    <w:p w:rsidR="00574734" w:rsidRDefault="00574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6B1" w:rsidRDefault="0037249B" w:rsidP="003E1E5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556B1" w:rsidRDefault="0057473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sz w:val="20"/>
        <w:szCs w:val="20"/>
      </w:rPr>
      <w:id w:val="8835214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556B1" w:rsidRPr="00CD1155" w:rsidRDefault="0037249B">
        <w:pPr>
          <w:pStyle w:val="Footer"/>
          <w:jc w:val="center"/>
          <w:rPr>
            <w:rFonts w:asciiTheme="minorHAnsi" w:hAnsiTheme="minorHAnsi"/>
            <w:sz w:val="20"/>
            <w:szCs w:val="20"/>
          </w:rPr>
        </w:pPr>
        <w:r w:rsidRPr="00CD1155">
          <w:rPr>
            <w:rFonts w:asciiTheme="minorHAnsi" w:hAnsiTheme="minorHAnsi"/>
            <w:sz w:val="20"/>
            <w:szCs w:val="20"/>
          </w:rPr>
          <w:fldChar w:fldCharType="begin"/>
        </w:r>
        <w:r w:rsidRPr="00CD1155">
          <w:rPr>
            <w:rFonts w:asciiTheme="minorHAnsi" w:hAnsiTheme="minorHAnsi"/>
            <w:sz w:val="20"/>
            <w:szCs w:val="20"/>
          </w:rPr>
          <w:instrText xml:space="preserve"> PAGE   \* MERGEFORMAT </w:instrText>
        </w:r>
        <w:r w:rsidRPr="00CD1155">
          <w:rPr>
            <w:rFonts w:asciiTheme="minorHAnsi" w:hAnsiTheme="minorHAnsi"/>
            <w:sz w:val="20"/>
            <w:szCs w:val="20"/>
          </w:rPr>
          <w:fldChar w:fldCharType="separate"/>
        </w:r>
        <w:r w:rsidR="00177220">
          <w:rPr>
            <w:rFonts w:asciiTheme="minorHAnsi" w:hAnsiTheme="minorHAnsi"/>
            <w:noProof/>
            <w:sz w:val="20"/>
            <w:szCs w:val="20"/>
          </w:rPr>
          <w:t>0</w:t>
        </w:r>
        <w:r w:rsidRPr="00CD1155">
          <w:rPr>
            <w:rFonts w:asciiTheme="minorHAnsi" w:hAnsiTheme="minorHAnsi"/>
            <w:noProof/>
            <w:sz w:val="20"/>
            <w:szCs w:val="20"/>
          </w:rPr>
          <w:fldChar w:fldCharType="end"/>
        </w:r>
      </w:p>
    </w:sdtContent>
  </w:sdt>
  <w:p w:rsidR="00E556B1" w:rsidRDefault="00574734" w:rsidP="00027385">
    <w:pPr>
      <w:pStyle w:val="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95494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556B1" w:rsidRDefault="003724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556B1" w:rsidRDefault="005747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734" w:rsidRDefault="00574734">
      <w:pPr>
        <w:spacing w:after="0" w:line="240" w:lineRule="auto"/>
      </w:pPr>
      <w:r>
        <w:separator/>
      </w:r>
    </w:p>
  </w:footnote>
  <w:footnote w:type="continuationSeparator" w:id="0">
    <w:p w:rsidR="00574734" w:rsidRDefault="00574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6B1" w:rsidRPr="00751C03" w:rsidRDefault="00574734" w:rsidP="003904D5">
    <w:pPr>
      <w:pStyle w:val="Header"/>
      <w:jc w:val="center"/>
      <w:rPr>
        <w:sz w:val="20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37249B"/>
    <w:rsid w:val="0000184F"/>
    <w:rsid w:val="000A1B06"/>
    <w:rsid w:val="000F391A"/>
    <w:rsid w:val="0011330D"/>
    <w:rsid w:val="00177220"/>
    <w:rsid w:val="00177F50"/>
    <w:rsid w:val="002422BF"/>
    <w:rsid w:val="002573B4"/>
    <w:rsid w:val="002872EB"/>
    <w:rsid w:val="002D3F7F"/>
    <w:rsid w:val="00340233"/>
    <w:rsid w:val="0037249B"/>
    <w:rsid w:val="003867FD"/>
    <w:rsid w:val="00432D74"/>
    <w:rsid w:val="004B055D"/>
    <w:rsid w:val="004E0F70"/>
    <w:rsid w:val="00574734"/>
    <w:rsid w:val="006024BC"/>
    <w:rsid w:val="00612647"/>
    <w:rsid w:val="0067069B"/>
    <w:rsid w:val="006D5C0D"/>
    <w:rsid w:val="0078109E"/>
    <w:rsid w:val="007A019A"/>
    <w:rsid w:val="007D08EC"/>
    <w:rsid w:val="007F345A"/>
    <w:rsid w:val="00861179"/>
    <w:rsid w:val="008B55D8"/>
    <w:rsid w:val="00901847"/>
    <w:rsid w:val="00943BD9"/>
    <w:rsid w:val="00A33FE4"/>
    <w:rsid w:val="00A556A1"/>
    <w:rsid w:val="00AC1A65"/>
    <w:rsid w:val="00AC5981"/>
    <w:rsid w:val="00AD5DFD"/>
    <w:rsid w:val="00AD7F35"/>
    <w:rsid w:val="00B41203"/>
    <w:rsid w:val="00B50495"/>
    <w:rsid w:val="00CA61D9"/>
    <w:rsid w:val="00D16306"/>
    <w:rsid w:val="00E96F34"/>
    <w:rsid w:val="00EA78A0"/>
    <w:rsid w:val="00EB2752"/>
    <w:rsid w:val="00ED35C3"/>
    <w:rsid w:val="00F118B7"/>
    <w:rsid w:val="00F43662"/>
    <w:rsid w:val="00FF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7249B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37249B"/>
    <w:rPr>
      <w:rFonts w:ascii="Arial" w:eastAsia="Times New Roman" w:hAnsi="Arial" w:cs="Times New Roman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rsid w:val="0037249B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37249B"/>
    <w:rPr>
      <w:rFonts w:ascii="Arial" w:eastAsia="Times New Roman" w:hAnsi="Arial" w:cs="Times New Roman"/>
      <w:lang w:val="x-none" w:eastAsia="x-none"/>
    </w:rPr>
  </w:style>
  <w:style w:type="character" w:styleId="PageNumber">
    <w:name w:val="page number"/>
    <w:basedOn w:val="DefaultParagraphFont"/>
    <w:rsid w:val="0037249B"/>
  </w:style>
  <w:style w:type="table" w:styleId="TableGrid">
    <w:name w:val="Table Grid"/>
    <w:basedOn w:val="TableNormal"/>
    <w:rsid w:val="00372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3724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7249B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37249B"/>
    <w:rPr>
      <w:rFonts w:ascii="Arial" w:eastAsia="Times New Roman" w:hAnsi="Arial" w:cs="Times New Roman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rsid w:val="0037249B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37249B"/>
    <w:rPr>
      <w:rFonts w:ascii="Arial" w:eastAsia="Times New Roman" w:hAnsi="Arial" w:cs="Times New Roman"/>
      <w:lang w:val="x-none" w:eastAsia="x-none"/>
    </w:rPr>
  </w:style>
  <w:style w:type="character" w:styleId="PageNumber">
    <w:name w:val="page number"/>
    <w:basedOn w:val="DefaultParagraphFont"/>
    <w:rsid w:val="0037249B"/>
  </w:style>
  <w:style w:type="table" w:styleId="TableGrid">
    <w:name w:val="Table Grid"/>
    <w:basedOn w:val="TableNormal"/>
    <w:rsid w:val="00372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372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1755</Characters>
  <Application>Microsoft Office Word</Application>
  <DocSecurity>0</DocSecurity>
  <Lines>73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RARAMOS</dc:creator>
  <cp:lastModifiedBy>RARAMOS</cp:lastModifiedBy>
  <cp:revision>2</cp:revision>
  <dcterms:created xsi:type="dcterms:W3CDTF">2020-08-24T22:11:00Z</dcterms:created>
  <dcterms:modified xsi:type="dcterms:W3CDTF">2020-08-24T22:12:00Z</dcterms:modified>
</cp:coreProperties>
</file>