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BBB" w:rsidRPr="00CD0789" w:rsidRDefault="00264BBB" w:rsidP="00264BBB">
      <w:pPr>
        <w:spacing w:line="480" w:lineRule="auto"/>
        <w:rPr>
          <w:rFonts w:cstheme="minorHAnsi"/>
          <w:b/>
          <w:bCs/>
          <w:sz w:val="24"/>
          <w:szCs w:val="24"/>
          <w:lang w:val="en-US"/>
        </w:rPr>
      </w:pPr>
      <w:proofErr w:type="gramStart"/>
      <w:r w:rsidRPr="003F75F7">
        <w:rPr>
          <w:rFonts w:cstheme="minorHAnsi"/>
          <w:b/>
          <w:bCs/>
          <w:sz w:val="24"/>
          <w:szCs w:val="24"/>
          <w:lang w:val="en-US"/>
        </w:rPr>
        <w:t>Supplementary Appendix Table.</w:t>
      </w:r>
      <w:proofErr w:type="gramEnd"/>
      <w:r w:rsidRPr="003F75F7">
        <w:rPr>
          <w:rFonts w:cstheme="minorHAnsi"/>
          <w:sz w:val="24"/>
          <w:szCs w:val="24"/>
          <w:lang w:val="en-US"/>
        </w:rPr>
        <w:t xml:space="preserve"> </w:t>
      </w:r>
      <w:r w:rsidRPr="00CD0789">
        <w:rPr>
          <w:rFonts w:cstheme="minorHAnsi"/>
          <w:b/>
          <w:bCs/>
          <w:sz w:val="24"/>
          <w:szCs w:val="24"/>
          <w:lang w:val="en-US"/>
        </w:rPr>
        <w:t>Causes of death according to categories of estimate glomerular filtration rate (</w:t>
      </w:r>
      <w:proofErr w:type="spellStart"/>
      <w:r w:rsidRPr="00CD0789">
        <w:rPr>
          <w:rFonts w:cstheme="minorHAnsi"/>
          <w:b/>
          <w:bCs/>
          <w:sz w:val="24"/>
          <w:szCs w:val="24"/>
          <w:lang w:val="en-US"/>
        </w:rPr>
        <w:t>eGFR</w:t>
      </w:r>
      <w:proofErr w:type="spellEnd"/>
      <w:r w:rsidRPr="00CD0789">
        <w:rPr>
          <w:rFonts w:cstheme="minorHAnsi"/>
          <w:b/>
          <w:bCs/>
          <w:sz w:val="24"/>
          <w:szCs w:val="24"/>
          <w:lang w:val="en-US"/>
        </w:rPr>
        <w:t>)</w:t>
      </w:r>
    </w:p>
    <w:tbl>
      <w:tblPr>
        <w:tblStyle w:val="TableGrid"/>
        <w:tblW w:w="8642" w:type="dxa"/>
        <w:jc w:val="center"/>
        <w:tblLook w:val="04A0" w:firstRow="1" w:lastRow="0" w:firstColumn="1" w:lastColumn="0" w:noHBand="0" w:noVBand="1"/>
      </w:tblPr>
      <w:tblGrid>
        <w:gridCol w:w="2830"/>
        <w:gridCol w:w="1134"/>
        <w:gridCol w:w="1134"/>
        <w:gridCol w:w="1134"/>
        <w:gridCol w:w="1276"/>
        <w:gridCol w:w="1134"/>
      </w:tblGrid>
      <w:tr w:rsidR="00264BBB" w:rsidRPr="001C0263" w:rsidTr="005430AD">
        <w:trPr>
          <w:trHeight w:val="279"/>
          <w:jc w:val="center"/>
        </w:trPr>
        <w:tc>
          <w:tcPr>
            <w:tcW w:w="2830" w:type="dxa"/>
            <w:vAlign w:val="center"/>
          </w:tcPr>
          <w:p w:rsidR="00264BBB" w:rsidRPr="00311439" w:rsidRDefault="00264BBB" w:rsidP="005430AD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812" w:type="dxa"/>
            <w:gridSpan w:val="5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311439">
              <w:rPr>
                <w:rFonts w:cstheme="minorHAnsi"/>
                <w:sz w:val="20"/>
                <w:szCs w:val="20"/>
                <w:lang w:val="en-US"/>
              </w:rPr>
              <w:t>eGFR</w:t>
            </w:r>
            <w:proofErr w:type="spellEnd"/>
            <w:r w:rsidRPr="00311439">
              <w:rPr>
                <w:rFonts w:cstheme="minorHAnsi"/>
                <w:sz w:val="20"/>
                <w:szCs w:val="20"/>
                <w:lang w:val="en-US"/>
              </w:rPr>
              <w:t xml:space="preserve"> category (ml/min/1.73 m</w:t>
            </w:r>
            <w:r w:rsidRPr="0031143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2</w:t>
            </w:r>
            <w:r w:rsidRPr="00311439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</w:tr>
      <w:tr w:rsidR="00264BBB" w:rsidRPr="00311439" w:rsidTr="005430AD">
        <w:trPr>
          <w:trHeight w:val="279"/>
          <w:jc w:val="center"/>
        </w:trPr>
        <w:tc>
          <w:tcPr>
            <w:tcW w:w="2830" w:type="dxa"/>
            <w:vAlign w:val="center"/>
          </w:tcPr>
          <w:p w:rsidR="00264BBB" w:rsidRPr="00311439" w:rsidRDefault="00264BBB" w:rsidP="005430AD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Causes of death</w:t>
            </w:r>
          </w:p>
          <w:p w:rsidR="00264BBB" w:rsidRPr="00311439" w:rsidRDefault="00264BBB" w:rsidP="005430AD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(ICD-10 codes)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 w:rsidRPr="00311439">
              <w:rPr>
                <w:rFonts w:cstheme="minorHAnsi"/>
                <w:sz w:val="20"/>
                <w:szCs w:val="20"/>
                <w:lang w:val="sv-SE"/>
              </w:rPr>
              <w:t>&lt;60</w:t>
            </w:r>
          </w:p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 w:rsidRPr="00311439">
              <w:rPr>
                <w:rFonts w:cstheme="minorHAnsi"/>
                <w:sz w:val="20"/>
                <w:szCs w:val="20"/>
                <w:lang w:val="sv-SE"/>
              </w:rPr>
              <w:t>(N=14)</w:t>
            </w:r>
          </w:p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 w:rsidRPr="00311439">
              <w:rPr>
                <w:rFonts w:cstheme="minorHAnsi"/>
                <w:sz w:val="20"/>
                <w:szCs w:val="20"/>
                <w:lang w:val="sv-SE"/>
              </w:rPr>
              <w:t>n (%)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 w:rsidRPr="00311439">
              <w:rPr>
                <w:rFonts w:cstheme="minorHAnsi"/>
                <w:sz w:val="20"/>
                <w:szCs w:val="20"/>
                <w:lang w:val="sv-SE"/>
              </w:rPr>
              <w:t>60–74</w:t>
            </w:r>
          </w:p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 w:rsidRPr="00311439">
              <w:rPr>
                <w:rFonts w:cstheme="minorHAnsi"/>
                <w:sz w:val="20"/>
                <w:szCs w:val="20"/>
                <w:lang w:val="sv-SE"/>
              </w:rPr>
              <w:t>(N=41)</w:t>
            </w:r>
          </w:p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 w:rsidRPr="00311439">
              <w:rPr>
                <w:rFonts w:cstheme="minorHAnsi"/>
                <w:sz w:val="20"/>
                <w:szCs w:val="20"/>
                <w:lang w:val="sv-SE"/>
              </w:rPr>
              <w:t>n (%)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 w:rsidRPr="00311439">
              <w:rPr>
                <w:rFonts w:cstheme="minorHAnsi"/>
                <w:sz w:val="20"/>
                <w:szCs w:val="20"/>
                <w:lang w:val="sv-SE"/>
              </w:rPr>
              <w:t>75–89</w:t>
            </w:r>
          </w:p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 w:rsidRPr="00311439">
              <w:rPr>
                <w:rFonts w:cstheme="minorHAnsi"/>
                <w:sz w:val="20"/>
                <w:szCs w:val="20"/>
                <w:lang w:val="sv-SE"/>
              </w:rPr>
              <w:t>(N=69)</w:t>
            </w:r>
          </w:p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 w:rsidRPr="00311439">
              <w:rPr>
                <w:rFonts w:cstheme="minorHAnsi"/>
                <w:sz w:val="20"/>
                <w:szCs w:val="20"/>
                <w:lang w:val="sv-SE"/>
              </w:rPr>
              <w:t>n (%)</w:t>
            </w:r>
          </w:p>
        </w:tc>
        <w:tc>
          <w:tcPr>
            <w:tcW w:w="1276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 w:rsidRPr="00311439">
              <w:rPr>
                <w:rFonts w:cstheme="minorHAnsi"/>
                <w:sz w:val="20"/>
                <w:szCs w:val="20"/>
                <w:lang w:val="sv-SE"/>
              </w:rPr>
              <w:t>90–105</w:t>
            </w:r>
          </w:p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 w:rsidRPr="00311439">
              <w:rPr>
                <w:rFonts w:cstheme="minorHAnsi"/>
                <w:sz w:val="20"/>
                <w:szCs w:val="20"/>
                <w:lang w:val="sv-SE"/>
              </w:rPr>
              <w:t>(N=89)</w:t>
            </w:r>
          </w:p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 w:rsidRPr="00311439">
              <w:rPr>
                <w:rFonts w:cstheme="minorHAnsi"/>
                <w:sz w:val="20"/>
                <w:szCs w:val="20"/>
                <w:lang w:val="sv-SE"/>
              </w:rPr>
              <w:t>n (%)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 w:rsidRPr="00311439">
              <w:rPr>
                <w:rFonts w:cstheme="minorHAnsi"/>
                <w:sz w:val="20"/>
                <w:szCs w:val="20"/>
                <w:lang w:val="sv-SE"/>
              </w:rPr>
              <w:t>≥105</w:t>
            </w:r>
            <w:r w:rsidRPr="00311439">
              <w:rPr>
                <w:rFonts w:cstheme="minorHAnsi"/>
                <w:sz w:val="20"/>
                <w:szCs w:val="20"/>
                <w:lang w:val="sv-SE"/>
              </w:rPr>
              <w:br/>
              <w:t>(N=17)</w:t>
            </w:r>
          </w:p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sv-SE"/>
              </w:rPr>
            </w:pPr>
            <w:r w:rsidRPr="00311439">
              <w:rPr>
                <w:rFonts w:cstheme="minorHAnsi"/>
                <w:sz w:val="20"/>
                <w:szCs w:val="20"/>
                <w:lang w:val="sv-SE"/>
              </w:rPr>
              <w:t>n (%)</w:t>
            </w:r>
          </w:p>
        </w:tc>
      </w:tr>
      <w:tr w:rsidR="00264BBB" w:rsidRPr="00311439" w:rsidTr="005430AD">
        <w:trPr>
          <w:trHeight w:val="279"/>
          <w:jc w:val="center"/>
        </w:trPr>
        <w:tc>
          <w:tcPr>
            <w:tcW w:w="2830" w:type="dxa"/>
            <w:vAlign w:val="center"/>
          </w:tcPr>
          <w:p w:rsidR="00264BBB" w:rsidRPr="00311439" w:rsidRDefault="00264BBB" w:rsidP="005430AD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Malignant neoplasms</w:t>
            </w:r>
          </w:p>
          <w:p w:rsidR="00264BBB" w:rsidRPr="00311439" w:rsidRDefault="00264BBB" w:rsidP="005430AD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(C00-D48)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4 (29)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21 (51)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21 (30)</w:t>
            </w:r>
          </w:p>
        </w:tc>
        <w:tc>
          <w:tcPr>
            <w:tcW w:w="1276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46 (52)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5 (29)</w:t>
            </w:r>
          </w:p>
        </w:tc>
      </w:tr>
      <w:tr w:rsidR="00264BBB" w:rsidRPr="00311439" w:rsidTr="005430AD">
        <w:trPr>
          <w:trHeight w:val="279"/>
          <w:jc w:val="center"/>
        </w:trPr>
        <w:tc>
          <w:tcPr>
            <w:tcW w:w="2830" w:type="dxa"/>
            <w:vAlign w:val="center"/>
          </w:tcPr>
          <w:p w:rsidR="00264BBB" w:rsidRPr="00311439" w:rsidRDefault="00264BBB" w:rsidP="005430AD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Diseases of the nervous system (G00-G99)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1 (7)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3 (7)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8 (12)</w:t>
            </w:r>
          </w:p>
        </w:tc>
        <w:tc>
          <w:tcPr>
            <w:tcW w:w="1276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2 (2)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1 (6)</w:t>
            </w:r>
          </w:p>
        </w:tc>
      </w:tr>
      <w:tr w:rsidR="00264BBB" w:rsidRPr="00311439" w:rsidTr="005430AD">
        <w:trPr>
          <w:trHeight w:val="279"/>
          <w:jc w:val="center"/>
        </w:trPr>
        <w:tc>
          <w:tcPr>
            <w:tcW w:w="2830" w:type="dxa"/>
            <w:vAlign w:val="center"/>
          </w:tcPr>
          <w:p w:rsidR="00264BBB" w:rsidRPr="00311439" w:rsidRDefault="00264BBB" w:rsidP="005430AD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Diseases of the circulatory system (I00-I99)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4 (29)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11 (27)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22 (32)</w:t>
            </w:r>
          </w:p>
        </w:tc>
        <w:tc>
          <w:tcPr>
            <w:tcW w:w="1276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27 (30)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4 (24)</w:t>
            </w:r>
          </w:p>
        </w:tc>
      </w:tr>
      <w:tr w:rsidR="00264BBB" w:rsidRPr="00311439" w:rsidTr="005430AD">
        <w:trPr>
          <w:trHeight w:val="279"/>
          <w:jc w:val="center"/>
        </w:trPr>
        <w:tc>
          <w:tcPr>
            <w:tcW w:w="2830" w:type="dxa"/>
            <w:vAlign w:val="center"/>
          </w:tcPr>
          <w:p w:rsidR="00264BBB" w:rsidRPr="00311439" w:rsidRDefault="00264BBB" w:rsidP="005430AD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Diseases of the respiratory system (J00-J99)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1 (7)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5 (7)</w:t>
            </w:r>
          </w:p>
        </w:tc>
        <w:tc>
          <w:tcPr>
            <w:tcW w:w="1276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1 (1)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1 (6)</w:t>
            </w:r>
          </w:p>
        </w:tc>
      </w:tr>
      <w:tr w:rsidR="00264BBB" w:rsidRPr="00311439" w:rsidTr="005430AD">
        <w:trPr>
          <w:trHeight w:val="279"/>
          <w:jc w:val="center"/>
        </w:trPr>
        <w:tc>
          <w:tcPr>
            <w:tcW w:w="2830" w:type="dxa"/>
            <w:vAlign w:val="center"/>
          </w:tcPr>
          <w:p w:rsidR="00264BBB" w:rsidRPr="00311439" w:rsidRDefault="00264BBB" w:rsidP="005430AD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Diseases of the digestive system (K00-K93)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1 (7)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1 (2)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1 (1)</w:t>
            </w:r>
          </w:p>
        </w:tc>
        <w:tc>
          <w:tcPr>
            <w:tcW w:w="1276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5 (6)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4 (24)</w:t>
            </w:r>
          </w:p>
        </w:tc>
      </w:tr>
      <w:tr w:rsidR="00264BBB" w:rsidRPr="00311439" w:rsidTr="005430AD">
        <w:trPr>
          <w:trHeight w:val="279"/>
          <w:jc w:val="center"/>
        </w:trPr>
        <w:tc>
          <w:tcPr>
            <w:tcW w:w="2830" w:type="dxa"/>
            <w:vAlign w:val="center"/>
          </w:tcPr>
          <w:p w:rsidR="00264BBB" w:rsidRPr="00311439" w:rsidRDefault="00264BBB" w:rsidP="005430AD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External causes</w:t>
            </w:r>
          </w:p>
          <w:p w:rsidR="00264BBB" w:rsidRPr="00311439" w:rsidRDefault="00264BBB" w:rsidP="005430AD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(V01-Y98)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5 (12)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10 (14)</w:t>
            </w:r>
          </w:p>
        </w:tc>
        <w:tc>
          <w:tcPr>
            <w:tcW w:w="1276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7 (8)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1 (6)</w:t>
            </w:r>
          </w:p>
        </w:tc>
      </w:tr>
      <w:tr w:rsidR="00264BBB" w:rsidRPr="00311439" w:rsidTr="005430AD">
        <w:trPr>
          <w:trHeight w:val="279"/>
          <w:jc w:val="center"/>
        </w:trPr>
        <w:tc>
          <w:tcPr>
            <w:tcW w:w="2830" w:type="dxa"/>
            <w:vAlign w:val="center"/>
          </w:tcPr>
          <w:p w:rsidR="00264BBB" w:rsidRPr="00311439" w:rsidRDefault="00264BBB" w:rsidP="005430AD">
            <w:pPr>
              <w:spacing w:line="276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Other causes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3 (21)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2 (3)</w:t>
            </w:r>
          </w:p>
        </w:tc>
        <w:tc>
          <w:tcPr>
            <w:tcW w:w="1276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1 (1)</w:t>
            </w:r>
          </w:p>
        </w:tc>
        <w:tc>
          <w:tcPr>
            <w:tcW w:w="1134" w:type="dxa"/>
            <w:vAlign w:val="center"/>
          </w:tcPr>
          <w:p w:rsidR="00264BBB" w:rsidRPr="00311439" w:rsidRDefault="00264BBB" w:rsidP="005430AD">
            <w:pPr>
              <w:spacing w:line="27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11439">
              <w:rPr>
                <w:rFonts w:cstheme="minorHAnsi"/>
                <w:sz w:val="20"/>
                <w:szCs w:val="20"/>
                <w:lang w:val="en-US"/>
              </w:rPr>
              <w:t>1 (6)</w:t>
            </w:r>
          </w:p>
        </w:tc>
      </w:tr>
    </w:tbl>
    <w:p w:rsidR="00264BBB" w:rsidRPr="003F75F7" w:rsidRDefault="00264BBB" w:rsidP="00264BBB">
      <w:pPr>
        <w:spacing w:line="480" w:lineRule="auto"/>
        <w:ind w:left="-142"/>
        <w:rPr>
          <w:rFonts w:eastAsia="OTNEJMQuadraat" w:cstheme="minorHAnsi"/>
          <w:b/>
          <w:bCs/>
          <w:sz w:val="24"/>
          <w:szCs w:val="24"/>
          <w:lang w:val="en-US"/>
        </w:rPr>
      </w:pPr>
    </w:p>
    <w:p w:rsidR="00264BBB" w:rsidRDefault="00264BBB">
      <w:bookmarkStart w:id="0" w:name="_GoBack"/>
      <w:bookmarkEnd w:id="0"/>
    </w:p>
    <w:sectPr w:rsidR="00264BBB" w:rsidSect="002B17FA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TNEJMQuadraat">
    <w:altName w:val="SimSun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revisionView w:insDel="0" w:formatting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BBB"/>
    <w:rsid w:val="00264BBB"/>
    <w:rsid w:val="0086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BBB"/>
    <w:pPr>
      <w:spacing w:after="160" w:line="259" w:lineRule="auto"/>
    </w:pPr>
    <w:rPr>
      <w:lang w:val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4BBB"/>
    <w:pPr>
      <w:spacing w:after="0" w:line="240" w:lineRule="auto"/>
    </w:pPr>
    <w:rPr>
      <w:lang w:val="fi-F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BBB"/>
    <w:pPr>
      <w:spacing w:after="160" w:line="259" w:lineRule="auto"/>
    </w:pPr>
    <w:rPr>
      <w:lang w:val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4BBB"/>
    <w:pPr>
      <w:spacing w:after="0" w:line="240" w:lineRule="auto"/>
    </w:pPr>
    <w:rPr>
      <w:lang w:val="fi-F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ILEANO</dc:creator>
  <cp:lastModifiedBy>ILEANO</cp:lastModifiedBy>
  <cp:revision>1</cp:revision>
  <dcterms:created xsi:type="dcterms:W3CDTF">2022-11-02T10:47:00Z</dcterms:created>
  <dcterms:modified xsi:type="dcterms:W3CDTF">2022-11-02T10:52:00Z</dcterms:modified>
</cp:coreProperties>
</file>