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C5F3" w14:textId="3A689C68" w:rsidR="006522BA" w:rsidRDefault="000609B8" w:rsidP="001830E3">
      <w:pPr>
        <w:pStyle w:val="Heading1"/>
      </w:pPr>
      <w:bookmarkStart w:id="0" w:name="_Toc142054939"/>
      <w:r>
        <w:t xml:space="preserve">Appendix - </w:t>
      </w:r>
      <w:bookmarkStart w:id="1" w:name="_Hlk126325024"/>
      <w:bookmarkEnd w:id="1"/>
      <w:r w:rsidR="00C564BC" w:rsidRPr="00C564BC">
        <w:t>The Clinical Resource Hub telehealth program and use of primary care, emergency, and inpatient care during the COVID-19 Pandemic</w:t>
      </w:r>
      <w:bookmarkEnd w:id="0"/>
    </w:p>
    <w:p w14:paraId="5A4518EC" w14:textId="27D9F917" w:rsidR="00D1391D" w:rsidRDefault="00D1391D" w:rsidP="00D1391D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3734239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1D69E78" w14:textId="2D12EB1C" w:rsidR="00D1391D" w:rsidRDefault="00D1391D" w:rsidP="00D1391D">
          <w:pPr>
            <w:pStyle w:val="TOCHeading"/>
            <w:rPr>
              <w:noProof/>
            </w:rPr>
          </w:pPr>
          <w:r>
            <w:t>Contents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718A14FE" w14:textId="74D0FE22" w:rsidR="00D1391D" w:rsidRDefault="005C2988">
          <w:pPr>
            <w:pStyle w:val="TOC2"/>
            <w:tabs>
              <w:tab w:val="left" w:pos="660"/>
              <w:tab w:val="right" w:leader="dot" w:pos="9350"/>
            </w:tabs>
            <w:rPr>
              <w:noProof/>
            </w:rPr>
          </w:pPr>
          <w:hyperlink w:anchor="_Toc142054940" w:history="1">
            <w:r w:rsidR="00D1391D" w:rsidRPr="00D30704">
              <w:rPr>
                <w:rStyle w:val="Hyperlink"/>
                <w:noProof/>
              </w:rPr>
              <w:t>A.</w:t>
            </w:r>
            <w:r w:rsidR="00D1391D">
              <w:rPr>
                <w:noProof/>
              </w:rPr>
              <w:tab/>
            </w:r>
            <w:r w:rsidR="00D1391D" w:rsidRPr="00D30704">
              <w:rPr>
                <w:rStyle w:val="Hyperlink"/>
                <w:noProof/>
              </w:rPr>
              <w:t>Statistical Methods Details</w:t>
            </w:r>
            <w:r w:rsidR="00D1391D">
              <w:rPr>
                <w:noProof/>
                <w:webHidden/>
              </w:rPr>
              <w:tab/>
            </w:r>
            <w:r w:rsidR="00D1391D">
              <w:rPr>
                <w:noProof/>
                <w:webHidden/>
              </w:rPr>
              <w:fldChar w:fldCharType="begin"/>
            </w:r>
            <w:r w:rsidR="00D1391D">
              <w:rPr>
                <w:noProof/>
                <w:webHidden/>
              </w:rPr>
              <w:instrText xml:space="preserve"> PAGEREF _Toc142054940 \h </w:instrText>
            </w:r>
            <w:r w:rsidR="00D1391D">
              <w:rPr>
                <w:noProof/>
                <w:webHidden/>
              </w:rPr>
            </w:r>
            <w:r w:rsidR="00D1391D">
              <w:rPr>
                <w:noProof/>
                <w:webHidden/>
              </w:rPr>
              <w:fldChar w:fldCharType="separate"/>
            </w:r>
            <w:r w:rsidR="00D1391D">
              <w:rPr>
                <w:noProof/>
                <w:webHidden/>
              </w:rPr>
              <w:t>1</w:t>
            </w:r>
            <w:r w:rsidR="00D1391D">
              <w:rPr>
                <w:noProof/>
                <w:webHidden/>
              </w:rPr>
              <w:fldChar w:fldCharType="end"/>
            </w:r>
          </w:hyperlink>
        </w:p>
        <w:p w14:paraId="59544557" w14:textId="7DA368FB" w:rsidR="00D1391D" w:rsidRDefault="005C2988">
          <w:pPr>
            <w:pStyle w:val="TOC2"/>
            <w:tabs>
              <w:tab w:val="left" w:pos="660"/>
              <w:tab w:val="right" w:leader="dot" w:pos="9350"/>
            </w:tabs>
            <w:rPr>
              <w:noProof/>
            </w:rPr>
          </w:pPr>
          <w:hyperlink w:anchor="_Toc142054941" w:history="1">
            <w:r w:rsidR="00D1391D" w:rsidRPr="00D30704">
              <w:rPr>
                <w:rStyle w:val="Hyperlink"/>
                <w:noProof/>
              </w:rPr>
              <w:t>B.</w:t>
            </w:r>
            <w:r w:rsidR="00D1391D">
              <w:rPr>
                <w:noProof/>
              </w:rPr>
              <w:tab/>
            </w:r>
            <w:r w:rsidR="00D1391D" w:rsidRPr="00D30704">
              <w:rPr>
                <w:rStyle w:val="Hyperlink"/>
                <w:noProof/>
              </w:rPr>
              <w:t>Supplementary Results – Unadjusted baseline characteristics for Clinical Resource Hub program sites and non-program comparison sites, stratified by facility type</w:t>
            </w:r>
            <w:r w:rsidR="00D1391D">
              <w:rPr>
                <w:noProof/>
                <w:webHidden/>
              </w:rPr>
              <w:tab/>
            </w:r>
            <w:r w:rsidR="00D1391D">
              <w:rPr>
                <w:noProof/>
                <w:webHidden/>
              </w:rPr>
              <w:fldChar w:fldCharType="begin"/>
            </w:r>
            <w:r w:rsidR="00D1391D">
              <w:rPr>
                <w:noProof/>
                <w:webHidden/>
              </w:rPr>
              <w:instrText xml:space="preserve"> PAGEREF _Toc142054941 \h </w:instrText>
            </w:r>
            <w:r w:rsidR="00D1391D">
              <w:rPr>
                <w:noProof/>
                <w:webHidden/>
              </w:rPr>
            </w:r>
            <w:r w:rsidR="00D1391D">
              <w:rPr>
                <w:noProof/>
                <w:webHidden/>
              </w:rPr>
              <w:fldChar w:fldCharType="separate"/>
            </w:r>
            <w:r w:rsidR="00D1391D">
              <w:rPr>
                <w:noProof/>
                <w:webHidden/>
              </w:rPr>
              <w:t>2</w:t>
            </w:r>
            <w:r w:rsidR="00D1391D">
              <w:rPr>
                <w:noProof/>
                <w:webHidden/>
              </w:rPr>
              <w:fldChar w:fldCharType="end"/>
            </w:r>
          </w:hyperlink>
        </w:p>
        <w:p w14:paraId="10F4F832" w14:textId="09209532" w:rsidR="00D1391D" w:rsidRDefault="005C2988">
          <w:pPr>
            <w:pStyle w:val="TOC2"/>
            <w:tabs>
              <w:tab w:val="left" w:pos="660"/>
              <w:tab w:val="right" w:leader="dot" w:pos="9350"/>
            </w:tabs>
            <w:rPr>
              <w:noProof/>
            </w:rPr>
          </w:pPr>
          <w:hyperlink w:anchor="_Toc142054942" w:history="1">
            <w:r w:rsidR="00D1391D" w:rsidRPr="00D30704">
              <w:rPr>
                <w:rStyle w:val="Hyperlink"/>
                <w:noProof/>
              </w:rPr>
              <w:t>C.</w:t>
            </w:r>
            <w:r w:rsidR="00D1391D">
              <w:rPr>
                <w:noProof/>
              </w:rPr>
              <w:tab/>
            </w:r>
            <w:r w:rsidR="00D1391D" w:rsidRPr="00D30704">
              <w:rPr>
                <w:rStyle w:val="Hyperlink"/>
                <w:noProof/>
              </w:rPr>
              <w:t>Supplementary Results – Total Number of Patients Using Each Type of Care in a Site</w:t>
            </w:r>
            <w:r w:rsidR="00D1391D">
              <w:rPr>
                <w:noProof/>
                <w:webHidden/>
              </w:rPr>
              <w:tab/>
            </w:r>
            <w:r w:rsidR="00D1391D">
              <w:rPr>
                <w:noProof/>
                <w:webHidden/>
              </w:rPr>
              <w:fldChar w:fldCharType="begin"/>
            </w:r>
            <w:r w:rsidR="00D1391D">
              <w:rPr>
                <w:noProof/>
                <w:webHidden/>
              </w:rPr>
              <w:instrText xml:space="preserve"> PAGEREF _Toc142054942 \h </w:instrText>
            </w:r>
            <w:r w:rsidR="00D1391D">
              <w:rPr>
                <w:noProof/>
                <w:webHidden/>
              </w:rPr>
            </w:r>
            <w:r w:rsidR="00D1391D">
              <w:rPr>
                <w:noProof/>
                <w:webHidden/>
              </w:rPr>
              <w:fldChar w:fldCharType="separate"/>
            </w:r>
            <w:r w:rsidR="00D1391D">
              <w:rPr>
                <w:noProof/>
                <w:webHidden/>
              </w:rPr>
              <w:t>3</w:t>
            </w:r>
            <w:r w:rsidR="00D1391D">
              <w:rPr>
                <w:noProof/>
                <w:webHidden/>
              </w:rPr>
              <w:fldChar w:fldCharType="end"/>
            </w:r>
          </w:hyperlink>
        </w:p>
        <w:p w14:paraId="20E2449F" w14:textId="1C1C0978" w:rsidR="00D1391D" w:rsidRDefault="005C2988">
          <w:pPr>
            <w:pStyle w:val="TOC2"/>
            <w:tabs>
              <w:tab w:val="left" w:pos="660"/>
              <w:tab w:val="right" w:leader="dot" w:pos="9350"/>
            </w:tabs>
            <w:rPr>
              <w:noProof/>
            </w:rPr>
          </w:pPr>
          <w:hyperlink w:anchor="_Toc142054943" w:history="1">
            <w:r w:rsidR="00D1391D" w:rsidRPr="00D30704">
              <w:rPr>
                <w:rStyle w:val="Hyperlink"/>
                <w:noProof/>
              </w:rPr>
              <w:t>D.</w:t>
            </w:r>
            <w:r w:rsidR="00D1391D">
              <w:rPr>
                <w:noProof/>
              </w:rPr>
              <w:tab/>
            </w:r>
            <w:r w:rsidR="00D1391D" w:rsidRPr="00D30704">
              <w:rPr>
                <w:rStyle w:val="Hyperlink"/>
                <w:noProof/>
              </w:rPr>
              <w:t>Sensitivity Analyses – Total Number of Visits for Each Type of Care, restricting the sample of sites in each analysis</w:t>
            </w:r>
            <w:r w:rsidR="00D1391D">
              <w:rPr>
                <w:noProof/>
                <w:webHidden/>
              </w:rPr>
              <w:tab/>
            </w:r>
            <w:r w:rsidR="00D1391D">
              <w:rPr>
                <w:noProof/>
                <w:webHidden/>
              </w:rPr>
              <w:fldChar w:fldCharType="begin"/>
            </w:r>
            <w:r w:rsidR="00D1391D">
              <w:rPr>
                <w:noProof/>
                <w:webHidden/>
              </w:rPr>
              <w:instrText xml:space="preserve"> PAGEREF _Toc142054943 \h </w:instrText>
            </w:r>
            <w:r w:rsidR="00D1391D">
              <w:rPr>
                <w:noProof/>
                <w:webHidden/>
              </w:rPr>
            </w:r>
            <w:r w:rsidR="00D1391D">
              <w:rPr>
                <w:noProof/>
                <w:webHidden/>
              </w:rPr>
              <w:fldChar w:fldCharType="separate"/>
            </w:r>
            <w:r w:rsidR="00D1391D">
              <w:rPr>
                <w:noProof/>
                <w:webHidden/>
              </w:rPr>
              <w:t>6</w:t>
            </w:r>
            <w:r w:rsidR="00D1391D">
              <w:rPr>
                <w:noProof/>
                <w:webHidden/>
              </w:rPr>
              <w:fldChar w:fldCharType="end"/>
            </w:r>
          </w:hyperlink>
        </w:p>
        <w:p w14:paraId="70BFB5A7" w14:textId="7AA401B4" w:rsidR="00D1391D" w:rsidRDefault="00D1391D">
          <w:r>
            <w:rPr>
              <w:b/>
              <w:bCs/>
              <w:noProof/>
            </w:rPr>
            <w:fldChar w:fldCharType="end"/>
          </w:r>
        </w:p>
      </w:sdtContent>
    </w:sdt>
    <w:p w14:paraId="7035BBA6" w14:textId="77777777" w:rsidR="00D1391D" w:rsidRPr="00D1391D" w:rsidRDefault="00D1391D" w:rsidP="00D1391D"/>
    <w:p w14:paraId="3C0DE3C7" w14:textId="26AF34A3" w:rsidR="008D35B0" w:rsidRDefault="001830E3" w:rsidP="001830E3">
      <w:pPr>
        <w:pStyle w:val="Heading2"/>
        <w:numPr>
          <w:ilvl w:val="0"/>
          <w:numId w:val="1"/>
        </w:numPr>
      </w:pPr>
      <w:bookmarkStart w:id="2" w:name="_Toc142054940"/>
      <w:r>
        <w:t xml:space="preserve">Statistical </w:t>
      </w:r>
      <w:r w:rsidR="008D35B0">
        <w:t>Method</w:t>
      </w:r>
      <w:r>
        <w:t>s</w:t>
      </w:r>
      <w:r w:rsidR="008D35B0">
        <w:t xml:space="preserve"> Details</w:t>
      </w:r>
      <w:bookmarkEnd w:id="2"/>
    </w:p>
    <w:p w14:paraId="4D62355A" w14:textId="66F2F967" w:rsidR="003A4C31" w:rsidRDefault="00384356" w:rsidP="00EC247E">
      <w:pPr>
        <w:pStyle w:val="NormalWeb"/>
        <w:spacing w:before="200" w:beforeAutospacing="0" w:after="0" w:afterAutospacing="0"/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</w:pPr>
      <w:r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We first examined baseline site characteristics for CRH-PC and non-CRH-PC sites from FY2020Q1 (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October – December 2019</w:t>
      </w:r>
      <w:r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) 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before</w:t>
      </w:r>
      <w:r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</w:t>
      </w:r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pandemic-related shutdown of in-person care began. We then examined unadjusted trends of CRH-PC and non-CRH-PC sites before and after the onset of COVID-19 to assess parallel trends in outcomes prior to the pandemic to determine whether a difference-in-difference (</w:t>
      </w:r>
      <w:proofErr w:type="spell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DiD</w:t>
      </w:r>
      <w:proofErr w:type="spell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) framework was appropriate, as </w:t>
      </w:r>
      <w:proofErr w:type="spell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DiD</w:t>
      </w:r>
      <w:proofErr w:type="spell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designs assume that treatment (CRH-PC sites) and control (non-CRH-PC sites) groups would have exhibited similar or parallel trends in the absence of treatment (CRH-PC). Recent developments show that event studies improve on the usual </w:t>
      </w:r>
      <w:proofErr w:type="spell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DiD</w:t>
      </w:r>
      <w:proofErr w:type="spell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estimator because they provide </w:t>
      </w:r>
      <w:proofErr w:type="spell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DiD</w:t>
      </w:r>
      <w:proofErr w:type="spell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estimates for each period (each quarter in this study) prior to and after treatment (</w:t>
      </w:r>
      <w:proofErr w:type="gram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i.e.</w:t>
      </w:r>
      <w:proofErr w:type="gram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pre- and post-pandemic onset in this study). This allows for visually and more transparently assessing whether pre-pandemic model-adjusted differences between CRH-PC sites and non-CRH-PC sites were significant or trending upward or downward in a manner that could obscure or mask true differences in the post-pandemic period. These adjusted pre-pandemic trends provide important context for interpreting post-pandemic onset differences. An absence of differences across CRH-PC and non-CRH-PC sites prior to the pandemic after covariate adjustment followed by abrupt differences post-pandemic signals that post-pandemic differences can be attributed to the pandemic onset. Finally, we estimated differences in outcomes using traditional </w:t>
      </w:r>
      <w:proofErr w:type="spell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DiD</w:t>
      </w:r>
      <w:proofErr w:type="spell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analyses to provide an estimate of the average effect of CRH-PC across all post-pandemic onset quarters. We used linear regression models with robust standard errors clustered by spoke site for the event study and the traditional difference-in-difference). As effects may differ across the different types of VA sites or based on site size, we conducted identical analyses, stratified by clinic or site </w:t>
      </w:r>
      <w:proofErr w:type="gramStart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type</w:t>
      </w:r>
      <w:proofErr w:type="gramEnd"/>
      <w:r w:rsidR="003A4C31" w:rsidRPr="003A4C31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and also examined the number of visits per 1,000 primary care patients served in a site. </w:t>
      </w:r>
    </w:p>
    <w:p w14:paraId="6FB340C3" w14:textId="4BA5A240" w:rsidR="008D35B0" w:rsidRPr="00C16A64" w:rsidRDefault="008D35B0" w:rsidP="00EC247E">
      <w:pPr>
        <w:pStyle w:val="NormalWeb"/>
        <w:spacing w:before="20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The event study specification was as follows:</w:t>
      </w:r>
    </w:p>
    <w:p w14:paraId="4AC87E36" w14:textId="02A36900" w:rsidR="008D35B0" w:rsidRPr="001A554B" w:rsidRDefault="005C2988" w:rsidP="00EC247E">
      <w:pPr>
        <w:pStyle w:val="NormalWeb"/>
        <w:spacing w:before="200" w:beforeAutospacing="0" w:after="0" w:afterAutospacing="0"/>
        <w:rPr>
          <w:rFonts w:asciiTheme="minorHAnsi" w:hAnsiTheme="minorHAnsi" w:cstheme="minorHAnsi"/>
          <w:sz w:val="22"/>
          <w:szCs w:val="22"/>
        </w:rPr>
      </w:pPr>
      <m:oMathPara>
        <m:oMathParaPr>
          <m:jc m:val="centerGroup"/>
        </m:oMathParaPr>
        <m:oMath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Y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i,t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= 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 xml:space="preserve"> + 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1</m:t>
              </m:r>
            </m:sub>
          </m:sSub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CRHPC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 xml:space="preserve">+ 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2</m:t>
              </m:r>
            </m:sub>
          </m:sSub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QuarterRelativeToCOVID19onset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i,t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 xml:space="preserve">+ 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3-13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CRHPC*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QuarterRelativeToCOVID19onset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i,t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+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 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14</m:t>
              </m:r>
            </m:sub>
          </m:sSub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SiteCharacteristics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i,t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+ ε  </m:t>
          </m:r>
        </m:oMath>
      </m:oMathPara>
    </w:p>
    <w:p w14:paraId="089EC3C0" w14:textId="408DD9C9" w:rsidR="008D35B0" w:rsidRDefault="008D35B0" w:rsidP="00EC247E">
      <w:pPr>
        <w:pStyle w:val="NormalWeb"/>
        <w:spacing w:before="200" w:beforeAutospacing="0" w:after="0" w:afterAutospacing="0"/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</w:pP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lastRenderedPageBreak/>
        <w:t>w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here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="+mn-ea" w:hAnsi="Cambria Math" w:cstheme="minorHAnsi"/>
                <w:i/>
                <w:iCs/>
                <w:color w:val="000000"/>
                <w:kern w:val="24"/>
                <w:sz w:val="22"/>
                <w:szCs w:val="22"/>
              </w:rPr>
            </m:ctrlPr>
          </m:sSubPr>
          <m:e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Y</m:t>
            </m:r>
          </m:e>
          <m:sub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i,t</m:t>
            </m:r>
          </m:sub>
        </m:sSub>
      </m:oMath>
      <w:r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 is the outcome or dependent variable of interest,</w:t>
      </w:r>
      <w:r w:rsidRPr="00DF1236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 xml:space="preserve"> i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denotes 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a VA spoke site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, 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and </w:t>
      </w:r>
      <w:r w:rsidRPr="007876F4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>t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denotes 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fiscal year quarters</w:t>
      </w:r>
      <w:r w:rsidR="0092504E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. </w:t>
      </w:r>
      <m:oMath>
        <m:r>
          <w:rPr>
            <w:rFonts w:ascii="Cambria Math" w:eastAsia="+mn-ea" w:hAnsi="Cambria Math" w:cstheme="minorHAnsi"/>
            <w:color w:val="000000"/>
            <w:kern w:val="24"/>
            <w:sz w:val="22"/>
            <w:szCs w:val="22"/>
          </w:rPr>
          <m:t>CRHPC</m:t>
        </m:r>
      </m:oMath>
      <w:r w:rsidR="00DD3365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is a binary indicator for whether a spoke site adopted CRH-PC</w:t>
      </w:r>
      <w:r w:rsidR="00D57DA4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and captures the fixed or time-invariant difference between CRH-PC sites and non-CRH-PC sites. </w:t>
      </w:r>
      <w:r w:rsidR="00EF1C79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As</w:t>
      </w:r>
      <w:r w:rsidR="00157968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pandemic-related shutdown of in-person care began</w:t>
      </w:r>
      <w:r w:rsidR="00EF1C79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in March 2020 or FY20Q2, w</w:t>
      </w:r>
      <w:r w:rsidR="00D57DA4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e considered FY20Q1 as the baseline quarter. </w:t>
      </w:r>
      <m:oMath>
        <m:sSub>
          <m:sSubPr>
            <m:ctrlPr>
              <w:rPr>
                <w:rFonts w:ascii="Cambria Math" w:eastAsia="+mn-ea" w:hAnsi="Cambria Math" w:cstheme="minorHAnsi"/>
                <w:i/>
                <w:iCs/>
                <w:color w:val="000000"/>
                <w:kern w:val="24"/>
                <w:sz w:val="22"/>
                <w:szCs w:val="22"/>
              </w:rPr>
            </m:ctrlPr>
          </m:sSubPr>
          <m:e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β</m:t>
            </m:r>
          </m:e>
          <m:sub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2</m:t>
            </m:r>
          </m:sub>
        </m:sSub>
      </m:oMath>
      <w:r w:rsidR="00EF1C79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, the coefficient for the variable </w:t>
      </w:r>
      <w:r w:rsidR="00EF1C79" w:rsidRPr="00D34752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>QuarterRelativeToCOVID19onset</w:t>
      </w:r>
      <w:r w:rsidR="00EF1C79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>,</w:t>
      </w:r>
      <w:r w:rsidR="00EF1C79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</w:t>
      </w:r>
      <w:r w:rsidR="00D57DA4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captures the quarterly variation in outcomes, relative to the baseline quarter. </w:t>
      </w:r>
      <w:r w:rsidR="001830E3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The primary variable of interest was the interaction term, </w:t>
      </w:r>
      <w:r w:rsidR="001830E3" w:rsidRPr="001830E3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>CRHPC* QuarterRelativeToCOVID19onset</w:t>
      </w:r>
      <w:r w:rsidR="001830E3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and</w:t>
      </w:r>
      <w:r w:rsidR="001830E3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 xml:space="preserve"> </w:t>
      </w:r>
      <w:r w:rsidRPr="00DF1236">
        <w:rPr>
          <w:rFonts w:asciiTheme="minorHAnsi" w:eastAsia="+mn-ea" w:hAnsiTheme="minorHAnsi" w:cstheme="minorHAnsi"/>
          <w:i/>
          <w:iCs/>
          <w:color w:val="000000"/>
          <w:kern w:val="24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="+mn-ea" w:hAnsi="Cambria Math" w:cstheme="minorHAnsi"/>
                <w:i/>
                <w:iCs/>
                <w:color w:val="000000"/>
                <w:kern w:val="24"/>
                <w:sz w:val="22"/>
                <w:szCs w:val="22"/>
              </w:rPr>
            </m:ctrlPr>
          </m:sSubPr>
          <m:e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β</m:t>
            </m:r>
          </m:e>
          <m:sub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3-13</m:t>
            </m:r>
          </m:sub>
        </m:sSub>
        <m:r>
          <w:rPr>
            <w:rFonts w:ascii="Cambria Math" w:eastAsia="+mn-ea" w:hAnsi="Cambria Math" w:cstheme="minorHAnsi"/>
            <w:color w:val="000000"/>
            <w:kern w:val="24"/>
            <w:sz w:val="22"/>
            <w:szCs w:val="22"/>
          </w:rPr>
          <m:t xml:space="preserve"> </m:t>
        </m:r>
        <m:r>
          <m:rPr>
            <m:sty m:val="p"/>
          </m:rPr>
          <w:rPr>
            <w:rFonts w:ascii="Cambria Math" w:eastAsia="+mn-ea" w:hAnsi="Cambria Math" w:cstheme="minorHAnsi"/>
            <w:color w:val="000000"/>
            <w:kern w:val="24"/>
            <w:sz w:val="22"/>
            <w:szCs w:val="22"/>
          </w:rPr>
          <m:t> </m:t>
        </m:r>
      </m:oMath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were the c</w:t>
      </w:r>
      <w:r w:rsidR="00D76D9B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oefficients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of interest</w:t>
      </w:r>
      <w:r w:rsidR="001830E3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,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which reflect the </w:t>
      </w:r>
      <w:r w:rsidR="00D34752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difference </w:t>
      </w:r>
      <w:r w:rsidR="00A259B7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in </w:t>
      </w:r>
      <w:r w:rsidR="00D76D9B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outcomes</w:t>
      </w:r>
      <w:r w:rsidR="00A259B7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at</w:t>
      </w:r>
      <w:r w:rsidR="00D34752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CRH-PC </w:t>
      </w:r>
      <w:r w:rsidR="00A259B7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vs. at</w:t>
      </w:r>
      <w:r w:rsidR="00D34752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non-CRH-PC sites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each </w:t>
      </w:r>
      <w:r w:rsidR="00D34752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quarter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pre-</w:t>
      </w:r>
      <w:r w:rsidR="00EF1C79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and post-</w:t>
      </w:r>
      <w:r w:rsidR="00D34752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pandemic onset</w:t>
      </w:r>
      <w:r w:rsidR="00D76D9B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, compared to outcomes at these sites in the baseline quarter of </w:t>
      </w:r>
      <w:r w:rsidR="00157968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FY20Q1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. These coefficients were 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plotted on the event study graphs </w:t>
      </w: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to illustrate the </w:t>
      </w:r>
      <w:r w:rsidR="00D34752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effects of the CRH-PC program in the pre- and post-pandemic periods</w:t>
      </w:r>
      <w:r w:rsidRPr="00DF1236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. </w:t>
      </w:r>
      <m:oMath>
        <m:sSub>
          <m:sSubPr>
            <m:ctrlPr>
              <w:rPr>
                <w:rFonts w:ascii="Cambria Math" w:eastAsia="+mn-ea" w:hAnsi="Cambria Math" w:cstheme="minorHAnsi"/>
                <w:i/>
                <w:iCs/>
                <w:color w:val="000000"/>
                <w:kern w:val="24"/>
                <w:sz w:val="22"/>
                <w:szCs w:val="22"/>
              </w:rPr>
            </m:ctrlPr>
          </m:sSubPr>
          <m:e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β</m:t>
            </m:r>
          </m:e>
          <m:sub>
            <m:r>
              <w:rPr>
                <w:rFonts w:ascii="Cambria Math" w:eastAsia="+mn-ea" w:hAnsi="Cambria Math" w:cstheme="minorHAnsi"/>
                <w:color w:val="000000"/>
                <w:kern w:val="24"/>
                <w:sz w:val="22"/>
                <w:szCs w:val="22"/>
              </w:rPr>
              <m:t>14</m:t>
            </m:r>
          </m:sub>
        </m:sSub>
      </m:oMath>
      <w:r w:rsidR="007876F4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 captures the</w:t>
      </w:r>
      <w:r w:rsidR="001830E3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 outcome</w:t>
      </w:r>
      <w:r w:rsidR="007876F4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 </w:t>
      </w:r>
      <w:r w:rsidR="001830E3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>associations with</w:t>
      </w:r>
      <w:r w:rsidR="007876F4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 site-level characteristic</w:t>
      </w:r>
      <w:r w:rsidR="001830E3">
        <w:rPr>
          <w:rFonts w:asciiTheme="minorHAnsi" w:eastAsia="+mn-ea" w:hAnsiTheme="minorHAnsi" w:cstheme="minorHAnsi"/>
          <w:iCs/>
          <w:color w:val="000000"/>
          <w:kern w:val="24"/>
          <w:sz w:val="22"/>
          <w:szCs w:val="22"/>
        </w:rPr>
        <w:t xml:space="preserve">s we adjusted for such as site type, site rurality, geographic region, and the number of COVID-19 cases in each county per quarter where a site was located. </w:t>
      </w:r>
      <m:oMath>
        <m:r>
          <w:rPr>
            <w:rFonts w:ascii="Cambria Math" w:eastAsia="+mn-ea" w:hAnsi="Cambria Math" w:cstheme="minorHAnsi"/>
            <w:color w:val="000000"/>
            <w:kern w:val="24"/>
            <w:sz w:val="22"/>
            <w:szCs w:val="22"/>
          </w:rPr>
          <m:t>ε</m:t>
        </m:r>
      </m:oMath>
      <w:r w:rsidR="001830E3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denotes the error term.</w:t>
      </w:r>
    </w:p>
    <w:p w14:paraId="463257F4" w14:textId="4194DD06" w:rsidR="008D35B0" w:rsidRDefault="00C62C2E" w:rsidP="00EC247E">
      <w:pPr>
        <w:pStyle w:val="NormalWeb"/>
        <w:spacing w:before="200" w:beforeAutospacing="0" w:after="0" w:afterAutospacing="0"/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</w:pPr>
      <w:r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>We then</w:t>
      </w:r>
      <w:r w:rsidR="001830E3"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  <w:t xml:space="preserve"> conducted a traditional DID estimation using the following specification:</w:t>
      </w:r>
    </w:p>
    <w:p w14:paraId="36B23B2C" w14:textId="73C6F756" w:rsidR="008D35B0" w:rsidRDefault="005C2988" w:rsidP="00EC247E">
      <w:pPr>
        <w:pStyle w:val="NormalWeb"/>
        <w:spacing w:before="200" w:beforeAutospacing="0" w:after="0" w:afterAutospacing="0"/>
        <w:rPr>
          <w:rFonts w:asciiTheme="minorHAnsi" w:eastAsia="+mn-ea" w:hAnsiTheme="minorHAnsi" w:cstheme="minorHAnsi"/>
          <w:color w:val="000000"/>
          <w:kern w:val="24"/>
          <w:sz w:val="22"/>
          <w:szCs w:val="22"/>
        </w:rPr>
      </w:pPr>
      <m:oMathPara>
        <m:oMath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Y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i,t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= 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+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 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1</m:t>
              </m:r>
            </m:sub>
          </m:sSub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CRHPC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 xml:space="preserve">+ 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 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2</m:t>
              </m:r>
            </m:sub>
          </m:sSub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PostCOVID19onset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+</m:t>
          </m:r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sSub>
                <m:sSubPr>
                  <m:ctrlPr>
                    <w:rPr>
                      <w:rFonts w:ascii="Cambria Math" w:eastAsia="+mn-ea" w:hAnsi="Cambria Math" w:cstheme="minorHAnsi"/>
                      <w:i/>
                      <w:iCs/>
                      <w:color w:val="000000"/>
                      <w:kern w:val="24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+mn-ea" w:hAnsi="Cambria Math" w:cstheme="minorHAnsi"/>
                      <w:color w:val="000000"/>
                      <w:kern w:val="24"/>
                      <w:sz w:val="22"/>
                      <w:szCs w:val="22"/>
                    </w:rPr>
                    <m:t> β</m:t>
                  </m:r>
                </m:e>
                <m:sub>
                  <m:r>
                    <w:rPr>
                      <w:rFonts w:ascii="Cambria Math" w:eastAsia="+mn-ea" w:hAnsi="Cambria Math" w:cstheme="minorHAnsi"/>
                      <w:color w:val="000000"/>
                      <w:kern w:val="24"/>
                      <w:sz w:val="22"/>
                      <w:szCs w:val="22"/>
                    </w:rPr>
                    <m:t>3</m:t>
                  </m:r>
                </m:sub>
              </m:s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CRH*</m:t>
              </m:r>
              <m:sSub>
                <m:sSubPr>
                  <m:ctrlPr>
                    <w:rPr>
                      <w:rFonts w:ascii="Cambria Math" w:eastAsia="+mn-ea" w:hAnsi="Cambria Math" w:cstheme="minorHAnsi"/>
                      <w:i/>
                      <w:iCs/>
                      <w:color w:val="000000"/>
                      <w:kern w:val="24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+mn-ea" w:hAnsi="Cambria Math" w:cstheme="minorHAnsi"/>
                      <w:color w:val="000000"/>
                      <w:kern w:val="24"/>
                      <w:sz w:val="22"/>
                      <w:szCs w:val="22"/>
                    </w:rPr>
                    <m:t>PostCOVID19onset</m:t>
                  </m:r>
                </m:e>
                <m:sub>
                  <m:r>
                    <w:rPr>
                      <w:rFonts w:ascii="Cambria Math" w:eastAsia="+mn-ea" w:hAnsi="Cambria Math" w:cstheme="minorHAnsi"/>
                      <w:color w:val="000000"/>
                      <w:kern w:val="24"/>
                      <w:sz w:val="22"/>
                      <w:szCs w:val="22"/>
                    </w:rPr>
                    <m:t>i,t</m:t>
                  </m:r>
                </m:sub>
              </m:s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+ β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4</m:t>
              </m:r>
            </m:sub>
          </m:sSub>
          <m:sSub>
            <m:sSubPr>
              <m:ctrlPr>
                <w:rPr>
                  <w:rFonts w:ascii="Cambria Math" w:eastAsia="+mn-ea" w:hAnsi="Cambria Math" w:cstheme="minorHAnsi"/>
                  <w:i/>
                  <w:iCs/>
                  <w:color w:val="000000"/>
                  <w:kern w:val="24"/>
                  <w:sz w:val="22"/>
                  <w:szCs w:val="22"/>
                </w:rPr>
              </m:ctrlPr>
            </m:sSubPr>
            <m:e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SiteCharacteristics</m:t>
              </m:r>
            </m:e>
            <m:sub>
              <m:r>
                <w:rPr>
                  <w:rFonts w:ascii="Cambria Math" w:eastAsia="+mn-ea" w:hAnsi="Cambria Math" w:cstheme="minorHAnsi"/>
                  <w:color w:val="000000"/>
                  <w:kern w:val="24"/>
                  <w:sz w:val="22"/>
                  <w:szCs w:val="22"/>
                </w:rPr>
                <m:t>i,t</m:t>
              </m:r>
            </m:sub>
          </m:sSub>
          <m:r>
            <w:rPr>
              <w:rFonts w:ascii="Cambria Math" w:eastAsia="+mn-ea" w:hAnsi="Cambria Math" w:cstheme="minorHAnsi"/>
              <w:color w:val="000000"/>
              <w:kern w:val="24"/>
              <w:sz w:val="22"/>
              <w:szCs w:val="22"/>
            </w:rPr>
            <m:t>+ ε  </m:t>
          </m:r>
        </m:oMath>
      </m:oMathPara>
    </w:p>
    <w:p w14:paraId="08A6B616" w14:textId="77777777" w:rsidR="007238C1" w:rsidRDefault="007238C1" w:rsidP="00EC247E">
      <w:pPr>
        <w:spacing w:after="0" w:line="240" w:lineRule="auto"/>
      </w:pPr>
    </w:p>
    <w:p w14:paraId="021D51EC" w14:textId="3559BCB4" w:rsidR="007238C1" w:rsidRDefault="007238C1" w:rsidP="00EC247E">
      <w:pPr>
        <w:spacing w:after="0" w:line="240" w:lineRule="auto"/>
        <w:rPr>
          <w:rFonts w:eastAsia="+mn-ea" w:cstheme="minorHAnsi"/>
          <w:color w:val="000000"/>
          <w:kern w:val="24"/>
        </w:rPr>
      </w:pPr>
      <w:r>
        <w:t xml:space="preserve">where </w:t>
      </w:r>
      <w:r w:rsidR="00EF1C79" w:rsidRPr="007238C1">
        <w:rPr>
          <w:rFonts w:eastAsia="+mn-ea" w:cstheme="minorHAnsi"/>
          <w:i/>
          <w:iCs/>
          <w:color w:val="000000"/>
          <w:kern w:val="24"/>
        </w:rPr>
        <w:t>Post</w:t>
      </w:r>
      <w:r w:rsidR="00EF1C79">
        <w:rPr>
          <w:rFonts w:eastAsia="+mn-ea" w:cstheme="minorHAnsi"/>
          <w:i/>
          <w:iCs/>
          <w:color w:val="000000"/>
          <w:kern w:val="24"/>
        </w:rPr>
        <w:t>FY20Q1</w:t>
      </w:r>
      <w:r w:rsidR="00EF1C79">
        <w:rPr>
          <w:rFonts w:eastAsia="+mn-ea" w:cstheme="minorHAnsi"/>
          <w:color w:val="000000"/>
          <w:kern w:val="24"/>
        </w:rPr>
        <w:t xml:space="preserve"> is a binary indicator for whether an observation is from the post-pandemic onset period or from the pre-pandemic period. </w:t>
      </w:r>
      <w:r w:rsidR="00EF1C79">
        <w:rPr>
          <w:rFonts w:eastAsia="+mn-ea" w:cstheme="minorHAnsi"/>
          <w:i/>
          <w:iCs/>
          <w:color w:val="000000"/>
          <w:kern w:val="24"/>
        </w:rPr>
        <w:t xml:space="preserve">PostCOVID19onset </w:t>
      </w:r>
      <w:r w:rsidR="00EF1C79">
        <w:rPr>
          <w:rFonts w:eastAsia="+mn-ea" w:cstheme="minorHAnsi"/>
          <w:color w:val="000000"/>
          <w:kern w:val="24"/>
        </w:rPr>
        <w:t xml:space="preserve">takes on a value of 1 </w:t>
      </w:r>
      <w:r w:rsidR="00384356">
        <w:rPr>
          <w:rFonts w:eastAsia="+mn-ea" w:cstheme="minorHAnsi"/>
          <w:color w:val="000000"/>
          <w:kern w:val="24"/>
        </w:rPr>
        <w:t>after</w:t>
      </w:r>
      <w:r w:rsidR="00EF1C79">
        <w:rPr>
          <w:rFonts w:eastAsia="+mn-ea" w:cstheme="minorHAnsi"/>
          <w:color w:val="000000"/>
          <w:kern w:val="24"/>
        </w:rPr>
        <w:t xml:space="preserve"> FY20Q2 and 0 otherwise. </w:t>
      </w:r>
      <w:r w:rsidRPr="001830E3">
        <w:rPr>
          <w:rFonts w:eastAsia="+mn-ea" w:cstheme="minorHAnsi"/>
          <w:i/>
          <w:iCs/>
          <w:color w:val="000000"/>
          <w:kern w:val="24"/>
        </w:rPr>
        <w:t xml:space="preserve">CRHPC* </w:t>
      </w:r>
      <w:r w:rsidR="00D57DA4">
        <w:rPr>
          <w:rFonts w:eastAsia="+mn-ea" w:cstheme="minorHAnsi"/>
          <w:i/>
          <w:iCs/>
          <w:color w:val="000000"/>
          <w:kern w:val="24"/>
        </w:rPr>
        <w:t>Post</w:t>
      </w:r>
      <w:r w:rsidR="00EF1C79">
        <w:rPr>
          <w:rFonts w:eastAsia="+mn-ea" w:cstheme="minorHAnsi"/>
          <w:i/>
          <w:iCs/>
          <w:color w:val="000000"/>
          <w:kern w:val="24"/>
        </w:rPr>
        <w:t>COVID19onset</w:t>
      </w:r>
      <w:r w:rsidR="00D57DA4">
        <w:rPr>
          <w:rFonts w:eastAsia="+mn-ea" w:cstheme="minorHAnsi"/>
          <w:i/>
          <w:iCs/>
          <w:color w:val="000000"/>
          <w:kern w:val="24"/>
        </w:rPr>
        <w:t xml:space="preserve"> </w:t>
      </w:r>
      <w:r>
        <w:rPr>
          <w:rFonts w:eastAsia="+mn-ea" w:cstheme="minorHAnsi"/>
          <w:color w:val="000000"/>
          <w:kern w:val="24"/>
        </w:rPr>
        <w:t xml:space="preserve">is the primary variable of interest. </w:t>
      </w:r>
      <m:oMath>
        <m:sSub>
          <m:sSubPr>
            <m:ctrlPr>
              <w:rPr>
                <w:rFonts w:ascii="Cambria Math" w:eastAsia="+mn-ea" w:hAnsi="Cambria Math" w:cstheme="minorHAnsi"/>
                <w:i/>
                <w:iCs/>
                <w:color w:val="000000"/>
                <w:kern w:val="24"/>
              </w:rPr>
            </m:ctrlPr>
          </m:sSubPr>
          <m:e>
            <m:r>
              <w:rPr>
                <w:rFonts w:ascii="Cambria Math" w:eastAsia="+mn-ea" w:hAnsi="Cambria Math" w:cstheme="minorHAnsi"/>
                <w:color w:val="000000"/>
                <w:kern w:val="24"/>
              </w:rPr>
              <m:t> β</m:t>
            </m:r>
          </m:e>
          <m:sub>
            <m:r>
              <w:rPr>
                <w:rFonts w:ascii="Cambria Math" w:eastAsia="+mn-ea" w:hAnsi="Cambria Math" w:cstheme="minorHAnsi"/>
                <w:color w:val="000000"/>
                <w:kern w:val="24"/>
              </w:rPr>
              <m:t>3</m:t>
            </m:r>
          </m:sub>
        </m:sSub>
      </m:oMath>
      <w:r w:rsidR="00737242">
        <w:rPr>
          <w:rFonts w:eastAsia="+mn-ea" w:cstheme="minorHAnsi"/>
          <w:iCs/>
          <w:color w:val="000000"/>
          <w:kern w:val="24"/>
        </w:rPr>
        <w:t>, which is the coefficient for the interaction term,</w:t>
      </w:r>
      <w:r>
        <w:rPr>
          <w:rFonts w:eastAsia="+mn-ea" w:cstheme="minorHAnsi"/>
          <w:color w:val="000000"/>
          <w:kern w:val="24"/>
        </w:rPr>
        <w:t xml:space="preserve"> </w:t>
      </w:r>
      <w:r w:rsidR="00737242" w:rsidRPr="00EF1C79">
        <w:rPr>
          <w:rFonts w:eastAsia="+mn-ea" w:cstheme="minorHAnsi"/>
          <w:i/>
          <w:iCs/>
          <w:color w:val="000000"/>
          <w:kern w:val="24"/>
        </w:rPr>
        <w:t>CRH</w:t>
      </w:r>
      <w:r w:rsidR="00EF1C79">
        <w:rPr>
          <w:rFonts w:eastAsia="+mn-ea" w:cstheme="minorHAnsi"/>
          <w:i/>
          <w:iCs/>
          <w:color w:val="000000"/>
          <w:kern w:val="24"/>
        </w:rPr>
        <w:t>PC</w:t>
      </w:r>
      <w:r w:rsidR="00737242" w:rsidRPr="00EF1C79">
        <w:rPr>
          <w:rFonts w:eastAsia="+mn-ea" w:cstheme="minorHAnsi"/>
          <w:i/>
          <w:iCs/>
          <w:color w:val="000000"/>
          <w:kern w:val="24"/>
        </w:rPr>
        <w:t>*Post</w:t>
      </w:r>
      <w:r w:rsidR="00EF1C79" w:rsidRPr="00EF1C79">
        <w:rPr>
          <w:rFonts w:eastAsia="+mn-ea" w:cstheme="minorHAnsi"/>
          <w:i/>
          <w:iCs/>
          <w:color w:val="000000"/>
          <w:kern w:val="24"/>
        </w:rPr>
        <w:t>COVID19onset</w:t>
      </w:r>
      <w:r w:rsidR="00737242" w:rsidRPr="00737242">
        <w:rPr>
          <w:rFonts w:eastAsia="+mn-ea" w:cstheme="minorHAnsi"/>
          <w:color w:val="000000"/>
          <w:kern w:val="24"/>
        </w:rPr>
        <w:t xml:space="preserve">, represents the average effect of the CRH-PC program across all the post-pandemic onset quarters in the study.  </w:t>
      </w:r>
    </w:p>
    <w:p w14:paraId="59C33C39" w14:textId="77777777" w:rsidR="007238C1" w:rsidRDefault="007238C1" w:rsidP="00EC247E">
      <w:pPr>
        <w:spacing w:after="0" w:line="240" w:lineRule="auto"/>
        <w:rPr>
          <w:rFonts w:eastAsia="+mn-ea" w:cstheme="minorHAnsi"/>
          <w:color w:val="000000"/>
          <w:kern w:val="24"/>
        </w:rPr>
      </w:pPr>
    </w:p>
    <w:p w14:paraId="37F725ED" w14:textId="1CE8C7CB" w:rsidR="008D35B0" w:rsidRDefault="007238C1" w:rsidP="00EC247E">
      <w:pPr>
        <w:spacing w:after="0" w:line="240" w:lineRule="auto"/>
      </w:pPr>
      <w:r>
        <w:rPr>
          <w:rFonts w:eastAsia="+mn-ea" w:cstheme="minorHAnsi"/>
          <w:color w:val="000000"/>
          <w:kern w:val="24"/>
        </w:rPr>
        <w:t xml:space="preserve">The key </w:t>
      </w:r>
      <w:r w:rsidR="001830E3">
        <w:t xml:space="preserve">difference between the event study and </w:t>
      </w:r>
      <w:r>
        <w:t xml:space="preserve">the traditional </w:t>
      </w:r>
      <w:r w:rsidR="001830E3">
        <w:t>DID specification is th</w:t>
      </w:r>
      <w:r>
        <w:t xml:space="preserve">at the DID estimation aggregates or averages the differences between CRH-PC sites and non-CRH-PC sites in all post-pandemic quarters and compares it to the average pre-pandemic difference in outcomes, whereas the event study </w:t>
      </w:r>
      <w:r w:rsidR="00C62C2E">
        <w:t xml:space="preserve">provides </w:t>
      </w:r>
      <w:r>
        <w:t xml:space="preserve">estimated differences across CRH-PC and non-CRH-PC sites </w:t>
      </w:r>
      <w:r w:rsidRPr="007238C1">
        <w:rPr>
          <w:i/>
          <w:iCs/>
        </w:rPr>
        <w:t>in each quarter</w:t>
      </w:r>
      <w:r>
        <w:t>, compared to the difference between these sites at baseline</w:t>
      </w:r>
      <w:r w:rsidR="00C62C2E">
        <w:t xml:space="preserve">, </w:t>
      </w:r>
      <w:r>
        <w:t xml:space="preserve">in </w:t>
      </w:r>
      <w:r w:rsidR="00EF1C79">
        <w:t>FY20Q1</w:t>
      </w:r>
      <w:r>
        <w:t>.</w:t>
      </w:r>
    </w:p>
    <w:p w14:paraId="0CF15D7F" w14:textId="4119B700" w:rsidR="001830E3" w:rsidRDefault="001830E3" w:rsidP="006522BA"/>
    <w:p w14:paraId="6B6C9E6A" w14:textId="5FE5D691" w:rsidR="009A5C61" w:rsidRDefault="009A5C61" w:rsidP="00EC247E">
      <w:pPr>
        <w:pStyle w:val="Heading2"/>
        <w:numPr>
          <w:ilvl w:val="0"/>
          <w:numId w:val="1"/>
        </w:numPr>
      </w:pPr>
      <w:bookmarkStart w:id="3" w:name="_Toc142054941"/>
      <w:r>
        <w:t xml:space="preserve">Supplementary Results – Unadjusted baseline characteristics </w:t>
      </w:r>
      <w:r w:rsidR="004D1EBC">
        <w:t>for</w:t>
      </w:r>
      <w:r w:rsidR="004D1EBC" w:rsidRPr="004D1EBC">
        <w:t xml:space="preserve"> Clinical Resource Hub program sites and non-program comparison </w:t>
      </w:r>
      <w:r w:rsidR="004D1EBC">
        <w:t>sites</w:t>
      </w:r>
      <w:r>
        <w:t>, stratified by facility type</w:t>
      </w:r>
      <w:bookmarkEnd w:id="3"/>
    </w:p>
    <w:p w14:paraId="7586CA2C" w14:textId="429897DC" w:rsidR="009A5C61" w:rsidRDefault="009A5C61" w:rsidP="009A5C61">
      <w:r>
        <w:t>Table B1. Unadjusted Baseline Characteristics</w:t>
      </w:r>
      <w:r w:rsidR="004D1EBC">
        <w:t xml:space="preserve"> in</w:t>
      </w:r>
      <w:r w:rsidR="004D1EBC" w:rsidRPr="004D1EBC">
        <w:t xml:space="preserve"> </w:t>
      </w:r>
      <w:r w:rsidR="004D1EBC">
        <w:t>FY20Q1 for</w:t>
      </w:r>
      <w:r>
        <w:t xml:space="preserve"> </w:t>
      </w:r>
      <w:r w:rsidR="004D1EBC">
        <w:t>Clinical Resource Hub Program</w:t>
      </w:r>
      <w:r>
        <w:t xml:space="preserve"> VA Medical Centers (VAMC</w:t>
      </w:r>
      <w:r w:rsidR="004D1EBC">
        <w:t>s</w:t>
      </w:r>
      <w:r>
        <w:t xml:space="preserve">) </w:t>
      </w:r>
      <w:r w:rsidR="004D1EBC">
        <w:t>and non-program VAMCs.</w:t>
      </w:r>
    </w:p>
    <w:tbl>
      <w:tblPr>
        <w:tblW w:w="8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520"/>
        <w:gridCol w:w="2430"/>
        <w:gridCol w:w="900"/>
      </w:tblGrid>
      <w:tr w:rsidR="009A5C61" w:rsidRPr="00D6097F" w14:paraId="15FE4BA2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F06E176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</w:rPr>
            </w:pPr>
            <w:r w:rsidRPr="00D6097F">
              <w:rPr>
                <w:rFonts w:eastAsia="Times New Roman" w:cs="Arial"/>
                <w:b/>
                <w:sz w:val="20"/>
                <w:szCs w:val="20"/>
              </w:rPr>
              <w:t>Site Characteristics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56043FD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CRH-PC VAMC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7C12CC8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Non-CRH-PC VAMC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83CA58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P-value</w:t>
            </w:r>
          </w:p>
        </w:tc>
      </w:tr>
      <w:tr w:rsidR="009A5C61" w:rsidRPr="00D6097F" w14:paraId="4D85FFAC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7A850A1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N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6F2A14F7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59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3C7337D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106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B31694D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490AA229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8AE517D" w14:textId="200146FB" w:rsidR="009A5C61" w:rsidRPr="00D6097F" w:rsidRDefault="005A59AD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Site</w:t>
            </w:r>
            <w:r w:rsidRPr="00D6097F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9A5C61" w:rsidRPr="00D6097F">
              <w:rPr>
                <w:rFonts w:eastAsia="Times New Roman" w:cs="Arial"/>
                <w:sz w:val="20"/>
                <w:szCs w:val="20"/>
              </w:rPr>
              <w:t>rurality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4278E06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3244DD6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6ED9A8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0.47</w:t>
            </w:r>
          </w:p>
        </w:tc>
      </w:tr>
      <w:tr w:rsidR="009A5C61" w:rsidRPr="00D6097F" w14:paraId="5CC1B02E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7FBE88B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Urban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5614FAA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52 (88.1%)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7DE1CB69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89 (84.0%)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A45720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7AD1CD63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D90BD17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Rural/highly rural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04B2CFC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7 (11.9%)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5ADAF15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17 (16.0%)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C6A93B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47BE0E93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1C76866" w14:textId="42946A2B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Site si</w:t>
            </w:r>
            <w:r w:rsidR="0022334F">
              <w:rPr>
                <w:rFonts w:eastAsia="Times New Roman" w:cs="Arial"/>
                <w:sz w:val="20"/>
                <w:szCs w:val="20"/>
              </w:rPr>
              <w:t>z</w:t>
            </w:r>
            <w:r>
              <w:rPr>
                <w:rFonts w:eastAsia="Times New Roman" w:cs="Arial"/>
                <w:sz w:val="20"/>
                <w:szCs w:val="20"/>
              </w:rPr>
              <w:t>e</w:t>
            </w:r>
            <w:r w:rsidR="005A59AD">
              <w:rPr>
                <w:rFonts w:eastAsia="Times New Roman" w:cs="Arial"/>
                <w:sz w:val="20"/>
                <w:szCs w:val="20"/>
              </w:rPr>
              <w:t xml:space="preserve"> (Number of patients assigned to </w:t>
            </w:r>
            <w:r w:rsidR="00A36E59">
              <w:rPr>
                <w:rFonts w:eastAsia="Times New Roman" w:cs="Arial"/>
                <w:sz w:val="20"/>
                <w:szCs w:val="20"/>
              </w:rPr>
              <w:t>a primary care PACT team</w:t>
            </w:r>
            <w:r w:rsidR="005A59AD">
              <w:rPr>
                <w:rFonts w:eastAsia="Times New Roman" w:cs="Arial"/>
                <w:sz w:val="20"/>
                <w:szCs w:val="20"/>
              </w:rPr>
              <w:t>),</w:t>
            </w:r>
            <w:r w:rsidRPr="00D6097F">
              <w:rPr>
                <w:rFonts w:eastAsia="Times New Roman" w:cs="Arial"/>
                <w:sz w:val="20"/>
                <w:szCs w:val="20"/>
              </w:rPr>
              <w:t xml:space="preserve"> mean (SD)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79FCE84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18048.0 (8870.1)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7667896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15285.4 (10072.1)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D0E919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0.080</w:t>
            </w:r>
          </w:p>
        </w:tc>
      </w:tr>
      <w:tr w:rsidR="009A5C61" w:rsidRPr="00D6097F" w14:paraId="4F682939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E00F689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Region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05FEF1F7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20953E84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88C00C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0.028</w:t>
            </w:r>
          </w:p>
        </w:tc>
      </w:tr>
      <w:tr w:rsidR="009A5C61" w:rsidRPr="00D6097F" w14:paraId="638CD050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A0260EC" w14:textId="41CDC6AD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East Coast 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784D292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12 (20.3%)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4331B5A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36 (34.0%)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513CAA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0A6A1986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C207750" w14:textId="6CA57F6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Southeast 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748E0144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7 (11.9%)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06D3794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19 (17.9%)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9E15284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3FB13887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2361E660" w14:textId="2415958B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lastRenderedPageBreak/>
              <w:t xml:space="preserve">   Rocky Mountain-Gulf 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7DCFA94B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9 (15.3%)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229E99D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16 (15.1%)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980565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1835504F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CD27427" w14:textId="6B16CA8A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Midwest 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00BEBF3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14 (23.7%)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30BB03B7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24 (22.6%)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18A4FB0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3568738A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50569784" w14:textId="6464F030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West Coast 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24FF8D9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17 (28.8%)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7AE89C58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11 (10.4%)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8C2D3C7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6B5101E9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3253BCB" w14:textId="3504C7DE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</w:rPr>
              <w:t>Elixhauser</w:t>
            </w:r>
            <w:proofErr w:type="spellEnd"/>
            <w:r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5A59AD">
              <w:rPr>
                <w:rFonts w:eastAsia="Times New Roman" w:cs="Arial"/>
                <w:sz w:val="20"/>
                <w:szCs w:val="20"/>
              </w:rPr>
              <w:t xml:space="preserve">comorbidity </w:t>
            </w:r>
            <w:r>
              <w:rPr>
                <w:rFonts w:eastAsia="Times New Roman" w:cs="Arial"/>
                <w:sz w:val="20"/>
                <w:szCs w:val="20"/>
              </w:rPr>
              <w:t>score</w:t>
            </w:r>
            <w:r w:rsidRPr="00D6097F">
              <w:rPr>
                <w:rFonts w:eastAsia="Times New Roman" w:cs="Arial"/>
                <w:sz w:val="20"/>
                <w:szCs w:val="20"/>
              </w:rPr>
              <w:t>, mean (SD)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4673993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1.4 (0.3)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5BCA7F5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1.6 (0.3)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2853190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</w:tbl>
    <w:p w14:paraId="0DCBAC3A" w14:textId="77777777" w:rsidR="009A5C61" w:rsidRPr="004D1EBC" w:rsidRDefault="009A5C61" w:rsidP="009A5C61">
      <w:pPr>
        <w:rPr>
          <w:i/>
          <w:iCs/>
          <w:sz w:val="20"/>
          <w:szCs w:val="20"/>
        </w:rPr>
      </w:pPr>
      <w:r w:rsidRPr="004D1EBC">
        <w:rPr>
          <w:i/>
          <w:iCs/>
          <w:sz w:val="20"/>
          <w:szCs w:val="20"/>
        </w:rPr>
        <w:t>P-values are derived from bivariate analyses using t-tests for continuous variables and chi-square tests for categorical variables.</w:t>
      </w:r>
    </w:p>
    <w:p w14:paraId="0E6D9CA2" w14:textId="232F1944" w:rsidR="009A5C61" w:rsidRDefault="009A5C61" w:rsidP="009A5C61">
      <w:r>
        <w:t>Table B2. Unadjusted Baseline Characteristics</w:t>
      </w:r>
      <w:r w:rsidR="004D1EBC" w:rsidRPr="004D1EBC">
        <w:t xml:space="preserve"> in FY20Q1 for Clinical Resource Hub Program Primary Care Community Based Outpatient Clinic</w:t>
      </w:r>
      <w:r w:rsidR="004D1EBC">
        <w:t>s</w:t>
      </w:r>
      <w:r w:rsidR="004D1EBC" w:rsidRPr="004D1EBC">
        <w:t xml:space="preserve"> (PC-CBOC</w:t>
      </w:r>
      <w:r w:rsidR="004D1EBC">
        <w:t>s</w:t>
      </w:r>
      <w:r w:rsidR="004D1EBC" w:rsidRPr="004D1EBC">
        <w:t>)</w:t>
      </w:r>
      <w:r w:rsidR="004D1EBC">
        <w:t xml:space="preserve"> </w:t>
      </w:r>
      <w:r w:rsidR="004D1EBC" w:rsidRPr="004D1EBC">
        <w:t xml:space="preserve">and non-program </w:t>
      </w:r>
      <w:r w:rsidR="004D1EBC">
        <w:t>PC-CBOCs</w:t>
      </w:r>
      <w:r w:rsidR="004D1EBC" w:rsidRPr="004D1EBC">
        <w:t>.</w:t>
      </w:r>
    </w:p>
    <w:tbl>
      <w:tblPr>
        <w:tblW w:w="8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2250"/>
        <w:gridCol w:w="2250"/>
        <w:gridCol w:w="1440"/>
      </w:tblGrid>
      <w:tr w:rsidR="009A5C61" w:rsidRPr="00D6097F" w14:paraId="1C01B577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6F5D37F2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</w:rPr>
            </w:pPr>
            <w:r w:rsidRPr="00D6097F">
              <w:rPr>
                <w:rFonts w:eastAsia="Times New Roman" w:cs="Arial"/>
                <w:b/>
                <w:sz w:val="20"/>
                <w:szCs w:val="20"/>
              </w:rPr>
              <w:t>Site Characteristics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66384256" w14:textId="053B0EF5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CRH PC</w:t>
            </w:r>
            <w:r w:rsidR="0022334F">
              <w:rPr>
                <w:rFonts w:eastAsia="Times New Roman" w:cs="Arial"/>
                <w:b/>
                <w:sz w:val="20"/>
                <w:szCs w:val="20"/>
              </w:rPr>
              <w:t>-</w:t>
            </w:r>
            <w:r>
              <w:rPr>
                <w:rFonts w:eastAsia="Times New Roman" w:cs="Arial"/>
                <w:b/>
                <w:sz w:val="20"/>
                <w:szCs w:val="20"/>
              </w:rPr>
              <w:t>CBOC</w:t>
            </w:r>
            <w:r w:rsidR="0022334F">
              <w:rPr>
                <w:rFonts w:eastAsia="Times New Roman" w:cs="Arial"/>
                <w:b/>
                <w:sz w:val="20"/>
                <w:szCs w:val="20"/>
              </w:rPr>
              <w:t>s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755CE29" w14:textId="126C0E74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Non-CRH PC</w:t>
            </w:r>
            <w:r w:rsidR="0022334F">
              <w:rPr>
                <w:rFonts w:eastAsia="Times New Roman" w:cs="Arial"/>
                <w:b/>
                <w:sz w:val="20"/>
                <w:szCs w:val="20"/>
              </w:rPr>
              <w:t>-</w:t>
            </w:r>
            <w:r>
              <w:rPr>
                <w:rFonts w:eastAsia="Times New Roman" w:cs="Arial"/>
                <w:b/>
                <w:sz w:val="20"/>
                <w:szCs w:val="20"/>
              </w:rPr>
              <w:t>CBOC</w:t>
            </w:r>
            <w:r w:rsidR="0022334F">
              <w:rPr>
                <w:rFonts w:eastAsia="Times New Roman" w:cs="Arial"/>
                <w:b/>
                <w:sz w:val="20"/>
                <w:szCs w:val="20"/>
              </w:rPr>
              <w:t>s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1D2CA78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P-value</w:t>
            </w:r>
          </w:p>
        </w:tc>
      </w:tr>
      <w:tr w:rsidR="009A5C61" w:rsidRPr="00D6097F" w14:paraId="76C6346E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089B577F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N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A785EA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111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6D328D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405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D3B97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76FFE651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2CD6474A" w14:textId="399E9B6F" w:rsidR="009A5C61" w:rsidRPr="00D6097F" w:rsidRDefault="00A36E59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Site </w:t>
            </w:r>
            <w:r w:rsidR="009A5C61" w:rsidRPr="00D6097F">
              <w:rPr>
                <w:rFonts w:eastAsia="Times New Roman" w:cs="Arial"/>
                <w:sz w:val="20"/>
                <w:szCs w:val="20"/>
              </w:rPr>
              <w:t>rurality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379A7F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D2C9C0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6A52F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0.24</w:t>
            </w:r>
          </w:p>
        </w:tc>
      </w:tr>
      <w:tr w:rsidR="009A5C61" w:rsidRPr="00D6097F" w14:paraId="1DAD3560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2339C0C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Urban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0F6647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52 (46.8%)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779A0A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226 (55.8%)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014AB3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4A9DD13A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18E55508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Rural/highly rural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0FBCD6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57 (51.4%)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702C1ED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172 (42.5%)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FD68A1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6ACC2B81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23706B53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Other/unknown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AD20D0B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 (1.8%)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74B3A2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7 (1.7%)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03F91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4923388F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3BC9DE2D" w14:textId="5A9FE879" w:rsidR="009A5C61" w:rsidRPr="00D6097F" w:rsidRDefault="0022334F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Site size</w:t>
            </w:r>
            <w:r w:rsidR="009A5C61" w:rsidRPr="00D6097F">
              <w:rPr>
                <w:rFonts w:eastAsia="Times New Roman" w:cs="Arial"/>
                <w:sz w:val="20"/>
                <w:szCs w:val="20"/>
              </w:rPr>
              <w:t>, mean (SD)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A5D49F3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5178.0 (3640.9)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7EAD4CD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3748.3 (2713.0)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6F2C166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9A5C61" w:rsidRPr="00D6097F" w14:paraId="5DFCAB68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8AB4AB2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</w:t>
            </w:r>
            <w:r w:rsidRPr="00D6097F">
              <w:rPr>
                <w:rFonts w:eastAsia="Times New Roman" w:cs="Arial"/>
                <w:sz w:val="20"/>
                <w:szCs w:val="20"/>
              </w:rPr>
              <w:t>egion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E5D652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FFD945B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E313A14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9A5C61" w:rsidRPr="00D6097F" w14:paraId="7AB70C78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4148ADA4" w14:textId="69F7CF21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East Coast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C3A45E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24 (21.6%)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2982974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103 (25.4%)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27AF0A7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245E3920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B665E04" w14:textId="32E99A79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Southeast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1319434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11 (9.9%)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660F2CB6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90 (22.2%)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F33273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7DD7B070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4DC256F1" w14:textId="64B93D8E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Rocky Mountain-Gulf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38E3EFB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25 (22.5%)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312FE7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53 (13.1%)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B83E6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196221EF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698B07F" w14:textId="317B62B4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Midwest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AB7E30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22 (19.8%)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B8E980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109 (26.9%)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6A4B3B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3A83FDED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64BC881E" w14:textId="01E4232C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West Coast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FBECCE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29 (26.1%)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5C68F62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50 (12.3%)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776C8E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D6097F" w14:paraId="55FFE2DD" w14:textId="77777777" w:rsidTr="009A5C61">
        <w:trPr>
          <w:trHeight w:val="255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74B1468F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</w:rPr>
              <w:t>Elixhauser</w:t>
            </w:r>
            <w:proofErr w:type="spellEnd"/>
            <w:r>
              <w:rPr>
                <w:rFonts w:eastAsia="Times New Roman" w:cs="Arial"/>
                <w:sz w:val="20"/>
                <w:szCs w:val="20"/>
              </w:rPr>
              <w:t xml:space="preserve"> score</w:t>
            </w:r>
            <w:r w:rsidRPr="00D6097F">
              <w:rPr>
                <w:rFonts w:eastAsia="Times New Roman" w:cs="Arial"/>
                <w:sz w:val="20"/>
                <w:szCs w:val="20"/>
              </w:rPr>
              <w:t>, mean (SD)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FECD781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1.2 (0.3)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C145DEF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1.2 (0.3)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4646D25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0.24</w:t>
            </w:r>
          </w:p>
        </w:tc>
      </w:tr>
    </w:tbl>
    <w:p w14:paraId="0D16036C" w14:textId="77777777" w:rsidR="009A5C61" w:rsidRPr="004D1EBC" w:rsidRDefault="009A5C61" w:rsidP="009A5C61">
      <w:pPr>
        <w:rPr>
          <w:i/>
          <w:iCs/>
          <w:sz w:val="20"/>
          <w:szCs w:val="20"/>
        </w:rPr>
      </w:pPr>
      <w:r w:rsidRPr="004D1EBC">
        <w:rPr>
          <w:i/>
          <w:iCs/>
          <w:sz w:val="20"/>
          <w:szCs w:val="20"/>
        </w:rPr>
        <w:t>P-values are derived from bivariate analyses using t-tests for continuous variables and chi-square tests for categorical variables.</w:t>
      </w:r>
    </w:p>
    <w:p w14:paraId="6E8D5A00" w14:textId="6A69382A" w:rsidR="009A5C61" w:rsidRDefault="009A5C61" w:rsidP="009A5C61">
      <w:r>
        <w:t>Table B3. Unadjusted Baseline Characteristics</w:t>
      </w:r>
      <w:r w:rsidR="004D1EBC" w:rsidRPr="004D1EBC">
        <w:t xml:space="preserve"> in FY20Q1 for Clinical Resource Hub Program </w:t>
      </w:r>
      <w:r w:rsidR="004D1EBC">
        <w:t>Multi-Specialty</w:t>
      </w:r>
      <w:r w:rsidR="004D1EBC" w:rsidRPr="004D1EBC">
        <w:t xml:space="preserve"> Community Based Outpatient Clinic</w:t>
      </w:r>
      <w:r w:rsidR="004D1EBC">
        <w:t>s</w:t>
      </w:r>
      <w:r w:rsidR="004D1EBC" w:rsidRPr="004D1EBC">
        <w:t xml:space="preserve"> (</w:t>
      </w:r>
      <w:r w:rsidR="004D1EBC">
        <w:t>MS</w:t>
      </w:r>
      <w:r w:rsidR="004D1EBC" w:rsidRPr="004D1EBC">
        <w:t>-CBOC</w:t>
      </w:r>
      <w:r w:rsidR="004D1EBC">
        <w:t>s</w:t>
      </w:r>
      <w:r w:rsidR="004D1EBC" w:rsidRPr="004D1EBC">
        <w:t>)</w:t>
      </w:r>
      <w:r w:rsidR="004D1EBC">
        <w:t xml:space="preserve"> </w:t>
      </w:r>
      <w:r w:rsidR="004D1EBC" w:rsidRPr="004D1EBC">
        <w:t xml:space="preserve">and non-program </w:t>
      </w:r>
      <w:r w:rsidR="004D1EBC">
        <w:t>MS-CBOCs</w:t>
      </w:r>
      <w:r w:rsidR="004D1EBC" w:rsidRPr="004D1EBC">
        <w:t>.</w:t>
      </w:r>
    </w:p>
    <w:tbl>
      <w:tblPr>
        <w:tblW w:w="8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990"/>
      </w:tblGrid>
      <w:tr w:rsidR="009A5C61" w:rsidRPr="007D009C" w14:paraId="76789CD8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550DE72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</w:rPr>
            </w:pPr>
            <w:r w:rsidRPr="00D6097F">
              <w:rPr>
                <w:rFonts w:eastAsia="Times New Roman" w:cs="Arial"/>
                <w:b/>
                <w:sz w:val="20"/>
                <w:szCs w:val="20"/>
              </w:rPr>
              <w:t>Site Characteristics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7A7286DD" w14:textId="00C16C16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CRH-PC </w:t>
            </w:r>
            <w:r w:rsidR="0022334F">
              <w:rPr>
                <w:rFonts w:eastAsia="Times New Roman" w:cs="Arial"/>
                <w:b/>
                <w:sz w:val="20"/>
                <w:szCs w:val="20"/>
              </w:rPr>
              <w:t>MS-</w:t>
            </w:r>
            <w:r>
              <w:rPr>
                <w:rFonts w:eastAsia="Times New Roman" w:cs="Arial"/>
                <w:b/>
                <w:sz w:val="20"/>
                <w:szCs w:val="20"/>
              </w:rPr>
              <w:t>CBOCs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16ACC91E" w14:textId="33362C64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Non-CRH-PC </w:t>
            </w:r>
            <w:r w:rsidR="0022334F">
              <w:rPr>
                <w:rFonts w:eastAsia="Times New Roman" w:cs="Arial"/>
                <w:b/>
                <w:sz w:val="20"/>
                <w:szCs w:val="20"/>
              </w:rPr>
              <w:t>MS-</w:t>
            </w:r>
            <w:r>
              <w:rPr>
                <w:rFonts w:eastAsia="Times New Roman" w:cs="Arial"/>
                <w:b/>
                <w:sz w:val="20"/>
                <w:szCs w:val="20"/>
              </w:rPr>
              <w:t>CBOCs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DAC4F0C" w14:textId="77777777" w:rsidR="009A5C61" w:rsidRPr="00D6097F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P-value</w:t>
            </w:r>
          </w:p>
        </w:tc>
      </w:tr>
      <w:tr w:rsidR="009A5C61" w:rsidRPr="007D009C" w14:paraId="3C896EF6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C26104B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>N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2B4BD09C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64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168EAF77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138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AEE23F2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1B9840FC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F72A470" w14:textId="0424685C" w:rsidR="009A5C61" w:rsidRPr="00D6097F" w:rsidRDefault="00A36E59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Site</w:t>
            </w:r>
            <w:r w:rsidR="009A5C61" w:rsidRPr="00D6097F">
              <w:rPr>
                <w:rFonts w:eastAsia="Times New Roman" w:cs="Arial"/>
                <w:sz w:val="20"/>
                <w:szCs w:val="20"/>
              </w:rPr>
              <w:t xml:space="preserve"> rurality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C1B4B0E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E1B475A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78D3DDC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0.44</w:t>
            </w:r>
          </w:p>
        </w:tc>
      </w:tr>
      <w:tr w:rsidR="009A5C61" w:rsidRPr="007D009C" w14:paraId="65F47016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B01C1D0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Urban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4D75203A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50 (78.1%)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21623ED8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113 (81.9%)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1119BEA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6EAD16E7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6D7CDE12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Rural/highly rural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A604FD3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14 (21.9%)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0BE33217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23 (16.7%)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6054711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6230708E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1548B0A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Other/unknown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2366C07F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0 (0.0%)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37F39504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2 (1.4%)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6A8875F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775FAF3C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78A2509" w14:textId="7AC50BC7" w:rsidR="009A5C61" w:rsidRPr="00D6097F" w:rsidRDefault="0022334F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Site size</w:t>
            </w:r>
            <w:r w:rsidR="009A5C61" w:rsidRPr="00D6097F">
              <w:rPr>
                <w:rFonts w:eastAsia="Times New Roman" w:cs="Arial"/>
                <w:sz w:val="20"/>
                <w:szCs w:val="20"/>
              </w:rPr>
              <w:t>, mean (SD)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59BB6CCF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11153.9 (7959.6)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064A374A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8363.9 (5919.0)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837CF8C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0.006</w:t>
            </w:r>
          </w:p>
        </w:tc>
      </w:tr>
      <w:tr w:rsidR="009A5C61" w:rsidRPr="007D009C" w14:paraId="7AE00958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740F341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</w:t>
            </w:r>
            <w:r w:rsidRPr="00D6097F">
              <w:rPr>
                <w:rFonts w:eastAsia="Times New Roman" w:cs="Arial"/>
                <w:sz w:val="20"/>
                <w:szCs w:val="20"/>
              </w:rPr>
              <w:t>egion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51C0DA68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E87A0CB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43083DB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0.36</w:t>
            </w:r>
          </w:p>
        </w:tc>
      </w:tr>
      <w:tr w:rsidR="009A5C61" w:rsidRPr="007D009C" w14:paraId="77351C77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7FD36356" w14:textId="55673879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East Coast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B96C982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9 (14.1%)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12BD7664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29 (21.0%)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9739F0B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0EB2E739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4B91FF42" w14:textId="1850F373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Southeast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3AFA74E6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10 (15.6%)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356360F0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23 (16.7%)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08AB8AB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3D5319B5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005D1D6C" w14:textId="74983D71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Rocky Mountain-Gulf 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0F3E760E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15 (23.4%)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A43A4F1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25 (18.1%)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01BA00D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105EC61D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80E1317" w14:textId="0F7A20E0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Midwest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0EFF2722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14 (21.9%)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6D8D0BA8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39 (28.3%)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70510BC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4E194C2B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1EE2FE82" w14:textId="07BFE615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6097F">
              <w:rPr>
                <w:rFonts w:eastAsia="Times New Roman" w:cs="Arial"/>
                <w:sz w:val="20"/>
                <w:szCs w:val="20"/>
              </w:rPr>
              <w:t xml:space="preserve">   West Coast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054A8F02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16 (25.0%)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185CE1AC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22 (15.9%)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E4A41D3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A5C61" w:rsidRPr="007D009C" w14:paraId="6EAD861D" w14:textId="77777777" w:rsidTr="009A5C61">
        <w:trPr>
          <w:trHeight w:val="255"/>
        </w:trPr>
        <w:tc>
          <w:tcPr>
            <w:tcW w:w="2515" w:type="dxa"/>
            <w:shd w:val="clear" w:color="auto" w:fill="auto"/>
            <w:noWrap/>
            <w:vAlign w:val="center"/>
            <w:hideMark/>
          </w:tcPr>
          <w:p w14:paraId="3B8BEBCE" w14:textId="77777777" w:rsidR="009A5C61" w:rsidRPr="00D6097F" w:rsidRDefault="009A5C61" w:rsidP="0063041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</w:rPr>
              <w:t>Elixhauser</w:t>
            </w:r>
            <w:proofErr w:type="spellEnd"/>
            <w:r>
              <w:rPr>
                <w:rFonts w:eastAsia="Times New Roman" w:cs="Arial"/>
                <w:sz w:val="20"/>
                <w:szCs w:val="20"/>
              </w:rPr>
              <w:t xml:space="preserve"> score</w:t>
            </w:r>
            <w:r w:rsidRPr="00D6097F">
              <w:rPr>
                <w:rFonts w:eastAsia="Times New Roman" w:cs="Arial"/>
                <w:sz w:val="20"/>
                <w:szCs w:val="20"/>
              </w:rPr>
              <w:t>, mean (SD)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01E2240B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1.2 (0.3)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14:paraId="5B8D642E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1.2 (0.2)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A491CAB" w14:textId="77777777" w:rsidR="009A5C61" w:rsidRPr="007D009C" w:rsidRDefault="009A5C61" w:rsidP="006304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7D009C">
              <w:rPr>
                <w:rFonts w:eastAsia="Times New Roman" w:cs="Arial"/>
                <w:sz w:val="20"/>
                <w:szCs w:val="20"/>
              </w:rPr>
              <w:t>0.19</w:t>
            </w:r>
          </w:p>
        </w:tc>
      </w:tr>
    </w:tbl>
    <w:p w14:paraId="2F4BAB1B" w14:textId="77777777" w:rsidR="009A5C61" w:rsidRPr="004D1EBC" w:rsidRDefault="009A5C61" w:rsidP="009A5C61">
      <w:pPr>
        <w:rPr>
          <w:i/>
          <w:iCs/>
          <w:sz w:val="20"/>
          <w:szCs w:val="20"/>
        </w:rPr>
      </w:pPr>
      <w:r w:rsidRPr="004D1EBC">
        <w:rPr>
          <w:i/>
          <w:iCs/>
          <w:sz w:val="20"/>
          <w:szCs w:val="20"/>
        </w:rPr>
        <w:t>P-values are derived from bivariate analyses using t-tests for continuous variables and chi-square tests for categorical variables.</w:t>
      </w:r>
    </w:p>
    <w:p w14:paraId="128E4F26" w14:textId="0B8D1DDB" w:rsidR="00EC247E" w:rsidRPr="001830E3" w:rsidRDefault="00EC247E" w:rsidP="00EC247E">
      <w:pPr>
        <w:pStyle w:val="Heading2"/>
        <w:numPr>
          <w:ilvl w:val="0"/>
          <w:numId w:val="1"/>
        </w:numPr>
      </w:pPr>
      <w:bookmarkStart w:id="4" w:name="_Toc142054942"/>
      <w:r>
        <w:lastRenderedPageBreak/>
        <w:t xml:space="preserve">Supplementary Results – </w:t>
      </w:r>
      <w:r w:rsidR="005A59AD">
        <w:t xml:space="preserve">Total </w:t>
      </w:r>
      <w:r>
        <w:t xml:space="preserve">Number of Patients </w:t>
      </w:r>
      <w:r w:rsidR="005A59AD">
        <w:t xml:space="preserve">Using </w:t>
      </w:r>
      <w:r w:rsidR="002F1C72">
        <w:t>Each Type of Care</w:t>
      </w:r>
      <w:r w:rsidR="005A59AD">
        <w:t xml:space="preserve"> in a Site</w:t>
      </w:r>
      <w:bookmarkEnd w:id="4"/>
    </w:p>
    <w:p w14:paraId="1A3D7AEE" w14:textId="27E861DB" w:rsidR="00F06D95" w:rsidRDefault="00F06D95" w:rsidP="00F06D95">
      <w:r>
        <w:t xml:space="preserve">Figure </w:t>
      </w:r>
      <w:r w:rsidR="0022334F">
        <w:t>C</w:t>
      </w:r>
      <w:r>
        <w:t xml:space="preserve">1: </w:t>
      </w:r>
      <w:r w:rsidR="002F1C72">
        <w:t>Trends (unadjusted) in the number of patients with p</w:t>
      </w:r>
      <w:r>
        <w:t>rimary care</w:t>
      </w:r>
      <w:r w:rsidR="002F1C72">
        <w:t xml:space="preserve"> (total and by modality) visits, emergency visits, and </w:t>
      </w:r>
      <w:r w:rsidR="00397149">
        <w:t xml:space="preserve">inpatient </w:t>
      </w:r>
      <w:r w:rsidR="002F1C72">
        <w:t>stays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0"/>
        <w:gridCol w:w="4690"/>
      </w:tblGrid>
      <w:tr w:rsidR="00F06D95" w14:paraId="75C3845C" w14:textId="77777777" w:rsidTr="00EC247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B6C1" w14:textId="77777777" w:rsidR="00F06D95" w:rsidRDefault="00F06D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 primary care patients (all modalities)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F018" w14:textId="77777777" w:rsidR="00F06D95" w:rsidRDefault="00F06D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 primary care in-person patients</w:t>
            </w:r>
          </w:p>
        </w:tc>
      </w:tr>
      <w:tr w:rsidR="00F06D95" w14:paraId="78BCBE8C" w14:textId="77777777" w:rsidTr="00EC247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ADBD" w14:textId="50273B49" w:rsidR="00F06D95" w:rsidRDefault="00F06D95">
            <w:r>
              <w:rPr>
                <w:noProof/>
              </w:rPr>
              <w:drawing>
                <wp:inline distT="0" distB="0" distL="0" distR="0" wp14:anchorId="2D854538" wp14:editId="3C1015F5">
                  <wp:extent cx="2857500" cy="1898650"/>
                  <wp:effectExtent l="0" t="0" r="0" b="63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104A" w14:textId="20E08974" w:rsidR="00F06D95" w:rsidRDefault="00F06D95">
            <w:r>
              <w:rPr>
                <w:noProof/>
              </w:rPr>
              <w:drawing>
                <wp:inline distT="0" distB="0" distL="0" distR="0" wp14:anchorId="6CBD3C26" wp14:editId="496ACA52">
                  <wp:extent cx="2857500" cy="1898650"/>
                  <wp:effectExtent l="0" t="0" r="0" b="635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D95" w14:paraId="4D465147" w14:textId="77777777" w:rsidTr="00EC247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EEA0" w14:textId="77777777" w:rsidR="00F06D95" w:rsidRDefault="00F06D95">
            <w:r>
              <w:rPr>
                <w:sz w:val="18"/>
                <w:szCs w:val="18"/>
              </w:rPr>
              <w:t>VA primary care phone patients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745F" w14:textId="77777777" w:rsidR="00F06D95" w:rsidRDefault="00F06D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 primary care video patients</w:t>
            </w:r>
          </w:p>
        </w:tc>
      </w:tr>
      <w:tr w:rsidR="00F06D95" w14:paraId="77888D67" w14:textId="77777777" w:rsidTr="00EC247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F8CC" w14:textId="14D15EFA" w:rsidR="00F06D95" w:rsidRDefault="00F06D95">
            <w:r>
              <w:rPr>
                <w:noProof/>
              </w:rPr>
              <w:drawing>
                <wp:inline distT="0" distB="0" distL="0" distR="0" wp14:anchorId="32B97099" wp14:editId="45742C39">
                  <wp:extent cx="2876550" cy="1917700"/>
                  <wp:effectExtent l="0" t="0" r="0" b="63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6214" w14:textId="5115DCA7" w:rsidR="00F06D95" w:rsidRDefault="00F06D95">
            <w:r>
              <w:rPr>
                <w:noProof/>
              </w:rPr>
              <w:drawing>
                <wp:inline distT="0" distB="0" distL="0" distR="0" wp14:anchorId="0F215B8D" wp14:editId="4D304D64">
                  <wp:extent cx="2895600" cy="19304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93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47E" w14:paraId="4E74B130" w14:textId="77777777" w:rsidTr="00EC247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A562" w14:textId="6794BCFE" w:rsidR="00EC247E" w:rsidRDefault="00EC247E" w:rsidP="00EC247E">
            <w:pPr>
              <w:rPr>
                <w:noProof/>
              </w:rPr>
            </w:pPr>
            <w:r>
              <w:rPr>
                <w:sz w:val="18"/>
                <w:szCs w:val="18"/>
              </w:rPr>
              <w:t>VA emergency department patients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641" w14:textId="502358F4" w:rsidR="00EC247E" w:rsidRDefault="00EC247E" w:rsidP="00EC247E">
            <w:pPr>
              <w:rPr>
                <w:noProof/>
              </w:rPr>
            </w:pPr>
            <w:r>
              <w:rPr>
                <w:sz w:val="18"/>
                <w:szCs w:val="18"/>
              </w:rPr>
              <w:t>VA patients hospitalized</w:t>
            </w:r>
          </w:p>
        </w:tc>
      </w:tr>
      <w:tr w:rsidR="00EC247E" w14:paraId="684C70ED" w14:textId="77777777" w:rsidTr="00EC247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DD06" w14:textId="77186C11" w:rsidR="00EC247E" w:rsidRDefault="00EC247E" w:rsidP="00EC247E">
            <w:pPr>
              <w:rPr>
                <w:noProof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7EF6C9CC" wp14:editId="5CA8A09A">
                  <wp:extent cx="2851150" cy="189865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0C3E" w14:textId="4C2619C6" w:rsidR="00EC247E" w:rsidRDefault="00EC247E" w:rsidP="00EC247E">
            <w:pPr>
              <w:rPr>
                <w:noProof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6CB794FF" wp14:editId="59DBF332">
                  <wp:extent cx="2851150" cy="1898650"/>
                  <wp:effectExtent l="0" t="0" r="635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5973D" w14:textId="77777777" w:rsidR="00F06D95" w:rsidRDefault="00F06D95" w:rsidP="00F06D95">
      <w:pPr>
        <w:spacing w:after="0"/>
      </w:pPr>
      <w:r>
        <w:t xml:space="preserve"> </w:t>
      </w:r>
    </w:p>
    <w:p w14:paraId="1B5E969B" w14:textId="18FECD5A" w:rsidR="00F06D95" w:rsidRDefault="00F06D95" w:rsidP="00F06D95">
      <w:r>
        <w:t xml:space="preserve">Figure </w:t>
      </w:r>
      <w:r w:rsidR="0022334F">
        <w:t>C</w:t>
      </w:r>
      <w:r w:rsidR="00EC247E">
        <w:t>2</w:t>
      </w:r>
      <w:r>
        <w:t xml:space="preserve">: Number of patients with primary care visits, ED visits and </w:t>
      </w:r>
      <w:r w:rsidR="00397149">
        <w:t>inpatient</w:t>
      </w:r>
      <w:r>
        <w:t xml:space="preserve"> stays</w:t>
      </w:r>
      <w:r w:rsidR="004D1EBC">
        <w:t xml:space="preserve"> </w:t>
      </w:r>
      <w:r w:rsidR="004D1EBC" w:rsidRPr="004D1EBC">
        <w:t>in Clinical Resource Hub program sites compared to non-program sites</w:t>
      </w:r>
      <w:r w:rsidR="004D1EBC">
        <w:t>, FY2019-FY2021,</w:t>
      </w:r>
      <w:r w:rsidR="004D1EBC" w:rsidRPr="004D1EBC">
        <w:t xml:space="preserve"> relative to the baseline quarter FY2020Q1 </w:t>
      </w:r>
      <w:r w:rsidR="00665BE7">
        <w:t>– adjusted event study estimates (and 95% C.I.s)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2613"/>
        <w:gridCol w:w="1415"/>
        <w:gridCol w:w="813"/>
        <w:gridCol w:w="39"/>
        <w:gridCol w:w="1379"/>
        <w:gridCol w:w="1306"/>
        <w:gridCol w:w="1457"/>
        <w:gridCol w:w="912"/>
        <w:gridCol w:w="45"/>
      </w:tblGrid>
      <w:tr w:rsidR="00D85B1B" w14:paraId="3730C4FD" w14:textId="77777777" w:rsidTr="00D85B1B">
        <w:trPr>
          <w:gridAfter w:val="1"/>
          <w:wAfter w:w="95" w:type="dxa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222F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patients (all modalities)</w:t>
            </w:r>
          </w:p>
        </w:tc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5397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in-person patients</w:t>
            </w:r>
          </w:p>
        </w:tc>
      </w:tr>
      <w:tr w:rsidR="00D85B1B" w14:paraId="741DD75C" w14:textId="77777777" w:rsidTr="00D85B1B">
        <w:trPr>
          <w:gridAfter w:val="1"/>
          <w:wAfter w:w="95" w:type="dxa"/>
          <w:trHeight w:val="3140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DE92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 w:rsidRPr="00712508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57E2B25B" wp14:editId="2EE121E1">
                  <wp:extent cx="2876550" cy="1915115"/>
                  <wp:effectExtent l="0" t="0" r="0" b="9525"/>
                  <wp:docPr id="4" name="Picture 4" descr="O:\PCS_VEC\Analysts\Output\jscott\Manuscripts\JGIM2023\ReviseResubmit\event_totalVAPCpats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PCS_VEC\Analysts\Output\jscott\Manuscripts\JGIM2023\ReviseResubmit\event_totalVAPCpats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140" cy="1940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7DE1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 w:rsidRPr="00712508">
              <w:rPr>
                <w:noProof/>
                <w:sz w:val="20"/>
                <w:szCs w:val="20"/>
              </w:rPr>
              <w:drawing>
                <wp:inline distT="0" distB="0" distL="0" distR="0" wp14:anchorId="0DDD7FE5" wp14:editId="05802ECA">
                  <wp:extent cx="2861355" cy="1905000"/>
                  <wp:effectExtent l="0" t="0" r="0" b="0"/>
                  <wp:docPr id="5" name="Picture 5" descr="O:\PCS_VEC\Analysts\Output\jscott\Manuscripts\JGIM2023\ReviseResubmit\event_VAPCf2fpats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PCS_VEC\Analysts\Output\jscott\Manuscripts\JGIM2023\ReviseResubmit\event_VAPCf2fpats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622" cy="192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B1B" w14:paraId="70678130" w14:textId="77777777" w:rsidTr="00D85B1B">
        <w:trPr>
          <w:gridAfter w:val="1"/>
          <w:wAfter w:w="95" w:type="dxa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CE39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phone patients</w:t>
            </w:r>
          </w:p>
        </w:tc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2678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video patients</w:t>
            </w:r>
          </w:p>
        </w:tc>
      </w:tr>
      <w:tr w:rsidR="00D85B1B" w14:paraId="0526D7FA" w14:textId="77777777" w:rsidTr="00D85B1B">
        <w:trPr>
          <w:gridAfter w:val="1"/>
          <w:wAfter w:w="95" w:type="dxa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0619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 w:rsidRPr="00712508">
              <w:rPr>
                <w:noProof/>
                <w:sz w:val="20"/>
                <w:szCs w:val="20"/>
              </w:rPr>
              <w:drawing>
                <wp:inline distT="0" distB="0" distL="0" distR="0" wp14:anchorId="218FB082" wp14:editId="20733CC0">
                  <wp:extent cx="2861355" cy="1905000"/>
                  <wp:effectExtent l="0" t="0" r="0" b="0"/>
                  <wp:docPr id="6" name="Picture 6" descr="O:\PCS_VEC\Analysts\Output\jscott\Manuscripts\JGIM2023\ReviseResubmit\event_VAPCphonepats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:\PCS_VEC\Analysts\Output\jscott\Manuscripts\JGIM2023\ReviseResubmit\event_VAPCphonepats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268" cy="191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CA11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 w:rsidRPr="00712508">
              <w:rPr>
                <w:noProof/>
                <w:sz w:val="20"/>
                <w:szCs w:val="20"/>
              </w:rPr>
              <w:drawing>
                <wp:inline distT="0" distB="0" distL="0" distR="0" wp14:anchorId="7FEE5D33" wp14:editId="767A6A5B">
                  <wp:extent cx="2886075" cy="1921457"/>
                  <wp:effectExtent l="0" t="0" r="0" b="3175"/>
                  <wp:docPr id="7" name="Picture 7" descr="O:\PCS_VEC\Analysts\Output\jscott\Manuscripts\JGIM2023\ReviseResubmit\event_VAPCvideopats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PCS_VEC\Analysts\Output\jscott\Manuscripts\JGIM2023\ReviseResubmit\event_VAPCvideopats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614" cy="19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B1B" w14:paraId="05FCFEDF" w14:textId="77777777" w:rsidTr="00D85B1B">
        <w:trPr>
          <w:gridAfter w:val="1"/>
          <w:wAfter w:w="95" w:type="dxa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5794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emergency department patients</w:t>
            </w:r>
          </w:p>
        </w:tc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A6BB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patients hospitalized</w:t>
            </w:r>
          </w:p>
        </w:tc>
      </w:tr>
      <w:tr w:rsidR="00D85B1B" w14:paraId="3177B189" w14:textId="77777777" w:rsidTr="00D85B1B">
        <w:trPr>
          <w:gridAfter w:val="1"/>
          <w:wAfter w:w="95" w:type="dxa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678F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 w:rsidRPr="00712508">
              <w:rPr>
                <w:noProof/>
                <w:sz w:val="20"/>
                <w:szCs w:val="20"/>
              </w:rPr>
              <w:drawing>
                <wp:inline distT="0" distB="0" distL="0" distR="0" wp14:anchorId="514F1693" wp14:editId="6221E66F">
                  <wp:extent cx="2861310" cy="1904969"/>
                  <wp:effectExtent l="0" t="0" r="0" b="635"/>
                  <wp:docPr id="8" name="Picture 8" descr="O:\PCS_VEC\Analysts\Output\jscott\Manuscripts\JGIM2023\ReviseResubmit\event_VAEDpats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PCS_VEC\Analysts\Output\jscott\Manuscripts\JGIM2023\ReviseResubmit\event_VAEDpats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276" cy="1928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BBC7" w14:textId="77777777" w:rsidR="00D85B1B" w:rsidRDefault="00D85B1B" w:rsidP="00D85B1B">
            <w:pPr>
              <w:pStyle w:val="Normal5-BR1"/>
              <w:spacing w:after="0"/>
              <w:rPr>
                <w:sz w:val="20"/>
                <w:szCs w:val="20"/>
              </w:rPr>
            </w:pPr>
            <w:r w:rsidRPr="00712508">
              <w:rPr>
                <w:noProof/>
                <w:sz w:val="20"/>
                <w:szCs w:val="20"/>
              </w:rPr>
              <w:drawing>
                <wp:inline distT="0" distB="0" distL="0" distR="0" wp14:anchorId="499212C8" wp14:editId="03E75010">
                  <wp:extent cx="2861310" cy="1904969"/>
                  <wp:effectExtent l="0" t="0" r="0" b="635"/>
                  <wp:docPr id="9" name="Picture 9" descr="O:\PCS_VEC\Analysts\Output\jscott\Manuscripts\JGIM2023\ReviseResubmit\event_totalVAinptpats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PCS_VEC\Analysts\Output\jscott\Manuscripts\JGIM2023\ReviseResubmit\event_totalVAinptpats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401" cy="194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E3B" w:rsidRPr="00D84BBD" w14:paraId="58F66FEB" w14:textId="77777777" w:rsidTr="00D85B1B">
        <w:tc>
          <w:tcPr>
            <w:tcW w:w="9450" w:type="dxa"/>
            <w:gridSpan w:val="9"/>
            <w:tcBorders>
              <w:top w:val="nil"/>
              <w:left w:val="nil"/>
              <w:bottom w:val="single" w:sz="0" w:space="0" w:color="000000"/>
              <w:right w:val="nil"/>
            </w:tcBorders>
          </w:tcPr>
          <w:p w14:paraId="5581C21B" w14:textId="77777777" w:rsidR="00D85B1B" w:rsidRDefault="00D85B1B" w:rsidP="00D85B1B">
            <w:pPr>
              <w:rPr>
                <w:sz w:val="20"/>
                <w:szCs w:val="20"/>
              </w:rPr>
            </w:pPr>
          </w:p>
          <w:p w14:paraId="0F916C5A" w14:textId="11F3EAC2" w:rsidR="009A7E3B" w:rsidRPr="00D84BBD" w:rsidRDefault="009A7E3B" w:rsidP="00D85B1B">
            <w:pPr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Table</w:t>
            </w:r>
            <w:r w:rsidR="00EA7B15">
              <w:rPr>
                <w:sz w:val="20"/>
                <w:szCs w:val="20"/>
              </w:rPr>
              <w:t xml:space="preserve"> C1</w:t>
            </w:r>
            <w:r w:rsidRPr="00D84BBD">
              <w:rPr>
                <w:sz w:val="20"/>
                <w:szCs w:val="20"/>
              </w:rPr>
              <w:t>. DID estimates</w:t>
            </w:r>
            <w:r w:rsidR="00665BE7">
              <w:rPr>
                <w:sz w:val="20"/>
                <w:szCs w:val="20"/>
              </w:rPr>
              <w:t xml:space="preserve"> (and 95% C.I.s)</w:t>
            </w:r>
            <w:r w:rsidRPr="00D84BBD">
              <w:rPr>
                <w:sz w:val="20"/>
                <w:szCs w:val="20"/>
              </w:rPr>
              <w:t xml:space="preserve"> for </w:t>
            </w:r>
            <w:r w:rsidR="009072B8">
              <w:rPr>
                <w:sz w:val="20"/>
                <w:szCs w:val="20"/>
              </w:rPr>
              <w:t xml:space="preserve">difference in total number of </w:t>
            </w:r>
            <w:r w:rsidRPr="00D84BBD">
              <w:rPr>
                <w:sz w:val="20"/>
                <w:szCs w:val="20"/>
              </w:rPr>
              <w:t xml:space="preserve">patients served </w:t>
            </w:r>
            <w:bookmarkStart w:id="5" w:name="_Hlk132114606"/>
            <w:r w:rsidR="009072B8">
              <w:rPr>
                <w:sz w:val="20"/>
                <w:szCs w:val="20"/>
              </w:rPr>
              <w:t>in Clinical Resource Hub program sites compared to non-program sites post-pandemic</w:t>
            </w:r>
            <w:r w:rsidR="004B4009">
              <w:rPr>
                <w:sz w:val="20"/>
                <w:szCs w:val="20"/>
              </w:rPr>
              <w:t>,</w:t>
            </w:r>
            <w:r w:rsidR="009072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stratified by site type </w:t>
            </w:r>
            <w:bookmarkEnd w:id="5"/>
          </w:p>
        </w:tc>
      </w:tr>
      <w:tr w:rsidR="009072B8" w:rsidRPr="00D84BBD" w14:paraId="68BA8FBD" w14:textId="77777777" w:rsidTr="00D85B1B">
        <w:tc>
          <w:tcPr>
            <w:tcW w:w="2469" w:type="dxa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</w:tcPr>
          <w:p w14:paraId="01305F32" w14:textId="77777777" w:rsidR="009A7E3B" w:rsidRPr="00D84BBD" w:rsidRDefault="009A7E3B" w:rsidP="00D85B1B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  <w:vAlign w:val="bottom"/>
          </w:tcPr>
          <w:p w14:paraId="37C0A5F4" w14:textId="53224877" w:rsidR="009A7E3B" w:rsidRPr="00D84BBD" w:rsidRDefault="009072B8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Care, all modalities</w:t>
            </w:r>
          </w:p>
        </w:tc>
        <w:tc>
          <w:tcPr>
            <w:tcW w:w="1144" w:type="dxa"/>
            <w:gridSpan w:val="2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  <w:vAlign w:val="bottom"/>
          </w:tcPr>
          <w:p w14:paraId="74AB6299" w14:textId="32111630" w:rsidR="009A7E3B" w:rsidRPr="00D84BBD" w:rsidRDefault="009072B8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In-person Primary Care</w:t>
            </w:r>
          </w:p>
        </w:tc>
        <w:tc>
          <w:tcPr>
            <w:tcW w:w="1208" w:type="dxa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  <w:vAlign w:val="bottom"/>
          </w:tcPr>
          <w:p w14:paraId="6DF26E88" w14:textId="1F622BA7" w:rsidR="009A7E3B" w:rsidRPr="00D84BBD" w:rsidRDefault="009072B8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Telephone Primary Care</w:t>
            </w:r>
          </w:p>
        </w:tc>
        <w:tc>
          <w:tcPr>
            <w:tcW w:w="1306" w:type="dxa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  <w:vAlign w:val="bottom"/>
          </w:tcPr>
          <w:p w14:paraId="0887476E" w14:textId="2BD14A03" w:rsidR="009A7E3B" w:rsidRPr="00D84BBD" w:rsidRDefault="009072B8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 Primary Care</w:t>
            </w:r>
          </w:p>
        </w:tc>
        <w:tc>
          <w:tcPr>
            <w:tcW w:w="1208" w:type="dxa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  <w:vAlign w:val="bottom"/>
          </w:tcPr>
          <w:p w14:paraId="48CBE95A" w14:textId="34A3D4D1" w:rsidR="009A7E3B" w:rsidRPr="00D84BBD" w:rsidRDefault="009072B8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Emergency Department</w:t>
            </w:r>
          </w:p>
        </w:tc>
        <w:tc>
          <w:tcPr>
            <w:tcW w:w="1012" w:type="dxa"/>
            <w:gridSpan w:val="2"/>
            <w:tcBorders>
              <w:top w:val="single" w:sz="0" w:space="0" w:color="000000"/>
              <w:left w:val="nil"/>
              <w:bottom w:val="single" w:sz="0" w:space="0" w:color="000000"/>
              <w:right w:val="nil"/>
            </w:tcBorders>
            <w:vAlign w:val="bottom"/>
          </w:tcPr>
          <w:p w14:paraId="51C409D8" w14:textId="72595007" w:rsidR="009A7E3B" w:rsidRPr="00D84BBD" w:rsidRDefault="009072B8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Inpatient</w:t>
            </w:r>
            <w:r w:rsidR="00676F4D">
              <w:rPr>
                <w:sz w:val="20"/>
                <w:szCs w:val="20"/>
              </w:rPr>
              <w:t xml:space="preserve"> Stays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A7E3B" w:rsidRPr="00D84BBD" w14:paraId="3A99DACD" w14:textId="77777777" w:rsidTr="00D85B1B">
        <w:tc>
          <w:tcPr>
            <w:tcW w:w="9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5A7727" w14:textId="60C83D2F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VAMCs</w:t>
            </w:r>
            <w:r w:rsidRPr="009A7E3B">
              <w:rPr>
                <w:b/>
                <w:bCs/>
                <w:sz w:val="20"/>
                <w:szCs w:val="20"/>
              </w:rPr>
              <w:t xml:space="preserve"> (</w:t>
            </w:r>
            <w:r w:rsidR="0016516E">
              <w:rPr>
                <w:b/>
                <w:bCs/>
                <w:sz w:val="20"/>
                <w:szCs w:val="20"/>
              </w:rPr>
              <w:t>CRH-PC N=5</w:t>
            </w:r>
            <w:r w:rsidR="00AA0714">
              <w:rPr>
                <w:b/>
                <w:bCs/>
                <w:sz w:val="20"/>
                <w:szCs w:val="20"/>
              </w:rPr>
              <w:t>9</w:t>
            </w:r>
            <w:r w:rsidR="0016516E">
              <w:rPr>
                <w:b/>
                <w:bCs/>
                <w:sz w:val="20"/>
                <w:szCs w:val="20"/>
              </w:rPr>
              <w:t>, Non-CRH-PC N=</w:t>
            </w:r>
            <w:r w:rsidR="00AA0714">
              <w:rPr>
                <w:b/>
                <w:bCs/>
                <w:sz w:val="20"/>
                <w:szCs w:val="20"/>
              </w:rPr>
              <w:t>106)</w:t>
            </w:r>
          </w:p>
        </w:tc>
      </w:tr>
      <w:tr w:rsidR="009072B8" w:rsidRPr="00D84BBD" w14:paraId="1A9CCBB4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BB6D3" w14:textId="5F2FCC56" w:rsidR="009A7E3B" w:rsidRPr="00D84BBD" w:rsidRDefault="009A7E3B" w:rsidP="00D8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CRH*</w:t>
            </w:r>
            <w:proofErr w:type="spellStart"/>
            <w:r>
              <w:rPr>
                <w:sz w:val="20"/>
                <w:szCs w:val="20"/>
              </w:rPr>
              <w:t>PostCOVID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19A04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4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4B5F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-290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E2CAA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165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45598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89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467FB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1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5F821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5</w:t>
            </w:r>
          </w:p>
        </w:tc>
      </w:tr>
      <w:tr w:rsidR="009072B8" w:rsidRPr="00D84BBD" w14:paraId="5759E0CB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</w:tcPr>
          <w:p w14:paraId="0C3F7755" w14:textId="77777777" w:rsidR="009A7E3B" w:rsidRPr="00D84BBD" w:rsidRDefault="009A7E3B" w:rsidP="00D85B1B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C188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238  246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A6D72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835  256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5B61B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354  684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82836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114  292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B89D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(-74   75)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4D2DA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(-14   23)</w:t>
            </w:r>
          </w:p>
        </w:tc>
      </w:tr>
      <w:tr w:rsidR="009072B8" w:rsidRPr="00D84BBD" w14:paraId="49F8268A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</w:tcPr>
          <w:p w14:paraId="2E119F4B" w14:textId="77777777" w:rsidR="009A7E3B" w:rsidRPr="00D84BBD" w:rsidRDefault="009A7E3B" w:rsidP="00D85B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Change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8C806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0.1%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E8ED5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A5692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7.5%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80D09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8DE9F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0.1%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15720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1.3%</w:t>
            </w:r>
          </w:p>
        </w:tc>
      </w:tr>
      <w:tr w:rsidR="009A7E3B" w:rsidRPr="00D84BBD" w14:paraId="51AC716B" w14:textId="77777777" w:rsidTr="00D85B1B">
        <w:tc>
          <w:tcPr>
            <w:tcW w:w="9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C8E2AA" w14:textId="7B9441B4" w:rsidR="009A7E3B" w:rsidRPr="009A7E3B" w:rsidRDefault="009A7E3B" w:rsidP="00D85B1B">
            <w:pPr>
              <w:jc w:val="center"/>
              <w:rPr>
                <w:b/>
                <w:bCs/>
                <w:sz w:val="20"/>
                <w:szCs w:val="20"/>
              </w:rPr>
            </w:pPr>
            <w:r w:rsidRPr="009A7E3B">
              <w:rPr>
                <w:b/>
                <w:bCs/>
                <w:sz w:val="20"/>
                <w:szCs w:val="20"/>
              </w:rPr>
              <w:lastRenderedPageBreak/>
              <w:t>PC-CBOCs (</w:t>
            </w:r>
            <w:r w:rsidR="0016516E">
              <w:rPr>
                <w:b/>
                <w:bCs/>
                <w:sz w:val="20"/>
                <w:szCs w:val="20"/>
              </w:rPr>
              <w:t>CRH-PC N=</w:t>
            </w:r>
            <w:proofErr w:type="gramStart"/>
            <w:r w:rsidR="0016516E">
              <w:rPr>
                <w:b/>
                <w:bCs/>
                <w:sz w:val="20"/>
                <w:szCs w:val="20"/>
              </w:rPr>
              <w:t>111 ,</w:t>
            </w:r>
            <w:proofErr w:type="gramEnd"/>
            <w:r w:rsidR="0016516E">
              <w:rPr>
                <w:b/>
                <w:bCs/>
                <w:sz w:val="20"/>
                <w:szCs w:val="20"/>
              </w:rPr>
              <w:t xml:space="preserve"> Non-CRH-PC</w:t>
            </w:r>
            <w:r w:rsidRPr="009A7E3B">
              <w:rPr>
                <w:b/>
                <w:bCs/>
                <w:sz w:val="20"/>
                <w:szCs w:val="20"/>
              </w:rPr>
              <w:t>=</w:t>
            </w:r>
            <w:r w:rsidR="00AA0714">
              <w:rPr>
                <w:b/>
                <w:bCs/>
                <w:sz w:val="20"/>
                <w:szCs w:val="20"/>
              </w:rPr>
              <w:t>405</w:t>
            </w:r>
            <w:r w:rsidRPr="009A7E3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072B8" w:rsidRPr="00D84BBD" w14:paraId="4A4868B4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7F1A8" w14:textId="034C81C2" w:rsidR="009A7E3B" w:rsidRPr="00D84BBD" w:rsidRDefault="009A7E3B" w:rsidP="00D8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CRH*</w:t>
            </w:r>
            <w:proofErr w:type="spellStart"/>
            <w:r>
              <w:rPr>
                <w:sz w:val="20"/>
                <w:szCs w:val="20"/>
              </w:rPr>
              <w:t>PostCOVID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EA76C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18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9E1E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-162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D3F80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177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9FBBF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BBDF5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-2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3253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-1</w:t>
            </w:r>
          </w:p>
        </w:tc>
      </w:tr>
      <w:tr w:rsidR="009072B8" w:rsidRPr="00D84BBD" w14:paraId="5BC52C68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</w:tcPr>
          <w:p w14:paraId="56E5AF89" w14:textId="77777777" w:rsidR="009A7E3B" w:rsidRPr="00D84BBD" w:rsidRDefault="009A7E3B" w:rsidP="00D85B1B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BF50F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(-24   60)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51591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277  -</w:t>
            </w:r>
            <w:proofErr w:type="gramEnd"/>
            <w:r w:rsidRPr="00D84BBD">
              <w:rPr>
                <w:sz w:val="20"/>
                <w:szCs w:val="20"/>
              </w:rPr>
              <w:t>48)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942B4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</w:t>
            </w:r>
            <w:proofErr w:type="gramStart"/>
            <w:r w:rsidRPr="00D84BBD">
              <w:rPr>
                <w:sz w:val="20"/>
                <w:szCs w:val="20"/>
              </w:rPr>
              <w:t>74  280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0C3D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10  111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6D246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(-12    8)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D8AD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(-4    1)</w:t>
            </w:r>
          </w:p>
        </w:tc>
      </w:tr>
      <w:tr w:rsidR="009072B8" w:rsidRPr="00D84BBD" w14:paraId="7D45ECDE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</w:tcPr>
          <w:p w14:paraId="36456FBE" w14:textId="77777777" w:rsidR="009A7E3B" w:rsidRPr="00D84BBD" w:rsidRDefault="009A7E3B" w:rsidP="00D85B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Change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C9D53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0.9%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C2FB3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-9.7%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EC8DB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29.6%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C69CC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3BB36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-1.2%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1C315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-2.2%</w:t>
            </w:r>
          </w:p>
        </w:tc>
      </w:tr>
      <w:tr w:rsidR="009A7E3B" w:rsidRPr="00D84BBD" w14:paraId="7EA09284" w14:textId="77777777" w:rsidTr="00D85B1B">
        <w:tc>
          <w:tcPr>
            <w:tcW w:w="9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E91391" w14:textId="38832695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4B7430">
              <w:rPr>
                <w:b/>
                <w:bCs/>
                <w:sz w:val="20"/>
                <w:szCs w:val="20"/>
              </w:rPr>
              <w:t>MS-CBOCs (</w:t>
            </w:r>
            <w:r w:rsidR="0016516E">
              <w:rPr>
                <w:b/>
                <w:bCs/>
                <w:sz w:val="20"/>
                <w:szCs w:val="20"/>
              </w:rPr>
              <w:t>CRH-PC N=64, Non-CRH-PC N=138</w:t>
            </w:r>
            <w:r w:rsidRPr="004B7430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072B8" w:rsidRPr="00D84BBD" w14:paraId="7DAE63C2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1C112" w14:textId="7BE1F3B8" w:rsidR="009A7E3B" w:rsidRPr="00D84BBD" w:rsidRDefault="009A7E3B" w:rsidP="00D8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CRH*</w:t>
            </w:r>
            <w:proofErr w:type="spellStart"/>
            <w:r>
              <w:rPr>
                <w:sz w:val="20"/>
                <w:szCs w:val="20"/>
              </w:rPr>
              <w:t>PostCOVID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8B7C4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EA727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-340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F71EA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481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E378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59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034AD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-8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D8F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-4</w:t>
            </w:r>
          </w:p>
        </w:tc>
      </w:tr>
      <w:tr w:rsidR="009072B8" w:rsidRPr="00D84BBD" w14:paraId="0E8B037E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</w:tcPr>
          <w:p w14:paraId="2636015D" w14:textId="77777777" w:rsidR="009A7E3B" w:rsidRPr="00D84BBD" w:rsidRDefault="009A7E3B" w:rsidP="00D85B1B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F183E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1  200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1B2A2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(-682    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E957F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</w:t>
            </w:r>
            <w:proofErr w:type="gramStart"/>
            <w:r w:rsidRPr="00D84BBD">
              <w:rPr>
                <w:sz w:val="20"/>
                <w:szCs w:val="20"/>
              </w:rPr>
              <w:t>130  832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9E14D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</w:t>
            </w:r>
            <w:proofErr w:type="gramStart"/>
            <w:r w:rsidRPr="00D84BBD">
              <w:rPr>
                <w:sz w:val="20"/>
                <w:szCs w:val="20"/>
              </w:rPr>
              <w:t>69  187</w:t>
            </w:r>
            <w:proofErr w:type="gramEnd"/>
            <w:r w:rsidRPr="00D84BBD">
              <w:rPr>
                <w:sz w:val="20"/>
                <w:szCs w:val="20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4ECA0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(-33   17)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692D0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 w:rsidRPr="00D84BBD">
              <w:rPr>
                <w:sz w:val="20"/>
                <w:szCs w:val="20"/>
              </w:rPr>
              <w:t>(-12    3)</w:t>
            </w:r>
          </w:p>
        </w:tc>
      </w:tr>
      <w:tr w:rsidR="009072B8" w:rsidRPr="00D84BBD" w14:paraId="213B79B8" w14:textId="77777777" w:rsidTr="00D85B1B"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</w:tcPr>
          <w:p w14:paraId="0611A8A8" w14:textId="77777777" w:rsidR="009A7E3B" w:rsidRPr="00D84BBD" w:rsidRDefault="009A7E3B" w:rsidP="00D85B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Change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FEB21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2.4%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305F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-9.2%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88F32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38.7%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A2D1C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14AA3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-2.2%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9234A" w14:textId="77777777" w:rsidR="009A7E3B" w:rsidRPr="00D84BBD" w:rsidRDefault="009A7E3B" w:rsidP="00D8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-3.4%</w:t>
            </w:r>
          </w:p>
        </w:tc>
      </w:tr>
    </w:tbl>
    <w:p w14:paraId="3B0D74EF" w14:textId="77777777" w:rsidR="004D1EBC" w:rsidRDefault="004D1EBC" w:rsidP="004D1EBC">
      <w:pPr>
        <w:rPr>
          <w:i/>
          <w:iCs/>
          <w:sz w:val="20"/>
          <w:szCs w:val="20"/>
        </w:rPr>
      </w:pPr>
    </w:p>
    <w:p w14:paraId="6364F628" w14:textId="0CAAB97C" w:rsidR="006522BA" w:rsidRDefault="004B4009" w:rsidP="003F2DC8">
      <w:pPr>
        <w:spacing w:after="0"/>
        <w:rPr>
          <w:i/>
          <w:iCs/>
          <w:sz w:val="20"/>
          <w:szCs w:val="20"/>
        </w:rPr>
      </w:pPr>
      <w:r w:rsidRPr="004B4009">
        <w:rPr>
          <w:i/>
          <w:iCs/>
          <w:sz w:val="20"/>
          <w:szCs w:val="20"/>
        </w:rPr>
        <w:t>* Asterisks indicate results that were statistically significant, with p-value &lt;0.0</w:t>
      </w:r>
      <w:r w:rsidR="003F2DC8">
        <w:rPr>
          <w:i/>
          <w:iCs/>
          <w:sz w:val="20"/>
          <w:szCs w:val="20"/>
        </w:rPr>
        <w:t>5</w:t>
      </w:r>
    </w:p>
    <w:p w14:paraId="0C9A8445" w14:textId="235B8F81" w:rsidR="00E03192" w:rsidRDefault="00E03192" w:rsidP="003F2DC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640A550" w14:textId="2DA7C357" w:rsidR="00F426D6" w:rsidRDefault="00AD5081" w:rsidP="00EA6F22">
      <w:pPr>
        <w:pStyle w:val="Heading2"/>
        <w:numPr>
          <w:ilvl w:val="0"/>
          <w:numId w:val="1"/>
        </w:numPr>
      </w:pPr>
      <w:bookmarkStart w:id="6" w:name="_Toc142054943"/>
      <w:r>
        <w:t>Sensitivity Analyses</w:t>
      </w:r>
      <w:r w:rsidR="00E03192">
        <w:t xml:space="preserve"> – Total Number of Visits for Each Type of Care, restricting the </w:t>
      </w:r>
      <w:r w:rsidR="00F426D6">
        <w:t xml:space="preserve">sample </w:t>
      </w:r>
      <w:r>
        <w:t>of sites</w:t>
      </w:r>
      <w:r w:rsidR="00F426D6">
        <w:t xml:space="preserve"> </w:t>
      </w:r>
      <w:r w:rsidR="00DE29A2">
        <w:t xml:space="preserve">in each </w:t>
      </w:r>
      <w:proofErr w:type="gramStart"/>
      <w:r w:rsidR="00DE29A2">
        <w:t>analysis</w:t>
      </w:r>
      <w:bookmarkEnd w:id="6"/>
      <w:proofErr w:type="gramEnd"/>
    </w:p>
    <w:p w14:paraId="72A28C11" w14:textId="1C4C32F9" w:rsidR="00F426D6" w:rsidRDefault="00F426D6" w:rsidP="00E03192"/>
    <w:p w14:paraId="324C3C8C" w14:textId="7C2853D8" w:rsidR="00AD5081" w:rsidRDefault="00AD5081" w:rsidP="00E03192">
      <w:r>
        <w:t>To strengthen attributability of the primary findings to the CRH program and to offer additional insights into reliance on the CRH program, we conducted the following three sensitivity analyses:</w:t>
      </w:r>
    </w:p>
    <w:p w14:paraId="41C8F16D" w14:textId="7C939F18" w:rsidR="00AD5081" w:rsidRDefault="00AD5081" w:rsidP="00AD5081">
      <w:pPr>
        <w:pStyle w:val="ListParagraph"/>
        <w:numPr>
          <w:ilvl w:val="0"/>
          <w:numId w:val="7"/>
        </w:numPr>
      </w:pPr>
      <w:r>
        <w:t xml:space="preserve">We restricted CRH-PC CRH PC sites to those with program implementation before onset of COVID-19 </w:t>
      </w:r>
    </w:p>
    <w:p w14:paraId="75C13084" w14:textId="4D9CF435" w:rsidR="00E03192" w:rsidRDefault="00E03192" w:rsidP="00E03192">
      <w:r>
        <w:t xml:space="preserve">Figure D1: CRH PC sites </w:t>
      </w:r>
      <w:r w:rsidR="00331A81">
        <w:t xml:space="preserve">with </w:t>
      </w:r>
      <w:r w:rsidR="00AD5081">
        <w:t xml:space="preserve">pre-pandemic </w:t>
      </w:r>
      <w:r w:rsidR="00331A81">
        <w:t xml:space="preserve">program </w:t>
      </w:r>
      <w:r>
        <w:t>implement</w:t>
      </w:r>
      <w:r w:rsidR="00331A81">
        <w:t>ation</w:t>
      </w:r>
      <w:r>
        <w:t xml:space="preserve"> vs non-CRH PC sites </w:t>
      </w:r>
      <w:bookmarkStart w:id="7" w:name="_Hlk132115297"/>
      <w:r w:rsidR="00AD5081">
        <w:t>-</w:t>
      </w:r>
      <w:r>
        <w:t xml:space="preserve"> event study estimates (and 95% C.I.s)</w:t>
      </w:r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819"/>
      </w:tblGrid>
      <w:tr w:rsidR="00E03192" w14:paraId="30895E4D" w14:textId="77777777" w:rsidTr="00331A8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3DA1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patients (all modalities)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FEC3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in-person patients</w:t>
            </w:r>
          </w:p>
        </w:tc>
      </w:tr>
      <w:tr w:rsidR="00E03192" w14:paraId="4CE96635" w14:textId="77777777" w:rsidTr="00331A81">
        <w:trPr>
          <w:trHeight w:val="314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7330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5C5EAB67" wp14:editId="36E27C44">
                  <wp:extent cx="2828925" cy="1883408"/>
                  <wp:effectExtent l="0" t="0" r="0" b="3175"/>
                  <wp:docPr id="2" name="Picture 2" descr="O:\PCS_VEC\Analysts\Output\jscott\Manuscripts\JGIM2023\ReviseResubmit\event_totalVAPCvisits_pre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PCS_VEC\Analysts\Output\jscott\Manuscripts\JGIM2023\ReviseResubmit\event_totalVAPCvisits_pre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902" cy="1900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A94B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29C5FB1F" wp14:editId="2B3F9381">
                  <wp:extent cx="2990850" cy="1991213"/>
                  <wp:effectExtent l="0" t="0" r="0" b="9525"/>
                  <wp:docPr id="10" name="Picture 10" descr="O:\PCS_VEC\Analysts\Output\jscott\Manuscripts\JGIM2023\ReviseResubmit\event_VAPCf2fvisits_pre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PCS_VEC\Analysts\Output\jscott\Manuscripts\JGIM2023\ReviseResubmit\event_VAPCf2fvisits_pre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123" cy="2012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2" w14:paraId="4AC45CD2" w14:textId="77777777" w:rsidTr="00331A8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CF6E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phone patients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7013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video patients</w:t>
            </w:r>
          </w:p>
        </w:tc>
      </w:tr>
      <w:tr w:rsidR="00E03192" w14:paraId="7F34D94A" w14:textId="77777777" w:rsidTr="00331A8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CEE9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lastRenderedPageBreak/>
              <w:drawing>
                <wp:inline distT="0" distB="0" distL="0" distR="0" wp14:anchorId="410A7B07" wp14:editId="4A1E9A1A">
                  <wp:extent cx="2790825" cy="1858042"/>
                  <wp:effectExtent l="0" t="0" r="0" b="8890"/>
                  <wp:docPr id="11" name="Picture 11" descr="O:\PCS_VEC\Analysts\Output\jscott\Manuscripts\JGIM2023\ReviseResubmit\event_VAPCphonevisits_pre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:\PCS_VEC\Analysts\Output\jscott\Manuscripts\JGIM2023\ReviseResubmit\event_VAPCphonevisits_pre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455" cy="1881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ACB0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130ABA21" wp14:editId="1D933FEF">
                  <wp:extent cx="3018731" cy="2009775"/>
                  <wp:effectExtent l="0" t="0" r="0" b="0"/>
                  <wp:docPr id="12" name="Picture 12" descr="O:\PCS_VEC\Analysts\Output\jscott\Manuscripts\JGIM2023\ReviseResubmit\event_VAPCvideovisits_pre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PCS_VEC\Analysts\Output\jscott\Manuscripts\JGIM2023\ReviseResubmit\event_VAPCvideovisits_pre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575" cy="202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2" w14:paraId="4289C099" w14:textId="77777777" w:rsidTr="00331A8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E7AB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emergency department patients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414B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patients hospitalized</w:t>
            </w:r>
          </w:p>
        </w:tc>
      </w:tr>
      <w:tr w:rsidR="00E03192" w14:paraId="547941E4" w14:textId="77777777" w:rsidTr="00331A8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8C11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3508734A" wp14:editId="203BB1F4">
                  <wp:extent cx="2800350" cy="1864384"/>
                  <wp:effectExtent l="0" t="0" r="0" b="2540"/>
                  <wp:docPr id="13" name="Picture 13" descr="O:\PCS_VEC\Analysts\Output\jscott\Manuscripts\JGIM2023\ReviseResubmit\event_VAEDvisits_pre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PCS_VEC\Analysts\Output\jscott\Manuscripts\JGIM2023\ReviseResubmit\event_VAEDvisits_pre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246" cy="1884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43E3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2D26AFD7" wp14:editId="4034888C">
                  <wp:extent cx="2981325" cy="1984872"/>
                  <wp:effectExtent l="0" t="0" r="0" b="0"/>
                  <wp:docPr id="14" name="Picture 14" descr="O:\PCS_VEC\Analysts\Output\jscott\Manuscripts\JGIM2023\ReviseResubmit\event_totalVAinptstays_pre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PCS_VEC\Analysts\Output\jscott\Manuscripts\JGIM2023\ReviseResubmit\event_totalVAinptstays_pre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794" cy="2000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F4E2A1" w14:textId="7E834CCE" w:rsidR="00331A81" w:rsidRPr="00F540CC" w:rsidRDefault="00331A81" w:rsidP="00331A81">
      <w:pPr>
        <w:rPr>
          <w:sz w:val="18"/>
          <w:szCs w:val="18"/>
        </w:rPr>
      </w:pPr>
      <w:r>
        <w:rPr>
          <w:sz w:val="18"/>
          <w:szCs w:val="18"/>
        </w:rPr>
        <w:t>CRH PC sites</w:t>
      </w:r>
      <w:r w:rsidR="00AD5081">
        <w:rPr>
          <w:sz w:val="18"/>
          <w:szCs w:val="18"/>
        </w:rPr>
        <w:t>, N</w:t>
      </w:r>
      <w:r>
        <w:rPr>
          <w:sz w:val="18"/>
          <w:szCs w:val="18"/>
        </w:rPr>
        <w:t xml:space="preserve"> = 82; </w:t>
      </w:r>
      <w:proofErr w:type="gramStart"/>
      <w:r>
        <w:rPr>
          <w:sz w:val="18"/>
          <w:szCs w:val="18"/>
        </w:rPr>
        <w:t>Non-CRH PC</w:t>
      </w:r>
      <w:proofErr w:type="gramEnd"/>
      <w:r>
        <w:rPr>
          <w:sz w:val="18"/>
          <w:szCs w:val="18"/>
        </w:rPr>
        <w:t xml:space="preserve"> sites</w:t>
      </w:r>
      <w:r w:rsidR="00AD5081">
        <w:rPr>
          <w:sz w:val="18"/>
          <w:szCs w:val="18"/>
        </w:rPr>
        <w:t>, N</w:t>
      </w:r>
      <w:r>
        <w:rPr>
          <w:sz w:val="18"/>
          <w:szCs w:val="18"/>
        </w:rPr>
        <w:t xml:space="preserve"> = 796</w:t>
      </w:r>
    </w:p>
    <w:p w14:paraId="4EC45A9E" w14:textId="2E49A4CD" w:rsidR="00E03192" w:rsidRDefault="00AD5081" w:rsidP="00AD5081">
      <w:pPr>
        <w:pStyle w:val="ListParagraph"/>
        <w:numPr>
          <w:ilvl w:val="0"/>
          <w:numId w:val="7"/>
        </w:numPr>
      </w:pPr>
      <w:r>
        <w:t xml:space="preserve">We restricted the sample of CRH-PC sites to those implemented before 12/31/2020 to allow CRH PC implementation of 4 or more quarters during the post-pandemic </w:t>
      </w:r>
      <w:proofErr w:type="gramStart"/>
      <w:r>
        <w:t>period</w:t>
      </w:r>
      <w:proofErr w:type="gramEnd"/>
    </w:p>
    <w:p w14:paraId="5DD54214" w14:textId="4F1F43BE" w:rsidR="00E03192" w:rsidRDefault="00E03192" w:rsidP="00E03192">
      <w:r>
        <w:t>Figure D2: CRH PC sites with 4</w:t>
      </w:r>
      <w:r w:rsidR="00AD5081">
        <w:t xml:space="preserve"> or more</w:t>
      </w:r>
      <w:r>
        <w:t xml:space="preserve"> quarters of </w:t>
      </w:r>
      <w:r w:rsidR="00AD5081">
        <w:t xml:space="preserve">program </w:t>
      </w:r>
      <w:r>
        <w:t>implementation during post-</w:t>
      </w:r>
      <w:r w:rsidR="00AD5081">
        <w:t>pandemic</w:t>
      </w:r>
      <w:r>
        <w:t xml:space="preserve"> period</w:t>
      </w:r>
      <w:r w:rsidR="00AD5081">
        <w:t xml:space="preserve"> </w:t>
      </w:r>
      <w:r>
        <w:t>vs non-CRH PC sites– event study estimates (and 95% C.I.s)</w:t>
      </w:r>
    </w:p>
    <w:tbl>
      <w:tblPr>
        <w:tblStyle w:val="TableGrid"/>
        <w:tblW w:w="9792" w:type="dxa"/>
        <w:tblLook w:val="04A0" w:firstRow="1" w:lastRow="0" w:firstColumn="1" w:lastColumn="0" w:noHBand="0" w:noVBand="1"/>
      </w:tblPr>
      <w:tblGrid>
        <w:gridCol w:w="4881"/>
        <w:gridCol w:w="4911"/>
      </w:tblGrid>
      <w:tr w:rsidR="00E03192" w14:paraId="4E82F9B8" w14:textId="77777777" w:rsidTr="00331A81"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DB92" w14:textId="5D85ED23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visits (all modalities)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55DE" w14:textId="79FEFF0E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in-person visits</w:t>
            </w:r>
          </w:p>
        </w:tc>
      </w:tr>
      <w:tr w:rsidR="00E03192" w14:paraId="2868C16E" w14:textId="77777777" w:rsidTr="00331A81">
        <w:trPr>
          <w:trHeight w:val="3140"/>
        </w:trPr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DA0B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3A673A9A" wp14:editId="253FF453">
                  <wp:extent cx="2790825" cy="1858043"/>
                  <wp:effectExtent l="0" t="0" r="0" b="8890"/>
                  <wp:docPr id="25" name="Picture 25" descr="O:\PCS_VEC\Analysts\Output\jscott\Manuscripts\JGIM2023\ReviseResubmit\event_totalVAPCvisits_post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:\PCS_VEC\Analysts\Output\jscott\Manuscripts\JGIM2023\ReviseResubmit\event_totalVAPCvisits_post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972" cy="1877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9571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218CC77B" wp14:editId="30CD7D6C">
                  <wp:extent cx="2981325" cy="1984871"/>
                  <wp:effectExtent l="0" t="0" r="0" b="0"/>
                  <wp:docPr id="26" name="Picture 26" descr="O:\PCS_VEC\Analysts\Output\jscott\Manuscripts\JGIM2023\ReviseResubmit\event_VAPCf2fvisits_post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O:\PCS_VEC\Analysts\Output\jscott\Manuscripts\JGIM2023\ReviseResubmit\event_VAPCf2fvisits_post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772" cy="20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2" w14:paraId="18E6BF90" w14:textId="77777777" w:rsidTr="00331A81"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6756" w14:textId="65ADE823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 primary care phone </w:t>
            </w:r>
            <w:r w:rsidR="00331A81">
              <w:rPr>
                <w:sz w:val="20"/>
                <w:szCs w:val="20"/>
              </w:rPr>
              <w:t>visits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27EE" w14:textId="32B79579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 primary care video </w:t>
            </w:r>
            <w:r w:rsidR="00331A81">
              <w:rPr>
                <w:sz w:val="20"/>
                <w:szCs w:val="20"/>
              </w:rPr>
              <w:t>visits</w:t>
            </w:r>
          </w:p>
        </w:tc>
      </w:tr>
      <w:tr w:rsidR="00E03192" w14:paraId="6FC9CC1A" w14:textId="77777777" w:rsidTr="00331A81"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B294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206DF6">
              <w:rPr>
                <w:noProof/>
                <w:sz w:val="20"/>
                <w:szCs w:val="20"/>
                <w:lang w:eastAsia="ja-JP"/>
              </w:rPr>
              <w:lastRenderedPageBreak/>
              <w:drawing>
                <wp:inline distT="0" distB="0" distL="0" distR="0" wp14:anchorId="56515380" wp14:editId="08FD4958">
                  <wp:extent cx="2962275" cy="1972189"/>
                  <wp:effectExtent l="0" t="0" r="0" b="9525"/>
                  <wp:docPr id="27" name="Picture 27" descr="O:\PCS_VEC\Analysts\Output\jscott\Manuscripts\JGIM2023\ReviseResubmit\event_VAPCphonevisits_post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:\PCS_VEC\Analysts\Output\jscott\Manuscripts\JGIM2023\ReviseResubmit\event_VAPCphonevisits_post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153" cy="1993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CB9A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E64F13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77F36166" wp14:editId="4EEC7B3E">
                  <wp:extent cx="2905125" cy="1934140"/>
                  <wp:effectExtent l="0" t="0" r="0" b="9525"/>
                  <wp:docPr id="28" name="Picture 28" descr="O:\PCS_VEC\Analysts\Output\jscott\Manuscripts\JGIM2023\ReviseResubmit\event_VAPCvideovisits_post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O:\PCS_VEC\Analysts\Output\jscott\Manuscripts\JGIM2023\ReviseResubmit\event_VAPCvideovisits_post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532" cy="195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2" w14:paraId="3AA9E20B" w14:textId="77777777" w:rsidTr="00331A81"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F6B6" w14:textId="79755DE1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 emergency department </w:t>
            </w:r>
            <w:r w:rsidR="00331A81">
              <w:rPr>
                <w:sz w:val="20"/>
                <w:szCs w:val="20"/>
              </w:rPr>
              <w:t>visits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61EE" w14:textId="193BC2FF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 </w:t>
            </w:r>
            <w:r w:rsidR="00331A81">
              <w:rPr>
                <w:sz w:val="20"/>
                <w:szCs w:val="20"/>
              </w:rPr>
              <w:t>hospital stays</w:t>
            </w:r>
          </w:p>
        </w:tc>
      </w:tr>
      <w:tr w:rsidR="00E03192" w14:paraId="2A3E12B7" w14:textId="77777777" w:rsidTr="00331A81"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A022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E64F13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6140D6A8" wp14:editId="0F77E2C5">
                  <wp:extent cx="2857500" cy="1902433"/>
                  <wp:effectExtent l="0" t="0" r="0" b="3175"/>
                  <wp:docPr id="29" name="Picture 29" descr="O:\PCS_VEC\Analysts\Output\jscott\Manuscripts\JGIM2023\ReviseResubmit\event_VAEDvisits_post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O:\PCS_VEC\Analysts\Output\jscott\Manuscripts\JGIM2023\ReviseResubmit\event_VAEDvisits_post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874" cy="193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ED8D" w14:textId="77777777" w:rsidR="00E03192" w:rsidRDefault="00E03192" w:rsidP="00331A81">
            <w:pPr>
              <w:pStyle w:val="Normal5-BR1"/>
              <w:spacing w:after="0"/>
              <w:rPr>
                <w:sz w:val="20"/>
                <w:szCs w:val="20"/>
              </w:rPr>
            </w:pPr>
            <w:r w:rsidRPr="00E64F13">
              <w:rPr>
                <w:noProof/>
                <w:sz w:val="20"/>
                <w:szCs w:val="20"/>
                <w:lang w:eastAsia="ja-JP"/>
              </w:rPr>
              <w:drawing>
                <wp:inline distT="0" distB="0" distL="0" distR="0" wp14:anchorId="05435D16" wp14:editId="0456CD58">
                  <wp:extent cx="2876550" cy="1915115"/>
                  <wp:effectExtent l="0" t="0" r="0" b="9525"/>
                  <wp:docPr id="30" name="Picture 30" descr="O:\PCS_VEC\Analysts\Output\jscott\Manuscripts\JGIM2023\ReviseResubmit\event_totalVAinptstays_postcovid_allsi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O:\PCS_VEC\Analysts\Output\jscott\Manuscripts\JGIM2023\ReviseResubmit\event_totalVAinptstays_postcovid_allsi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282" cy="1938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60BDD0" w14:textId="4905E118" w:rsidR="00E03192" w:rsidRDefault="00331A81" w:rsidP="00E03192">
      <w:pPr>
        <w:rPr>
          <w:sz w:val="18"/>
          <w:szCs w:val="18"/>
        </w:rPr>
      </w:pPr>
      <w:r>
        <w:rPr>
          <w:sz w:val="18"/>
          <w:szCs w:val="18"/>
        </w:rPr>
        <w:t>CRH PC sites</w:t>
      </w:r>
      <w:r w:rsidR="00AD5081">
        <w:rPr>
          <w:sz w:val="18"/>
          <w:szCs w:val="18"/>
        </w:rPr>
        <w:t>, N</w:t>
      </w:r>
      <w:r>
        <w:rPr>
          <w:sz w:val="18"/>
          <w:szCs w:val="18"/>
        </w:rPr>
        <w:t xml:space="preserve"> = 195; </w:t>
      </w:r>
      <w:proofErr w:type="gramStart"/>
      <w:r>
        <w:rPr>
          <w:sz w:val="18"/>
          <w:szCs w:val="18"/>
        </w:rPr>
        <w:t>Non-CRH PC</w:t>
      </w:r>
      <w:proofErr w:type="gramEnd"/>
      <w:r>
        <w:rPr>
          <w:sz w:val="18"/>
          <w:szCs w:val="18"/>
        </w:rPr>
        <w:t xml:space="preserve"> sites</w:t>
      </w:r>
      <w:r w:rsidR="00AD5081">
        <w:rPr>
          <w:sz w:val="18"/>
          <w:szCs w:val="18"/>
        </w:rPr>
        <w:t>, N</w:t>
      </w:r>
      <w:r>
        <w:rPr>
          <w:sz w:val="18"/>
          <w:szCs w:val="18"/>
        </w:rPr>
        <w:t xml:space="preserve"> = 796</w:t>
      </w:r>
    </w:p>
    <w:p w14:paraId="550A4B01" w14:textId="50D434F3" w:rsidR="00AD5081" w:rsidRDefault="00AD5081" w:rsidP="00AD5081">
      <w:pPr>
        <w:pStyle w:val="ListParagraph"/>
        <w:numPr>
          <w:ilvl w:val="0"/>
          <w:numId w:val="7"/>
        </w:numPr>
      </w:pPr>
      <w:r>
        <w:t>We analyzed changes in reliance on the CRH-PC program for CRH-PC sites</w:t>
      </w:r>
      <w:r w:rsidR="00333B76">
        <w:t xml:space="preserve"> by examining the percentage of primary care visits (total and by modality) which occurred through the CRH program. </w:t>
      </w:r>
    </w:p>
    <w:p w14:paraId="62635668" w14:textId="77777777" w:rsidR="00C21F40" w:rsidRDefault="00333B76" w:rsidP="00AD5081">
      <w:r>
        <w:t xml:space="preserve">Figure D3 below shows that compared to FY2020 quarter 1, there was increased reliance on the CRH-PC program during the pandemic. </w:t>
      </w:r>
    </w:p>
    <w:p w14:paraId="01994092" w14:textId="41AC6C55" w:rsidR="00AD5081" w:rsidRPr="00EC11E5" w:rsidRDefault="00333B76" w:rsidP="00AD5081">
      <w:r>
        <w:t xml:space="preserve">For primary care video visits, although we see a drop in </w:t>
      </w:r>
      <w:r w:rsidR="00C21F40">
        <w:t xml:space="preserve">the </w:t>
      </w:r>
      <w:r>
        <w:t xml:space="preserve">percentage of </w:t>
      </w:r>
      <w:r w:rsidR="00C21F40">
        <w:t xml:space="preserve">video </w:t>
      </w:r>
      <w:r>
        <w:t xml:space="preserve">visits through CRH-PC post-pandemic compared to the baseline quarter, this drop is due to the substantial increase in video visits overall (through non-CRH services) such that CRH-PC video visits were now a smaller </w:t>
      </w:r>
      <w:r w:rsidR="006B3EBF">
        <w:t>percentage</w:t>
      </w:r>
      <w:r>
        <w:t xml:space="preserve"> of all video</w:t>
      </w:r>
      <w:r w:rsidR="006B3EBF">
        <w:t xml:space="preserve"> primary care</w:t>
      </w:r>
      <w:r>
        <w:t xml:space="preserve"> visits. </w:t>
      </w:r>
      <w:r w:rsidR="00C21F40">
        <w:t>Figure D3 shows that o</w:t>
      </w:r>
      <w:r>
        <w:t>ver time</w:t>
      </w:r>
      <w:r w:rsidR="00C21F40">
        <w:t xml:space="preserve"> though</w:t>
      </w:r>
      <w:r>
        <w:t xml:space="preserve">, </w:t>
      </w:r>
      <w:r w:rsidR="00C21F40">
        <w:t xml:space="preserve">percentage of </w:t>
      </w:r>
      <w:r>
        <w:t>video visits</w:t>
      </w:r>
      <w:r w:rsidR="00C21F40">
        <w:t xml:space="preserve"> through CRH-PC</w:t>
      </w:r>
      <w:r>
        <w:t xml:space="preserve"> increase</w:t>
      </w:r>
      <w:r w:rsidR="00C21F40">
        <w:t xml:space="preserve"> post-pandemic as well</w:t>
      </w:r>
      <w:r>
        <w:t xml:space="preserve">. Nonetheless, as each of the sub-figures </w:t>
      </w:r>
      <w:r w:rsidR="00C21F40">
        <w:t>in Figure D3</w:t>
      </w:r>
      <w:r>
        <w:t xml:space="preserve"> shows that the magnitude of reliance on </w:t>
      </w:r>
      <w:r w:rsidR="00EC11E5">
        <w:t xml:space="preserve">CRH-PC services was less than 100%, </w:t>
      </w:r>
      <w:r w:rsidR="00C21F40">
        <w:t xml:space="preserve">this suggests that </w:t>
      </w:r>
      <w:r>
        <w:t xml:space="preserve">CRH-PC sites were likely using the </w:t>
      </w:r>
      <w:r w:rsidR="00C21F40">
        <w:t xml:space="preserve">telehealth </w:t>
      </w:r>
      <w:r>
        <w:t>infrastructure developed for CRH-PC services for non-CRH-PC services during the pandemic</w:t>
      </w:r>
      <w:r w:rsidR="00EC11E5">
        <w:t xml:space="preserve"> </w:t>
      </w:r>
      <w:bookmarkStart w:id="8" w:name="_Hlk142055878"/>
      <w:r w:rsidR="00EC11E5">
        <w:t xml:space="preserve">such that there was an overall increase in video and telephone visits due to </w:t>
      </w:r>
      <w:r w:rsidR="006B3EBF">
        <w:t xml:space="preserve">adoption of the </w:t>
      </w:r>
      <w:r w:rsidR="00EC11E5">
        <w:t xml:space="preserve">CRH-PC </w:t>
      </w:r>
      <w:r w:rsidR="006B3EBF">
        <w:t>program,</w:t>
      </w:r>
      <w:r w:rsidR="00EC11E5">
        <w:t xml:space="preserve"> </w:t>
      </w:r>
      <w:r w:rsidR="00C21F40">
        <w:t>as shown in the manuscript.</w:t>
      </w:r>
    </w:p>
    <w:bookmarkEnd w:id="8"/>
    <w:p w14:paraId="3E83316B" w14:textId="14C447DF" w:rsidR="00E03192" w:rsidRPr="00E03192" w:rsidRDefault="00AD5081" w:rsidP="00E03192">
      <w:r>
        <w:t>Figure D3: CRH-PC sites only - adjusted visits relative to baseline quarter FY2020Q1– event study estimates (and 95% C.I.s)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2"/>
        <w:gridCol w:w="4668"/>
      </w:tblGrid>
      <w:tr w:rsidR="00AD5081" w14:paraId="774B376B" w14:textId="77777777" w:rsidTr="00AD5081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F027" w14:textId="28AEFD3C" w:rsidR="00AD5081" w:rsidRDefault="00AD5081" w:rsidP="0076507E">
            <w:pPr>
              <w:pStyle w:val="Normal5-BR1"/>
              <w:spacing w:after="0" w:line="240" w:lineRule="auto"/>
              <w:rPr>
                <w:noProof/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</w:rPr>
              <w:t>VA primary care visits (all modalities)</w:t>
            </w:r>
            <w:r w:rsidRPr="006A7125">
              <w:rPr>
                <w:noProof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F51D" w14:textId="13DF8D3A" w:rsidR="00AD5081" w:rsidRDefault="00AD5081" w:rsidP="0076507E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in-person visits</w:t>
            </w:r>
          </w:p>
        </w:tc>
      </w:tr>
      <w:tr w:rsidR="00AD5081" w14:paraId="7501276C" w14:textId="77777777" w:rsidTr="00AD5081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F491" w14:textId="77777777" w:rsidR="00AD5081" w:rsidRDefault="00AD5081" w:rsidP="0076507E">
            <w:pPr>
              <w:pStyle w:val="Normal5-BR1"/>
              <w:rPr>
                <w:sz w:val="20"/>
                <w:szCs w:val="20"/>
              </w:rPr>
            </w:pPr>
            <w:r w:rsidRPr="00C06039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72CB2819" wp14:editId="76CE3A65">
                  <wp:extent cx="2933700" cy="1953164"/>
                  <wp:effectExtent l="0" t="0" r="0" b="9525"/>
                  <wp:docPr id="15" name="Picture 15" descr="O:\PCS_VEC\Analysts\Output\jscott\Manuscripts\JGIM2023\ReviseResubmit\event_pctCRHPCvisi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PCS_VEC\Analysts\Output\jscott\Manuscripts\JGIM2023\ReviseResubmit\event_pctCRHPCvisi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149" cy="1972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1957" w14:textId="77777777" w:rsidR="00AD5081" w:rsidRDefault="00AD5081" w:rsidP="0076507E">
            <w:pPr>
              <w:pStyle w:val="Normal5-BR1"/>
              <w:rPr>
                <w:sz w:val="20"/>
                <w:szCs w:val="20"/>
              </w:rPr>
            </w:pPr>
            <w:r w:rsidRPr="00C06039">
              <w:rPr>
                <w:noProof/>
                <w:sz w:val="20"/>
                <w:szCs w:val="20"/>
              </w:rPr>
              <w:drawing>
                <wp:inline distT="0" distB="0" distL="0" distR="0" wp14:anchorId="60A32382" wp14:editId="6D9624F0">
                  <wp:extent cx="2904277" cy="1933575"/>
                  <wp:effectExtent l="0" t="0" r="0" b="0"/>
                  <wp:docPr id="16" name="Picture 16" descr="O:\PCS_VEC\Analysts\Output\jscott\Manuscripts\JGIM2023\ReviseResubmit\event_pctCRHPCf2fvisi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PCS_VEC\Analysts\Output\jscott\Manuscripts\JGIM2023\ReviseResubmit\event_pctCRHPCf2fvisi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165" cy="1944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081" w14:paraId="6FB9489C" w14:textId="77777777" w:rsidTr="00AD5081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24E26" w14:textId="4E26D8F9" w:rsidR="00AD5081" w:rsidRDefault="00AD5081" w:rsidP="0076507E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phone visits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E1A5" w14:textId="2309A4C2" w:rsidR="00AD5081" w:rsidRDefault="00AD5081" w:rsidP="0076507E">
            <w:pPr>
              <w:pStyle w:val="Normal5-BR1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 primary care video visits</w:t>
            </w:r>
          </w:p>
        </w:tc>
      </w:tr>
      <w:tr w:rsidR="00AD5081" w14:paraId="5944C946" w14:textId="77777777" w:rsidTr="00AD5081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886D" w14:textId="77777777" w:rsidR="00AD5081" w:rsidRDefault="00AD5081" w:rsidP="0076507E">
            <w:pPr>
              <w:pStyle w:val="Normal5-BR1"/>
              <w:spacing w:after="0"/>
              <w:rPr>
                <w:sz w:val="20"/>
                <w:szCs w:val="20"/>
              </w:rPr>
            </w:pPr>
            <w:r w:rsidRPr="00C06039">
              <w:rPr>
                <w:noProof/>
                <w:sz w:val="20"/>
                <w:szCs w:val="20"/>
              </w:rPr>
              <w:drawing>
                <wp:inline distT="0" distB="0" distL="0" distR="0" wp14:anchorId="34140EEA" wp14:editId="008CE713">
                  <wp:extent cx="2933700" cy="1953164"/>
                  <wp:effectExtent l="0" t="0" r="0" b="9525"/>
                  <wp:docPr id="17" name="Picture 17" descr="O:\PCS_VEC\Analysts\Output\jscott\Manuscripts\JGIM2023\ReviseResubmit\event_pctCRHPCphonevisi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:\PCS_VEC\Analysts\Output\jscott\Manuscripts\JGIM2023\ReviseResubmit\event_pctCRHPCphonevisi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340" cy="1990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8BE7" w14:textId="0F48893B" w:rsidR="00AD5081" w:rsidRDefault="003A4EC8" w:rsidP="0076507E">
            <w:pPr>
              <w:pStyle w:val="Normal5-BR1"/>
              <w:spacing w:after="0"/>
              <w:rPr>
                <w:sz w:val="20"/>
                <w:szCs w:val="20"/>
              </w:rPr>
            </w:pPr>
            <w:r w:rsidRPr="0009189D">
              <w:rPr>
                <w:noProof/>
                <w:sz w:val="20"/>
                <w:szCs w:val="20"/>
              </w:rPr>
              <w:drawing>
                <wp:inline distT="0" distB="0" distL="0" distR="0" wp14:anchorId="6CC55933" wp14:editId="69FBDF47">
                  <wp:extent cx="2924175" cy="1946823"/>
                  <wp:effectExtent l="0" t="0" r="0" b="0"/>
                  <wp:docPr id="19" name="Picture 19" descr="O:\PCS_VEC\Analysts\Output\jscott\Manuscripts\JGIM2023\ReviseResubmit\event_pctCRHPCvideovisi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PCS_VEC\Analysts\Output\jscott\Manuscripts\JGIM2023\ReviseResubmit\event_pctCRHPCvideovisi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1945" cy="196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081" w14:paraId="1D417250" w14:textId="77777777" w:rsidTr="00AD5081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70A6" w14:textId="77777777" w:rsidR="00AD5081" w:rsidRDefault="00AD5081" w:rsidP="0076507E">
            <w:pPr>
              <w:pStyle w:val="Normal5-BR1"/>
              <w:rPr>
                <w:sz w:val="20"/>
                <w:szCs w:val="20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7190" w14:textId="77777777" w:rsidR="00AD5081" w:rsidRDefault="00AD5081" w:rsidP="0076507E">
            <w:pPr>
              <w:pStyle w:val="Normal5-BR1"/>
              <w:rPr>
                <w:sz w:val="20"/>
                <w:szCs w:val="20"/>
              </w:rPr>
            </w:pPr>
          </w:p>
        </w:tc>
      </w:tr>
    </w:tbl>
    <w:p w14:paraId="0A9D11E5" w14:textId="0C63D268" w:rsidR="00E03192" w:rsidRPr="00E03192" w:rsidRDefault="00AD5081" w:rsidP="003F2DC8">
      <w:pPr>
        <w:spacing w:after="0"/>
      </w:pPr>
      <w:r>
        <w:rPr>
          <w:sz w:val="18"/>
          <w:szCs w:val="18"/>
        </w:rPr>
        <w:t>CRH PC sites</w:t>
      </w:r>
      <w:r w:rsidR="00CA1FC2">
        <w:rPr>
          <w:sz w:val="18"/>
          <w:szCs w:val="18"/>
        </w:rPr>
        <w:t>, N</w:t>
      </w:r>
      <w:r>
        <w:rPr>
          <w:sz w:val="18"/>
          <w:szCs w:val="18"/>
        </w:rPr>
        <w:t xml:space="preserve"> = 254; </w:t>
      </w:r>
      <w:proofErr w:type="gramStart"/>
      <w:r>
        <w:rPr>
          <w:sz w:val="18"/>
          <w:szCs w:val="18"/>
        </w:rPr>
        <w:t>Non-CRH PC</w:t>
      </w:r>
      <w:proofErr w:type="gramEnd"/>
      <w:r>
        <w:rPr>
          <w:sz w:val="18"/>
          <w:szCs w:val="18"/>
        </w:rPr>
        <w:t xml:space="preserve"> sites</w:t>
      </w:r>
      <w:r w:rsidR="00CA1FC2">
        <w:rPr>
          <w:sz w:val="18"/>
          <w:szCs w:val="18"/>
        </w:rPr>
        <w:t>, N</w:t>
      </w:r>
      <w:r>
        <w:rPr>
          <w:sz w:val="18"/>
          <w:szCs w:val="18"/>
        </w:rPr>
        <w:t xml:space="preserve"> = 0</w:t>
      </w:r>
    </w:p>
    <w:sectPr w:rsidR="00E03192" w:rsidRPr="00E03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17D09"/>
    <w:multiLevelType w:val="hybridMultilevel"/>
    <w:tmpl w:val="B45EEE2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823F7"/>
    <w:multiLevelType w:val="hybridMultilevel"/>
    <w:tmpl w:val="94D2E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F2673"/>
    <w:multiLevelType w:val="hybridMultilevel"/>
    <w:tmpl w:val="B45EEE2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35E25"/>
    <w:multiLevelType w:val="hybridMultilevel"/>
    <w:tmpl w:val="C72C9CA6"/>
    <w:lvl w:ilvl="0" w:tplc="DECA68E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56031"/>
    <w:multiLevelType w:val="hybridMultilevel"/>
    <w:tmpl w:val="B45EEE2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735C6"/>
    <w:multiLevelType w:val="hybridMultilevel"/>
    <w:tmpl w:val="B45EEE2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60185"/>
    <w:multiLevelType w:val="hybridMultilevel"/>
    <w:tmpl w:val="B45EEE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92056"/>
    <w:multiLevelType w:val="hybridMultilevel"/>
    <w:tmpl w:val="94D2E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320321">
    <w:abstractNumId w:val="6"/>
  </w:num>
  <w:num w:numId="2" w16cid:durableId="910385921">
    <w:abstractNumId w:val="5"/>
  </w:num>
  <w:num w:numId="3" w16cid:durableId="1030762536">
    <w:abstractNumId w:val="2"/>
  </w:num>
  <w:num w:numId="4" w16cid:durableId="99761166">
    <w:abstractNumId w:val="0"/>
  </w:num>
  <w:num w:numId="5" w16cid:durableId="7962242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0497187">
    <w:abstractNumId w:val="4"/>
  </w:num>
  <w:num w:numId="7" w16cid:durableId="1130123360">
    <w:abstractNumId w:val="7"/>
  </w:num>
  <w:num w:numId="8" w16cid:durableId="1834175778">
    <w:abstractNumId w:val="3"/>
  </w:num>
  <w:num w:numId="9" w16cid:durableId="2126385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2BA"/>
    <w:rsid w:val="00016B59"/>
    <w:rsid w:val="00027215"/>
    <w:rsid w:val="000609B8"/>
    <w:rsid w:val="000838D0"/>
    <w:rsid w:val="000B1770"/>
    <w:rsid w:val="000B2FB8"/>
    <w:rsid w:val="000C1CA4"/>
    <w:rsid w:val="000E4029"/>
    <w:rsid w:val="00136769"/>
    <w:rsid w:val="00157968"/>
    <w:rsid w:val="0016516E"/>
    <w:rsid w:val="001830E3"/>
    <w:rsid w:val="0019530B"/>
    <w:rsid w:val="001A475F"/>
    <w:rsid w:val="0022334F"/>
    <w:rsid w:val="002762DF"/>
    <w:rsid w:val="00285DB5"/>
    <w:rsid w:val="002D428A"/>
    <w:rsid w:val="002F1C72"/>
    <w:rsid w:val="002F665E"/>
    <w:rsid w:val="00304567"/>
    <w:rsid w:val="003120A3"/>
    <w:rsid w:val="0031396E"/>
    <w:rsid w:val="00324852"/>
    <w:rsid w:val="00331A81"/>
    <w:rsid w:val="00333B76"/>
    <w:rsid w:val="00363A8F"/>
    <w:rsid w:val="003666F6"/>
    <w:rsid w:val="00384356"/>
    <w:rsid w:val="00397149"/>
    <w:rsid w:val="003A39C8"/>
    <w:rsid w:val="003A4C31"/>
    <w:rsid w:val="003A4EC8"/>
    <w:rsid w:val="003B0705"/>
    <w:rsid w:val="003B4143"/>
    <w:rsid w:val="003C2483"/>
    <w:rsid w:val="003C41C8"/>
    <w:rsid w:val="003F2DC8"/>
    <w:rsid w:val="00413E08"/>
    <w:rsid w:val="004915F2"/>
    <w:rsid w:val="004B4009"/>
    <w:rsid w:val="004D1EBC"/>
    <w:rsid w:val="004D5FE0"/>
    <w:rsid w:val="00535D41"/>
    <w:rsid w:val="00577405"/>
    <w:rsid w:val="00593A92"/>
    <w:rsid w:val="005A59AD"/>
    <w:rsid w:val="006522BA"/>
    <w:rsid w:val="00665BE7"/>
    <w:rsid w:val="00676F4D"/>
    <w:rsid w:val="006B3EBF"/>
    <w:rsid w:val="006B567C"/>
    <w:rsid w:val="007238C1"/>
    <w:rsid w:val="00737242"/>
    <w:rsid w:val="007554F8"/>
    <w:rsid w:val="007876F4"/>
    <w:rsid w:val="007B216E"/>
    <w:rsid w:val="00822D09"/>
    <w:rsid w:val="00836420"/>
    <w:rsid w:val="008528D7"/>
    <w:rsid w:val="00862539"/>
    <w:rsid w:val="00867E6F"/>
    <w:rsid w:val="008A1348"/>
    <w:rsid w:val="008D35B0"/>
    <w:rsid w:val="009072B8"/>
    <w:rsid w:val="00911FD7"/>
    <w:rsid w:val="0092504E"/>
    <w:rsid w:val="00934A96"/>
    <w:rsid w:val="009A5C61"/>
    <w:rsid w:val="009A7E3B"/>
    <w:rsid w:val="00A25862"/>
    <w:rsid w:val="00A259B7"/>
    <w:rsid w:val="00A36E59"/>
    <w:rsid w:val="00A46E2C"/>
    <w:rsid w:val="00A5008D"/>
    <w:rsid w:val="00A62102"/>
    <w:rsid w:val="00A958B3"/>
    <w:rsid w:val="00AA0714"/>
    <w:rsid w:val="00AD5081"/>
    <w:rsid w:val="00C21F40"/>
    <w:rsid w:val="00C3526B"/>
    <w:rsid w:val="00C55320"/>
    <w:rsid w:val="00C564BC"/>
    <w:rsid w:val="00C62C2E"/>
    <w:rsid w:val="00C63590"/>
    <w:rsid w:val="00C67616"/>
    <w:rsid w:val="00C850A6"/>
    <w:rsid w:val="00CA1FC2"/>
    <w:rsid w:val="00D03DAD"/>
    <w:rsid w:val="00D1391D"/>
    <w:rsid w:val="00D34752"/>
    <w:rsid w:val="00D55578"/>
    <w:rsid w:val="00D57DA4"/>
    <w:rsid w:val="00D76D9B"/>
    <w:rsid w:val="00D85686"/>
    <w:rsid w:val="00D85B1B"/>
    <w:rsid w:val="00DD3365"/>
    <w:rsid w:val="00DE29A2"/>
    <w:rsid w:val="00DF2FF6"/>
    <w:rsid w:val="00E03192"/>
    <w:rsid w:val="00E062AB"/>
    <w:rsid w:val="00E20DFF"/>
    <w:rsid w:val="00E20EB9"/>
    <w:rsid w:val="00EA7B15"/>
    <w:rsid w:val="00EC11E5"/>
    <w:rsid w:val="00EC247E"/>
    <w:rsid w:val="00ED3B1F"/>
    <w:rsid w:val="00EF1C79"/>
    <w:rsid w:val="00EF5848"/>
    <w:rsid w:val="00F06D95"/>
    <w:rsid w:val="00F426D6"/>
    <w:rsid w:val="00FC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61870"/>
  <w15:chartTrackingRefBased/>
  <w15:docId w15:val="{4D6D0749-550D-44C0-BD20-F70B6E24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BA"/>
  </w:style>
  <w:style w:type="paragraph" w:styleId="Heading1">
    <w:name w:val="heading 1"/>
    <w:basedOn w:val="Normal"/>
    <w:next w:val="Normal"/>
    <w:link w:val="Heading1Char"/>
    <w:uiPriority w:val="9"/>
    <w:qFormat/>
    <w:rsid w:val="001830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30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22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2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2BA"/>
    <w:rPr>
      <w:sz w:val="20"/>
      <w:szCs w:val="20"/>
    </w:rPr>
  </w:style>
  <w:style w:type="paragraph" w:customStyle="1" w:styleId="Normal5-BR1">
    <w:name w:val="Normal5-BR1"/>
    <w:rsid w:val="00F06D95"/>
    <w:pPr>
      <w:spacing w:after="200" w:line="276" w:lineRule="auto"/>
    </w:pPr>
  </w:style>
  <w:style w:type="paragraph" w:styleId="NormalWeb">
    <w:name w:val="Normal (Web)"/>
    <w:basedOn w:val="Normal"/>
    <w:uiPriority w:val="99"/>
    <w:semiHidden/>
    <w:unhideWhenUsed/>
    <w:rsid w:val="008D3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830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83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C247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3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3DAD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D1391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1391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1391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D139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A885D-9AC1-4E40-BAFC-C0940E833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Gujral, Kritee (she/her/hers)</dc:creator>
  <cp:keywords/>
  <dc:description/>
  <cp:lastModifiedBy>Gujral, Kritee (she/her/hers)</cp:lastModifiedBy>
  <cp:revision>12</cp:revision>
  <dcterms:created xsi:type="dcterms:W3CDTF">2023-08-02T18:55:00Z</dcterms:created>
  <dcterms:modified xsi:type="dcterms:W3CDTF">2023-08-04T22:45:00Z</dcterms:modified>
</cp:coreProperties>
</file>