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A46F5F" w14:textId="79AAD01C" w:rsidR="002918F8" w:rsidRDefault="009E59E8" w:rsidP="004E5144">
      <w:pPr>
        <w:jc w:val="center"/>
        <w:rPr>
          <w:rFonts w:cstheme="minorHAnsi"/>
          <w:b/>
          <w:bCs/>
        </w:rPr>
      </w:pPr>
      <w:r>
        <w:rPr>
          <w:rFonts w:cstheme="minorHAnsi"/>
          <w:b/>
          <w:bCs/>
        </w:rPr>
        <w:t>e</w:t>
      </w:r>
      <w:r w:rsidR="002918F8">
        <w:rPr>
          <w:rFonts w:cstheme="minorHAnsi"/>
          <w:b/>
          <w:bCs/>
        </w:rPr>
        <w:t>Appendix</w:t>
      </w:r>
    </w:p>
    <w:p w14:paraId="23A83D29" w14:textId="77777777" w:rsidR="00762490" w:rsidRPr="00762490" w:rsidRDefault="00762490" w:rsidP="00762490"/>
    <w:p w14:paraId="0F32F178" w14:textId="6A9412E6" w:rsidR="001F77A7" w:rsidRPr="00CD7CB7" w:rsidRDefault="001F77A7" w:rsidP="001F77A7">
      <w:pPr>
        <w:pStyle w:val="Heading2"/>
        <w:snapToGrid w:val="0"/>
        <w:spacing w:after="0"/>
        <w:ind w:left="0" w:firstLine="0"/>
        <w:rPr>
          <w:rFonts w:asciiTheme="minorHAnsi" w:hAnsiTheme="minorHAnsi" w:cstheme="minorHAnsi"/>
          <w:iCs/>
          <w:color w:val="000000" w:themeColor="text1"/>
        </w:rPr>
      </w:pPr>
      <w:r w:rsidRPr="00CD7CB7">
        <w:rPr>
          <w:rFonts w:asciiTheme="minorHAnsi" w:hAnsiTheme="minorHAnsi" w:cstheme="minorHAnsi"/>
          <w:iCs/>
          <w:color w:val="000000" w:themeColor="text1"/>
        </w:rPr>
        <w:t>Estimation of Cardiovascular Risk</w:t>
      </w:r>
    </w:p>
    <w:p w14:paraId="42C24AD3" w14:textId="7870A9DA" w:rsidR="00CD7CB7" w:rsidRDefault="00CD7CB7" w:rsidP="001F77A7">
      <w:pPr>
        <w:pStyle w:val="heading2text"/>
        <w:snapToGrid w:val="0"/>
        <w:spacing w:after="0"/>
        <w:ind w:left="0"/>
        <w:rPr>
          <w:rFonts w:asciiTheme="minorHAnsi" w:hAnsiTheme="minorHAnsi" w:cstheme="minorHAnsi"/>
          <w:iCs/>
          <w:color w:val="000000" w:themeColor="text1"/>
          <w:szCs w:val="24"/>
        </w:rPr>
      </w:pPr>
      <w:r w:rsidRPr="00CD7CB7">
        <w:rPr>
          <w:rFonts w:asciiTheme="minorHAnsi" w:hAnsiTheme="minorHAnsi" w:cstheme="minorHAnsi"/>
          <w:iCs/>
          <w:color w:val="000000" w:themeColor="text1"/>
          <w:szCs w:val="24"/>
        </w:rPr>
        <w:t>The 2018 US guideline also recommends considering risk enhancers to inform LLT treatment for the primary prevention population at borderline or intermediate risk (</w:t>
      </w:r>
      <w:r w:rsidRPr="00CD7CB7">
        <w:rPr>
          <w:rFonts w:asciiTheme="minorHAnsi" w:hAnsiTheme="minorHAnsi" w:cstheme="minorHAnsi"/>
          <w:b/>
          <w:bCs/>
          <w:iCs/>
          <w:color w:val="000000" w:themeColor="text1"/>
          <w:szCs w:val="24"/>
        </w:rPr>
        <w:t>eTable 1</w:t>
      </w:r>
      <w:r w:rsidRPr="00CD7CB7">
        <w:rPr>
          <w:rFonts w:asciiTheme="minorHAnsi" w:hAnsiTheme="minorHAnsi" w:cstheme="minorHAnsi"/>
          <w:iCs/>
          <w:color w:val="000000" w:themeColor="text1"/>
          <w:szCs w:val="24"/>
        </w:rPr>
        <w:t>). Individuals with clinical ASCVD were further categorized as being secondary prevention “at very high risk” and secondary prevention “not at very high risk”. Very high risk ASCVD includes patients with two or more major cardiovascular clinical events or one event with two or more high risk features (</w:t>
      </w:r>
      <w:r w:rsidRPr="00CD7CB7">
        <w:rPr>
          <w:rFonts w:asciiTheme="minorHAnsi" w:hAnsiTheme="minorHAnsi" w:cstheme="minorHAnsi"/>
          <w:b/>
          <w:bCs/>
          <w:iCs/>
          <w:color w:val="000000" w:themeColor="text1"/>
          <w:szCs w:val="24"/>
        </w:rPr>
        <w:t>eTable 2</w:t>
      </w:r>
      <w:r w:rsidRPr="00CD7CB7">
        <w:rPr>
          <w:rFonts w:asciiTheme="minorHAnsi" w:hAnsiTheme="minorHAnsi" w:cstheme="minorHAnsi"/>
          <w:iCs/>
          <w:color w:val="000000" w:themeColor="text1"/>
          <w:szCs w:val="24"/>
        </w:rPr>
        <w:t>).</w:t>
      </w:r>
    </w:p>
    <w:p w14:paraId="7F3A3E30" w14:textId="77777777" w:rsidR="00CD7CB7" w:rsidRDefault="00CD7CB7" w:rsidP="001F77A7">
      <w:pPr>
        <w:pStyle w:val="heading2text"/>
        <w:snapToGrid w:val="0"/>
        <w:spacing w:after="0"/>
        <w:ind w:left="0"/>
        <w:rPr>
          <w:rFonts w:asciiTheme="minorHAnsi" w:hAnsiTheme="minorHAnsi" w:cstheme="minorHAnsi"/>
          <w:iCs/>
          <w:color w:val="000000" w:themeColor="text1"/>
          <w:szCs w:val="24"/>
        </w:rPr>
      </w:pPr>
    </w:p>
    <w:p w14:paraId="1F77EF2F" w14:textId="22B525CA" w:rsidR="007D11E9" w:rsidRDefault="001F77A7" w:rsidP="001F77A7">
      <w:pPr>
        <w:pStyle w:val="heading2text"/>
        <w:snapToGrid w:val="0"/>
        <w:spacing w:after="0"/>
        <w:ind w:left="0"/>
        <w:rPr>
          <w:rFonts w:asciiTheme="minorHAnsi" w:hAnsiTheme="minorHAnsi" w:cstheme="minorHAnsi"/>
          <w:iCs/>
          <w:color w:val="000000" w:themeColor="text1"/>
          <w:szCs w:val="24"/>
        </w:rPr>
      </w:pPr>
      <w:r>
        <w:rPr>
          <w:rFonts w:asciiTheme="minorHAnsi" w:hAnsiTheme="minorHAnsi" w:cstheme="minorHAnsi"/>
          <w:iCs/>
          <w:color w:val="000000" w:themeColor="text1"/>
          <w:szCs w:val="24"/>
        </w:rPr>
        <w:t>Fo</w:t>
      </w:r>
      <w:r w:rsidR="00CD7CB7">
        <w:rPr>
          <w:rFonts w:asciiTheme="minorHAnsi" w:hAnsiTheme="minorHAnsi" w:cstheme="minorHAnsi"/>
          <w:iCs/>
          <w:color w:val="000000" w:themeColor="text1"/>
          <w:szCs w:val="24"/>
        </w:rPr>
        <w:t xml:space="preserve">r </w:t>
      </w:r>
      <w:r>
        <w:rPr>
          <w:rFonts w:asciiTheme="minorHAnsi" w:hAnsiTheme="minorHAnsi" w:cstheme="minorHAnsi"/>
          <w:iCs/>
          <w:color w:val="000000" w:themeColor="text1"/>
          <w:szCs w:val="24"/>
        </w:rPr>
        <w:t>the 2019 EU guidelines, we used a hierarchal approach similar to the 2018 US guidelines and</w:t>
      </w:r>
      <w:r w:rsidRPr="00737E07">
        <w:rPr>
          <w:rFonts w:asciiTheme="minorHAnsi" w:hAnsiTheme="minorHAnsi" w:cstheme="minorHAnsi"/>
          <w:iCs/>
          <w:color w:val="000000" w:themeColor="text1"/>
          <w:szCs w:val="24"/>
        </w:rPr>
        <w:t xml:space="preserve"> sequentially classified individuals into: (1) very-high risk defined as </w:t>
      </w:r>
      <w:r>
        <w:rPr>
          <w:rFonts w:asciiTheme="minorHAnsi" w:hAnsiTheme="minorHAnsi" w:cstheme="minorHAnsi"/>
          <w:iCs/>
          <w:color w:val="000000" w:themeColor="text1"/>
          <w:szCs w:val="24"/>
        </w:rPr>
        <w:t xml:space="preserve">clinical </w:t>
      </w:r>
      <w:r w:rsidRPr="00737E07">
        <w:rPr>
          <w:rFonts w:asciiTheme="minorHAnsi" w:hAnsiTheme="minorHAnsi" w:cstheme="minorHAnsi"/>
          <w:iCs/>
          <w:color w:val="000000" w:themeColor="text1"/>
          <w:szCs w:val="24"/>
        </w:rPr>
        <w:t xml:space="preserve">CVD, diabetes with 3 or more risk factors, severe </w:t>
      </w:r>
      <w:r>
        <w:rPr>
          <w:rFonts w:asciiTheme="minorHAnsi" w:hAnsiTheme="minorHAnsi" w:cstheme="minorHAnsi"/>
          <w:iCs/>
          <w:color w:val="000000" w:themeColor="text1"/>
          <w:szCs w:val="24"/>
        </w:rPr>
        <w:t>chronic kidney disease (CKD)</w:t>
      </w:r>
      <w:r w:rsidRPr="00737E07">
        <w:rPr>
          <w:rFonts w:asciiTheme="minorHAnsi" w:hAnsiTheme="minorHAnsi" w:cstheme="minorHAnsi"/>
          <w:iCs/>
          <w:color w:val="000000" w:themeColor="text1"/>
          <w:szCs w:val="24"/>
        </w:rPr>
        <w:t xml:space="preserve">, Familial Hypercholesterolemia (FH) with </w:t>
      </w:r>
      <w:r>
        <w:rPr>
          <w:rFonts w:asciiTheme="minorHAnsi" w:hAnsiTheme="minorHAnsi" w:cstheme="minorHAnsi"/>
          <w:iCs/>
          <w:color w:val="000000" w:themeColor="text1"/>
          <w:szCs w:val="24"/>
        </w:rPr>
        <w:t xml:space="preserve">clinical </w:t>
      </w:r>
      <w:r w:rsidRPr="00737E07">
        <w:rPr>
          <w:rFonts w:asciiTheme="minorHAnsi" w:hAnsiTheme="minorHAnsi" w:cstheme="minorHAnsi"/>
          <w:iCs/>
          <w:color w:val="000000" w:themeColor="text1"/>
          <w:szCs w:val="24"/>
        </w:rPr>
        <w:t xml:space="preserve">CVD or another major risk factor; (2) high-risk defined as markedly elevated single factor, FH without other risk factor, diabetes with another risk factor, moderate CKD; (3) Type 2 diabetes &lt;50 years old without other risk factor; (4) current LLT use; (5) remaining eligible participants based on 10-year risk assessment. For this latter group, we used the Systematic COronary Risk Evaluation 2 (SCORE2) risk prediction model, endorsed by the EU </w:t>
      </w:r>
      <w:r w:rsidR="007D11E9">
        <w:rPr>
          <w:rFonts w:asciiTheme="minorHAnsi" w:hAnsiTheme="minorHAnsi" w:cstheme="minorHAnsi"/>
          <w:iCs/>
          <w:color w:val="000000" w:themeColor="text1"/>
          <w:szCs w:val="24"/>
        </w:rPr>
        <w:t>g</w:t>
      </w:r>
      <w:r w:rsidRPr="00737E07">
        <w:rPr>
          <w:rFonts w:asciiTheme="minorHAnsi" w:hAnsiTheme="minorHAnsi" w:cstheme="minorHAnsi"/>
          <w:iCs/>
          <w:color w:val="000000" w:themeColor="text1"/>
          <w:szCs w:val="24"/>
        </w:rPr>
        <w:t>uideline to further stratify individuals into one of four risk groups based on 10-year risk of fatal CVD.</w:t>
      </w:r>
      <w:r w:rsidRPr="00737E07">
        <w:rPr>
          <w:rStyle w:val="EndnoteReference"/>
          <w:rFonts w:asciiTheme="minorHAnsi" w:hAnsiTheme="minorHAnsi" w:cstheme="minorHAnsi"/>
          <w:iCs/>
          <w:color w:val="000000" w:themeColor="text1"/>
          <w:szCs w:val="24"/>
        </w:rPr>
        <w:endnoteReference w:id="2"/>
      </w:r>
      <w:r w:rsidRPr="00737E07">
        <w:rPr>
          <w:rFonts w:asciiTheme="minorHAnsi" w:hAnsiTheme="minorHAnsi" w:cstheme="minorHAnsi"/>
          <w:iCs/>
          <w:color w:val="000000" w:themeColor="text1"/>
          <w:szCs w:val="24"/>
          <w:vertAlign w:val="superscript"/>
        </w:rPr>
        <w:t>,</w:t>
      </w:r>
      <w:bookmarkStart w:id="0" w:name="_Ref147238204"/>
      <w:r w:rsidRPr="00737E07">
        <w:rPr>
          <w:rStyle w:val="EndnoteReference"/>
          <w:rFonts w:asciiTheme="minorHAnsi" w:hAnsiTheme="minorHAnsi" w:cstheme="minorHAnsi"/>
          <w:iCs/>
          <w:color w:val="000000" w:themeColor="text1"/>
          <w:szCs w:val="24"/>
        </w:rPr>
        <w:endnoteReference w:id="3"/>
      </w:r>
      <w:bookmarkEnd w:id="0"/>
      <w:r w:rsidRPr="00737E07">
        <w:rPr>
          <w:rFonts w:asciiTheme="minorHAnsi" w:hAnsiTheme="minorHAnsi" w:cstheme="minorHAnsi"/>
          <w:iCs/>
          <w:color w:val="000000" w:themeColor="text1"/>
          <w:szCs w:val="24"/>
        </w:rPr>
        <w:t xml:space="preserve"> The SCORE2 uses risk regions to classify countries as low, moderate, high or very-high risk based on CVD mortality rates. Since </w:t>
      </w:r>
      <w:r>
        <w:rPr>
          <w:rFonts w:asciiTheme="minorHAnsi" w:hAnsiTheme="minorHAnsi" w:cstheme="minorHAnsi"/>
          <w:iCs/>
          <w:color w:val="000000" w:themeColor="text1"/>
          <w:szCs w:val="24"/>
        </w:rPr>
        <w:t>the</w:t>
      </w:r>
      <w:r w:rsidRPr="00737E07">
        <w:rPr>
          <w:rFonts w:asciiTheme="minorHAnsi" w:hAnsiTheme="minorHAnsi" w:cstheme="minorHAnsi"/>
          <w:iCs/>
          <w:color w:val="000000" w:themeColor="text1"/>
          <w:szCs w:val="24"/>
        </w:rPr>
        <w:t xml:space="preserve"> CVD mortality rate </w:t>
      </w:r>
      <w:r>
        <w:rPr>
          <w:rFonts w:asciiTheme="minorHAnsi" w:hAnsiTheme="minorHAnsi" w:cstheme="minorHAnsi"/>
          <w:iCs/>
          <w:color w:val="000000" w:themeColor="text1"/>
          <w:szCs w:val="24"/>
        </w:rPr>
        <w:t>in the US is greater than</w:t>
      </w:r>
      <w:r w:rsidRPr="00737E07">
        <w:rPr>
          <w:rFonts w:asciiTheme="minorHAnsi" w:hAnsiTheme="minorHAnsi" w:cstheme="minorHAnsi"/>
          <w:iCs/>
          <w:color w:val="000000" w:themeColor="text1"/>
          <w:szCs w:val="24"/>
        </w:rPr>
        <w:t xml:space="preserve"> 200 per 100,000 individuals,</w:t>
      </w:r>
      <w:r w:rsidRPr="00737E07">
        <w:rPr>
          <w:rStyle w:val="EndnoteReference"/>
          <w:rFonts w:asciiTheme="minorHAnsi" w:hAnsiTheme="minorHAnsi" w:cstheme="minorHAnsi"/>
          <w:iCs/>
          <w:color w:val="000000" w:themeColor="text1"/>
          <w:szCs w:val="24"/>
        </w:rPr>
        <w:endnoteReference w:id="4"/>
      </w:r>
      <w:r w:rsidRPr="00737E07">
        <w:rPr>
          <w:rFonts w:asciiTheme="minorHAnsi" w:hAnsiTheme="minorHAnsi" w:cstheme="minorHAnsi"/>
          <w:iCs/>
          <w:color w:val="000000" w:themeColor="text1"/>
          <w:szCs w:val="24"/>
        </w:rPr>
        <w:t xml:space="preserve"> we used the high-risk model</w:t>
      </w:r>
      <w:r>
        <w:rPr>
          <w:rFonts w:asciiTheme="minorHAnsi" w:hAnsiTheme="minorHAnsi" w:cstheme="minorHAnsi"/>
          <w:iCs/>
          <w:color w:val="000000" w:themeColor="text1"/>
          <w:szCs w:val="24"/>
        </w:rPr>
        <w:t>.</w:t>
      </w:r>
    </w:p>
    <w:p w14:paraId="164A595B" w14:textId="77777777" w:rsidR="007D11E9" w:rsidRPr="003975B0" w:rsidRDefault="007D11E9" w:rsidP="007D11E9">
      <w:pPr>
        <w:pStyle w:val="heading2text"/>
        <w:snapToGrid w:val="0"/>
        <w:spacing w:after="0"/>
        <w:ind w:left="0"/>
        <w:rPr>
          <w:rFonts w:asciiTheme="minorHAnsi" w:hAnsiTheme="minorHAnsi" w:cstheme="minorHAnsi"/>
          <w:iCs/>
          <w:color w:val="000000" w:themeColor="text1"/>
        </w:rPr>
      </w:pPr>
    </w:p>
    <w:p w14:paraId="3D52B1D4" w14:textId="620536BC" w:rsidR="007D11E9" w:rsidRDefault="007D11E9" w:rsidP="007D11E9">
      <w:pPr>
        <w:pStyle w:val="heading2text"/>
        <w:snapToGrid w:val="0"/>
        <w:spacing w:after="0"/>
        <w:ind w:left="0"/>
        <w:rPr>
          <w:rFonts w:asciiTheme="minorHAnsi" w:hAnsiTheme="minorHAnsi" w:cstheme="minorHAnsi"/>
          <w:iCs/>
          <w:color w:val="000000" w:themeColor="text1"/>
          <w:szCs w:val="24"/>
        </w:rPr>
      </w:pPr>
      <w:r w:rsidRPr="003975B0">
        <w:rPr>
          <w:rFonts w:asciiTheme="minorHAnsi" w:hAnsiTheme="minorHAnsi" w:cstheme="minorHAnsi"/>
          <w:iCs/>
          <w:color w:val="000000" w:themeColor="text1"/>
          <w:szCs w:val="24"/>
        </w:rPr>
        <w:t xml:space="preserve">For the 2022 US </w:t>
      </w:r>
      <w:r>
        <w:rPr>
          <w:rFonts w:asciiTheme="minorHAnsi" w:hAnsiTheme="minorHAnsi" w:cstheme="minorHAnsi"/>
          <w:iCs/>
          <w:color w:val="000000" w:themeColor="text1"/>
          <w:szCs w:val="24"/>
        </w:rPr>
        <w:t>p</w:t>
      </w:r>
      <w:r w:rsidRPr="003975B0">
        <w:rPr>
          <w:rFonts w:asciiTheme="minorHAnsi" w:hAnsiTheme="minorHAnsi" w:cstheme="minorHAnsi"/>
          <w:iCs/>
          <w:color w:val="000000" w:themeColor="text1"/>
          <w:szCs w:val="24"/>
        </w:rPr>
        <w:t xml:space="preserve">athway, we followed the same hierarchical approach as the 2018 US </w:t>
      </w:r>
      <w:r>
        <w:rPr>
          <w:rFonts w:asciiTheme="minorHAnsi" w:hAnsiTheme="minorHAnsi" w:cstheme="minorHAnsi"/>
          <w:iCs/>
          <w:color w:val="000000" w:themeColor="text1"/>
          <w:szCs w:val="24"/>
        </w:rPr>
        <w:t>g</w:t>
      </w:r>
      <w:r w:rsidRPr="003975B0">
        <w:rPr>
          <w:rFonts w:asciiTheme="minorHAnsi" w:hAnsiTheme="minorHAnsi" w:cstheme="minorHAnsi"/>
          <w:iCs/>
          <w:color w:val="000000" w:themeColor="text1"/>
          <w:szCs w:val="24"/>
        </w:rPr>
        <w:t>uideline,</w:t>
      </w:r>
      <w:r>
        <w:rPr>
          <w:rFonts w:asciiTheme="minorHAnsi" w:hAnsiTheme="minorHAnsi" w:cstheme="minorHAnsi"/>
          <w:iCs/>
          <w:color w:val="000000" w:themeColor="text1"/>
          <w:szCs w:val="24"/>
        </w:rPr>
        <w:t xml:space="preserve"> since </w:t>
      </w:r>
      <w:r w:rsidRPr="003975B0">
        <w:rPr>
          <w:rFonts w:asciiTheme="minorHAnsi" w:hAnsiTheme="minorHAnsi" w:cstheme="minorHAnsi"/>
          <w:iCs/>
          <w:color w:val="000000" w:themeColor="text1"/>
          <w:szCs w:val="24"/>
        </w:rPr>
        <w:t xml:space="preserve">the </w:t>
      </w:r>
      <w:r>
        <w:rPr>
          <w:rFonts w:asciiTheme="minorHAnsi" w:hAnsiTheme="minorHAnsi" w:cstheme="minorHAnsi"/>
          <w:iCs/>
          <w:color w:val="000000" w:themeColor="text1"/>
          <w:szCs w:val="24"/>
        </w:rPr>
        <w:t>p</w:t>
      </w:r>
      <w:r w:rsidRPr="003975B0">
        <w:rPr>
          <w:rFonts w:asciiTheme="minorHAnsi" w:hAnsiTheme="minorHAnsi" w:cstheme="minorHAnsi"/>
          <w:iCs/>
          <w:color w:val="000000" w:themeColor="text1"/>
          <w:szCs w:val="24"/>
        </w:rPr>
        <w:t xml:space="preserve">athway </w:t>
      </w:r>
      <w:r>
        <w:rPr>
          <w:rFonts w:asciiTheme="minorHAnsi" w:hAnsiTheme="minorHAnsi" w:cstheme="minorHAnsi"/>
          <w:iCs/>
          <w:color w:val="000000" w:themeColor="text1"/>
          <w:szCs w:val="24"/>
        </w:rPr>
        <w:t xml:space="preserve">follows the same treatment trajectory, but </w:t>
      </w:r>
      <w:r w:rsidRPr="003975B0">
        <w:rPr>
          <w:rFonts w:asciiTheme="minorHAnsi" w:hAnsiTheme="minorHAnsi" w:cstheme="minorHAnsi"/>
          <w:iCs/>
          <w:color w:val="000000" w:themeColor="text1"/>
          <w:szCs w:val="24"/>
        </w:rPr>
        <w:t>provides</w:t>
      </w:r>
      <w:r>
        <w:rPr>
          <w:rFonts w:asciiTheme="minorHAnsi" w:hAnsiTheme="minorHAnsi" w:cstheme="minorHAnsi"/>
          <w:iCs/>
          <w:color w:val="000000" w:themeColor="text1"/>
          <w:szCs w:val="24"/>
        </w:rPr>
        <w:t xml:space="preserve"> augmented clinical guidance on appropriate utilization</w:t>
      </w:r>
      <w:r w:rsidRPr="003975B0">
        <w:rPr>
          <w:rFonts w:asciiTheme="minorHAnsi" w:hAnsiTheme="minorHAnsi" w:cstheme="minorHAnsi"/>
          <w:iCs/>
          <w:color w:val="000000" w:themeColor="text1"/>
          <w:szCs w:val="24"/>
        </w:rPr>
        <w:t xml:space="preserve"> of non-statin therapy among individuals </w:t>
      </w:r>
      <w:r>
        <w:rPr>
          <w:rFonts w:asciiTheme="minorHAnsi" w:hAnsiTheme="minorHAnsi" w:cstheme="minorHAnsi"/>
          <w:iCs/>
          <w:color w:val="000000" w:themeColor="text1"/>
          <w:szCs w:val="24"/>
        </w:rPr>
        <w:t xml:space="preserve">already </w:t>
      </w:r>
      <w:r w:rsidRPr="003975B0">
        <w:rPr>
          <w:rFonts w:asciiTheme="minorHAnsi" w:hAnsiTheme="minorHAnsi" w:cstheme="minorHAnsi"/>
          <w:iCs/>
          <w:color w:val="000000" w:themeColor="text1"/>
          <w:szCs w:val="24"/>
        </w:rPr>
        <w:t>on statin</w:t>
      </w:r>
      <w:r>
        <w:rPr>
          <w:rFonts w:asciiTheme="minorHAnsi" w:hAnsiTheme="minorHAnsi" w:cstheme="minorHAnsi"/>
          <w:iCs/>
          <w:color w:val="000000" w:themeColor="text1"/>
          <w:szCs w:val="24"/>
        </w:rPr>
        <w:t>s</w:t>
      </w:r>
      <w:r w:rsidRPr="003975B0">
        <w:rPr>
          <w:rFonts w:asciiTheme="minorHAnsi" w:hAnsiTheme="minorHAnsi" w:cstheme="minorHAnsi"/>
          <w:iCs/>
          <w:color w:val="000000" w:themeColor="text1"/>
          <w:szCs w:val="24"/>
        </w:rPr>
        <w:t>.</w:t>
      </w:r>
      <w:r>
        <w:rPr>
          <w:rFonts w:asciiTheme="minorHAnsi" w:hAnsiTheme="minorHAnsi" w:cstheme="minorHAnsi"/>
          <w:iCs/>
          <w:color w:val="000000" w:themeColor="text1"/>
          <w:szCs w:val="24"/>
        </w:rPr>
        <w:t xml:space="preserve">  More detailed treatment pathways are </w:t>
      </w:r>
      <w:r w:rsidR="00646C42">
        <w:rPr>
          <w:rFonts w:asciiTheme="minorHAnsi" w:hAnsiTheme="minorHAnsi" w:cstheme="minorHAnsi"/>
          <w:iCs/>
          <w:color w:val="000000" w:themeColor="text1"/>
          <w:szCs w:val="24"/>
        </w:rPr>
        <w:t>illustrated</w:t>
      </w:r>
      <w:r>
        <w:rPr>
          <w:rFonts w:asciiTheme="minorHAnsi" w:hAnsiTheme="minorHAnsi" w:cstheme="minorHAnsi"/>
          <w:iCs/>
          <w:color w:val="000000" w:themeColor="text1"/>
          <w:szCs w:val="24"/>
        </w:rPr>
        <w:t xml:space="preserve"> in </w:t>
      </w:r>
      <w:r w:rsidRPr="00814AC8">
        <w:rPr>
          <w:rFonts w:asciiTheme="minorHAnsi" w:hAnsiTheme="minorHAnsi" w:cstheme="minorHAnsi"/>
          <w:b/>
          <w:bCs/>
          <w:iCs/>
          <w:color w:val="000000" w:themeColor="text1"/>
          <w:szCs w:val="24"/>
        </w:rPr>
        <w:t>eFigures 1-3</w:t>
      </w:r>
      <w:r>
        <w:rPr>
          <w:rFonts w:asciiTheme="minorHAnsi" w:hAnsiTheme="minorHAnsi" w:cstheme="minorHAnsi"/>
          <w:iCs/>
          <w:color w:val="000000" w:themeColor="text1"/>
          <w:szCs w:val="24"/>
        </w:rPr>
        <w:t>.</w:t>
      </w:r>
    </w:p>
    <w:p w14:paraId="7386D29A" w14:textId="77777777" w:rsidR="007D11E9" w:rsidRPr="006210F7" w:rsidRDefault="007D11E9" w:rsidP="001F77A7">
      <w:pPr>
        <w:pStyle w:val="heading2text"/>
        <w:snapToGrid w:val="0"/>
        <w:spacing w:after="0"/>
        <w:ind w:left="0"/>
        <w:rPr>
          <w:rFonts w:asciiTheme="minorHAnsi" w:hAnsiTheme="minorHAnsi" w:cstheme="minorHAnsi"/>
          <w:iCs/>
          <w:color w:val="000000" w:themeColor="text1"/>
        </w:rPr>
      </w:pPr>
    </w:p>
    <w:p w14:paraId="5D12329D" w14:textId="77777777" w:rsidR="00F12295" w:rsidRPr="00CD7CB7" w:rsidRDefault="00F12295" w:rsidP="00F12295">
      <w:pPr>
        <w:pStyle w:val="heading2text"/>
        <w:snapToGrid w:val="0"/>
        <w:spacing w:after="0"/>
        <w:ind w:left="0"/>
        <w:rPr>
          <w:rFonts w:asciiTheme="minorHAnsi" w:hAnsiTheme="minorHAnsi" w:cstheme="minorHAnsi"/>
          <w:b/>
          <w:bCs/>
          <w:iCs/>
          <w:color w:val="000000" w:themeColor="text1"/>
        </w:rPr>
      </w:pPr>
      <w:r w:rsidRPr="00CD7CB7">
        <w:rPr>
          <w:rFonts w:asciiTheme="minorHAnsi" w:hAnsiTheme="minorHAnsi" w:cstheme="minorHAnsi"/>
          <w:b/>
          <w:bCs/>
          <w:iCs/>
          <w:color w:val="000000" w:themeColor="text1"/>
          <w:szCs w:val="24"/>
        </w:rPr>
        <w:t>Assignment to Lipid-lowering Therapy</w:t>
      </w:r>
    </w:p>
    <w:p w14:paraId="583E60C6" w14:textId="05C29ABA" w:rsidR="00AF2C5C" w:rsidRPr="00CD7CB7" w:rsidRDefault="00AF2C5C" w:rsidP="00AF2C5C">
      <w:pPr>
        <w:pStyle w:val="heading2text"/>
        <w:snapToGrid w:val="0"/>
        <w:spacing w:after="0"/>
        <w:ind w:left="0"/>
        <w:rPr>
          <w:rFonts w:asciiTheme="minorHAnsi" w:hAnsiTheme="minorHAnsi" w:cstheme="minorHAnsi"/>
          <w:iCs/>
          <w:color w:val="000000" w:themeColor="text1"/>
          <w:szCs w:val="24"/>
        </w:rPr>
      </w:pPr>
      <w:r w:rsidRPr="00CD7CB7">
        <w:rPr>
          <w:rFonts w:asciiTheme="minorHAnsi" w:hAnsiTheme="minorHAnsi" w:cstheme="minorHAnsi"/>
          <w:iCs/>
          <w:color w:val="000000" w:themeColor="text1"/>
          <w:szCs w:val="24"/>
        </w:rPr>
        <w:t>Using the 2018 US Guideline, for individuals with clinical ASCVD not at very high risk who were already receiving LLT and not at an LDL-C &lt;70 mg/dL, we conservatively assumed 20% of individuals were already taking a high intensity statin and should have ezetimibe added and 80% were not at maximum dose and should have statin increased from moderate to high intensity prior to adding any non-statin therapy.</w:t>
      </w:r>
      <w:r w:rsidR="00FB2E0D" w:rsidRPr="00FB2E0D">
        <w:rPr>
          <w:rStyle w:val="EndnoteReference"/>
          <w:rFonts w:asciiTheme="minorHAnsi" w:hAnsiTheme="minorHAnsi" w:cstheme="minorHAnsi"/>
          <w:iCs/>
          <w:color w:val="000000" w:themeColor="text1"/>
          <w:szCs w:val="24"/>
        </w:rPr>
        <w:endnoteReference w:id="5"/>
      </w:r>
      <w:r w:rsidR="00FB2E0D" w:rsidRPr="001543D5">
        <w:rPr>
          <w:rFonts w:asciiTheme="minorHAnsi" w:hAnsiTheme="minorHAnsi" w:cstheme="minorHAnsi"/>
          <w:iCs/>
          <w:color w:val="000000" w:themeColor="text1"/>
          <w:szCs w:val="24"/>
          <w:vertAlign w:val="superscript"/>
        </w:rPr>
        <w:t>,</w:t>
      </w:r>
      <w:r w:rsidR="00491BE9">
        <w:rPr>
          <w:rStyle w:val="EndnoteReference"/>
          <w:rFonts w:asciiTheme="minorHAnsi" w:hAnsiTheme="minorHAnsi" w:cstheme="minorHAnsi"/>
          <w:iCs/>
          <w:color w:val="000000" w:themeColor="text1"/>
          <w:szCs w:val="24"/>
        </w:rPr>
        <w:endnoteReference w:id="6"/>
      </w:r>
      <w:r w:rsidRPr="001543D5">
        <w:rPr>
          <w:rFonts w:asciiTheme="minorHAnsi" w:hAnsiTheme="minorHAnsi" w:cstheme="minorHAnsi"/>
          <w:iCs/>
          <w:color w:val="000000" w:themeColor="text1"/>
          <w:szCs w:val="24"/>
          <w:vertAlign w:val="superscript"/>
        </w:rPr>
        <w:t xml:space="preserve"> </w:t>
      </w:r>
      <w:r w:rsidRPr="00CD7CB7">
        <w:rPr>
          <w:rFonts w:asciiTheme="minorHAnsi" w:hAnsiTheme="minorHAnsi" w:cstheme="minorHAnsi"/>
          <w:iCs/>
          <w:color w:val="000000" w:themeColor="text1"/>
          <w:szCs w:val="24"/>
        </w:rPr>
        <w:t xml:space="preserve">For the very high-risk individuals with clinical ASCVD, we followed the same progression except the 2018 US guideline recommends PCSK9i therapy if the threshold of LDL-C &lt;70 mg/dL is not reached with high intensity statin plus ezetimibe therapy.  </w:t>
      </w:r>
      <w:r w:rsidRPr="00CD7CB7">
        <w:rPr>
          <w:rFonts w:asciiTheme="minorHAnsi" w:hAnsiTheme="minorHAnsi" w:cstheme="minorHAnsi"/>
          <w:iCs/>
          <w:color w:val="000000" w:themeColor="text1"/>
        </w:rPr>
        <w:t xml:space="preserve">For </w:t>
      </w:r>
      <w:r w:rsidRPr="00CD7CB7">
        <w:rPr>
          <w:rFonts w:asciiTheme="minorHAnsi" w:hAnsiTheme="minorHAnsi" w:cstheme="minorHAnsi"/>
          <w:iCs/>
          <w:color w:val="000000" w:themeColor="text1"/>
          <w:szCs w:val="24"/>
        </w:rPr>
        <w:t>individuals already using LLT who did not have clinical ASCVD, severe primary hypercholesterolemia, or diabetes, we again assumed 20% of the statin users were already at a high intensity while 80% would need to be escalated from a moderate to high intensity statin. We modeled treatment for this group all the way to maximum statin plus ezetimibe plus PCSK9i until individuals attained LDL-C &lt;100 mg/dL</w:t>
      </w:r>
      <w:r w:rsidRPr="00CD7CB7">
        <w:rPr>
          <w:rFonts w:asciiTheme="minorHAnsi" w:hAnsiTheme="minorHAnsi" w:cstheme="minorHAnsi"/>
          <w:iCs/>
          <w:color w:val="000000" w:themeColor="text1"/>
        </w:rPr>
        <w:t>.</w:t>
      </w:r>
    </w:p>
    <w:p w14:paraId="73AFC0C4" w14:textId="77777777" w:rsidR="00AF2C5C" w:rsidRDefault="00AF2C5C" w:rsidP="00F12295">
      <w:pPr>
        <w:pStyle w:val="heading2text"/>
        <w:snapToGrid w:val="0"/>
        <w:spacing w:after="0"/>
        <w:ind w:left="0"/>
        <w:rPr>
          <w:rFonts w:asciiTheme="minorHAnsi" w:hAnsiTheme="minorHAnsi" w:cstheme="minorHAnsi"/>
          <w:iCs/>
          <w:color w:val="000000" w:themeColor="text1"/>
          <w:szCs w:val="24"/>
        </w:rPr>
      </w:pPr>
    </w:p>
    <w:p w14:paraId="12A133AA" w14:textId="62305813" w:rsidR="00F12295" w:rsidRPr="00737E07" w:rsidRDefault="00F12295" w:rsidP="00F12295">
      <w:pPr>
        <w:pStyle w:val="heading2text"/>
        <w:snapToGrid w:val="0"/>
        <w:spacing w:after="0"/>
        <w:ind w:left="0"/>
        <w:rPr>
          <w:rFonts w:asciiTheme="minorHAnsi" w:hAnsiTheme="minorHAnsi" w:cstheme="minorHAnsi"/>
          <w:iCs/>
          <w:color w:val="000000" w:themeColor="text1"/>
          <w:szCs w:val="24"/>
        </w:rPr>
      </w:pPr>
      <w:r w:rsidRPr="00737E07">
        <w:rPr>
          <w:rFonts w:asciiTheme="minorHAnsi" w:hAnsiTheme="minorHAnsi" w:cstheme="minorHAnsi"/>
          <w:iCs/>
          <w:color w:val="000000" w:themeColor="text1"/>
          <w:szCs w:val="24"/>
        </w:rPr>
        <w:t xml:space="preserve">We assigned individuals to treatment using the 2019 EU </w:t>
      </w:r>
      <w:r>
        <w:rPr>
          <w:rFonts w:asciiTheme="minorHAnsi" w:hAnsiTheme="minorHAnsi" w:cstheme="minorHAnsi"/>
          <w:iCs/>
          <w:color w:val="000000" w:themeColor="text1"/>
          <w:szCs w:val="24"/>
        </w:rPr>
        <w:t>g</w:t>
      </w:r>
      <w:r w:rsidRPr="00737E07">
        <w:rPr>
          <w:rFonts w:asciiTheme="minorHAnsi" w:hAnsiTheme="minorHAnsi" w:cstheme="minorHAnsi"/>
          <w:iCs/>
          <w:color w:val="000000" w:themeColor="text1"/>
          <w:szCs w:val="24"/>
        </w:rPr>
        <w:t xml:space="preserve">uideline and 2022 US </w:t>
      </w:r>
      <w:r>
        <w:rPr>
          <w:rFonts w:asciiTheme="minorHAnsi" w:hAnsiTheme="minorHAnsi" w:cstheme="minorHAnsi"/>
          <w:iCs/>
          <w:color w:val="000000" w:themeColor="text1"/>
          <w:szCs w:val="24"/>
        </w:rPr>
        <w:t>p</w:t>
      </w:r>
      <w:r w:rsidRPr="00737E07">
        <w:rPr>
          <w:rFonts w:asciiTheme="minorHAnsi" w:hAnsiTheme="minorHAnsi" w:cstheme="minorHAnsi"/>
          <w:iCs/>
          <w:color w:val="000000" w:themeColor="text1"/>
          <w:szCs w:val="24"/>
        </w:rPr>
        <w:t>athway</w:t>
      </w:r>
      <w:r>
        <w:rPr>
          <w:rFonts w:asciiTheme="minorHAnsi" w:hAnsiTheme="minorHAnsi" w:cstheme="minorHAnsi"/>
          <w:iCs/>
          <w:color w:val="000000" w:themeColor="text1"/>
          <w:szCs w:val="24"/>
        </w:rPr>
        <w:t xml:space="preserve"> similarly to the 2018 US guideline methodology</w:t>
      </w:r>
      <w:r w:rsidRPr="00737E07">
        <w:rPr>
          <w:rFonts w:asciiTheme="minorHAnsi" w:hAnsiTheme="minorHAnsi" w:cstheme="minorHAnsi"/>
          <w:iCs/>
          <w:color w:val="000000" w:themeColor="text1"/>
          <w:szCs w:val="24"/>
        </w:rPr>
        <w:t xml:space="preserve">. In contrast to the 2018 US </w:t>
      </w:r>
      <w:r>
        <w:rPr>
          <w:rFonts w:asciiTheme="minorHAnsi" w:hAnsiTheme="minorHAnsi" w:cstheme="minorHAnsi"/>
          <w:iCs/>
          <w:color w:val="000000" w:themeColor="text1"/>
          <w:szCs w:val="24"/>
        </w:rPr>
        <w:t>g</w:t>
      </w:r>
      <w:r w:rsidRPr="00737E07">
        <w:rPr>
          <w:rFonts w:asciiTheme="minorHAnsi" w:hAnsiTheme="minorHAnsi" w:cstheme="minorHAnsi"/>
          <w:iCs/>
          <w:color w:val="000000" w:themeColor="text1"/>
          <w:szCs w:val="24"/>
        </w:rPr>
        <w:t xml:space="preserve">uideline, both </w:t>
      </w:r>
      <w:r>
        <w:rPr>
          <w:rFonts w:asciiTheme="minorHAnsi" w:hAnsiTheme="minorHAnsi" w:cstheme="minorHAnsi"/>
          <w:iCs/>
          <w:color w:val="000000" w:themeColor="text1"/>
          <w:szCs w:val="24"/>
        </w:rPr>
        <w:t xml:space="preserve">of </w:t>
      </w:r>
      <w:r>
        <w:rPr>
          <w:rFonts w:asciiTheme="minorHAnsi" w:hAnsiTheme="minorHAnsi" w:cstheme="minorHAnsi"/>
          <w:iCs/>
          <w:color w:val="000000" w:themeColor="text1"/>
          <w:szCs w:val="24"/>
        </w:rPr>
        <w:lastRenderedPageBreak/>
        <w:t xml:space="preserve">these recommendations </w:t>
      </w:r>
      <w:r w:rsidRPr="00737E07">
        <w:rPr>
          <w:rFonts w:asciiTheme="minorHAnsi" w:hAnsiTheme="minorHAnsi" w:cstheme="minorHAnsi"/>
          <w:iCs/>
          <w:color w:val="000000" w:themeColor="text1"/>
          <w:szCs w:val="24"/>
        </w:rPr>
        <w:t>utilize LDL-C targets</w:t>
      </w:r>
      <w:r>
        <w:rPr>
          <w:rFonts w:asciiTheme="minorHAnsi" w:hAnsiTheme="minorHAnsi" w:cstheme="minorHAnsi"/>
          <w:iCs/>
          <w:color w:val="000000" w:themeColor="text1"/>
          <w:szCs w:val="24"/>
        </w:rPr>
        <w:t xml:space="preserve"> in all groups</w:t>
      </w:r>
      <w:r w:rsidRPr="00737E07">
        <w:rPr>
          <w:rFonts w:asciiTheme="minorHAnsi" w:hAnsiTheme="minorHAnsi" w:cstheme="minorHAnsi"/>
          <w:iCs/>
          <w:color w:val="000000" w:themeColor="text1"/>
          <w:szCs w:val="24"/>
        </w:rPr>
        <w:t xml:space="preserve"> in order to </w:t>
      </w:r>
      <w:r>
        <w:rPr>
          <w:rFonts w:asciiTheme="minorHAnsi" w:hAnsiTheme="minorHAnsi" w:cstheme="minorHAnsi"/>
          <w:iCs/>
          <w:color w:val="000000" w:themeColor="text1"/>
          <w:szCs w:val="24"/>
        </w:rPr>
        <w:t>guide</w:t>
      </w:r>
      <w:r w:rsidRPr="00737E07">
        <w:rPr>
          <w:rFonts w:asciiTheme="minorHAnsi" w:hAnsiTheme="minorHAnsi" w:cstheme="minorHAnsi"/>
          <w:iCs/>
          <w:color w:val="000000" w:themeColor="text1"/>
          <w:szCs w:val="24"/>
        </w:rPr>
        <w:t xml:space="preserve"> treatment </w:t>
      </w:r>
      <w:r>
        <w:rPr>
          <w:rFonts w:asciiTheme="minorHAnsi" w:hAnsiTheme="minorHAnsi" w:cstheme="minorHAnsi"/>
          <w:iCs/>
          <w:color w:val="000000" w:themeColor="text1"/>
          <w:szCs w:val="24"/>
        </w:rPr>
        <w:t>intensification</w:t>
      </w:r>
      <w:r w:rsidRPr="00737E07">
        <w:rPr>
          <w:rFonts w:asciiTheme="minorHAnsi" w:hAnsiTheme="minorHAnsi" w:cstheme="minorHAnsi"/>
          <w:iCs/>
          <w:color w:val="000000" w:themeColor="text1"/>
          <w:szCs w:val="24"/>
        </w:rPr>
        <w:t xml:space="preserve">. For example, the 2019 EU </w:t>
      </w:r>
      <w:r>
        <w:rPr>
          <w:rFonts w:asciiTheme="minorHAnsi" w:hAnsiTheme="minorHAnsi" w:cstheme="minorHAnsi"/>
          <w:iCs/>
          <w:color w:val="000000" w:themeColor="text1"/>
          <w:szCs w:val="24"/>
        </w:rPr>
        <w:t>g</w:t>
      </w:r>
      <w:r w:rsidRPr="00737E07">
        <w:rPr>
          <w:rFonts w:asciiTheme="minorHAnsi" w:hAnsiTheme="minorHAnsi" w:cstheme="minorHAnsi"/>
          <w:iCs/>
          <w:color w:val="000000" w:themeColor="text1"/>
          <w:szCs w:val="24"/>
        </w:rPr>
        <w:t xml:space="preserve">uideline suggests individuals </w:t>
      </w:r>
      <w:r>
        <w:rPr>
          <w:rFonts w:asciiTheme="minorHAnsi" w:hAnsiTheme="minorHAnsi" w:cstheme="minorHAnsi"/>
          <w:iCs/>
          <w:color w:val="000000" w:themeColor="text1"/>
          <w:szCs w:val="24"/>
        </w:rPr>
        <w:t xml:space="preserve">with clinical CVD, </w:t>
      </w:r>
      <w:r w:rsidRPr="00737E07">
        <w:rPr>
          <w:rFonts w:asciiTheme="minorHAnsi" w:hAnsiTheme="minorHAnsi" w:cstheme="minorHAnsi"/>
          <w:iCs/>
          <w:color w:val="000000" w:themeColor="text1"/>
          <w:szCs w:val="24"/>
        </w:rPr>
        <w:t>classified as very high risk</w:t>
      </w:r>
      <w:r>
        <w:rPr>
          <w:rFonts w:asciiTheme="minorHAnsi" w:hAnsiTheme="minorHAnsi" w:cstheme="minorHAnsi"/>
          <w:iCs/>
          <w:color w:val="000000" w:themeColor="text1"/>
          <w:szCs w:val="24"/>
        </w:rPr>
        <w:t>,</w:t>
      </w:r>
      <w:r w:rsidRPr="00737E07">
        <w:rPr>
          <w:rFonts w:asciiTheme="minorHAnsi" w:hAnsiTheme="minorHAnsi" w:cstheme="minorHAnsi"/>
          <w:iCs/>
          <w:color w:val="000000" w:themeColor="text1"/>
          <w:szCs w:val="24"/>
        </w:rPr>
        <w:t xml:space="preserve"> should be treated to a target LDL-C</w:t>
      </w:r>
      <w:r>
        <w:rPr>
          <w:rFonts w:asciiTheme="minorHAnsi" w:hAnsiTheme="minorHAnsi" w:cstheme="minorHAnsi"/>
          <w:iCs/>
          <w:color w:val="000000" w:themeColor="text1"/>
          <w:szCs w:val="24"/>
        </w:rPr>
        <w:t xml:space="preserve"> </w:t>
      </w:r>
      <w:r w:rsidRPr="00737E07">
        <w:rPr>
          <w:rFonts w:asciiTheme="minorHAnsi" w:hAnsiTheme="minorHAnsi" w:cstheme="minorHAnsi"/>
          <w:iCs/>
          <w:color w:val="000000" w:themeColor="text1"/>
          <w:szCs w:val="24"/>
        </w:rPr>
        <w:t xml:space="preserve">&lt;55mg/dL. The 2022 US </w:t>
      </w:r>
      <w:r>
        <w:rPr>
          <w:rFonts w:asciiTheme="minorHAnsi" w:hAnsiTheme="minorHAnsi" w:cstheme="minorHAnsi"/>
          <w:iCs/>
          <w:color w:val="000000" w:themeColor="text1"/>
          <w:szCs w:val="24"/>
        </w:rPr>
        <w:t>p</w:t>
      </w:r>
      <w:r w:rsidRPr="00737E07">
        <w:rPr>
          <w:rFonts w:asciiTheme="minorHAnsi" w:hAnsiTheme="minorHAnsi" w:cstheme="minorHAnsi"/>
          <w:iCs/>
          <w:color w:val="000000" w:themeColor="text1"/>
          <w:szCs w:val="24"/>
        </w:rPr>
        <w:t xml:space="preserve">athway suggests individuals with LDL-C 70-189 mg/dL without diabetes who are determined to be at high risk based on an estimated </w:t>
      </w:r>
      <w:r>
        <w:rPr>
          <w:rFonts w:asciiTheme="minorHAnsi" w:hAnsiTheme="minorHAnsi" w:cstheme="minorHAnsi"/>
          <w:iCs/>
          <w:color w:val="000000" w:themeColor="text1"/>
          <w:szCs w:val="24"/>
        </w:rPr>
        <w:t>PCE</w:t>
      </w:r>
      <w:r w:rsidRPr="00737E07">
        <w:rPr>
          <w:rFonts w:asciiTheme="minorHAnsi" w:hAnsiTheme="minorHAnsi" w:cstheme="minorHAnsi"/>
          <w:iCs/>
          <w:color w:val="000000" w:themeColor="text1"/>
          <w:szCs w:val="24"/>
        </w:rPr>
        <w:t xml:space="preserve"> risk ≥20% should be treated to a target LDL-C</w:t>
      </w:r>
      <w:r>
        <w:rPr>
          <w:rFonts w:asciiTheme="minorHAnsi" w:hAnsiTheme="minorHAnsi" w:cstheme="minorHAnsi"/>
          <w:iCs/>
          <w:color w:val="000000" w:themeColor="text1"/>
          <w:szCs w:val="24"/>
        </w:rPr>
        <w:t xml:space="preserve"> </w:t>
      </w:r>
      <w:r w:rsidRPr="00737E07">
        <w:rPr>
          <w:rFonts w:asciiTheme="minorHAnsi" w:hAnsiTheme="minorHAnsi" w:cstheme="minorHAnsi"/>
          <w:iCs/>
          <w:color w:val="000000" w:themeColor="text1"/>
          <w:szCs w:val="24"/>
        </w:rPr>
        <w:t>&lt;70 mg/dL.</w:t>
      </w:r>
    </w:p>
    <w:p w14:paraId="17D8B3AC" w14:textId="77777777" w:rsidR="004C52CE" w:rsidRPr="00737E07" w:rsidRDefault="004C52CE" w:rsidP="00F12295">
      <w:pPr>
        <w:pStyle w:val="heading2text"/>
        <w:snapToGrid w:val="0"/>
        <w:spacing w:after="0"/>
        <w:ind w:left="0"/>
        <w:rPr>
          <w:rFonts w:asciiTheme="minorHAnsi" w:hAnsiTheme="minorHAnsi" w:cstheme="minorHAnsi"/>
          <w:iCs/>
          <w:color w:val="000000" w:themeColor="text1"/>
          <w:szCs w:val="24"/>
        </w:rPr>
      </w:pPr>
    </w:p>
    <w:p w14:paraId="53D72816" w14:textId="77777777" w:rsidR="00F12295" w:rsidRPr="003975B0" w:rsidRDefault="00F12295" w:rsidP="00F12295">
      <w:pPr>
        <w:pStyle w:val="heading2text"/>
        <w:snapToGrid w:val="0"/>
        <w:spacing w:after="0"/>
        <w:ind w:left="0"/>
        <w:rPr>
          <w:rFonts w:asciiTheme="minorHAnsi" w:hAnsiTheme="minorHAnsi" w:cstheme="minorHAnsi"/>
          <w:iCs/>
          <w:color w:val="000000" w:themeColor="text1"/>
          <w:szCs w:val="24"/>
        </w:rPr>
      </w:pPr>
      <w:r w:rsidRPr="00737E07">
        <w:rPr>
          <w:rFonts w:asciiTheme="minorHAnsi" w:hAnsiTheme="minorHAnsi" w:cstheme="minorHAnsi"/>
          <w:iCs/>
          <w:color w:val="000000" w:themeColor="text1"/>
        </w:rPr>
        <w:t xml:space="preserve">As with estimations of cardiovascular risk, our approach </w:t>
      </w:r>
      <w:r>
        <w:rPr>
          <w:rFonts w:asciiTheme="minorHAnsi" w:hAnsiTheme="minorHAnsi" w:cstheme="minorHAnsi"/>
          <w:iCs/>
          <w:color w:val="000000" w:themeColor="text1"/>
        </w:rPr>
        <w:t>to</w:t>
      </w:r>
      <w:r w:rsidRPr="00737E07">
        <w:rPr>
          <w:rFonts w:asciiTheme="minorHAnsi" w:hAnsiTheme="minorHAnsi" w:cstheme="minorHAnsi"/>
          <w:iCs/>
          <w:color w:val="000000" w:themeColor="text1"/>
        </w:rPr>
        <w:t xml:space="preserve"> assigning people to </w:t>
      </w:r>
      <w:r>
        <w:rPr>
          <w:rFonts w:asciiTheme="minorHAnsi" w:hAnsiTheme="minorHAnsi" w:cstheme="minorHAnsi"/>
          <w:iCs/>
          <w:color w:val="000000" w:themeColor="text1"/>
        </w:rPr>
        <w:t xml:space="preserve">specific </w:t>
      </w:r>
      <w:r w:rsidRPr="00737E07">
        <w:rPr>
          <w:rFonts w:asciiTheme="minorHAnsi" w:hAnsiTheme="minorHAnsi" w:cstheme="minorHAnsi"/>
          <w:iCs/>
          <w:color w:val="000000" w:themeColor="text1"/>
        </w:rPr>
        <w:t xml:space="preserve">LLT required </w:t>
      </w:r>
      <w:r>
        <w:rPr>
          <w:rFonts w:asciiTheme="minorHAnsi" w:hAnsiTheme="minorHAnsi" w:cstheme="minorHAnsi"/>
          <w:iCs/>
          <w:color w:val="000000" w:themeColor="text1"/>
        </w:rPr>
        <w:t xml:space="preserve">key </w:t>
      </w:r>
      <w:r w:rsidRPr="00737E07">
        <w:rPr>
          <w:rFonts w:asciiTheme="minorHAnsi" w:hAnsiTheme="minorHAnsi" w:cstheme="minorHAnsi"/>
          <w:iCs/>
          <w:color w:val="000000" w:themeColor="text1"/>
        </w:rPr>
        <w:t xml:space="preserve">scientific assumptions. For example, NHANES </w:t>
      </w:r>
      <w:r>
        <w:rPr>
          <w:rFonts w:asciiTheme="minorHAnsi" w:hAnsiTheme="minorHAnsi" w:cstheme="minorHAnsi"/>
          <w:iCs/>
          <w:color w:val="000000" w:themeColor="text1"/>
        </w:rPr>
        <w:t>does not include information regarding statin dosage and therefore we cannot assess what</w:t>
      </w:r>
      <w:r w:rsidRPr="00737E07">
        <w:rPr>
          <w:rFonts w:asciiTheme="minorHAnsi" w:hAnsiTheme="minorHAnsi" w:cstheme="minorHAnsi"/>
          <w:iCs/>
          <w:color w:val="000000" w:themeColor="text1"/>
        </w:rPr>
        <w:t xml:space="preserve"> </w:t>
      </w:r>
      <w:r w:rsidRPr="00737E07">
        <w:rPr>
          <w:rFonts w:asciiTheme="minorHAnsi" w:hAnsiTheme="minorHAnsi" w:cstheme="minorHAnsi"/>
        </w:rPr>
        <w:t xml:space="preserve">proportion of individuals already on a statin are taking the maximum tolerated dosage. We describe these assumptions in </w:t>
      </w:r>
      <w:r w:rsidRPr="00737E07">
        <w:rPr>
          <w:rFonts w:asciiTheme="minorHAnsi" w:hAnsiTheme="minorHAnsi" w:cstheme="minorHAnsi"/>
          <w:b/>
          <w:bCs/>
        </w:rPr>
        <w:t xml:space="preserve">eTable </w:t>
      </w:r>
      <w:r>
        <w:rPr>
          <w:rFonts w:asciiTheme="minorHAnsi" w:hAnsiTheme="minorHAnsi" w:cstheme="minorHAnsi"/>
          <w:b/>
          <w:bCs/>
        </w:rPr>
        <w:t>3</w:t>
      </w:r>
      <w:r w:rsidRPr="00737E07">
        <w:rPr>
          <w:rFonts w:asciiTheme="minorHAnsi" w:hAnsiTheme="minorHAnsi" w:cstheme="minorHAnsi"/>
        </w:rPr>
        <w:t>, and we assessed the sensitivity of our findings and their substantive interpretation to these as described below</w:t>
      </w:r>
      <w:r w:rsidRPr="003975B0">
        <w:rPr>
          <w:rFonts w:ascii="Calibri" w:hAnsi="Calibri" w:cs="Calibri"/>
        </w:rPr>
        <w:t>.</w:t>
      </w:r>
    </w:p>
    <w:p w14:paraId="33B03025" w14:textId="77777777" w:rsidR="001F77A7" w:rsidRDefault="001F77A7">
      <w:pPr>
        <w:rPr>
          <w:rFonts w:cstheme="minorHAnsi"/>
          <w:b/>
          <w:bCs/>
        </w:rPr>
      </w:pPr>
    </w:p>
    <w:p w14:paraId="6A766195" w14:textId="77777777" w:rsidR="002918F8" w:rsidRDefault="002918F8">
      <w:pPr>
        <w:rPr>
          <w:rFonts w:cstheme="minorHAnsi"/>
          <w:b/>
          <w:bCs/>
        </w:rPr>
      </w:pPr>
    </w:p>
    <w:p w14:paraId="54B9F05E" w14:textId="7A6E0AD7" w:rsidR="002918F8" w:rsidRDefault="002918F8">
      <w:pPr>
        <w:rPr>
          <w:rFonts w:cstheme="minorHAnsi"/>
          <w:b/>
          <w:bCs/>
        </w:rPr>
      </w:pPr>
      <w:r>
        <w:rPr>
          <w:rFonts w:cstheme="minorHAnsi"/>
          <w:b/>
          <w:bCs/>
        </w:rPr>
        <w:br w:type="page"/>
      </w:r>
    </w:p>
    <w:p w14:paraId="5D4A1A52" w14:textId="537543E1" w:rsidR="00A829CF" w:rsidRPr="003975B0" w:rsidRDefault="005B77E5" w:rsidP="005B77E5">
      <w:pPr>
        <w:rPr>
          <w:rFonts w:cstheme="minorHAnsi"/>
        </w:rPr>
      </w:pPr>
      <w:r w:rsidRPr="003975B0">
        <w:rPr>
          <w:rFonts w:cstheme="minorHAnsi"/>
          <w:b/>
          <w:bCs/>
        </w:rPr>
        <w:lastRenderedPageBreak/>
        <w:t>eTable 1.</w:t>
      </w:r>
      <w:r w:rsidRPr="003975B0">
        <w:rPr>
          <w:rFonts w:cstheme="minorHAnsi"/>
        </w:rPr>
        <w:t xml:space="preserve">  Variables necessary for applying risk score calculation</w:t>
      </w:r>
      <w:r w:rsidR="00401976">
        <w:rPr>
          <w:rFonts w:cstheme="minorHAnsi"/>
        </w:rPr>
        <w:t xml:space="preserve"> (used pooled cohort equations for US and SCORE2 for EU)</w:t>
      </w:r>
      <w:r w:rsidRPr="003975B0">
        <w:rPr>
          <w:rFonts w:cstheme="minorHAnsi"/>
        </w:rPr>
        <w:t xml:space="preserve"> and assessing risk enhancers in </w:t>
      </w:r>
      <w:r w:rsidR="00694E49">
        <w:rPr>
          <w:rFonts w:cstheme="minorHAnsi"/>
        </w:rPr>
        <w:t>relevant</w:t>
      </w:r>
      <w:r w:rsidR="00747FB9">
        <w:rPr>
          <w:rFonts w:cstheme="minorHAnsi"/>
        </w:rPr>
        <w:t xml:space="preserve"> clinical practice </w:t>
      </w:r>
      <w:r w:rsidRPr="003975B0">
        <w:rPr>
          <w:rFonts w:cstheme="minorHAnsi"/>
        </w:rPr>
        <w:t>guidelines.</w:t>
      </w:r>
    </w:p>
    <w:p w14:paraId="2BDA13EE" w14:textId="77777777" w:rsidR="00A829CF" w:rsidRPr="003975B0" w:rsidRDefault="00A829CF" w:rsidP="005B77E5">
      <w:pPr>
        <w:rPr>
          <w:rFonts w:cstheme="minorHAnsi"/>
        </w:rPr>
      </w:pPr>
    </w:p>
    <w:tbl>
      <w:tblPr>
        <w:tblW w:w="10247" w:type="dxa"/>
        <w:tblInd w:w="-284" w:type="dxa"/>
        <w:tblBorders>
          <w:top w:val="double" w:sz="4" w:space="0" w:color="000000" w:themeColor="text1"/>
          <w:bottom w:val="double" w:sz="4" w:space="0" w:color="000000" w:themeColor="text1"/>
          <w:insideH w:val="single" w:sz="6" w:space="0" w:color="000000" w:themeColor="text1"/>
        </w:tblBorders>
        <w:tblCellMar>
          <w:left w:w="0" w:type="dxa"/>
          <w:right w:w="0" w:type="dxa"/>
        </w:tblCellMar>
        <w:tblLook w:val="04A0" w:firstRow="1" w:lastRow="0" w:firstColumn="1" w:lastColumn="0" w:noHBand="0" w:noVBand="1"/>
      </w:tblPr>
      <w:tblGrid>
        <w:gridCol w:w="5387"/>
        <w:gridCol w:w="2250"/>
        <w:gridCol w:w="1440"/>
        <w:gridCol w:w="1170"/>
      </w:tblGrid>
      <w:tr w:rsidR="00401976" w:rsidRPr="003975B0" w14:paraId="5BA96403" w14:textId="77777777" w:rsidTr="0062423A">
        <w:tc>
          <w:tcPr>
            <w:tcW w:w="5387" w:type="dxa"/>
            <w:tcBorders>
              <w:top w:val="double" w:sz="4" w:space="0" w:color="000000" w:themeColor="text1"/>
              <w:bottom w:val="double" w:sz="4" w:space="0" w:color="000000" w:themeColor="text1"/>
            </w:tcBorders>
            <w:tcMar>
              <w:left w:w="57" w:type="dxa"/>
              <w:right w:w="57" w:type="dxa"/>
            </w:tcMar>
            <w:vAlign w:val="center"/>
          </w:tcPr>
          <w:p w14:paraId="5303C02A" w14:textId="77777777" w:rsidR="00401976" w:rsidRPr="00382BA1" w:rsidRDefault="00401976" w:rsidP="0062423A">
            <w:pPr>
              <w:textAlignment w:val="baseline"/>
              <w:rPr>
                <w:rFonts w:cstheme="minorHAnsi"/>
                <w:sz w:val="22"/>
                <w:szCs w:val="22"/>
                <w:lang w:eastAsia="zh-TW"/>
              </w:rPr>
            </w:pPr>
            <w:r w:rsidRPr="00382BA1">
              <w:rPr>
                <w:rFonts w:cstheme="minorHAnsi"/>
                <w:sz w:val="22"/>
                <w:szCs w:val="22"/>
                <w:lang w:eastAsia="zh-TW"/>
              </w:rPr>
              <w:t>Risk Factor</w:t>
            </w:r>
          </w:p>
        </w:tc>
        <w:tc>
          <w:tcPr>
            <w:tcW w:w="2250" w:type="dxa"/>
            <w:tcBorders>
              <w:top w:val="double" w:sz="4" w:space="0" w:color="000000" w:themeColor="text1"/>
              <w:bottom w:val="double" w:sz="4" w:space="0" w:color="000000" w:themeColor="text1"/>
            </w:tcBorders>
            <w:shd w:val="clear" w:color="auto" w:fill="auto"/>
            <w:tcMar>
              <w:left w:w="57" w:type="dxa"/>
              <w:right w:w="57" w:type="dxa"/>
            </w:tcMar>
            <w:hideMark/>
          </w:tcPr>
          <w:p w14:paraId="51EFF2BC" w14:textId="7AAF9264"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2018 US guideline/ 2022 US pathway</w:t>
            </w:r>
          </w:p>
          <w:p w14:paraId="7D3FEA37" w14:textId="77777777" w:rsidR="00401976" w:rsidRPr="00382BA1" w:rsidRDefault="00401976" w:rsidP="0062423A">
            <w:pPr>
              <w:textAlignment w:val="baseline"/>
              <w:rPr>
                <w:rFonts w:cstheme="minorHAnsi"/>
                <w:sz w:val="22"/>
                <w:szCs w:val="22"/>
                <w:lang w:eastAsia="zh-TW"/>
              </w:rPr>
            </w:pPr>
          </w:p>
        </w:tc>
        <w:tc>
          <w:tcPr>
            <w:tcW w:w="1440" w:type="dxa"/>
            <w:tcBorders>
              <w:top w:val="double" w:sz="4" w:space="0" w:color="000000" w:themeColor="text1"/>
              <w:bottom w:val="double" w:sz="4" w:space="0" w:color="000000" w:themeColor="text1"/>
            </w:tcBorders>
            <w:shd w:val="clear" w:color="auto" w:fill="auto"/>
            <w:tcMar>
              <w:left w:w="57" w:type="dxa"/>
              <w:right w:w="57" w:type="dxa"/>
            </w:tcMar>
            <w:hideMark/>
          </w:tcPr>
          <w:p w14:paraId="18092A9B" w14:textId="3C900E66"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2019 EU guideline</w:t>
            </w:r>
          </w:p>
        </w:tc>
        <w:tc>
          <w:tcPr>
            <w:tcW w:w="1170" w:type="dxa"/>
            <w:tcBorders>
              <w:top w:val="double" w:sz="4" w:space="0" w:color="000000" w:themeColor="text1"/>
              <w:bottom w:val="double" w:sz="4" w:space="0" w:color="000000" w:themeColor="text1"/>
            </w:tcBorders>
            <w:shd w:val="clear" w:color="auto" w:fill="auto"/>
            <w:tcMar>
              <w:left w:w="57" w:type="dxa"/>
              <w:right w:w="57" w:type="dxa"/>
            </w:tcMar>
            <w:hideMark/>
          </w:tcPr>
          <w:p w14:paraId="32B44211"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Available in NHANES</w:t>
            </w:r>
          </w:p>
          <w:p w14:paraId="48576423" w14:textId="77777777" w:rsidR="00401976" w:rsidRPr="00382BA1" w:rsidRDefault="00401976" w:rsidP="0062423A">
            <w:pPr>
              <w:jc w:val="center"/>
              <w:textAlignment w:val="baseline"/>
              <w:rPr>
                <w:rFonts w:cstheme="minorHAnsi"/>
                <w:sz w:val="22"/>
                <w:szCs w:val="22"/>
                <w:lang w:eastAsia="zh-TW"/>
              </w:rPr>
            </w:pPr>
          </w:p>
        </w:tc>
      </w:tr>
      <w:tr w:rsidR="00401976" w:rsidRPr="003975B0" w14:paraId="3DE7F122" w14:textId="77777777" w:rsidTr="0062423A">
        <w:trPr>
          <w:trHeight w:hRule="exact" w:val="397"/>
        </w:trPr>
        <w:tc>
          <w:tcPr>
            <w:tcW w:w="5387" w:type="dxa"/>
            <w:tcBorders>
              <w:top w:val="double" w:sz="4" w:space="0" w:color="000000" w:themeColor="text1"/>
            </w:tcBorders>
            <w:tcMar>
              <w:left w:w="57" w:type="dxa"/>
              <w:right w:w="57" w:type="dxa"/>
            </w:tcMar>
          </w:tcPr>
          <w:p w14:paraId="0C6EA401"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Age </w:t>
            </w:r>
          </w:p>
        </w:tc>
        <w:tc>
          <w:tcPr>
            <w:tcW w:w="2250" w:type="dxa"/>
            <w:tcBorders>
              <w:top w:val="double" w:sz="4" w:space="0" w:color="000000" w:themeColor="text1"/>
            </w:tcBorders>
            <w:shd w:val="clear" w:color="auto" w:fill="auto"/>
            <w:tcMar>
              <w:left w:w="57" w:type="dxa"/>
              <w:right w:w="57" w:type="dxa"/>
            </w:tcMar>
            <w:hideMark/>
          </w:tcPr>
          <w:p w14:paraId="0B9676D5"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 xml:space="preserve"> √</w:t>
            </w:r>
          </w:p>
        </w:tc>
        <w:tc>
          <w:tcPr>
            <w:tcW w:w="1440" w:type="dxa"/>
            <w:tcBorders>
              <w:top w:val="double" w:sz="4" w:space="0" w:color="000000" w:themeColor="text1"/>
            </w:tcBorders>
            <w:shd w:val="clear" w:color="auto" w:fill="auto"/>
            <w:tcMar>
              <w:left w:w="57" w:type="dxa"/>
              <w:right w:w="57" w:type="dxa"/>
            </w:tcMar>
            <w:hideMark/>
          </w:tcPr>
          <w:p w14:paraId="26599343"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tcBorders>
              <w:top w:val="double" w:sz="4" w:space="0" w:color="000000" w:themeColor="text1"/>
            </w:tcBorders>
            <w:shd w:val="clear" w:color="auto" w:fill="auto"/>
            <w:tcMar>
              <w:left w:w="57" w:type="dxa"/>
              <w:right w:w="57" w:type="dxa"/>
            </w:tcMar>
            <w:hideMark/>
          </w:tcPr>
          <w:p w14:paraId="55732890"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489DF861" w14:textId="77777777" w:rsidTr="0062423A">
        <w:trPr>
          <w:trHeight w:hRule="exact" w:val="397"/>
        </w:trPr>
        <w:tc>
          <w:tcPr>
            <w:tcW w:w="5387" w:type="dxa"/>
            <w:tcMar>
              <w:left w:w="57" w:type="dxa"/>
              <w:right w:w="57" w:type="dxa"/>
            </w:tcMar>
          </w:tcPr>
          <w:p w14:paraId="061A7082"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Sex </w:t>
            </w:r>
          </w:p>
        </w:tc>
        <w:tc>
          <w:tcPr>
            <w:tcW w:w="2250" w:type="dxa"/>
            <w:shd w:val="clear" w:color="auto" w:fill="auto"/>
            <w:tcMar>
              <w:left w:w="57" w:type="dxa"/>
              <w:right w:w="57" w:type="dxa"/>
            </w:tcMar>
            <w:hideMark/>
          </w:tcPr>
          <w:p w14:paraId="3F5AE5D2"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hideMark/>
          </w:tcPr>
          <w:p w14:paraId="1D2F84C7"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shd w:val="clear" w:color="auto" w:fill="auto"/>
            <w:tcMar>
              <w:left w:w="57" w:type="dxa"/>
              <w:right w:w="57" w:type="dxa"/>
            </w:tcMar>
            <w:hideMark/>
          </w:tcPr>
          <w:p w14:paraId="430597D1"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236C6451" w14:textId="77777777" w:rsidTr="0062423A">
        <w:trPr>
          <w:trHeight w:hRule="exact" w:val="397"/>
        </w:trPr>
        <w:tc>
          <w:tcPr>
            <w:tcW w:w="5387" w:type="dxa"/>
            <w:tcMar>
              <w:left w:w="57" w:type="dxa"/>
              <w:right w:w="57" w:type="dxa"/>
            </w:tcMar>
          </w:tcPr>
          <w:p w14:paraId="6F4E77B4"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Race </w:t>
            </w:r>
          </w:p>
        </w:tc>
        <w:tc>
          <w:tcPr>
            <w:tcW w:w="2250" w:type="dxa"/>
            <w:shd w:val="clear" w:color="auto" w:fill="auto"/>
            <w:tcMar>
              <w:left w:w="57" w:type="dxa"/>
              <w:right w:w="57" w:type="dxa"/>
            </w:tcMar>
            <w:hideMark/>
          </w:tcPr>
          <w:p w14:paraId="305325C2"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hideMark/>
          </w:tcPr>
          <w:p w14:paraId="00DC5694"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hideMark/>
          </w:tcPr>
          <w:p w14:paraId="1FF209BD"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243E2C1D" w14:textId="77777777" w:rsidTr="0062423A">
        <w:trPr>
          <w:trHeight w:hRule="exact" w:val="397"/>
        </w:trPr>
        <w:tc>
          <w:tcPr>
            <w:tcW w:w="5387" w:type="dxa"/>
            <w:tcMar>
              <w:left w:w="57" w:type="dxa"/>
              <w:right w:w="57" w:type="dxa"/>
            </w:tcMar>
          </w:tcPr>
          <w:p w14:paraId="10512F70"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Total cholesterol </w:t>
            </w:r>
          </w:p>
        </w:tc>
        <w:tc>
          <w:tcPr>
            <w:tcW w:w="2250" w:type="dxa"/>
            <w:shd w:val="clear" w:color="auto" w:fill="auto"/>
            <w:tcMar>
              <w:left w:w="57" w:type="dxa"/>
              <w:right w:w="57" w:type="dxa"/>
            </w:tcMar>
            <w:hideMark/>
          </w:tcPr>
          <w:p w14:paraId="159599C5"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hideMark/>
          </w:tcPr>
          <w:p w14:paraId="2738CDA2"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shd w:val="clear" w:color="auto" w:fill="auto"/>
            <w:tcMar>
              <w:left w:w="57" w:type="dxa"/>
              <w:right w:w="57" w:type="dxa"/>
            </w:tcMar>
            <w:hideMark/>
          </w:tcPr>
          <w:p w14:paraId="49357E61"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03AFBDCC" w14:textId="77777777" w:rsidTr="0062423A">
        <w:trPr>
          <w:trHeight w:hRule="exact" w:val="397"/>
        </w:trPr>
        <w:tc>
          <w:tcPr>
            <w:tcW w:w="5387" w:type="dxa"/>
            <w:tcMar>
              <w:left w:w="57" w:type="dxa"/>
              <w:right w:w="57" w:type="dxa"/>
            </w:tcMar>
          </w:tcPr>
          <w:p w14:paraId="002F20AB"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HDL cholesterol </w:t>
            </w:r>
          </w:p>
        </w:tc>
        <w:tc>
          <w:tcPr>
            <w:tcW w:w="2250" w:type="dxa"/>
            <w:shd w:val="clear" w:color="auto" w:fill="auto"/>
            <w:tcMar>
              <w:left w:w="57" w:type="dxa"/>
              <w:right w:w="57" w:type="dxa"/>
            </w:tcMar>
            <w:hideMark/>
          </w:tcPr>
          <w:p w14:paraId="2B04E237"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75672442"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shd w:val="clear" w:color="auto" w:fill="auto"/>
            <w:tcMar>
              <w:left w:w="57" w:type="dxa"/>
              <w:right w:w="57" w:type="dxa"/>
            </w:tcMar>
            <w:hideMark/>
          </w:tcPr>
          <w:p w14:paraId="10E6DCC2"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64A82F1C" w14:textId="77777777" w:rsidTr="0062423A">
        <w:trPr>
          <w:trHeight w:hRule="exact" w:val="397"/>
        </w:trPr>
        <w:tc>
          <w:tcPr>
            <w:tcW w:w="5387" w:type="dxa"/>
            <w:tcMar>
              <w:left w:w="57" w:type="dxa"/>
              <w:right w:w="57" w:type="dxa"/>
            </w:tcMar>
          </w:tcPr>
          <w:p w14:paraId="0810DAE2"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LDL cholesterol </w:t>
            </w:r>
          </w:p>
        </w:tc>
        <w:tc>
          <w:tcPr>
            <w:tcW w:w="2250" w:type="dxa"/>
            <w:shd w:val="clear" w:color="auto" w:fill="auto"/>
            <w:tcMar>
              <w:left w:w="57" w:type="dxa"/>
              <w:right w:w="57" w:type="dxa"/>
            </w:tcMar>
          </w:tcPr>
          <w:p w14:paraId="09A9C42E" w14:textId="77777777" w:rsidR="00401976" w:rsidRPr="00382BA1" w:rsidRDefault="00401976" w:rsidP="0062423A">
            <w:pPr>
              <w:jc w:val="center"/>
              <w:textAlignment w:val="baseline"/>
              <w:rPr>
                <w:rFonts w:cstheme="minorHAnsi"/>
                <w:sz w:val="22"/>
                <w:szCs w:val="22"/>
                <w:lang w:eastAsia="zh-TW"/>
              </w:rPr>
            </w:pPr>
          </w:p>
        </w:tc>
        <w:tc>
          <w:tcPr>
            <w:tcW w:w="1440" w:type="dxa"/>
            <w:shd w:val="clear" w:color="auto" w:fill="auto"/>
            <w:tcMar>
              <w:left w:w="57" w:type="dxa"/>
              <w:right w:w="57" w:type="dxa"/>
            </w:tcMar>
          </w:tcPr>
          <w:p w14:paraId="50D7D567"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shd w:val="clear" w:color="auto" w:fill="auto"/>
            <w:tcMar>
              <w:left w:w="57" w:type="dxa"/>
              <w:right w:w="57" w:type="dxa"/>
            </w:tcMar>
          </w:tcPr>
          <w:p w14:paraId="0322AF35"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60B30135" w14:textId="77777777" w:rsidTr="0062423A">
        <w:trPr>
          <w:trHeight w:hRule="exact" w:val="397"/>
        </w:trPr>
        <w:tc>
          <w:tcPr>
            <w:tcW w:w="5387" w:type="dxa"/>
            <w:tcMar>
              <w:left w:w="57" w:type="dxa"/>
              <w:right w:w="57" w:type="dxa"/>
            </w:tcMar>
          </w:tcPr>
          <w:p w14:paraId="2324417B"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Systolic blood pressure </w:t>
            </w:r>
          </w:p>
        </w:tc>
        <w:tc>
          <w:tcPr>
            <w:tcW w:w="2250" w:type="dxa"/>
            <w:shd w:val="clear" w:color="auto" w:fill="auto"/>
            <w:tcMar>
              <w:left w:w="57" w:type="dxa"/>
              <w:right w:w="57" w:type="dxa"/>
            </w:tcMar>
            <w:hideMark/>
          </w:tcPr>
          <w:p w14:paraId="40F0E346"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hideMark/>
          </w:tcPr>
          <w:p w14:paraId="744BDB3A"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shd w:val="clear" w:color="auto" w:fill="auto"/>
            <w:tcMar>
              <w:left w:w="57" w:type="dxa"/>
              <w:right w:w="57" w:type="dxa"/>
            </w:tcMar>
            <w:hideMark/>
          </w:tcPr>
          <w:p w14:paraId="1D26485E"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7A4D82AB" w14:textId="77777777" w:rsidTr="0062423A">
        <w:trPr>
          <w:trHeight w:hRule="exact" w:val="397"/>
        </w:trPr>
        <w:tc>
          <w:tcPr>
            <w:tcW w:w="5387" w:type="dxa"/>
            <w:tcMar>
              <w:left w:w="57" w:type="dxa"/>
              <w:right w:w="57" w:type="dxa"/>
            </w:tcMar>
          </w:tcPr>
          <w:p w14:paraId="4E423DE6"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Diabetes status </w:t>
            </w:r>
          </w:p>
        </w:tc>
        <w:tc>
          <w:tcPr>
            <w:tcW w:w="2250" w:type="dxa"/>
            <w:shd w:val="clear" w:color="auto" w:fill="auto"/>
            <w:tcMar>
              <w:left w:w="57" w:type="dxa"/>
              <w:right w:w="57" w:type="dxa"/>
            </w:tcMar>
            <w:hideMark/>
          </w:tcPr>
          <w:p w14:paraId="5E4D6CC1"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5B521DE6"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shd w:val="clear" w:color="auto" w:fill="auto"/>
            <w:tcMar>
              <w:left w:w="57" w:type="dxa"/>
              <w:right w:w="57" w:type="dxa"/>
            </w:tcMar>
            <w:hideMark/>
          </w:tcPr>
          <w:p w14:paraId="7851EF12"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22AF556C" w14:textId="77777777" w:rsidTr="0062423A">
        <w:trPr>
          <w:trHeight w:hRule="exact" w:val="397"/>
        </w:trPr>
        <w:tc>
          <w:tcPr>
            <w:tcW w:w="5387" w:type="dxa"/>
            <w:tcMar>
              <w:left w:w="57" w:type="dxa"/>
              <w:right w:w="57" w:type="dxa"/>
            </w:tcMar>
          </w:tcPr>
          <w:p w14:paraId="0A9AC127"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Blood pressure lowering medication use </w:t>
            </w:r>
          </w:p>
        </w:tc>
        <w:tc>
          <w:tcPr>
            <w:tcW w:w="2250" w:type="dxa"/>
            <w:shd w:val="clear" w:color="auto" w:fill="auto"/>
            <w:tcMar>
              <w:left w:w="57" w:type="dxa"/>
              <w:right w:w="57" w:type="dxa"/>
            </w:tcMar>
          </w:tcPr>
          <w:p w14:paraId="6DF09F5A"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431E23A6"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764A7D21"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7378EC4F" w14:textId="77777777" w:rsidTr="0062423A">
        <w:trPr>
          <w:trHeight w:hRule="exact" w:val="397"/>
        </w:trPr>
        <w:tc>
          <w:tcPr>
            <w:tcW w:w="5387" w:type="dxa"/>
            <w:tcMar>
              <w:left w:w="57" w:type="dxa"/>
              <w:right w:w="57" w:type="dxa"/>
            </w:tcMar>
          </w:tcPr>
          <w:p w14:paraId="3B6CE295" w14:textId="7777777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Smoking status </w:t>
            </w:r>
          </w:p>
        </w:tc>
        <w:tc>
          <w:tcPr>
            <w:tcW w:w="2250" w:type="dxa"/>
            <w:shd w:val="clear" w:color="auto" w:fill="auto"/>
            <w:tcMar>
              <w:left w:w="57" w:type="dxa"/>
              <w:right w:w="57" w:type="dxa"/>
            </w:tcMar>
            <w:hideMark/>
          </w:tcPr>
          <w:p w14:paraId="5B3D3981"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hideMark/>
          </w:tcPr>
          <w:p w14:paraId="56D3FFB9"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170" w:type="dxa"/>
            <w:shd w:val="clear" w:color="auto" w:fill="auto"/>
            <w:tcMar>
              <w:left w:w="57" w:type="dxa"/>
              <w:right w:w="57" w:type="dxa"/>
            </w:tcMar>
            <w:hideMark/>
          </w:tcPr>
          <w:p w14:paraId="1E0651B2"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3BCEE4F7" w14:textId="77777777" w:rsidTr="0062423A">
        <w:trPr>
          <w:trHeight w:hRule="exact" w:val="397"/>
        </w:trPr>
        <w:tc>
          <w:tcPr>
            <w:tcW w:w="5387" w:type="dxa"/>
            <w:tcMar>
              <w:left w:w="57" w:type="dxa"/>
              <w:right w:w="57" w:type="dxa"/>
            </w:tcMar>
          </w:tcPr>
          <w:p w14:paraId="010E79F4" w14:textId="12625126"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Family history of premature ASCVD</w:t>
            </w:r>
            <w:r w:rsidR="00CA6063" w:rsidRPr="00CA6063">
              <w:rPr>
                <w:rFonts w:cstheme="minorHAnsi"/>
                <w:sz w:val="22"/>
                <w:szCs w:val="22"/>
                <w:vertAlign w:val="superscript"/>
                <w:lang w:eastAsia="zh-TW"/>
              </w:rPr>
              <w:t>*</w:t>
            </w:r>
            <w:r w:rsidRPr="00382BA1">
              <w:rPr>
                <w:rFonts w:cstheme="minorHAnsi"/>
                <w:sz w:val="22"/>
                <w:szCs w:val="22"/>
                <w:lang w:eastAsia="zh-TW"/>
              </w:rPr>
              <w:t> </w:t>
            </w:r>
          </w:p>
        </w:tc>
        <w:tc>
          <w:tcPr>
            <w:tcW w:w="2250" w:type="dxa"/>
            <w:shd w:val="clear" w:color="auto" w:fill="auto"/>
            <w:tcMar>
              <w:left w:w="57" w:type="dxa"/>
              <w:right w:w="57" w:type="dxa"/>
            </w:tcMar>
          </w:tcPr>
          <w:p w14:paraId="236944CF"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18817166" w14:textId="77777777" w:rsidR="00401976" w:rsidRPr="00382BA1" w:rsidRDefault="00401976" w:rsidP="0062423A">
            <w:pPr>
              <w:jc w:val="center"/>
              <w:textAlignment w:val="baseline"/>
              <w:rPr>
                <w:rFonts w:cstheme="minorHAnsi"/>
                <w:b/>
                <w:bCs/>
                <w:sz w:val="22"/>
                <w:szCs w:val="22"/>
                <w:lang w:eastAsia="zh-TW"/>
              </w:rPr>
            </w:pPr>
          </w:p>
        </w:tc>
        <w:tc>
          <w:tcPr>
            <w:tcW w:w="1170" w:type="dxa"/>
            <w:shd w:val="clear" w:color="auto" w:fill="auto"/>
            <w:tcMar>
              <w:left w:w="57" w:type="dxa"/>
              <w:right w:w="57" w:type="dxa"/>
            </w:tcMar>
          </w:tcPr>
          <w:p w14:paraId="38E81DE0"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1B13D4DB" w14:textId="77777777" w:rsidTr="0062423A">
        <w:trPr>
          <w:trHeight w:hRule="exact" w:val="397"/>
        </w:trPr>
        <w:tc>
          <w:tcPr>
            <w:tcW w:w="5387" w:type="dxa"/>
            <w:tcMar>
              <w:left w:w="57" w:type="dxa"/>
              <w:right w:w="57" w:type="dxa"/>
            </w:tcMar>
          </w:tcPr>
          <w:p w14:paraId="0B32BDF0" w14:textId="60CFD1AF"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Persistently elevated LDL-C</w:t>
            </w:r>
            <w:r w:rsidRPr="00382BA1">
              <w:rPr>
                <w:rFonts w:cstheme="minorHAnsi"/>
                <w:sz w:val="22"/>
                <w:szCs w:val="22"/>
              </w:rPr>
              <w:t>≥160 mg/dL</w:t>
            </w:r>
            <w:r w:rsidR="00CA6063" w:rsidRPr="00CA6063">
              <w:rPr>
                <w:rFonts w:cstheme="minorHAnsi"/>
                <w:sz w:val="22"/>
                <w:szCs w:val="22"/>
                <w:vertAlign w:val="superscript"/>
              </w:rPr>
              <w:t>*</w:t>
            </w:r>
          </w:p>
        </w:tc>
        <w:tc>
          <w:tcPr>
            <w:tcW w:w="2250" w:type="dxa"/>
            <w:shd w:val="clear" w:color="auto" w:fill="auto"/>
            <w:tcMar>
              <w:left w:w="57" w:type="dxa"/>
              <w:right w:w="57" w:type="dxa"/>
            </w:tcMar>
          </w:tcPr>
          <w:p w14:paraId="34AD4A60"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770B0277"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7C6A74E8" w14:textId="77777777" w:rsidR="00401976" w:rsidRPr="00382BA1" w:rsidRDefault="00401976" w:rsidP="0062423A">
            <w:pPr>
              <w:jc w:val="center"/>
              <w:textAlignment w:val="baseline"/>
              <w:rPr>
                <w:rFonts w:cstheme="minorHAnsi"/>
                <w:sz w:val="22"/>
                <w:szCs w:val="22"/>
                <w:lang w:eastAsia="zh-TW"/>
              </w:rPr>
            </w:pPr>
          </w:p>
        </w:tc>
      </w:tr>
      <w:tr w:rsidR="00401976" w:rsidRPr="003975B0" w14:paraId="7BC59DAE" w14:textId="77777777" w:rsidTr="0062423A">
        <w:trPr>
          <w:trHeight w:hRule="exact" w:val="397"/>
        </w:trPr>
        <w:tc>
          <w:tcPr>
            <w:tcW w:w="5387" w:type="dxa"/>
            <w:tcMar>
              <w:left w:w="57" w:type="dxa"/>
              <w:right w:w="57" w:type="dxa"/>
            </w:tcMar>
          </w:tcPr>
          <w:p w14:paraId="62D990AD" w14:textId="1FABFDDE"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Chronic kidney disease (eGFR 15-59 mL/min/1.73m</w:t>
            </w:r>
            <w:r w:rsidRPr="00382BA1">
              <w:rPr>
                <w:rFonts w:cstheme="minorHAnsi"/>
                <w:sz w:val="22"/>
                <w:szCs w:val="22"/>
                <w:vertAlign w:val="superscript"/>
                <w:lang w:eastAsia="zh-TW"/>
              </w:rPr>
              <w:t>2</w:t>
            </w:r>
            <w:r w:rsidRPr="00382BA1">
              <w:rPr>
                <w:rFonts w:cstheme="minorHAnsi"/>
                <w:sz w:val="22"/>
                <w:szCs w:val="22"/>
                <w:lang w:eastAsia="zh-TW"/>
              </w:rPr>
              <w:t>)</w:t>
            </w:r>
            <w:r w:rsidR="00CA6063" w:rsidRPr="00CA6063">
              <w:rPr>
                <w:rFonts w:cstheme="minorHAnsi"/>
                <w:sz w:val="22"/>
                <w:szCs w:val="22"/>
                <w:vertAlign w:val="superscript"/>
                <w:lang w:eastAsia="zh-TW"/>
              </w:rPr>
              <w:t>*</w:t>
            </w:r>
          </w:p>
        </w:tc>
        <w:tc>
          <w:tcPr>
            <w:tcW w:w="2250" w:type="dxa"/>
            <w:shd w:val="clear" w:color="auto" w:fill="auto"/>
            <w:tcMar>
              <w:left w:w="57" w:type="dxa"/>
              <w:right w:w="57" w:type="dxa"/>
            </w:tcMar>
          </w:tcPr>
          <w:p w14:paraId="4F9022C0"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6791FAC9"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664EE575"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106FCE62" w14:textId="77777777" w:rsidTr="0062423A">
        <w:trPr>
          <w:trHeight w:hRule="exact" w:val="397"/>
        </w:trPr>
        <w:tc>
          <w:tcPr>
            <w:tcW w:w="5387" w:type="dxa"/>
            <w:tcMar>
              <w:left w:w="57" w:type="dxa"/>
              <w:right w:w="57" w:type="dxa"/>
            </w:tcMar>
          </w:tcPr>
          <w:p w14:paraId="673F16CB" w14:textId="72C2FCF1"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Metabolic syndrome</w:t>
            </w:r>
            <w:r w:rsidRPr="00382BA1">
              <w:rPr>
                <w:rFonts w:ascii="Symbol" w:eastAsia="Symbol" w:hAnsi="Symbol" w:cstheme="minorHAnsi"/>
                <w:sz w:val="22"/>
                <w:szCs w:val="22"/>
                <w:vertAlign w:val="superscript"/>
                <w:lang w:eastAsia="zh-TW"/>
              </w:rPr>
              <w:t></w:t>
            </w:r>
            <w:r w:rsidR="00CA6063">
              <w:rPr>
                <w:rFonts w:ascii="Symbol" w:eastAsia="Symbol" w:hAnsi="Symbol" w:cstheme="minorHAnsi"/>
                <w:sz w:val="22"/>
                <w:szCs w:val="22"/>
                <w:vertAlign w:val="superscript"/>
                <w:lang w:eastAsia="zh-TW"/>
              </w:rPr>
              <w:t></w:t>
            </w:r>
            <w:r w:rsidR="007D6ADF" w:rsidRPr="00A07D6C">
              <w:rPr>
                <w:rFonts w:cstheme="minorHAnsi"/>
                <w:sz w:val="20"/>
                <w:szCs w:val="20"/>
                <w:vertAlign w:val="superscript"/>
              </w:rPr>
              <w:t>†</w:t>
            </w:r>
          </w:p>
        </w:tc>
        <w:tc>
          <w:tcPr>
            <w:tcW w:w="2250" w:type="dxa"/>
            <w:shd w:val="clear" w:color="auto" w:fill="auto"/>
            <w:tcMar>
              <w:left w:w="57" w:type="dxa"/>
              <w:right w:w="57" w:type="dxa"/>
            </w:tcMar>
          </w:tcPr>
          <w:p w14:paraId="7A5A49E0"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74D1184C"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149E1A9E"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7006FFFE" w14:textId="77777777" w:rsidTr="0062423A">
        <w:trPr>
          <w:trHeight w:hRule="exact" w:val="397"/>
        </w:trPr>
        <w:tc>
          <w:tcPr>
            <w:tcW w:w="5387" w:type="dxa"/>
            <w:tcMar>
              <w:left w:w="57" w:type="dxa"/>
              <w:right w:w="57" w:type="dxa"/>
            </w:tcMar>
          </w:tcPr>
          <w:p w14:paraId="2C4D34CF" w14:textId="341766C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Premature menopause</w:t>
            </w:r>
            <w:r w:rsidR="00CA6063" w:rsidRPr="00CA6063">
              <w:rPr>
                <w:rFonts w:cstheme="minorHAnsi"/>
                <w:sz w:val="22"/>
                <w:szCs w:val="22"/>
                <w:vertAlign w:val="superscript"/>
                <w:lang w:eastAsia="zh-TW"/>
              </w:rPr>
              <w:t>*</w:t>
            </w:r>
          </w:p>
        </w:tc>
        <w:tc>
          <w:tcPr>
            <w:tcW w:w="2250" w:type="dxa"/>
            <w:shd w:val="clear" w:color="auto" w:fill="auto"/>
            <w:tcMar>
              <w:left w:w="57" w:type="dxa"/>
              <w:right w:w="57" w:type="dxa"/>
            </w:tcMar>
          </w:tcPr>
          <w:p w14:paraId="28EFAD50"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0DD88DD0"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47C51D6F"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67EEDC8B" w14:textId="77777777" w:rsidTr="0062423A">
        <w:trPr>
          <w:trHeight w:hRule="exact" w:val="397"/>
        </w:trPr>
        <w:tc>
          <w:tcPr>
            <w:tcW w:w="5387" w:type="dxa"/>
            <w:tcMar>
              <w:left w:w="57" w:type="dxa"/>
              <w:right w:w="57" w:type="dxa"/>
            </w:tcMar>
          </w:tcPr>
          <w:p w14:paraId="579796DA" w14:textId="00CEB0D8"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Inflammatory disease</w:t>
            </w:r>
            <w:r w:rsidR="00CA6063" w:rsidRPr="00CA6063">
              <w:rPr>
                <w:rFonts w:cstheme="minorHAnsi"/>
                <w:sz w:val="22"/>
                <w:szCs w:val="22"/>
                <w:vertAlign w:val="superscript"/>
                <w:lang w:eastAsia="zh-TW"/>
              </w:rPr>
              <w:t>*</w:t>
            </w:r>
          </w:p>
        </w:tc>
        <w:tc>
          <w:tcPr>
            <w:tcW w:w="2250" w:type="dxa"/>
            <w:shd w:val="clear" w:color="auto" w:fill="auto"/>
            <w:tcMar>
              <w:left w:w="57" w:type="dxa"/>
              <w:right w:w="57" w:type="dxa"/>
            </w:tcMar>
          </w:tcPr>
          <w:p w14:paraId="6D831278"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5868674D"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384FC96B"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17E12F71" w14:textId="77777777" w:rsidTr="0062423A">
        <w:trPr>
          <w:trHeight w:hRule="exact" w:val="397"/>
        </w:trPr>
        <w:tc>
          <w:tcPr>
            <w:tcW w:w="5387" w:type="dxa"/>
            <w:tcMar>
              <w:left w:w="57" w:type="dxa"/>
              <w:right w:w="57" w:type="dxa"/>
            </w:tcMar>
          </w:tcPr>
          <w:p w14:paraId="518FB60F" w14:textId="14630C10"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 xml:space="preserve">High-sensitivity C-reactive protein </w:t>
            </w:r>
            <w:r w:rsidRPr="00382BA1">
              <w:rPr>
                <w:rFonts w:cstheme="minorHAnsi"/>
                <w:sz w:val="22"/>
                <w:szCs w:val="22"/>
              </w:rPr>
              <w:t>≥</w:t>
            </w:r>
            <w:r w:rsidRPr="00382BA1">
              <w:rPr>
                <w:rFonts w:cstheme="minorHAnsi"/>
                <w:sz w:val="22"/>
                <w:szCs w:val="22"/>
                <w:lang w:eastAsia="zh-TW"/>
              </w:rPr>
              <w:t>2.0 mg/L </w:t>
            </w:r>
            <w:r w:rsidR="00CA6063" w:rsidRPr="00CA6063">
              <w:rPr>
                <w:rFonts w:cstheme="minorHAnsi"/>
                <w:sz w:val="22"/>
                <w:szCs w:val="22"/>
                <w:vertAlign w:val="superscript"/>
                <w:lang w:eastAsia="zh-TW"/>
              </w:rPr>
              <w:t>*</w:t>
            </w:r>
          </w:p>
        </w:tc>
        <w:tc>
          <w:tcPr>
            <w:tcW w:w="2250" w:type="dxa"/>
            <w:shd w:val="clear" w:color="auto" w:fill="auto"/>
            <w:tcMar>
              <w:left w:w="57" w:type="dxa"/>
              <w:right w:w="57" w:type="dxa"/>
            </w:tcMar>
          </w:tcPr>
          <w:p w14:paraId="11483711"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1A7543F2"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1FBC5A4E"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20C50850" w14:textId="77777777" w:rsidTr="0062423A">
        <w:trPr>
          <w:trHeight w:hRule="exact" w:val="397"/>
        </w:trPr>
        <w:tc>
          <w:tcPr>
            <w:tcW w:w="5387" w:type="dxa"/>
            <w:tcMar>
              <w:left w:w="57" w:type="dxa"/>
              <w:right w:w="57" w:type="dxa"/>
            </w:tcMar>
          </w:tcPr>
          <w:p w14:paraId="34E5B202" w14:textId="36D28121"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 xml:space="preserve">Apolipoprotein B </w:t>
            </w:r>
            <w:r w:rsidRPr="00382BA1">
              <w:rPr>
                <w:rFonts w:cstheme="minorHAnsi"/>
                <w:sz w:val="22"/>
                <w:szCs w:val="22"/>
              </w:rPr>
              <w:t>≥</w:t>
            </w:r>
            <w:r w:rsidRPr="00382BA1">
              <w:rPr>
                <w:rFonts w:cstheme="minorHAnsi"/>
                <w:sz w:val="22"/>
                <w:szCs w:val="22"/>
                <w:lang w:eastAsia="zh-TW"/>
              </w:rPr>
              <w:t>130 mg/dL</w:t>
            </w:r>
            <w:r w:rsidR="00CA6063" w:rsidRPr="00CA6063">
              <w:rPr>
                <w:rFonts w:cstheme="minorHAnsi"/>
                <w:sz w:val="22"/>
                <w:szCs w:val="22"/>
                <w:vertAlign w:val="superscript"/>
                <w:lang w:eastAsia="zh-TW"/>
              </w:rPr>
              <w:t>*</w:t>
            </w:r>
            <w:r w:rsidRPr="00382BA1">
              <w:rPr>
                <w:rFonts w:cstheme="minorHAnsi"/>
                <w:sz w:val="22"/>
                <w:szCs w:val="22"/>
                <w:lang w:eastAsia="zh-TW"/>
              </w:rPr>
              <w:t> </w:t>
            </w:r>
          </w:p>
        </w:tc>
        <w:tc>
          <w:tcPr>
            <w:tcW w:w="2250" w:type="dxa"/>
            <w:shd w:val="clear" w:color="auto" w:fill="auto"/>
            <w:tcMar>
              <w:left w:w="57" w:type="dxa"/>
              <w:right w:w="57" w:type="dxa"/>
            </w:tcMar>
          </w:tcPr>
          <w:p w14:paraId="6AEAB3CA"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49004E02"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2BBD85DC"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r>
      <w:tr w:rsidR="00401976" w:rsidRPr="003975B0" w14:paraId="47EC158F" w14:textId="77777777" w:rsidTr="0062423A">
        <w:trPr>
          <w:trHeight w:hRule="exact" w:val="397"/>
        </w:trPr>
        <w:tc>
          <w:tcPr>
            <w:tcW w:w="5387" w:type="dxa"/>
            <w:tcMar>
              <w:left w:w="57" w:type="dxa"/>
              <w:right w:w="57" w:type="dxa"/>
            </w:tcMar>
          </w:tcPr>
          <w:p w14:paraId="41DCB22A" w14:textId="44B0A09F"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Ankle-brachial index &lt;0.9</w:t>
            </w:r>
            <w:r w:rsidR="00CA6063" w:rsidRPr="00CA6063">
              <w:rPr>
                <w:rFonts w:cstheme="minorHAnsi"/>
                <w:sz w:val="22"/>
                <w:szCs w:val="22"/>
                <w:vertAlign w:val="superscript"/>
                <w:lang w:eastAsia="zh-TW"/>
              </w:rPr>
              <w:t>*</w:t>
            </w:r>
            <w:r w:rsidRPr="00382BA1">
              <w:rPr>
                <w:rFonts w:cstheme="minorHAnsi"/>
                <w:sz w:val="22"/>
                <w:szCs w:val="22"/>
                <w:lang w:eastAsia="zh-TW"/>
              </w:rPr>
              <w:t> </w:t>
            </w:r>
          </w:p>
        </w:tc>
        <w:tc>
          <w:tcPr>
            <w:tcW w:w="2250" w:type="dxa"/>
            <w:shd w:val="clear" w:color="auto" w:fill="auto"/>
            <w:tcMar>
              <w:left w:w="57" w:type="dxa"/>
              <w:right w:w="57" w:type="dxa"/>
            </w:tcMar>
          </w:tcPr>
          <w:p w14:paraId="4AABCB93"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3BADA9D5"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10592BA5" w14:textId="77777777" w:rsidR="00401976" w:rsidRPr="00382BA1" w:rsidRDefault="00401976" w:rsidP="0062423A">
            <w:pPr>
              <w:jc w:val="center"/>
              <w:textAlignment w:val="baseline"/>
              <w:rPr>
                <w:rFonts w:cstheme="minorHAnsi"/>
                <w:sz w:val="22"/>
                <w:szCs w:val="22"/>
                <w:lang w:eastAsia="zh-TW"/>
              </w:rPr>
            </w:pPr>
          </w:p>
        </w:tc>
      </w:tr>
      <w:tr w:rsidR="00401976" w:rsidRPr="003975B0" w14:paraId="687DAA77" w14:textId="77777777" w:rsidTr="0062423A">
        <w:trPr>
          <w:trHeight w:hRule="exact" w:val="397"/>
        </w:trPr>
        <w:tc>
          <w:tcPr>
            <w:tcW w:w="5387" w:type="dxa"/>
            <w:tcMar>
              <w:left w:w="57" w:type="dxa"/>
              <w:right w:w="57" w:type="dxa"/>
            </w:tcMar>
          </w:tcPr>
          <w:p w14:paraId="4703E6C4" w14:textId="470EDCD0"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 xml:space="preserve">Lipoprotein(a) levels </w:t>
            </w:r>
            <w:r w:rsidRPr="00382BA1">
              <w:rPr>
                <w:rFonts w:cstheme="minorHAnsi"/>
                <w:sz w:val="22"/>
                <w:szCs w:val="22"/>
              </w:rPr>
              <w:t>≥</w:t>
            </w:r>
            <w:r w:rsidRPr="00382BA1">
              <w:rPr>
                <w:rFonts w:cstheme="minorHAnsi"/>
                <w:sz w:val="22"/>
                <w:szCs w:val="22"/>
                <w:lang w:eastAsia="zh-TW"/>
              </w:rPr>
              <w:t xml:space="preserve">50 mg/dL or </w:t>
            </w:r>
            <w:r w:rsidRPr="00382BA1">
              <w:rPr>
                <w:rFonts w:cstheme="minorHAnsi"/>
                <w:sz w:val="22"/>
                <w:szCs w:val="22"/>
              </w:rPr>
              <w:t>≥</w:t>
            </w:r>
            <w:r w:rsidRPr="00382BA1">
              <w:rPr>
                <w:rFonts w:cstheme="minorHAnsi"/>
                <w:sz w:val="22"/>
                <w:szCs w:val="22"/>
                <w:lang w:eastAsia="zh-TW"/>
              </w:rPr>
              <w:t>125 nmol/L</w:t>
            </w:r>
            <w:r w:rsidR="00CA6063" w:rsidRPr="00CA6063">
              <w:rPr>
                <w:rFonts w:cstheme="minorHAnsi"/>
                <w:sz w:val="22"/>
                <w:szCs w:val="22"/>
                <w:vertAlign w:val="superscript"/>
                <w:lang w:eastAsia="zh-TW"/>
              </w:rPr>
              <w:t>*</w:t>
            </w:r>
            <w:r w:rsidRPr="00382BA1">
              <w:rPr>
                <w:rFonts w:cstheme="minorHAnsi"/>
                <w:sz w:val="22"/>
                <w:szCs w:val="22"/>
                <w:lang w:eastAsia="zh-TW"/>
              </w:rPr>
              <w:t> </w:t>
            </w:r>
          </w:p>
        </w:tc>
        <w:tc>
          <w:tcPr>
            <w:tcW w:w="2250" w:type="dxa"/>
            <w:shd w:val="clear" w:color="auto" w:fill="auto"/>
            <w:tcMar>
              <w:left w:w="57" w:type="dxa"/>
              <w:right w:w="57" w:type="dxa"/>
            </w:tcMar>
          </w:tcPr>
          <w:p w14:paraId="7BB8C28B"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7A0C4A6D"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44902238" w14:textId="77777777" w:rsidR="00401976" w:rsidRPr="00382BA1" w:rsidRDefault="00401976" w:rsidP="0062423A">
            <w:pPr>
              <w:jc w:val="center"/>
              <w:textAlignment w:val="baseline"/>
              <w:rPr>
                <w:rFonts w:cstheme="minorHAnsi"/>
                <w:sz w:val="22"/>
                <w:szCs w:val="22"/>
                <w:lang w:eastAsia="zh-TW"/>
              </w:rPr>
            </w:pPr>
          </w:p>
        </w:tc>
      </w:tr>
      <w:tr w:rsidR="00401976" w:rsidRPr="003975B0" w14:paraId="35CE21B0" w14:textId="77777777" w:rsidTr="0062423A">
        <w:trPr>
          <w:trHeight w:hRule="exact" w:val="397"/>
        </w:trPr>
        <w:tc>
          <w:tcPr>
            <w:tcW w:w="5387" w:type="dxa"/>
            <w:tcMar>
              <w:left w:w="57" w:type="dxa"/>
              <w:right w:w="57" w:type="dxa"/>
            </w:tcMar>
          </w:tcPr>
          <w:p w14:paraId="38017531" w14:textId="2039E45E"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High-risk ethnicities</w:t>
            </w:r>
            <w:r w:rsidR="00CA6063" w:rsidRPr="00CA6063">
              <w:rPr>
                <w:rFonts w:cstheme="minorHAnsi"/>
                <w:sz w:val="22"/>
                <w:szCs w:val="22"/>
                <w:vertAlign w:val="superscript"/>
                <w:lang w:eastAsia="zh-TW"/>
              </w:rPr>
              <w:t>*</w:t>
            </w:r>
          </w:p>
        </w:tc>
        <w:tc>
          <w:tcPr>
            <w:tcW w:w="2250" w:type="dxa"/>
            <w:shd w:val="clear" w:color="auto" w:fill="auto"/>
            <w:tcMar>
              <w:left w:w="57" w:type="dxa"/>
              <w:right w:w="57" w:type="dxa"/>
            </w:tcMar>
          </w:tcPr>
          <w:p w14:paraId="2AF9AA19"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46FF5DFE"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4DC5BC1A" w14:textId="77777777" w:rsidR="00401976" w:rsidRPr="00382BA1" w:rsidRDefault="00401976" w:rsidP="0062423A">
            <w:pPr>
              <w:jc w:val="center"/>
              <w:textAlignment w:val="baseline"/>
              <w:rPr>
                <w:rFonts w:cstheme="minorHAnsi"/>
                <w:sz w:val="22"/>
                <w:szCs w:val="22"/>
                <w:lang w:eastAsia="zh-TW"/>
              </w:rPr>
            </w:pPr>
          </w:p>
        </w:tc>
      </w:tr>
      <w:tr w:rsidR="00401976" w:rsidRPr="003975B0" w14:paraId="417428C3" w14:textId="77777777" w:rsidTr="0062423A">
        <w:trPr>
          <w:trHeight w:hRule="exact" w:val="397"/>
        </w:trPr>
        <w:tc>
          <w:tcPr>
            <w:tcW w:w="5387" w:type="dxa"/>
            <w:tcMar>
              <w:left w:w="57" w:type="dxa"/>
              <w:right w:w="57" w:type="dxa"/>
            </w:tcMar>
          </w:tcPr>
          <w:p w14:paraId="3FEF3A86" w14:textId="67FAA497" w:rsidR="00401976" w:rsidRPr="00382BA1" w:rsidRDefault="00401976" w:rsidP="0062423A">
            <w:pPr>
              <w:ind w:left="234"/>
              <w:textAlignment w:val="baseline"/>
              <w:rPr>
                <w:rFonts w:cstheme="minorHAnsi"/>
                <w:sz w:val="22"/>
                <w:szCs w:val="22"/>
                <w:lang w:eastAsia="zh-TW"/>
              </w:rPr>
            </w:pPr>
            <w:r w:rsidRPr="00382BA1">
              <w:rPr>
                <w:rFonts w:cstheme="minorHAnsi"/>
                <w:sz w:val="22"/>
                <w:szCs w:val="22"/>
                <w:lang w:eastAsia="zh-TW"/>
              </w:rPr>
              <w:t>Persistently elevated triglycerides</w:t>
            </w:r>
            <w:r w:rsidR="00CA6063" w:rsidRPr="00CA6063">
              <w:rPr>
                <w:rFonts w:cstheme="minorHAnsi"/>
                <w:sz w:val="22"/>
                <w:szCs w:val="22"/>
                <w:vertAlign w:val="superscript"/>
                <w:lang w:eastAsia="zh-TW"/>
              </w:rPr>
              <w:t>*</w:t>
            </w:r>
            <w:r w:rsidRPr="00382BA1">
              <w:rPr>
                <w:rFonts w:cstheme="minorHAnsi"/>
                <w:sz w:val="22"/>
                <w:szCs w:val="22"/>
                <w:lang w:eastAsia="zh-TW"/>
              </w:rPr>
              <w:t xml:space="preserve"> </w:t>
            </w:r>
          </w:p>
        </w:tc>
        <w:tc>
          <w:tcPr>
            <w:tcW w:w="2250" w:type="dxa"/>
            <w:shd w:val="clear" w:color="auto" w:fill="auto"/>
            <w:tcMar>
              <w:left w:w="57" w:type="dxa"/>
              <w:right w:w="57" w:type="dxa"/>
            </w:tcMar>
          </w:tcPr>
          <w:p w14:paraId="57A4FB7F" w14:textId="77777777" w:rsidR="00401976" w:rsidRPr="00382BA1" w:rsidRDefault="00401976" w:rsidP="0062423A">
            <w:pPr>
              <w:jc w:val="center"/>
              <w:textAlignment w:val="baseline"/>
              <w:rPr>
                <w:rFonts w:cstheme="minorHAnsi"/>
                <w:sz w:val="22"/>
                <w:szCs w:val="22"/>
                <w:lang w:eastAsia="zh-TW"/>
              </w:rPr>
            </w:pPr>
            <w:r w:rsidRPr="00382BA1">
              <w:rPr>
                <w:rFonts w:cstheme="minorHAnsi"/>
                <w:sz w:val="22"/>
                <w:szCs w:val="22"/>
                <w:lang w:eastAsia="zh-TW"/>
              </w:rPr>
              <w:t>√</w:t>
            </w:r>
          </w:p>
        </w:tc>
        <w:tc>
          <w:tcPr>
            <w:tcW w:w="1440" w:type="dxa"/>
            <w:shd w:val="clear" w:color="auto" w:fill="auto"/>
            <w:tcMar>
              <w:left w:w="57" w:type="dxa"/>
              <w:right w:w="57" w:type="dxa"/>
            </w:tcMar>
          </w:tcPr>
          <w:p w14:paraId="6F5128A7" w14:textId="77777777" w:rsidR="00401976" w:rsidRPr="00382BA1" w:rsidRDefault="00401976" w:rsidP="0062423A">
            <w:pPr>
              <w:jc w:val="center"/>
              <w:textAlignment w:val="baseline"/>
              <w:rPr>
                <w:rFonts w:cstheme="minorHAnsi"/>
                <w:sz w:val="22"/>
                <w:szCs w:val="22"/>
                <w:lang w:eastAsia="zh-TW"/>
              </w:rPr>
            </w:pPr>
          </w:p>
        </w:tc>
        <w:tc>
          <w:tcPr>
            <w:tcW w:w="1170" w:type="dxa"/>
            <w:shd w:val="clear" w:color="auto" w:fill="auto"/>
            <w:tcMar>
              <w:left w:w="57" w:type="dxa"/>
              <w:right w:w="57" w:type="dxa"/>
            </w:tcMar>
          </w:tcPr>
          <w:p w14:paraId="17916FA1" w14:textId="77777777" w:rsidR="00401976" w:rsidRPr="00382BA1" w:rsidRDefault="00401976" w:rsidP="0062423A">
            <w:pPr>
              <w:jc w:val="center"/>
              <w:textAlignment w:val="baseline"/>
              <w:rPr>
                <w:rFonts w:cstheme="minorHAnsi"/>
                <w:sz w:val="22"/>
                <w:szCs w:val="22"/>
                <w:lang w:eastAsia="zh-TW"/>
              </w:rPr>
            </w:pPr>
          </w:p>
        </w:tc>
      </w:tr>
    </w:tbl>
    <w:p w14:paraId="093B0A85" w14:textId="77777777" w:rsidR="00A829CF" w:rsidRPr="003975B0" w:rsidRDefault="00A829CF" w:rsidP="005B77E5">
      <w:pPr>
        <w:rPr>
          <w:rFonts w:cstheme="minorHAnsi"/>
          <w:b/>
          <w:bCs/>
        </w:rPr>
      </w:pPr>
    </w:p>
    <w:p w14:paraId="49EDE755" w14:textId="7503EA16" w:rsidR="00CA6063" w:rsidRPr="00CA6063" w:rsidRDefault="00CA6063" w:rsidP="00BD6C2E">
      <w:pPr>
        <w:ind w:hanging="144"/>
        <w:rPr>
          <w:rFonts w:ascii="Calibri" w:eastAsia="Symbol" w:hAnsi="Calibri" w:cs="Calibri"/>
          <w:sz w:val="20"/>
          <w:szCs w:val="20"/>
          <w:lang w:eastAsia="zh-TW"/>
        </w:rPr>
      </w:pPr>
      <w:r>
        <w:rPr>
          <w:rFonts w:ascii="Symbol" w:eastAsia="Symbol" w:hAnsi="Symbol" w:cstheme="minorHAnsi"/>
          <w:sz w:val="20"/>
          <w:szCs w:val="20"/>
          <w:vertAlign w:val="superscript"/>
          <w:lang w:eastAsia="zh-TW"/>
        </w:rPr>
        <w:t></w:t>
      </w:r>
      <w:r>
        <w:rPr>
          <w:rFonts w:ascii="Calibri" w:eastAsia="Symbol" w:hAnsi="Calibri" w:cs="Calibri"/>
          <w:sz w:val="20"/>
          <w:szCs w:val="20"/>
          <w:lang w:eastAsia="zh-TW"/>
        </w:rPr>
        <w:t>ASCVD risk enhancers according to the US guideline/pathway</w:t>
      </w:r>
    </w:p>
    <w:p w14:paraId="1B59C3C3" w14:textId="63C4607F" w:rsidR="00BD6C2E" w:rsidRDefault="007D6ADF" w:rsidP="00BD6C2E">
      <w:pPr>
        <w:ind w:hanging="144"/>
        <w:rPr>
          <w:rFonts w:cstheme="minorHAnsi"/>
          <w:color w:val="000000"/>
          <w:sz w:val="20"/>
          <w:szCs w:val="20"/>
        </w:rPr>
      </w:pPr>
      <w:r w:rsidRPr="00A07D6C">
        <w:rPr>
          <w:rFonts w:cstheme="minorHAnsi"/>
          <w:sz w:val="20"/>
          <w:szCs w:val="20"/>
          <w:vertAlign w:val="superscript"/>
        </w:rPr>
        <w:t>†</w:t>
      </w:r>
      <w:r w:rsidR="00401976" w:rsidRPr="00CB0725">
        <w:rPr>
          <w:rFonts w:cstheme="minorHAnsi"/>
          <w:sz w:val="20"/>
          <w:szCs w:val="20"/>
          <w:lang w:eastAsia="zh-TW"/>
        </w:rPr>
        <w:t xml:space="preserve">Metabolic syndrome was defined as at least three of the following:  </w:t>
      </w:r>
      <w:r w:rsidR="00401976" w:rsidRPr="00CB0725">
        <w:rPr>
          <w:rFonts w:cstheme="minorHAnsi"/>
          <w:color w:val="000000"/>
          <w:sz w:val="20"/>
          <w:szCs w:val="20"/>
        </w:rPr>
        <w:t>waist circumference&gt;102 cm in men or 88</w:t>
      </w:r>
    </w:p>
    <w:p w14:paraId="227E94A2" w14:textId="77777777" w:rsidR="00BD6C2E" w:rsidRDefault="00401976" w:rsidP="00BD6C2E">
      <w:pPr>
        <w:ind w:left="-144"/>
        <w:rPr>
          <w:rFonts w:cstheme="minorHAnsi"/>
          <w:sz w:val="20"/>
          <w:szCs w:val="20"/>
          <w:lang w:eastAsia="zh-TW"/>
        </w:rPr>
      </w:pPr>
      <w:r w:rsidRPr="00CB0725">
        <w:rPr>
          <w:rFonts w:cstheme="minorHAnsi"/>
          <w:color w:val="000000"/>
          <w:sz w:val="20"/>
          <w:szCs w:val="20"/>
        </w:rPr>
        <w:t>cm in women, triglyceride&gt;150 mg/dL, HDL-C&lt;40 mg/dL in men or &lt;50 mg/dL in women, systolic blood</w:t>
      </w:r>
      <w:r w:rsidR="00BD6C2E">
        <w:rPr>
          <w:rFonts w:cstheme="minorHAnsi"/>
          <w:color w:val="000000"/>
          <w:sz w:val="20"/>
          <w:szCs w:val="20"/>
        </w:rPr>
        <w:t xml:space="preserve"> </w:t>
      </w:r>
      <w:r w:rsidRPr="00CB0725">
        <w:rPr>
          <w:rFonts w:cstheme="minorHAnsi"/>
          <w:color w:val="000000"/>
          <w:sz w:val="20"/>
          <w:szCs w:val="20"/>
        </w:rPr>
        <w:t>pressure</w:t>
      </w:r>
      <w:r w:rsidRPr="00CB0725">
        <w:rPr>
          <w:rFonts w:cstheme="minorHAnsi"/>
          <w:sz w:val="20"/>
          <w:szCs w:val="20"/>
        </w:rPr>
        <w:t>≥</w:t>
      </w:r>
      <w:r w:rsidRPr="00CB0725">
        <w:rPr>
          <w:rFonts w:cstheme="minorHAnsi"/>
          <w:color w:val="000000"/>
          <w:sz w:val="20"/>
          <w:szCs w:val="20"/>
        </w:rPr>
        <w:t>130 mm Hg or diastolic blood pressure</w:t>
      </w:r>
      <w:r w:rsidRPr="00CB0725">
        <w:rPr>
          <w:rFonts w:cstheme="minorHAnsi"/>
          <w:sz w:val="20"/>
          <w:szCs w:val="20"/>
        </w:rPr>
        <w:t>≥</w:t>
      </w:r>
      <w:r w:rsidRPr="00CB0725">
        <w:rPr>
          <w:rFonts w:cstheme="minorHAnsi"/>
          <w:color w:val="000000"/>
          <w:sz w:val="20"/>
          <w:szCs w:val="20"/>
        </w:rPr>
        <w:t>85 mm Hg or taking hypertension medications, or fasting plasma glucose level</w:t>
      </w:r>
      <w:r w:rsidRPr="00CB0725">
        <w:rPr>
          <w:rFonts w:cstheme="minorHAnsi"/>
          <w:sz w:val="20"/>
          <w:szCs w:val="20"/>
        </w:rPr>
        <w:t>≥</w:t>
      </w:r>
      <w:r w:rsidRPr="00CB0725">
        <w:rPr>
          <w:rFonts w:cstheme="minorHAnsi"/>
          <w:color w:val="000000"/>
          <w:sz w:val="20"/>
          <w:szCs w:val="20"/>
        </w:rPr>
        <w:t>100 mg/dL or taking diabetes medications</w:t>
      </w:r>
    </w:p>
    <w:p w14:paraId="39C939A6" w14:textId="0F3940FB" w:rsidR="00401976" w:rsidRPr="00BD6C2E" w:rsidRDefault="00401976" w:rsidP="00BD6C2E">
      <w:pPr>
        <w:ind w:left="-144"/>
        <w:rPr>
          <w:rFonts w:cstheme="minorHAnsi"/>
          <w:sz w:val="20"/>
          <w:szCs w:val="20"/>
          <w:lang w:eastAsia="zh-TW"/>
        </w:rPr>
        <w:sectPr w:rsidR="00401976" w:rsidRPr="00BD6C2E" w:rsidSect="0042223E">
          <w:headerReference w:type="even" r:id="rId11"/>
          <w:footerReference w:type="default" r:id="rId12"/>
          <w:headerReference w:type="first" r:id="rId13"/>
          <w:endnotePr>
            <w:numFmt w:val="decimal"/>
          </w:endnotePr>
          <w:pgSz w:w="12240" w:h="15840"/>
          <w:pgMar w:top="1440" w:right="1800" w:bottom="1440" w:left="1440" w:header="720" w:footer="720" w:gutter="0"/>
          <w:cols w:space="708"/>
          <w:docGrid w:linePitch="360"/>
        </w:sectPr>
      </w:pPr>
      <w:r w:rsidRPr="00CB0725">
        <w:rPr>
          <w:rFonts w:cstheme="minorHAnsi"/>
          <w:b/>
          <w:bCs/>
          <w:sz w:val="20"/>
          <w:szCs w:val="20"/>
          <w:lang w:eastAsia="zh-TW"/>
        </w:rPr>
        <w:t xml:space="preserve">ASCVD </w:t>
      </w:r>
      <w:r w:rsidRPr="00CB0725">
        <w:rPr>
          <w:rFonts w:cstheme="minorHAnsi"/>
          <w:sz w:val="20"/>
          <w:szCs w:val="20"/>
          <w:lang w:eastAsia="zh-TW"/>
        </w:rPr>
        <w:t>Atherosclerotic cardiovascular diseas</w:t>
      </w:r>
      <w:r>
        <w:rPr>
          <w:rFonts w:cstheme="minorHAnsi"/>
          <w:sz w:val="20"/>
          <w:szCs w:val="20"/>
          <w:lang w:eastAsia="zh-TW"/>
        </w:rPr>
        <w:t>e</w:t>
      </w:r>
      <w:r w:rsidR="00577324">
        <w:rPr>
          <w:rFonts w:cstheme="minorHAnsi"/>
          <w:sz w:val="20"/>
          <w:szCs w:val="20"/>
          <w:lang w:eastAsia="zh-TW"/>
        </w:rPr>
        <w:t xml:space="preserve"> </w:t>
      </w:r>
      <w:r w:rsidR="00577324">
        <w:rPr>
          <w:rFonts w:cstheme="minorHAnsi"/>
          <w:b/>
          <w:bCs/>
          <w:sz w:val="20"/>
          <w:szCs w:val="20"/>
          <w:lang w:eastAsia="zh-TW"/>
        </w:rPr>
        <w:t xml:space="preserve">eGFR </w:t>
      </w:r>
      <w:r w:rsidR="00577324">
        <w:rPr>
          <w:rFonts w:cstheme="minorHAnsi"/>
          <w:sz w:val="20"/>
          <w:szCs w:val="20"/>
          <w:lang w:eastAsia="zh-TW"/>
        </w:rPr>
        <w:t xml:space="preserve">estimated glomerular filtration rate </w:t>
      </w:r>
      <w:r w:rsidR="00577324">
        <w:rPr>
          <w:rFonts w:cstheme="minorHAnsi"/>
          <w:b/>
          <w:bCs/>
          <w:sz w:val="20"/>
          <w:szCs w:val="20"/>
          <w:lang w:eastAsia="zh-TW"/>
        </w:rPr>
        <w:t xml:space="preserve">LDL-C </w:t>
      </w:r>
      <w:r w:rsidR="00577324" w:rsidRPr="0012643B">
        <w:rPr>
          <w:rFonts w:cstheme="minorHAnsi"/>
          <w:sz w:val="18"/>
          <w:szCs w:val="18"/>
        </w:rPr>
        <w:t>low-density lipoprotein cholesterol (mg/dL</w:t>
      </w:r>
      <w:r w:rsidR="00577324">
        <w:rPr>
          <w:rFonts w:cstheme="minorHAnsi"/>
          <w:sz w:val="18"/>
          <w:szCs w:val="18"/>
        </w:rPr>
        <w:t>)</w:t>
      </w:r>
    </w:p>
    <w:p w14:paraId="554CD450" w14:textId="20CA8E26" w:rsidR="00816533" w:rsidRPr="003975B0" w:rsidRDefault="00816533">
      <w:pPr>
        <w:rPr>
          <w:rFonts w:cstheme="minorHAnsi"/>
          <w:b/>
          <w:bCs/>
        </w:rPr>
      </w:pPr>
    </w:p>
    <w:p w14:paraId="7C65CF06" w14:textId="46E676DE" w:rsidR="00D16203" w:rsidRPr="00164A62" w:rsidRDefault="00D16203" w:rsidP="00D16203">
      <w:pPr>
        <w:rPr>
          <w:rFonts w:cstheme="minorHAnsi"/>
        </w:rPr>
      </w:pPr>
      <w:r w:rsidRPr="003F4AEA">
        <w:rPr>
          <w:rFonts w:cstheme="minorHAnsi"/>
          <w:b/>
          <w:bCs/>
        </w:rPr>
        <w:t xml:space="preserve">eTable </w:t>
      </w:r>
      <w:r w:rsidR="00D140CF">
        <w:rPr>
          <w:rFonts w:cstheme="minorHAnsi"/>
          <w:b/>
          <w:bCs/>
        </w:rPr>
        <w:t>2</w:t>
      </w:r>
      <w:r w:rsidRPr="003F4AEA">
        <w:rPr>
          <w:rFonts w:cstheme="minorHAnsi"/>
          <w:b/>
          <w:bCs/>
        </w:rPr>
        <w:t xml:space="preserve">.  </w:t>
      </w:r>
      <w:r>
        <w:rPr>
          <w:rFonts w:cstheme="minorHAnsi"/>
        </w:rPr>
        <w:t xml:space="preserve">Variable definitions </w:t>
      </w:r>
      <w:r w:rsidR="00694E49">
        <w:rPr>
          <w:rFonts w:cstheme="minorHAnsi"/>
        </w:rPr>
        <w:t>used</w:t>
      </w:r>
      <w:r>
        <w:rPr>
          <w:rFonts w:cstheme="minorHAnsi"/>
        </w:rPr>
        <w:t xml:space="preserve"> in analyses</w:t>
      </w:r>
      <w:r w:rsidRPr="003F4AEA">
        <w:rPr>
          <w:rFonts w:cstheme="minorHAnsi"/>
        </w:rPr>
        <w:t>.</w:t>
      </w:r>
    </w:p>
    <w:p w14:paraId="5BA8EACA" w14:textId="77777777" w:rsidR="006D5312" w:rsidRDefault="006D5312" w:rsidP="007E2764">
      <w:pPr>
        <w:rPr>
          <w:rFonts w:cstheme="minorHAnsi"/>
          <w:sz w:val="20"/>
          <w:szCs w:val="20"/>
        </w:rPr>
      </w:pPr>
    </w:p>
    <w:p w14:paraId="262811F0" w14:textId="77777777" w:rsidR="00D16203" w:rsidRDefault="00D16203" w:rsidP="007E2764">
      <w:pPr>
        <w:rPr>
          <w:rFonts w:cstheme="minorHAnsi"/>
          <w:sz w:val="20"/>
          <w:szCs w:val="20"/>
        </w:rPr>
      </w:pPr>
    </w:p>
    <w:tbl>
      <w:tblPr>
        <w:tblW w:w="15120" w:type="dxa"/>
        <w:jc w:val="center"/>
        <w:tblLayout w:type="fixed"/>
        <w:tblLook w:val="0420" w:firstRow="1" w:lastRow="0" w:firstColumn="0" w:lastColumn="0" w:noHBand="0" w:noVBand="1"/>
      </w:tblPr>
      <w:tblGrid>
        <w:gridCol w:w="5040"/>
        <w:gridCol w:w="10080"/>
      </w:tblGrid>
      <w:tr w:rsidR="00D16203" w:rsidRPr="00EF2E18" w14:paraId="4AD85EAB"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A44E05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b/>
                <w:color w:val="000000"/>
                <w:sz w:val="22"/>
                <w:szCs w:val="22"/>
              </w:rPr>
              <w:t>Variables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F5FD76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b/>
                <w:color w:val="000000"/>
                <w:sz w:val="22"/>
                <w:szCs w:val="22"/>
              </w:rPr>
              <w:t>Definitions</w:t>
            </w:r>
          </w:p>
        </w:tc>
      </w:tr>
      <w:tr w:rsidR="00D16203" w:rsidRPr="00EF2E18" w14:paraId="50723D29"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D0CECE" w:themeFill="background2" w:themeFillShade="E6"/>
            <w:tcMar>
              <w:top w:w="0" w:type="dxa"/>
              <w:left w:w="0" w:type="dxa"/>
              <w:bottom w:w="0" w:type="dxa"/>
              <w:right w:w="0" w:type="dxa"/>
            </w:tcMar>
            <w:vAlign w:val="center"/>
          </w:tcPr>
          <w:p w14:paraId="69B4998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i/>
                <w:color w:val="000000"/>
                <w:sz w:val="22"/>
                <w:szCs w:val="22"/>
              </w:rPr>
              <w:t>Eligibility</w:t>
            </w:r>
          </w:p>
        </w:tc>
      </w:tr>
      <w:tr w:rsidR="00D16203" w:rsidRPr="00EF2E18" w14:paraId="68DE86CC"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9A1306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Age, years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7CB99F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Participant age in years. We included participants aged 40 to 75 years old.</w:t>
            </w:r>
          </w:p>
        </w:tc>
      </w:tr>
      <w:tr w:rsidR="00D16203" w:rsidRPr="00EF2E18" w14:paraId="6CDA1F32"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BE639CB"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Triglyceride, mg/dL</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A43F9F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We excluded people with triglyceride levels ≥ 400 mg/dL.</w:t>
            </w:r>
          </w:p>
        </w:tc>
      </w:tr>
      <w:tr w:rsidR="00D16203" w:rsidRPr="00EF2E18" w14:paraId="54626214"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6EBBB8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Pregnant</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C85CEF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Pregnancy status. This is defined by either self-report of being pregnant, or a positive lab pregnancy test conducted during the study visit among females. We excluded people who were pregnant during survey.</w:t>
            </w:r>
          </w:p>
        </w:tc>
      </w:tr>
      <w:tr w:rsidR="00D16203" w:rsidRPr="00EF2E18" w14:paraId="4AA4AFDC"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CCCCCC"/>
            <w:tcMar>
              <w:top w:w="0" w:type="dxa"/>
              <w:left w:w="0" w:type="dxa"/>
              <w:bottom w:w="0" w:type="dxa"/>
              <w:right w:w="0" w:type="dxa"/>
            </w:tcMar>
            <w:vAlign w:val="center"/>
          </w:tcPr>
          <w:p w14:paraId="5D596C82"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i/>
                <w:color w:val="000000"/>
                <w:sz w:val="22"/>
                <w:szCs w:val="22"/>
              </w:rPr>
              <w:t>Demographic characteristics</w:t>
            </w:r>
          </w:p>
        </w:tc>
      </w:tr>
      <w:tr w:rsidR="00D16203" w:rsidRPr="00EF2E18" w14:paraId="05411C46"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AFB75B2"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Sex</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BDF014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sex (male, female).</w:t>
            </w:r>
          </w:p>
        </w:tc>
      </w:tr>
      <w:tr w:rsidR="00D16203" w:rsidRPr="00EF2E18" w14:paraId="2FE88264"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DE6593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Race and ethnicity</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8FA2849"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race/ethnicity. Participants were categorized into groups: non-Hispanic White, non-Hispanic Black, non-Hispanic Asian, Hispanic (including Mexican American and other Hispanic) and other (including multi-racial).</w:t>
            </w:r>
          </w:p>
        </w:tc>
      </w:tr>
      <w:tr w:rsidR="00D16203" w:rsidRPr="00EF2E18" w14:paraId="54FE4706"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D0CECE" w:themeFill="background2" w:themeFillShade="E6"/>
            <w:tcMar>
              <w:top w:w="0" w:type="dxa"/>
              <w:left w:w="0" w:type="dxa"/>
              <w:bottom w:w="0" w:type="dxa"/>
              <w:right w:w="0" w:type="dxa"/>
            </w:tcMar>
            <w:vAlign w:val="center"/>
          </w:tcPr>
          <w:p w14:paraId="05DEF23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i/>
                <w:color w:val="000000"/>
                <w:sz w:val="22"/>
                <w:szCs w:val="22"/>
              </w:rPr>
              <w:t>Lab results</w:t>
            </w:r>
          </w:p>
        </w:tc>
      </w:tr>
      <w:tr w:rsidR="00D16203" w:rsidRPr="00EF2E18" w14:paraId="72814B34"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9F7895F"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Total cholesterol, mg/dL</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85DD355"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The total cholesterol in mg/dL.</w:t>
            </w:r>
          </w:p>
        </w:tc>
      </w:tr>
      <w:tr w:rsidR="00D16203" w:rsidRPr="00EF2E18" w14:paraId="5B41546F"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52EF63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LDL-Cholesterol, mg/dL</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5A94ED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LDL- Cholesterol is calculated using Friedewald equation, in mg/dL.</w:t>
            </w:r>
          </w:p>
        </w:tc>
      </w:tr>
      <w:tr w:rsidR="00D16203" w:rsidRPr="00EF2E18" w14:paraId="250859C2"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450FC1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HDL-Cholesterol, mg/dL</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1E4E3E9"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Direct HDL-Cholesterol in mg/dL.</w:t>
            </w:r>
          </w:p>
        </w:tc>
      </w:tr>
      <w:tr w:rsidR="00D16203" w:rsidRPr="00EF2E18" w14:paraId="51D8E90F"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CCCCCC"/>
            <w:tcMar>
              <w:top w:w="0" w:type="dxa"/>
              <w:left w:w="0" w:type="dxa"/>
              <w:bottom w:w="0" w:type="dxa"/>
              <w:right w:w="0" w:type="dxa"/>
            </w:tcMar>
            <w:vAlign w:val="center"/>
          </w:tcPr>
          <w:p w14:paraId="4C682178"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i/>
                <w:color w:val="000000"/>
                <w:sz w:val="22"/>
                <w:szCs w:val="22"/>
              </w:rPr>
              <w:t>Blood pressure</w:t>
            </w:r>
          </w:p>
        </w:tc>
      </w:tr>
      <w:tr w:rsidR="00D16203" w:rsidRPr="00EF2E18" w14:paraId="5D53AD01"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971D6F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cstheme="minorHAnsi"/>
                <w:sz w:val="22"/>
                <w:szCs w:val="22"/>
              </w:rPr>
            </w:pPr>
            <w:r w:rsidRPr="00382BA1">
              <w:rPr>
                <w:rFonts w:eastAsia="Arial" w:cstheme="minorHAnsi"/>
                <w:color w:val="000000"/>
                <w:sz w:val="22"/>
                <w:szCs w:val="22"/>
              </w:rPr>
              <w:t>Systolic blood pressure (SBP), mm Hg</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F4FA40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color w:val="000000"/>
                <w:sz w:val="22"/>
                <w:szCs w:val="22"/>
              </w:rPr>
              <w:t>Mean SBP in mm Hg. In 2017-2020, systolic blood pressure was measured using an oscillometric device. The SBP in 2017-2020 was calibrated to the mercury device by adding 1.5 mm Hg to the mean measured oscillometric value. The mean SBP was determined based on available (up to 3) SBP readings.</w:t>
            </w:r>
          </w:p>
        </w:tc>
      </w:tr>
      <w:tr w:rsidR="00D16203" w:rsidRPr="00EF2E18" w14:paraId="2BAC47AA"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E20D5E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cstheme="minorHAnsi"/>
                <w:sz w:val="22"/>
                <w:szCs w:val="22"/>
              </w:rPr>
            </w:pPr>
            <w:r w:rsidRPr="00382BA1">
              <w:rPr>
                <w:rFonts w:eastAsia="Arial" w:cstheme="minorHAnsi"/>
                <w:color w:val="000000"/>
                <w:sz w:val="22"/>
                <w:szCs w:val="22"/>
              </w:rPr>
              <w:lastRenderedPageBreak/>
              <w:t>Diastolic blood pressure (DBP), mm Hg</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CBAF74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color w:val="000000"/>
                <w:sz w:val="22"/>
                <w:szCs w:val="22"/>
              </w:rPr>
              <w:t>Mean DBP in mm Hg. In 2017-2020, diastolic blood pressure was measured using an oscillometric device. The DBP in 2017-2020 was calibrated to the mercury device by subtracting 1.3 mm Hg from the mean measured oscillometric value. The mean DBP was determined based on available (up to 3) DBP readings.</w:t>
            </w:r>
          </w:p>
        </w:tc>
      </w:tr>
      <w:tr w:rsidR="00D16203" w:rsidRPr="00EF2E18" w14:paraId="19F43D92"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CCCCCC"/>
            <w:tcMar>
              <w:top w:w="0" w:type="dxa"/>
              <w:left w:w="0" w:type="dxa"/>
              <w:bottom w:w="0" w:type="dxa"/>
              <w:right w:w="0" w:type="dxa"/>
            </w:tcMar>
            <w:vAlign w:val="center"/>
          </w:tcPr>
          <w:p w14:paraId="0B46108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i/>
                <w:color w:val="000000"/>
                <w:sz w:val="22"/>
                <w:szCs w:val="22"/>
              </w:rPr>
              <w:t>Comorbidities</w:t>
            </w:r>
          </w:p>
        </w:tc>
      </w:tr>
      <w:tr w:rsidR="00D16203" w:rsidRPr="00EF2E18" w14:paraId="2464AF3D"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9EAC48F"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cstheme="minorHAnsi"/>
                <w:sz w:val="22"/>
                <w:szCs w:val="22"/>
              </w:rPr>
            </w:pPr>
            <w:r w:rsidRPr="00382BA1">
              <w:rPr>
                <w:rFonts w:eastAsia="Arial" w:cstheme="minorHAnsi"/>
                <w:color w:val="000000"/>
                <w:sz w:val="22"/>
                <w:szCs w:val="22"/>
              </w:rPr>
              <w:t>Smoking status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E837678"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color w:val="000000"/>
                <w:sz w:val="22"/>
                <w:szCs w:val="22"/>
              </w:rPr>
              <w:t>Self-reported current cigarette smoking.</w:t>
            </w:r>
          </w:p>
        </w:tc>
      </w:tr>
      <w:tr w:rsidR="00D16203" w:rsidRPr="00EF2E18" w14:paraId="181EE96A"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5A3823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cstheme="minorHAnsi"/>
                <w:sz w:val="22"/>
                <w:szCs w:val="22"/>
              </w:rPr>
            </w:pPr>
            <w:r w:rsidRPr="00382BA1">
              <w:rPr>
                <w:rFonts w:eastAsia="Arial" w:cstheme="minorHAnsi"/>
                <w:color w:val="000000"/>
                <w:sz w:val="22"/>
                <w:szCs w:val="22"/>
              </w:rPr>
              <w:t>Body mass index, kg/m</w:t>
            </w:r>
            <w:r w:rsidRPr="00382BA1">
              <w:rPr>
                <w:rFonts w:eastAsia="Arial" w:cstheme="minorHAnsi"/>
                <w:color w:val="000000"/>
                <w:sz w:val="22"/>
                <w:szCs w:val="22"/>
                <w:vertAlign w:val="superscript"/>
              </w:rPr>
              <w:t>2</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CC8382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color w:val="000000"/>
                <w:sz w:val="22"/>
                <w:szCs w:val="22"/>
              </w:rPr>
              <w:t>Body mass index in kg/m</w:t>
            </w:r>
            <w:r w:rsidRPr="00382BA1">
              <w:rPr>
                <w:rFonts w:eastAsia="Arial" w:cstheme="minorHAnsi"/>
                <w:color w:val="000000"/>
                <w:sz w:val="22"/>
                <w:szCs w:val="22"/>
                <w:vertAlign w:val="superscript"/>
              </w:rPr>
              <w:t>2</w:t>
            </w:r>
            <w:r w:rsidRPr="00382BA1">
              <w:rPr>
                <w:rFonts w:eastAsia="Arial" w:cstheme="minorHAnsi"/>
                <w:color w:val="000000"/>
                <w:sz w:val="22"/>
                <w:szCs w:val="22"/>
              </w:rPr>
              <w:t>, estimated using the height and weight measured during the study examination.</w:t>
            </w:r>
          </w:p>
        </w:tc>
      </w:tr>
      <w:tr w:rsidR="00D16203" w:rsidRPr="00EF2E18" w14:paraId="4B93B596"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4ED58A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Body mass index, category, kg/m</w:t>
            </w:r>
            <w:r w:rsidRPr="00382BA1">
              <w:rPr>
                <w:rFonts w:eastAsia="Arial" w:cstheme="minorHAnsi"/>
                <w:color w:val="000000"/>
                <w:sz w:val="22"/>
                <w:szCs w:val="22"/>
                <w:vertAlign w:val="superscript"/>
              </w:rPr>
              <w:t>2</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06EF40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BMI grouping: &lt;18.5, 18.5-24.9, 25-29.9,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30 kg/m</w:t>
            </w:r>
            <w:r w:rsidRPr="00382BA1">
              <w:rPr>
                <w:rFonts w:eastAsia="Arial" w:cstheme="minorHAnsi"/>
                <w:color w:val="000000"/>
                <w:sz w:val="22"/>
                <w:szCs w:val="22"/>
                <w:vertAlign w:val="superscript"/>
              </w:rPr>
              <w:t>2</w:t>
            </w:r>
            <w:r w:rsidRPr="00382BA1">
              <w:rPr>
                <w:rFonts w:eastAsia="Arial" w:cstheme="minorHAnsi"/>
                <w:color w:val="000000"/>
                <w:sz w:val="22"/>
                <w:szCs w:val="22"/>
              </w:rPr>
              <w:t>.</w:t>
            </w:r>
          </w:p>
        </w:tc>
      </w:tr>
      <w:tr w:rsidR="00D16203" w:rsidRPr="00EF2E18" w14:paraId="6C5CBFBB"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CAA128E"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themeColor="text1"/>
                <w:sz w:val="22"/>
                <w:szCs w:val="22"/>
              </w:rPr>
              <w:t>History of atherosclerotic cardiovascular disease (ASCVD)</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396D456"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coronary heart disease, myocardial infarction, stroke or angina pectoris.</w:t>
            </w:r>
          </w:p>
        </w:tc>
      </w:tr>
      <w:tr w:rsidR="00D16203" w:rsidRPr="00EF2E18" w14:paraId="4FC6C55C"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D3456A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History of myocardial infarction</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BEC3555"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heart attack.</w:t>
            </w:r>
          </w:p>
        </w:tc>
      </w:tr>
      <w:tr w:rsidR="00D16203" w:rsidRPr="00EF2E18" w14:paraId="02367085"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78E3F3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History of coronary heart disease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71B6D2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coronary heart disease.</w:t>
            </w:r>
          </w:p>
        </w:tc>
      </w:tr>
      <w:tr w:rsidR="00D16203" w:rsidRPr="00EF2E18" w14:paraId="6D3FCA5F"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D875682"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History of stroke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C0EC246"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stroke.</w:t>
            </w:r>
          </w:p>
        </w:tc>
      </w:tr>
      <w:tr w:rsidR="00D16203" w:rsidRPr="00EF2E18" w14:paraId="5C622709"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343A1A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History of angina/angina pectoris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49CBF4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angina pectoris.</w:t>
            </w:r>
          </w:p>
        </w:tc>
      </w:tr>
      <w:tr w:rsidR="00D16203" w:rsidRPr="00EF2E18" w14:paraId="37BC2883"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C8058D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Hypertension</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2DDF2E6"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themeColor="text1"/>
                <w:sz w:val="22"/>
                <w:szCs w:val="22"/>
              </w:rPr>
              <w:t xml:space="preserve">SBP ≥ 130 mm Hg or DBP ≥ 80 mm Hg; </w:t>
            </w:r>
            <w:r w:rsidRPr="00382BA1">
              <w:rPr>
                <w:rFonts w:eastAsia="Arial" w:cstheme="minorHAnsi"/>
                <w:color w:val="000000"/>
                <w:sz w:val="22"/>
                <w:szCs w:val="22"/>
              </w:rPr>
              <w:t>self-report of a prior diagnosis of hypertension; or self-reported antihypertensive medication use.</w:t>
            </w:r>
          </w:p>
        </w:tc>
      </w:tr>
      <w:tr w:rsidR="00D16203" w:rsidRPr="00EF2E18" w14:paraId="6C615979"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86B03F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Diabetes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C8383B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Participants have any or more of the following: self-report of a prior diagnosis of diabetes; fasting glucose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126 mg/dL; HbA1c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6.5%; self-reported use of insulin or oral glucose-lowering medications.</w:t>
            </w:r>
          </w:p>
        </w:tc>
      </w:tr>
      <w:tr w:rsidR="00D16203" w:rsidRPr="00EF2E18" w14:paraId="3C859E22"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DB26E2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cstheme="minorHAnsi"/>
                <w:sz w:val="22"/>
                <w:szCs w:val="22"/>
              </w:rPr>
            </w:pPr>
            <w:r w:rsidRPr="00382BA1">
              <w:rPr>
                <w:rFonts w:eastAsia="Arial" w:cstheme="minorHAnsi"/>
                <w:color w:val="000000"/>
                <w:sz w:val="22"/>
                <w:szCs w:val="22"/>
              </w:rPr>
              <w:t>Chronic kidney disease (the US guideline)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1394128"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color w:val="000000"/>
                <w:sz w:val="22"/>
                <w:szCs w:val="22"/>
              </w:rPr>
              <w:t xml:space="preserve">Estimated glomerular filtration rate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15 and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59 ml/min/1.73 m</w:t>
            </w:r>
            <w:r w:rsidRPr="00382BA1">
              <w:rPr>
                <w:rFonts w:eastAsia="Arial" w:cstheme="minorHAnsi"/>
                <w:color w:val="000000"/>
                <w:sz w:val="22"/>
                <w:szCs w:val="22"/>
                <w:vertAlign w:val="superscript"/>
              </w:rPr>
              <w:t>2</w:t>
            </w:r>
            <w:r w:rsidRPr="00382BA1">
              <w:rPr>
                <w:rFonts w:eastAsia="Arial" w:cstheme="minorHAnsi"/>
                <w:color w:val="000000"/>
                <w:sz w:val="22"/>
                <w:szCs w:val="22"/>
              </w:rPr>
              <w:t>. Estimated glomerular filtration rate was calculated using the 2021 serum creatinine-based equation (2009 CKD-EPI creatinine fit without race).</w:t>
            </w:r>
          </w:p>
        </w:tc>
      </w:tr>
      <w:tr w:rsidR="00D16203" w:rsidRPr="00EF2E18" w14:paraId="6A3896CC"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D1048E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Chronic kidney disease (the EU guideline)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4C9BBDB"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Severe CKD is defined as eGFR &lt; 30 ml/min/1.73 m</w:t>
            </w:r>
            <w:r w:rsidRPr="00382BA1">
              <w:rPr>
                <w:rFonts w:eastAsia="Arial" w:cstheme="minorHAnsi"/>
                <w:color w:val="000000"/>
                <w:sz w:val="22"/>
                <w:szCs w:val="22"/>
                <w:vertAlign w:val="superscript"/>
              </w:rPr>
              <w:t>2</w:t>
            </w:r>
            <w:r w:rsidRPr="00382BA1">
              <w:rPr>
                <w:rFonts w:eastAsia="Arial" w:cstheme="minorHAnsi"/>
                <w:color w:val="000000"/>
                <w:sz w:val="22"/>
                <w:szCs w:val="22"/>
              </w:rPr>
              <w:t xml:space="preserve">; Moderate CKD is defined as eGFR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30 and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59 ml/min/1.73 m</w:t>
            </w:r>
            <w:r w:rsidRPr="00382BA1">
              <w:rPr>
                <w:rFonts w:eastAsia="Arial" w:cstheme="minorHAnsi"/>
                <w:color w:val="000000"/>
                <w:sz w:val="22"/>
                <w:szCs w:val="22"/>
                <w:vertAlign w:val="superscript"/>
              </w:rPr>
              <w:t>2</w:t>
            </w:r>
            <w:r w:rsidRPr="00382BA1">
              <w:rPr>
                <w:rFonts w:eastAsia="Arial" w:cstheme="minorHAnsi"/>
                <w:color w:val="000000"/>
                <w:sz w:val="22"/>
                <w:szCs w:val="22"/>
              </w:rPr>
              <w:t>. Estimated glomerular filtration rate was calculated using the 2021 serum creatinine-based equation.</w:t>
            </w:r>
          </w:p>
        </w:tc>
      </w:tr>
      <w:tr w:rsidR="00D16203" w:rsidRPr="00EF2E18" w14:paraId="0DAAE5DD"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7FE12F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themeColor="text1"/>
                <w:sz w:val="22"/>
                <w:szCs w:val="22"/>
              </w:rPr>
              <w:t>Heterozygous familial hypercholesterolemia (FH)</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9293A36"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We used LDL-C ≥ 190 mg/dL </w:t>
            </w:r>
            <w:r w:rsidRPr="00382BA1">
              <w:rPr>
                <w:rFonts w:eastAsia="Arial" w:cstheme="minorHAnsi"/>
                <w:color w:val="000000" w:themeColor="text1"/>
                <w:sz w:val="22"/>
                <w:szCs w:val="22"/>
              </w:rPr>
              <w:t xml:space="preserve">and </w:t>
            </w:r>
            <w:r w:rsidRPr="00382BA1">
              <w:rPr>
                <w:rFonts w:eastAsia="Arial" w:cstheme="minorHAnsi"/>
                <w:color w:val="000000"/>
                <w:sz w:val="22"/>
                <w:szCs w:val="22"/>
              </w:rPr>
              <w:t xml:space="preserve">a family history of premature ASCVD as a proxy measure </w:t>
            </w:r>
          </w:p>
        </w:tc>
      </w:tr>
      <w:tr w:rsidR="00D16203" w:rsidRPr="00EF2E18" w14:paraId="094D41EE"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CCCCCC"/>
            <w:tcMar>
              <w:top w:w="0" w:type="dxa"/>
              <w:left w:w="0" w:type="dxa"/>
              <w:bottom w:w="0" w:type="dxa"/>
              <w:right w:w="0" w:type="dxa"/>
            </w:tcMar>
            <w:vAlign w:val="center"/>
          </w:tcPr>
          <w:p w14:paraId="70410442"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i/>
                <w:color w:val="000000"/>
                <w:sz w:val="22"/>
                <w:szCs w:val="22"/>
              </w:rPr>
              <w:lastRenderedPageBreak/>
              <w:t>Antihypertensive medication</w:t>
            </w:r>
          </w:p>
        </w:tc>
      </w:tr>
      <w:tr w:rsidR="00D16203" w:rsidRPr="00EF2E18" w14:paraId="5081AC35"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3E6F4F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cstheme="minorHAnsi"/>
                <w:sz w:val="22"/>
                <w:szCs w:val="22"/>
              </w:rPr>
            </w:pPr>
            <w:r w:rsidRPr="00382BA1">
              <w:rPr>
                <w:rFonts w:eastAsia="Arial" w:cstheme="minorHAnsi"/>
                <w:color w:val="000000"/>
                <w:sz w:val="22"/>
                <w:szCs w:val="22"/>
              </w:rPr>
              <w:t>Self-reported antihypertensive medication use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E4FA53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color w:val="000000"/>
                <w:sz w:val="22"/>
                <w:szCs w:val="22"/>
              </w:rPr>
              <w:t>Self-reported current use of antihypertensive medication with a prior diagnosis of hypertension.</w:t>
            </w:r>
          </w:p>
        </w:tc>
      </w:tr>
      <w:tr w:rsidR="00D16203" w:rsidRPr="00EF2E18" w14:paraId="4F2A22C4"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CCCCCC"/>
            <w:tcMar>
              <w:top w:w="0" w:type="dxa"/>
              <w:left w:w="0" w:type="dxa"/>
              <w:bottom w:w="0" w:type="dxa"/>
              <w:right w:w="0" w:type="dxa"/>
            </w:tcMar>
            <w:vAlign w:val="center"/>
          </w:tcPr>
          <w:p w14:paraId="19B851E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i/>
                <w:color w:val="000000"/>
                <w:sz w:val="22"/>
                <w:szCs w:val="22"/>
              </w:rPr>
              <w:t>Lipid lowering medication</w:t>
            </w:r>
          </w:p>
        </w:tc>
      </w:tr>
      <w:tr w:rsidR="00D16203" w:rsidRPr="00EF2E18" w14:paraId="2DDA266E"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E84A6F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Statin</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2067C4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RXDDCI1A = 358, RXDDCI1B = 19, RXDDCI1C = 173 (category name: HMG-COA REDUCTASE INHIBITORS (STATINS)) and RXDDCI1C = 317 (category name: ANTIHYPERLIPIDEMIC COMBINATIONS including all drug combinations for this variable: Lovastatin; Niacin, Ezetimibe; Simvastatin, Niacin; Simvastatin, and Simvastatin; Sitagliptin).</w:t>
            </w:r>
          </w:p>
        </w:tc>
      </w:tr>
      <w:tr w:rsidR="00D16203" w:rsidRPr="00EF2E18" w14:paraId="70CFAF4C"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50108C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Ezetimibe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3B98FD5"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RXDDCI1A = 358, RXDDCI1B = 19, RXDDCI1C = 316 (category name: CHOLESTEROL ABSORPTION INHIBITORS) and RXDDCI1C = 317 (category name: ANTIHYPERLIPIDEMIC COMBINATIONS) and only drug combination of Ezetimibe; Simvastatin.</w:t>
            </w:r>
          </w:p>
        </w:tc>
      </w:tr>
      <w:tr w:rsidR="00D16203" w:rsidRPr="00EF2E18" w14:paraId="3FD92C70"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A84FD6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PCSK9</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AFA4FEF"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RXDDCI1A = 358, RXDDCI1B = 19, RXDDCI1C = 484 (category name: PCSK9 INHIBITORS)</w:t>
            </w:r>
          </w:p>
        </w:tc>
      </w:tr>
      <w:tr w:rsidR="00D16203" w:rsidRPr="00EF2E18" w14:paraId="1ADD0AB5"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98A896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Combination use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2C5D730" w14:textId="6C2B2FB5"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Individuals with at least two of the above medications </w:t>
            </w:r>
            <w:r w:rsidRPr="00382BA1">
              <w:rPr>
                <w:rFonts w:eastAsia="Arial" w:cstheme="minorHAnsi"/>
                <w:color w:val="000000" w:themeColor="text1"/>
                <w:sz w:val="22"/>
                <w:szCs w:val="22"/>
              </w:rPr>
              <w:t xml:space="preserve">(not </w:t>
            </w:r>
            <w:r w:rsidR="00652574" w:rsidRPr="00382BA1">
              <w:rPr>
                <w:rFonts w:eastAsia="Arial" w:cstheme="minorHAnsi"/>
                <w:color w:val="000000" w:themeColor="text1"/>
                <w:sz w:val="22"/>
                <w:szCs w:val="22"/>
              </w:rPr>
              <w:t>including</w:t>
            </w:r>
            <w:r w:rsidRPr="00382BA1">
              <w:rPr>
                <w:rFonts w:eastAsia="Arial" w:cstheme="minorHAnsi"/>
                <w:color w:val="000000" w:themeColor="text1"/>
                <w:sz w:val="22"/>
                <w:szCs w:val="22"/>
              </w:rPr>
              <w:t xml:space="preserve"> RXDDCI1C = 173 when participants were on multiple drugs in the same class)</w:t>
            </w:r>
          </w:p>
        </w:tc>
      </w:tr>
      <w:tr w:rsidR="00D16203" w:rsidRPr="00EF2E18" w14:paraId="4538285E"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CF0730F"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Any lipid lowering therapy use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F7ACDD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Individuals with any medication usage including statin, ezetimibe, or PCKS9i as defined above.</w:t>
            </w:r>
          </w:p>
        </w:tc>
      </w:tr>
      <w:tr w:rsidR="00D16203" w:rsidRPr="00EF2E18" w14:paraId="1C765B2B"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CCCCCC"/>
            <w:tcMar>
              <w:top w:w="0" w:type="dxa"/>
              <w:left w:w="0" w:type="dxa"/>
              <w:bottom w:w="0" w:type="dxa"/>
              <w:right w:w="0" w:type="dxa"/>
            </w:tcMar>
            <w:vAlign w:val="center"/>
          </w:tcPr>
          <w:p w14:paraId="167187E0" w14:textId="637F1135"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i/>
                <w:color w:val="000000"/>
                <w:sz w:val="22"/>
                <w:szCs w:val="22"/>
              </w:rPr>
              <w:t>US guideline</w:t>
            </w:r>
            <w:r w:rsidR="00694E49">
              <w:rPr>
                <w:rFonts w:eastAsia="Arial" w:cstheme="minorHAnsi"/>
                <w:i/>
                <w:color w:val="000000"/>
                <w:sz w:val="22"/>
                <w:szCs w:val="22"/>
              </w:rPr>
              <w:t>/pathway</w:t>
            </w:r>
            <w:r w:rsidRPr="00382BA1">
              <w:rPr>
                <w:rFonts w:eastAsia="Arial" w:cstheme="minorHAnsi"/>
                <w:i/>
                <w:color w:val="000000"/>
                <w:sz w:val="22"/>
                <w:szCs w:val="22"/>
              </w:rPr>
              <w:t>-specific definition</w:t>
            </w:r>
          </w:p>
        </w:tc>
      </w:tr>
      <w:tr w:rsidR="00D16203" w:rsidRPr="00EF2E18" w14:paraId="4D90697A"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3943C58"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Primary prevention low risk</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8DBA687" w14:textId="2E0B19AA" w:rsidR="00D16203" w:rsidRPr="00382BA1" w:rsidRDefault="00652574"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bookmarkStart w:id="1" w:name="_Hlk165368655"/>
            <w:r w:rsidRPr="00382BA1">
              <w:rPr>
                <w:rFonts w:eastAsia="Arial" w:cstheme="minorHAnsi"/>
                <w:color w:val="000000"/>
                <w:sz w:val="22"/>
                <w:szCs w:val="22"/>
              </w:rPr>
              <w:t>Calculated</w:t>
            </w:r>
            <w:r w:rsidR="00D16203" w:rsidRPr="00382BA1">
              <w:rPr>
                <w:rFonts w:eastAsia="Arial" w:cstheme="minorHAnsi"/>
                <w:color w:val="000000"/>
                <w:sz w:val="22"/>
                <w:szCs w:val="22"/>
              </w:rPr>
              <w:t xml:space="preserve"> </w:t>
            </w:r>
            <w:bookmarkEnd w:id="1"/>
            <w:r w:rsidR="00D16203" w:rsidRPr="00382BA1">
              <w:rPr>
                <w:rFonts w:eastAsia="Arial" w:cstheme="minorHAnsi"/>
                <w:color w:val="000000"/>
                <w:sz w:val="22"/>
                <w:szCs w:val="22"/>
              </w:rPr>
              <w:t xml:space="preserve">PCE&lt;5% </w:t>
            </w:r>
          </w:p>
        </w:tc>
      </w:tr>
      <w:tr w:rsidR="00D16203" w:rsidRPr="00EF2E18" w14:paraId="61C14BDB"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82B3E65"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Primary prevention borderline risk</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E0570B2" w14:textId="32EB81FD"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Calcu</w:t>
            </w:r>
            <w:r w:rsidR="00652574">
              <w:rPr>
                <w:rFonts w:eastAsia="Arial" w:cstheme="minorHAnsi"/>
                <w:color w:val="000000"/>
                <w:sz w:val="22"/>
                <w:szCs w:val="22"/>
              </w:rPr>
              <w:t>l</w:t>
            </w:r>
            <w:r w:rsidRPr="00382BA1">
              <w:rPr>
                <w:rFonts w:eastAsia="Arial" w:cstheme="minorHAnsi"/>
                <w:color w:val="000000"/>
                <w:sz w:val="22"/>
                <w:szCs w:val="22"/>
              </w:rPr>
              <w:t>ated PCE 5% - &lt;7.5% plus 2 or more risk enhancers</w:t>
            </w:r>
          </w:p>
        </w:tc>
      </w:tr>
      <w:tr w:rsidR="00D16203" w:rsidRPr="00EF2E18" w14:paraId="55D05DE8"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F87FFA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Primary prevention intermediate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F687800" w14:textId="5A16A10C"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Calcu</w:t>
            </w:r>
            <w:r w:rsidR="00652574">
              <w:rPr>
                <w:rFonts w:eastAsia="Arial" w:cstheme="minorHAnsi"/>
                <w:color w:val="000000"/>
                <w:sz w:val="22"/>
                <w:szCs w:val="22"/>
              </w:rPr>
              <w:t>l</w:t>
            </w:r>
            <w:r w:rsidRPr="00382BA1">
              <w:rPr>
                <w:rFonts w:eastAsia="Arial" w:cstheme="minorHAnsi"/>
                <w:color w:val="000000"/>
                <w:sz w:val="22"/>
                <w:szCs w:val="22"/>
              </w:rPr>
              <w:t>ated PCE ≥7.5% - 20% plus 1 or more risk enhancer</w:t>
            </w:r>
          </w:p>
        </w:tc>
      </w:tr>
      <w:tr w:rsidR="00D16203" w:rsidRPr="00EF2E18" w14:paraId="571916DD"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5AF792E"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Primary prevention high risk</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7C8A2C5" w14:textId="34BE39D9"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Calcu</w:t>
            </w:r>
            <w:r w:rsidR="00652574">
              <w:rPr>
                <w:rFonts w:eastAsia="Arial" w:cstheme="minorHAnsi"/>
                <w:color w:val="000000"/>
                <w:sz w:val="22"/>
                <w:szCs w:val="22"/>
              </w:rPr>
              <w:t>l</w:t>
            </w:r>
            <w:r w:rsidRPr="00382BA1">
              <w:rPr>
                <w:rFonts w:eastAsia="Arial" w:cstheme="minorHAnsi"/>
                <w:color w:val="000000"/>
                <w:sz w:val="22"/>
                <w:szCs w:val="22"/>
              </w:rPr>
              <w:t>ated PCE ≥20%</w:t>
            </w:r>
          </w:p>
        </w:tc>
      </w:tr>
      <w:tr w:rsidR="00D16203" w:rsidRPr="00EF2E18" w14:paraId="7ED02D27"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88EF812"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Major ASCVD event</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FCFB7F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Major ASCVD event is defined as having history of MI or history of stroke. Other events listed in the guideline, such as recent acute coronary syndrome and symptomatic peripheral arterial disease, are not assessed in the NHANES.</w:t>
            </w:r>
          </w:p>
        </w:tc>
      </w:tr>
      <w:tr w:rsidR="00D16203" w:rsidRPr="00EF2E18" w14:paraId="3A9DDBF0"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3612F8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High-risk conditions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267FE92"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These include: (1) age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65 years old; (2) Heterozygous familial hypercholesterolemia; (3) Diabetes mellitus; (4) Hypertension; (5) CKD (eGFR 15-59 ml/min/1.73 m</w:t>
            </w:r>
            <w:r w:rsidRPr="00382BA1">
              <w:rPr>
                <w:rFonts w:eastAsia="Arial" w:cstheme="minorHAnsi"/>
                <w:color w:val="000000"/>
                <w:sz w:val="22"/>
                <w:szCs w:val="22"/>
                <w:vertAlign w:val="superscript"/>
              </w:rPr>
              <w:t>2</w:t>
            </w:r>
            <w:r w:rsidRPr="00382BA1">
              <w:rPr>
                <w:rFonts w:eastAsia="Arial" w:cstheme="minorHAnsi"/>
                <w:color w:val="000000"/>
                <w:sz w:val="22"/>
                <w:szCs w:val="22"/>
              </w:rPr>
              <w:t>); (6) current smoking; (7) history of heart failure.</w:t>
            </w:r>
          </w:p>
        </w:tc>
      </w:tr>
      <w:tr w:rsidR="00D16203" w:rsidRPr="00EF2E18" w14:paraId="576F9408"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50B692B"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lastRenderedPageBreak/>
              <w:t>Very high-risk ASCVD</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1CE6E7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The very high-risk ASCVD include a history of multiple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2) major ASCVD events or 1 major ASCVD event and multiple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 xml:space="preserve">2) high-risk conditions. </w:t>
            </w:r>
          </w:p>
        </w:tc>
      </w:tr>
      <w:tr w:rsidR="00D16203" w:rsidRPr="00EF2E18" w14:paraId="7FE6E224"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E8ECC79"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ASCVD risk enhancers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747286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These include: (1) family history of premature ASCVD; (2) chronic kidney disease; (3) metabolic syndrome; (4) premature menopause; (5) Inflammatory disease (especially rheumatoid arthritis, psoriasis, HIV); (6) hs-CRP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 xml:space="preserve">2.0 mg/L; (7) apoB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130 mg/dL. Risk enhancers of persistently elevated LDL-C, persistently elevated triglycerides, Lp(a), ankle-brachial index and ethnicity of South Asian ancestry are either not available in NHANES or not available during the included cycles.</w:t>
            </w:r>
          </w:p>
        </w:tc>
      </w:tr>
      <w:tr w:rsidR="00D16203" w:rsidRPr="00EF2E18" w14:paraId="4C822E20"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77E8BB8"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History of heart failure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CC2E97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heart failure.</w:t>
            </w:r>
          </w:p>
        </w:tc>
      </w:tr>
      <w:tr w:rsidR="00D16203" w:rsidRPr="00EF2E18" w14:paraId="06D0E481"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930638F"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Family history of premature ASCVD</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06827F0"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medical history of a heart attack in a close relative.</w:t>
            </w:r>
          </w:p>
        </w:tc>
      </w:tr>
      <w:tr w:rsidR="00D16203" w:rsidRPr="00EF2E18" w14:paraId="3F524012"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6DAD2D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Metabolic syndrome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3D6B7B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Participants have at least 3 of the following: (1) waist circumference greater than 102 cm in men or 88 cm in women; (2) triglyceride level greater than 150 mg/dL; (3) high-density lipoprotein cholesterol less than 40 mg/dL in men or less than 50 mg/dL in women; (4) </w:t>
            </w:r>
            <w:r w:rsidRPr="00382BA1">
              <w:rPr>
                <w:rFonts w:eastAsia="Arial" w:cstheme="minorHAnsi"/>
                <w:color w:val="000000" w:themeColor="text1"/>
                <w:sz w:val="22"/>
                <w:szCs w:val="22"/>
              </w:rPr>
              <w:t xml:space="preserve">systolic blood pressure at least 130 mm Hg or diastolic blood pressure at least 80 mm Hg or taking hypertension medications; </w:t>
            </w:r>
            <w:r w:rsidRPr="00382BA1">
              <w:rPr>
                <w:rFonts w:eastAsia="Arial" w:cstheme="minorHAnsi"/>
                <w:color w:val="000000"/>
                <w:sz w:val="22"/>
                <w:szCs w:val="22"/>
              </w:rPr>
              <w:t>(5) or fasting plasma glucose level at least 100 mg/dL or taking diabetes medications.</w:t>
            </w:r>
          </w:p>
        </w:tc>
      </w:tr>
      <w:tr w:rsidR="00D16203" w:rsidRPr="00EF2E18" w14:paraId="2F30A46E"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170B78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Premature menopause</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C3E5AD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reason not having regular periods as “Menopause/Change of life”, having final menstruation before the age of 40 years among women aged 45 or over.</w:t>
            </w:r>
          </w:p>
        </w:tc>
      </w:tr>
      <w:tr w:rsidR="00D16203" w:rsidRPr="00EF2E18" w14:paraId="730828DA"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820E93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themeColor="text1"/>
                <w:sz w:val="22"/>
                <w:szCs w:val="22"/>
              </w:rPr>
            </w:pPr>
            <w:r w:rsidRPr="00382BA1">
              <w:rPr>
                <w:rFonts w:eastAsia="Arial" w:cstheme="minorHAnsi"/>
                <w:color w:val="000000" w:themeColor="text1"/>
                <w:sz w:val="22"/>
                <w:szCs w:val="22"/>
              </w:rPr>
              <w:t>Rheumatoid arthritis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19F302E"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rheumatoid arthritis.</w:t>
            </w:r>
          </w:p>
        </w:tc>
      </w:tr>
      <w:tr w:rsidR="00D16203" w:rsidRPr="00EF2E18" w14:paraId="79493CAF"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B1432B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themeColor="text1"/>
                <w:sz w:val="22"/>
                <w:szCs w:val="22"/>
              </w:rPr>
            </w:pPr>
            <w:r w:rsidRPr="00382BA1">
              <w:rPr>
                <w:rFonts w:eastAsia="Arial" w:cstheme="minorHAnsi"/>
                <w:color w:val="000000" w:themeColor="text1"/>
                <w:sz w:val="22"/>
                <w:szCs w:val="22"/>
              </w:rPr>
              <w:t>Psoriasis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0EAC30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Self-reported history of psoriasis, only available during 2013-2014 cycle.</w:t>
            </w:r>
          </w:p>
        </w:tc>
      </w:tr>
      <w:tr w:rsidR="00D16203" w:rsidRPr="00EF2E18" w14:paraId="785B7AAA"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9A9EEB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themeColor="text1"/>
                <w:sz w:val="22"/>
                <w:szCs w:val="22"/>
              </w:rPr>
            </w:pPr>
            <w:r w:rsidRPr="00382BA1">
              <w:rPr>
                <w:rFonts w:eastAsia="Arial" w:cstheme="minorHAnsi"/>
                <w:color w:val="000000" w:themeColor="text1"/>
                <w:sz w:val="22"/>
                <w:szCs w:val="22"/>
              </w:rPr>
              <w:t>HIV</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7371CDF"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themeColor="text1"/>
                <w:sz w:val="22"/>
                <w:szCs w:val="22"/>
                <w:lang w:eastAsia="zh-CN"/>
              </w:rPr>
            </w:pPr>
            <w:r w:rsidRPr="00382BA1">
              <w:rPr>
                <w:rFonts w:eastAsia="Arial" w:cstheme="minorHAnsi"/>
                <w:color w:val="000000" w:themeColor="text1"/>
                <w:sz w:val="22"/>
                <w:szCs w:val="22"/>
              </w:rPr>
              <w:t>Positive HIV antibody testing result during 2013-2014 cycle, or positive HIV-1 antibody blood assay test results during 2015-2016 cycle.  HIV cannot be evaluated in the 2017-March 2020 cycle.</w:t>
            </w:r>
          </w:p>
        </w:tc>
      </w:tr>
      <w:tr w:rsidR="00D16203" w:rsidRPr="00EF2E18" w14:paraId="0BDEAA4B"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87DBBE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Hs-CRP, mg/L</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A9F49C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The high-sensitivity C-reactive protein (hs-CRP) in mg/L. Not available during 2013-2014 cycle.</w:t>
            </w:r>
          </w:p>
        </w:tc>
      </w:tr>
      <w:tr w:rsidR="00D16203" w:rsidRPr="00EF2E18" w14:paraId="13F3594A"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837C5E6"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ApoB, mg/dL</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EB013C6"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The apolipoprotein (B) in mg/dL. Not available during 2017-March 2020 cycle.</w:t>
            </w:r>
          </w:p>
        </w:tc>
      </w:tr>
      <w:tr w:rsidR="00D16203" w:rsidRPr="00EF2E18" w14:paraId="37B9D8FA" w14:textId="77777777" w:rsidTr="0062423A">
        <w:trPr>
          <w:jc w:val="center"/>
        </w:trPr>
        <w:tc>
          <w:tcPr>
            <w:tcW w:w="15120" w:type="dxa"/>
            <w:gridSpan w:val="2"/>
            <w:tcBorders>
              <w:top w:val="single" w:sz="8" w:space="0" w:color="666666"/>
              <w:left w:val="single" w:sz="8" w:space="0" w:color="666666"/>
              <w:bottom w:val="single" w:sz="8" w:space="0" w:color="666666"/>
              <w:right w:val="single" w:sz="8" w:space="0" w:color="666666"/>
            </w:tcBorders>
            <w:shd w:val="clear" w:color="auto" w:fill="CCCCCC"/>
            <w:tcMar>
              <w:top w:w="0" w:type="dxa"/>
              <w:left w:w="0" w:type="dxa"/>
              <w:bottom w:w="0" w:type="dxa"/>
              <w:right w:w="0" w:type="dxa"/>
            </w:tcMar>
            <w:vAlign w:val="center"/>
          </w:tcPr>
          <w:p w14:paraId="79B534D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cstheme="minorHAnsi"/>
                <w:sz w:val="22"/>
                <w:szCs w:val="22"/>
              </w:rPr>
            </w:pPr>
            <w:r w:rsidRPr="00382BA1">
              <w:rPr>
                <w:rFonts w:eastAsia="Arial" w:cstheme="minorHAnsi"/>
                <w:i/>
                <w:color w:val="000000"/>
                <w:sz w:val="22"/>
                <w:szCs w:val="22"/>
              </w:rPr>
              <w:t>EU guideline-specific definition</w:t>
            </w:r>
          </w:p>
        </w:tc>
      </w:tr>
      <w:tr w:rsidR="00D16203" w:rsidRPr="00EF2E18" w14:paraId="72E8C999"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FC5CEC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Very-high-risk</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29B827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Calculated SCORE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 xml:space="preserve">10%; Documented ASCVD, diabetes mellitus with target organ damage (microalbuminuria) or with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 xml:space="preserve">3 risk factors (current smoker, dyslipidemia, hypertension, obesity), early onset </w:t>
            </w:r>
            <w:r w:rsidRPr="00382BA1">
              <w:rPr>
                <w:rFonts w:eastAsia="Arial" w:cstheme="minorHAnsi"/>
                <w:color w:val="000000"/>
                <w:sz w:val="22"/>
                <w:szCs w:val="22"/>
              </w:rPr>
              <w:lastRenderedPageBreak/>
              <w:t>of T1DM (&gt;20 years), severe CKD, FH with ASCVD or another risk factor (current smoker, diabetes mellitus, hypertension, obesity)</w:t>
            </w:r>
          </w:p>
        </w:tc>
      </w:tr>
      <w:tr w:rsidR="00D16203" w:rsidRPr="00EF2E18" w14:paraId="13780389"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78ADF8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High-risk</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5AE1C14"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Calculated SCORE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5% and &lt; 10%; Markedly elevated single factor (TC &gt;8 mmol/L (&gt;310 mg/dL), LDL-C &gt;4.9 mmol/L (&gt;190 mg/dL), or BP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180/110 mmHg), FH without other risk factor or DM without target organ damage(microalbuminuria), DM ≥10 years or with another risk factor, moderate CKD</w:t>
            </w:r>
          </w:p>
        </w:tc>
      </w:tr>
      <w:tr w:rsidR="00D16203" w:rsidRPr="00EF2E18" w14:paraId="2F80D8DF"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E2C5131"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Moderate-risk</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533CE5F"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Calculated SCORE </w:t>
            </w:r>
            <m:oMath>
              <m:r>
                <w:rPr>
                  <w:rFonts w:ascii="Cambria Math" w:eastAsia="Arial" w:hAnsi="Cambria Math" w:cstheme="minorHAnsi"/>
                  <w:color w:val="000000"/>
                  <w:sz w:val="22"/>
                  <w:szCs w:val="22"/>
                </w:rPr>
                <m:t>≥</m:t>
              </m:r>
            </m:oMath>
            <w:r w:rsidRPr="00382BA1">
              <w:rPr>
                <w:rFonts w:eastAsia="Arial" w:cstheme="minorHAnsi"/>
                <w:color w:val="000000"/>
                <w:sz w:val="22"/>
                <w:szCs w:val="22"/>
              </w:rPr>
              <w:t xml:space="preserve"> 1% and &lt; 5%; Young patients (T1DM &lt; 35 years, T2DM &lt; 50 years) with DM duration &lt; 10 years without other risk factors</w:t>
            </w:r>
          </w:p>
        </w:tc>
      </w:tr>
      <w:tr w:rsidR="00D16203" w:rsidRPr="00EF2E18" w14:paraId="2904B4B7"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D0CABF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Low-risk</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A2F05F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Calculated SCORE &lt;1%.</w:t>
            </w:r>
          </w:p>
        </w:tc>
      </w:tr>
      <w:tr w:rsidR="00D16203" w:rsidRPr="00EF2E18" w14:paraId="146E6515"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4959E1B"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Microalbuminuria</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ADF528A"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Microalbuminuria is defined as a urinary albumin-to-creatinine ratio (ACR) of ≥30 mg/G.</w:t>
            </w:r>
          </w:p>
        </w:tc>
      </w:tr>
      <w:tr w:rsidR="00D16203" w:rsidRPr="00EF2E18" w14:paraId="4E2B14F3"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A288E4C"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Dyslipidemia</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0E7F83D"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Dyslipidemia is defined as any one or more of the following: total cholesterol ≥240mg/dL (≥6.2mmol/L) or self-reported history of having high cholesterol; LDL-C ≥160mg/dL (≥4.1mmol/L); HDL-C &lt;40mg/dL (&lt;1.0mmol/L); triglyceride &gt;200mg/dL (&gt;2.3mmol/L).</w:t>
            </w:r>
          </w:p>
        </w:tc>
      </w:tr>
      <w:tr w:rsidR="00D16203" w:rsidRPr="00EF2E18" w14:paraId="7A0846C2"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5CF917B"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Type I diabetes</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70D0867"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We defined anyone with diabetes diagnosed before the age of 30 years who was taking only insulin therapy as having type I diabetes mellitus.</w:t>
            </w:r>
          </w:p>
        </w:tc>
      </w:tr>
      <w:tr w:rsidR="00D16203" w:rsidRPr="00EF2E18" w14:paraId="02C88BF5" w14:textId="77777777" w:rsidTr="0062423A">
        <w:trPr>
          <w:jc w:val="center"/>
        </w:trPr>
        <w:tc>
          <w:tcPr>
            <w:tcW w:w="504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A8F7D89"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200" w:right="100"/>
              <w:rPr>
                <w:rFonts w:eastAsia="Arial" w:cstheme="minorHAnsi"/>
                <w:color w:val="000000"/>
                <w:sz w:val="22"/>
                <w:szCs w:val="22"/>
              </w:rPr>
            </w:pPr>
            <w:r w:rsidRPr="00382BA1">
              <w:rPr>
                <w:rFonts w:eastAsia="Arial" w:cstheme="minorHAnsi"/>
                <w:color w:val="000000"/>
                <w:sz w:val="22"/>
                <w:szCs w:val="22"/>
              </w:rPr>
              <w:t>Obesity</w:t>
            </w:r>
          </w:p>
        </w:tc>
        <w:tc>
          <w:tcPr>
            <w:tcW w:w="1008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DCFAA63" w14:textId="77777777" w:rsidR="00D16203" w:rsidRPr="00382BA1" w:rsidRDefault="00D16203" w:rsidP="0062423A">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sz w:val="22"/>
                <w:szCs w:val="22"/>
              </w:rPr>
            </w:pPr>
            <w:r w:rsidRPr="00382BA1">
              <w:rPr>
                <w:rFonts w:eastAsia="Arial" w:cstheme="minorHAnsi"/>
                <w:color w:val="000000"/>
                <w:sz w:val="22"/>
                <w:szCs w:val="22"/>
              </w:rPr>
              <w:t xml:space="preserve">This is defined as BMI </w:t>
            </w:r>
            <m:oMath>
              <m:r>
                <w:rPr>
                  <w:rFonts w:ascii="Cambria Math" w:eastAsia="Arial" w:hAnsi="Cambria Math" w:cstheme="minorHAnsi"/>
                  <w:color w:val="000000"/>
                  <w:sz w:val="22"/>
                  <w:szCs w:val="22"/>
                </w:rPr>
                <m:t xml:space="preserve">≥ </m:t>
              </m:r>
            </m:oMath>
            <w:r w:rsidRPr="00382BA1">
              <w:rPr>
                <w:rFonts w:eastAsia="Arial" w:cstheme="minorHAnsi"/>
                <w:color w:val="000000"/>
                <w:sz w:val="22"/>
                <w:szCs w:val="22"/>
              </w:rPr>
              <w:t>30 kg/m</w:t>
            </w:r>
            <w:r w:rsidRPr="00382BA1">
              <w:rPr>
                <w:rFonts w:eastAsia="Arial" w:cstheme="minorHAnsi"/>
                <w:color w:val="000000"/>
                <w:sz w:val="22"/>
                <w:szCs w:val="22"/>
                <w:vertAlign w:val="superscript"/>
              </w:rPr>
              <w:t>2</w:t>
            </w:r>
            <w:r w:rsidRPr="00382BA1">
              <w:rPr>
                <w:rFonts w:eastAsia="Arial" w:cstheme="minorHAnsi"/>
                <w:color w:val="000000"/>
                <w:sz w:val="22"/>
                <w:szCs w:val="22"/>
              </w:rPr>
              <w:t>.</w:t>
            </w:r>
          </w:p>
        </w:tc>
      </w:tr>
    </w:tbl>
    <w:p w14:paraId="43E12566" w14:textId="77777777" w:rsidR="008350BA" w:rsidRDefault="008350BA" w:rsidP="008350BA">
      <w:pPr>
        <w:rPr>
          <w:rFonts w:cstheme="minorHAnsi"/>
          <w:b/>
          <w:bCs/>
        </w:rPr>
      </w:pPr>
    </w:p>
    <w:p w14:paraId="41EEF9D4" w14:textId="77777777" w:rsidR="008350BA" w:rsidRDefault="008350BA">
      <w:pPr>
        <w:rPr>
          <w:rFonts w:cstheme="minorHAnsi"/>
          <w:b/>
          <w:bCs/>
        </w:rPr>
      </w:pPr>
      <w:r>
        <w:rPr>
          <w:rFonts w:cstheme="minorHAnsi"/>
          <w:b/>
          <w:bCs/>
        </w:rPr>
        <w:br w:type="page"/>
      </w:r>
    </w:p>
    <w:p w14:paraId="0748113A" w14:textId="1164E038" w:rsidR="008350BA" w:rsidRPr="003975B0" w:rsidRDefault="008350BA" w:rsidP="008350BA">
      <w:pPr>
        <w:rPr>
          <w:rFonts w:cstheme="minorHAnsi"/>
        </w:rPr>
      </w:pPr>
      <w:r w:rsidRPr="003975B0">
        <w:rPr>
          <w:rFonts w:cstheme="minorHAnsi"/>
          <w:b/>
          <w:bCs/>
        </w:rPr>
        <w:lastRenderedPageBreak/>
        <w:t xml:space="preserve">eTable </w:t>
      </w:r>
      <w:r>
        <w:rPr>
          <w:rFonts w:cstheme="minorHAnsi"/>
          <w:b/>
          <w:bCs/>
        </w:rPr>
        <w:t>3</w:t>
      </w:r>
      <w:r w:rsidRPr="003975B0">
        <w:rPr>
          <w:rFonts w:cstheme="minorHAnsi"/>
          <w:b/>
          <w:bCs/>
        </w:rPr>
        <w:t xml:space="preserve">.  </w:t>
      </w:r>
      <w:r w:rsidRPr="003F4AEA">
        <w:rPr>
          <w:rFonts w:cstheme="minorHAnsi"/>
        </w:rPr>
        <w:t>Key scientific assumptions undertaken to simulate expected reductions in LDL-C and cardiovascular events among US adults</w:t>
      </w:r>
      <w:r>
        <w:rPr>
          <w:rFonts w:cstheme="minorHAnsi"/>
        </w:rPr>
        <w:t xml:space="preserve"> </w:t>
      </w:r>
      <w:r w:rsidRPr="003F4AEA">
        <w:rPr>
          <w:rFonts w:cstheme="minorHAnsi"/>
        </w:rPr>
        <w:t>under ideal application of current treatment recommendations</w:t>
      </w:r>
      <w:r w:rsidRPr="003975B0">
        <w:rPr>
          <w:rFonts w:cstheme="minorHAnsi"/>
        </w:rPr>
        <w:t>.</w:t>
      </w:r>
    </w:p>
    <w:p w14:paraId="72C996F1" w14:textId="77777777" w:rsidR="008350BA" w:rsidRPr="003975B0" w:rsidRDefault="008350BA" w:rsidP="008350BA">
      <w:pPr>
        <w:rPr>
          <w:rFonts w:cstheme="minorHAnsi"/>
          <w:b/>
          <w:bCs/>
        </w:rPr>
      </w:pPr>
    </w:p>
    <w:tbl>
      <w:tblPr>
        <w:tblStyle w:val="TableGrid"/>
        <w:tblW w:w="14601" w:type="dxa"/>
        <w:tblInd w:w="-856" w:type="dxa"/>
        <w:tblLook w:val="04A0" w:firstRow="1" w:lastRow="0" w:firstColumn="1" w:lastColumn="0" w:noHBand="0" w:noVBand="1"/>
      </w:tblPr>
      <w:tblGrid>
        <w:gridCol w:w="3545"/>
        <w:gridCol w:w="1984"/>
        <w:gridCol w:w="2835"/>
        <w:gridCol w:w="6237"/>
      </w:tblGrid>
      <w:tr w:rsidR="008350BA" w:rsidRPr="003F4AEA" w14:paraId="22E3325E" w14:textId="77777777" w:rsidTr="0062423A">
        <w:trPr>
          <w:trHeight w:val="365"/>
        </w:trPr>
        <w:tc>
          <w:tcPr>
            <w:tcW w:w="3545" w:type="dxa"/>
          </w:tcPr>
          <w:p w14:paraId="3AB08737" w14:textId="77777777" w:rsidR="008350BA" w:rsidRPr="003F4AEA" w:rsidRDefault="008350BA" w:rsidP="0062423A">
            <w:pPr>
              <w:rPr>
                <w:rFonts w:cstheme="minorHAnsi"/>
                <w:b/>
                <w:bCs/>
                <w:sz w:val="20"/>
                <w:szCs w:val="20"/>
              </w:rPr>
            </w:pPr>
            <w:r w:rsidRPr="003F4AEA">
              <w:rPr>
                <w:rFonts w:cstheme="minorHAnsi"/>
                <w:b/>
                <w:bCs/>
                <w:sz w:val="20"/>
                <w:szCs w:val="20"/>
              </w:rPr>
              <w:t>Question</w:t>
            </w:r>
          </w:p>
        </w:tc>
        <w:tc>
          <w:tcPr>
            <w:tcW w:w="1984" w:type="dxa"/>
          </w:tcPr>
          <w:p w14:paraId="21401449" w14:textId="56F1E94C" w:rsidR="008350BA" w:rsidRPr="003F4AEA" w:rsidRDefault="008350BA" w:rsidP="0062423A">
            <w:pPr>
              <w:jc w:val="center"/>
              <w:rPr>
                <w:rFonts w:cstheme="minorHAnsi"/>
                <w:b/>
                <w:bCs/>
                <w:sz w:val="20"/>
                <w:szCs w:val="20"/>
              </w:rPr>
            </w:pPr>
            <w:r w:rsidRPr="003F4AEA">
              <w:rPr>
                <w:rFonts w:cstheme="minorHAnsi"/>
                <w:b/>
                <w:bCs/>
                <w:sz w:val="20"/>
                <w:szCs w:val="20"/>
              </w:rPr>
              <w:t>Relevant guideline or pathway</w:t>
            </w:r>
          </w:p>
        </w:tc>
        <w:tc>
          <w:tcPr>
            <w:tcW w:w="2835" w:type="dxa"/>
          </w:tcPr>
          <w:p w14:paraId="3256FD0D" w14:textId="16A63882" w:rsidR="008350BA" w:rsidRPr="003F4AEA" w:rsidRDefault="008350BA" w:rsidP="0062423A">
            <w:pPr>
              <w:rPr>
                <w:rFonts w:cstheme="minorHAnsi"/>
                <w:b/>
                <w:bCs/>
                <w:sz w:val="20"/>
                <w:szCs w:val="20"/>
              </w:rPr>
            </w:pPr>
            <w:r w:rsidRPr="003F4AEA">
              <w:rPr>
                <w:rFonts w:cstheme="minorHAnsi"/>
                <w:b/>
                <w:bCs/>
                <w:sz w:val="20"/>
                <w:szCs w:val="20"/>
              </w:rPr>
              <w:t xml:space="preserve">Reason </w:t>
            </w:r>
            <w:r w:rsidR="00694E49">
              <w:rPr>
                <w:rFonts w:cstheme="minorHAnsi"/>
                <w:b/>
                <w:bCs/>
                <w:sz w:val="20"/>
                <w:szCs w:val="20"/>
              </w:rPr>
              <w:t>assumption is needed</w:t>
            </w:r>
          </w:p>
        </w:tc>
        <w:tc>
          <w:tcPr>
            <w:tcW w:w="6237" w:type="dxa"/>
          </w:tcPr>
          <w:p w14:paraId="4E36AEF8" w14:textId="04DCB530" w:rsidR="008350BA" w:rsidRPr="003F4AEA" w:rsidRDefault="008350BA" w:rsidP="0062423A">
            <w:pPr>
              <w:rPr>
                <w:rFonts w:cstheme="minorHAnsi"/>
                <w:b/>
                <w:bCs/>
                <w:sz w:val="20"/>
                <w:szCs w:val="20"/>
              </w:rPr>
            </w:pPr>
            <w:r w:rsidRPr="003F4AEA">
              <w:rPr>
                <w:rFonts w:cstheme="minorHAnsi"/>
                <w:b/>
                <w:bCs/>
                <w:sz w:val="20"/>
                <w:szCs w:val="20"/>
              </w:rPr>
              <w:t xml:space="preserve">Scientific </w:t>
            </w:r>
            <w:r w:rsidR="00694E49">
              <w:rPr>
                <w:rFonts w:cstheme="minorHAnsi"/>
                <w:b/>
                <w:bCs/>
                <w:sz w:val="20"/>
                <w:szCs w:val="20"/>
              </w:rPr>
              <w:t>a</w:t>
            </w:r>
            <w:r w:rsidRPr="003F4AEA">
              <w:rPr>
                <w:rFonts w:cstheme="minorHAnsi"/>
                <w:b/>
                <w:bCs/>
                <w:sz w:val="20"/>
                <w:szCs w:val="20"/>
              </w:rPr>
              <w:t>ssumption</w:t>
            </w:r>
          </w:p>
        </w:tc>
      </w:tr>
      <w:tr w:rsidR="008350BA" w:rsidRPr="003F4AEA" w14:paraId="091581EF" w14:textId="77777777" w:rsidTr="0062423A">
        <w:trPr>
          <w:trHeight w:val="533"/>
        </w:trPr>
        <w:tc>
          <w:tcPr>
            <w:tcW w:w="3545" w:type="dxa"/>
          </w:tcPr>
          <w:p w14:paraId="01100490" w14:textId="77777777" w:rsidR="008350BA" w:rsidRPr="003F4AEA" w:rsidRDefault="008350BA" w:rsidP="0062423A">
            <w:pPr>
              <w:spacing w:before="120" w:after="120"/>
              <w:rPr>
                <w:rFonts w:cstheme="minorHAnsi"/>
                <w:sz w:val="22"/>
                <w:szCs w:val="22"/>
              </w:rPr>
            </w:pPr>
            <w:r w:rsidRPr="003F4AEA">
              <w:rPr>
                <w:rFonts w:cstheme="minorHAnsi"/>
                <w:sz w:val="22"/>
                <w:szCs w:val="22"/>
              </w:rPr>
              <w:t>What proportion of individuals are on maximally tolerated statin dose?</w:t>
            </w:r>
          </w:p>
        </w:tc>
        <w:tc>
          <w:tcPr>
            <w:tcW w:w="1984" w:type="dxa"/>
          </w:tcPr>
          <w:p w14:paraId="5E8BB591" w14:textId="77777777" w:rsidR="008350BA" w:rsidRPr="003F4AEA" w:rsidRDefault="008350BA" w:rsidP="0062423A">
            <w:pPr>
              <w:spacing w:before="120" w:after="120"/>
              <w:jc w:val="center"/>
              <w:rPr>
                <w:rFonts w:cstheme="minorHAnsi"/>
                <w:sz w:val="22"/>
                <w:szCs w:val="22"/>
              </w:rPr>
            </w:pPr>
            <w:r w:rsidRPr="003F4AEA">
              <w:rPr>
                <w:rFonts w:cstheme="minorHAnsi"/>
                <w:sz w:val="22"/>
                <w:szCs w:val="22"/>
              </w:rPr>
              <w:t>2018 US, 2019 EU, 2022 US</w:t>
            </w:r>
          </w:p>
        </w:tc>
        <w:tc>
          <w:tcPr>
            <w:tcW w:w="2835" w:type="dxa"/>
          </w:tcPr>
          <w:p w14:paraId="30C170CB" w14:textId="77777777" w:rsidR="008350BA" w:rsidRPr="003F4AEA" w:rsidRDefault="008350BA" w:rsidP="0062423A">
            <w:pPr>
              <w:spacing w:before="120" w:after="120"/>
              <w:rPr>
                <w:rFonts w:cstheme="minorHAnsi"/>
                <w:sz w:val="22"/>
                <w:szCs w:val="22"/>
              </w:rPr>
            </w:pPr>
            <w:r w:rsidRPr="003F4AEA">
              <w:rPr>
                <w:rFonts w:cstheme="minorHAnsi"/>
                <w:sz w:val="22"/>
                <w:szCs w:val="22"/>
              </w:rPr>
              <w:t>NHANES lacks information on statin dose</w:t>
            </w:r>
          </w:p>
        </w:tc>
        <w:tc>
          <w:tcPr>
            <w:tcW w:w="6237" w:type="dxa"/>
          </w:tcPr>
          <w:p w14:paraId="0810D705" w14:textId="5629B0CC" w:rsidR="008350BA" w:rsidRPr="003F4AEA" w:rsidRDefault="008350BA" w:rsidP="0062423A">
            <w:pPr>
              <w:spacing w:before="120" w:after="120"/>
              <w:rPr>
                <w:rFonts w:cstheme="minorHAnsi"/>
                <w:sz w:val="22"/>
                <w:szCs w:val="22"/>
              </w:rPr>
            </w:pPr>
            <w:r w:rsidRPr="003F4AEA">
              <w:rPr>
                <w:rFonts w:cstheme="minorHAnsi"/>
                <w:sz w:val="22"/>
                <w:szCs w:val="22"/>
              </w:rPr>
              <w:t>Estimate random 20% of statin users at maximum dose, remainder should have dose escalated to guideline recommended statin prior to consideration of non-statin therapy</w:t>
            </w:r>
            <w:r w:rsidR="00FB2E0D" w:rsidRPr="00FB2E0D">
              <w:rPr>
                <w:rStyle w:val="EndnoteReference"/>
                <w:rFonts w:cstheme="minorHAnsi"/>
                <w:sz w:val="22"/>
                <w:szCs w:val="22"/>
              </w:rPr>
              <w:endnoteReference w:id="7"/>
            </w:r>
            <w:r w:rsidR="00FB2E0D" w:rsidRPr="001543D5">
              <w:rPr>
                <w:rFonts w:cstheme="minorHAnsi"/>
                <w:sz w:val="22"/>
                <w:szCs w:val="22"/>
                <w:vertAlign w:val="superscript"/>
              </w:rPr>
              <w:t>,</w:t>
            </w:r>
            <w:r w:rsidR="00491BE9">
              <w:rPr>
                <w:rStyle w:val="EndnoteReference"/>
                <w:rFonts w:cstheme="minorHAnsi"/>
                <w:sz w:val="22"/>
                <w:szCs w:val="22"/>
              </w:rPr>
              <w:endnoteReference w:id="8"/>
            </w:r>
          </w:p>
        </w:tc>
      </w:tr>
      <w:tr w:rsidR="008350BA" w:rsidRPr="003F4AEA" w14:paraId="32E384BF" w14:textId="77777777" w:rsidTr="0062423A">
        <w:trPr>
          <w:trHeight w:val="413"/>
        </w:trPr>
        <w:tc>
          <w:tcPr>
            <w:tcW w:w="3545" w:type="dxa"/>
          </w:tcPr>
          <w:p w14:paraId="19265A42" w14:textId="77777777" w:rsidR="008350BA" w:rsidRPr="003F4AEA" w:rsidRDefault="008350BA" w:rsidP="0062423A">
            <w:pPr>
              <w:spacing w:before="120" w:after="120"/>
              <w:rPr>
                <w:rFonts w:cstheme="minorHAnsi"/>
                <w:sz w:val="22"/>
                <w:szCs w:val="22"/>
              </w:rPr>
            </w:pPr>
            <w:r w:rsidRPr="003F4AEA">
              <w:rPr>
                <w:rFonts w:cstheme="minorHAnsi"/>
                <w:sz w:val="22"/>
                <w:szCs w:val="22"/>
              </w:rPr>
              <w:t>What is the expected effect of statin initiation on LDL-C?</w:t>
            </w:r>
          </w:p>
        </w:tc>
        <w:tc>
          <w:tcPr>
            <w:tcW w:w="1984" w:type="dxa"/>
          </w:tcPr>
          <w:p w14:paraId="6F6164CC" w14:textId="77777777" w:rsidR="008350BA" w:rsidRPr="003F4AEA" w:rsidRDefault="008350BA" w:rsidP="0062423A">
            <w:pPr>
              <w:spacing w:before="120" w:after="120"/>
              <w:jc w:val="center"/>
              <w:rPr>
                <w:rFonts w:cstheme="minorHAnsi"/>
                <w:sz w:val="22"/>
                <w:szCs w:val="22"/>
              </w:rPr>
            </w:pPr>
            <w:r w:rsidRPr="003F4AEA">
              <w:rPr>
                <w:rFonts w:cstheme="minorHAnsi"/>
                <w:sz w:val="22"/>
                <w:szCs w:val="22"/>
              </w:rPr>
              <w:t>2018 US, 2019 EU, 2022 US</w:t>
            </w:r>
          </w:p>
        </w:tc>
        <w:tc>
          <w:tcPr>
            <w:tcW w:w="2835" w:type="dxa"/>
          </w:tcPr>
          <w:p w14:paraId="0664E99D" w14:textId="77777777" w:rsidR="008350BA" w:rsidRPr="003F4AEA" w:rsidRDefault="008350BA" w:rsidP="0062423A">
            <w:pPr>
              <w:spacing w:before="120" w:after="120"/>
              <w:rPr>
                <w:rFonts w:cstheme="minorHAnsi"/>
                <w:sz w:val="22"/>
                <w:szCs w:val="22"/>
              </w:rPr>
            </w:pPr>
            <w:r w:rsidRPr="003F4AEA">
              <w:rPr>
                <w:rFonts w:cstheme="minorHAnsi"/>
                <w:sz w:val="22"/>
                <w:szCs w:val="22"/>
              </w:rPr>
              <w:t>To model LDL reduction expected with statin treatment</w:t>
            </w:r>
          </w:p>
        </w:tc>
        <w:tc>
          <w:tcPr>
            <w:tcW w:w="6237" w:type="dxa"/>
          </w:tcPr>
          <w:p w14:paraId="6862D71E" w14:textId="23C40F88" w:rsidR="008350BA" w:rsidRPr="003F4AEA" w:rsidRDefault="008350BA" w:rsidP="0062423A">
            <w:pPr>
              <w:spacing w:before="120" w:after="120"/>
              <w:rPr>
                <w:rFonts w:cstheme="minorHAnsi"/>
                <w:sz w:val="22"/>
                <w:szCs w:val="22"/>
              </w:rPr>
            </w:pPr>
            <w:r w:rsidRPr="003F4AEA">
              <w:rPr>
                <w:rFonts w:cstheme="minorHAnsi"/>
                <w:sz w:val="22"/>
                <w:szCs w:val="22"/>
              </w:rPr>
              <w:t>Estimate LDL-C lowering as 30% with low intensity</w:t>
            </w:r>
            <w:r w:rsidR="003F1C45">
              <w:rPr>
                <w:rFonts w:cstheme="minorHAnsi"/>
                <w:sz w:val="22"/>
                <w:szCs w:val="22"/>
              </w:rPr>
              <w:t xml:space="preserve"> statins</w:t>
            </w:r>
            <w:r w:rsidRPr="003F4AEA">
              <w:rPr>
                <w:rFonts w:cstheme="minorHAnsi"/>
                <w:sz w:val="22"/>
                <w:szCs w:val="22"/>
              </w:rPr>
              <w:t>, 40% with moderate intensity</w:t>
            </w:r>
            <w:r w:rsidR="003F1C45">
              <w:rPr>
                <w:rFonts w:cstheme="minorHAnsi"/>
                <w:sz w:val="22"/>
                <w:szCs w:val="22"/>
              </w:rPr>
              <w:t xml:space="preserve"> statins</w:t>
            </w:r>
            <w:r w:rsidRPr="003F4AEA">
              <w:rPr>
                <w:rFonts w:cstheme="minorHAnsi"/>
                <w:sz w:val="22"/>
                <w:szCs w:val="22"/>
              </w:rPr>
              <w:t>, and 50% with high intensity</w:t>
            </w:r>
            <w:r w:rsidR="003F1C45">
              <w:rPr>
                <w:rFonts w:cstheme="minorHAnsi"/>
                <w:sz w:val="22"/>
                <w:szCs w:val="22"/>
              </w:rPr>
              <w:t xml:space="preserve"> statins</w:t>
            </w:r>
            <w:r w:rsidR="00FB2E0D" w:rsidRPr="00FB2E0D">
              <w:rPr>
                <w:rStyle w:val="EndnoteReference"/>
                <w:rFonts w:cstheme="minorHAnsi"/>
                <w:sz w:val="22"/>
                <w:szCs w:val="22"/>
              </w:rPr>
              <w:endnoteReference w:id="9"/>
            </w:r>
            <w:r w:rsidR="00FB2E0D" w:rsidRPr="001543D5">
              <w:rPr>
                <w:rFonts w:cstheme="minorHAnsi"/>
                <w:sz w:val="22"/>
                <w:szCs w:val="22"/>
                <w:vertAlign w:val="superscript"/>
              </w:rPr>
              <w:t>,</w:t>
            </w:r>
            <w:r w:rsidR="00FB2E0D" w:rsidRPr="00FB2E0D">
              <w:rPr>
                <w:rStyle w:val="EndnoteReference"/>
                <w:rFonts w:cstheme="minorHAnsi"/>
                <w:sz w:val="22"/>
                <w:szCs w:val="22"/>
              </w:rPr>
              <w:endnoteReference w:id="10"/>
            </w:r>
            <w:r w:rsidR="009A2D97" w:rsidRPr="001543D5">
              <w:rPr>
                <w:rFonts w:cstheme="minorHAnsi"/>
                <w:sz w:val="22"/>
                <w:szCs w:val="22"/>
                <w:vertAlign w:val="superscript"/>
              </w:rPr>
              <w:t xml:space="preserve"> </w:t>
            </w:r>
          </w:p>
        </w:tc>
      </w:tr>
      <w:tr w:rsidR="008350BA" w:rsidRPr="003F4AEA" w14:paraId="5D103ABD" w14:textId="77777777" w:rsidTr="0062423A">
        <w:trPr>
          <w:trHeight w:val="224"/>
        </w:trPr>
        <w:tc>
          <w:tcPr>
            <w:tcW w:w="3545" w:type="dxa"/>
          </w:tcPr>
          <w:p w14:paraId="5D686DF9" w14:textId="77777777" w:rsidR="008350BA" w:rsidRPr="003F4AEA" w:rsidRDefault="008350BA" w:rsidP="0062423A">
            <w:pPr>
              <w:spacing w:before="120" w:after="120"/>
              <w:rPr>
                <w:rFonts w:cstheme="minorHAnsi"/>
                <w:sz w:val="22"/>
                <w:szCs w:val="22"/>
              </w:rPr>
            </w:pPr>
            <w:r w:rsidRPr="003F4AEA">
              <w:rPr>
                <w:rFonts w:cstheme="minorHAnsi"/>
                <w:sz w:val="22"/>
                <w:szCs w:val="22"/>
              </w:rPr>
              <w:t>What is the expected effect of ezetimibe initiation on LDL-C?</w:t>
            </w:r>
          </w:p>
        </w:tc>
        <w:tc>
          <w:tcPr>
            <w:tcW w:w="1984" w:type="dxa"/>
          </w:tcPr>
          <w:p w14:paraId="0A4FDA74" w14:textId="77777777" w:rsidR="008350BA" w:rsidRPr="003F4AEA" w:rsidRDefault="008350BA" w:rsidP="0062423A">
            <w:pPr>
              <w:spacing w:before="120" w:after="120"/>
              <w:jc w:val="center"/>
              <w:rPr>
                <w:rFonts w:cstheme="minorHAnsi"/>
                <w:sz w:val="22"/>
                <w:szCs w:val="22"/>
              </w:rPr>
            </w:pPr>
            <w:r w:rsidRPr="003F4AEA">
              <w:rPr>
                <w:rFonts w:cstheme="minorHAnsi"/>
                <w:sz w:val="22"/>
                <w:szCs w:val="22"/>
              </w:rPr>
              <w:t>2018 US, 2019 EU, 2022 US</w:t>
            </w:r>
          </w:p>
        </w:tc>
        <w:tc>
          <w:tcPr>
            <w:tcW w:w="2835" w:type="dxa"/>
          </w:tcPr>
          <w:p w14:paraId="347C4452" w14:textId="77777777" w:rsidR="008350BA" w:rsidRPr="003F4AEA" w:rsidRDefault="008350BA" w:rsidP="0062423A">
            <w:pPr>
              <w:spacing w:before="120" w:after="120"/>
              <w:rPr>
                <w:rFonts w:cstheme="minorHAnsi"/>
                <w:sz w:val="22"/>
                <w:szCs w:val="22"/>
              </w:rPr>
            </w:pPr>
            <w:r w:rsidRPr="003F4AEA">
              <w:rPr>
                <w:rFonts w:cstheme="minorHAnsi"/>
                <w:sz w:val="22"/>
                <w:szCs w:val="22"/>
              </w:rPr>
              <w:t>To model LDL reduction expected with ezetimibe treatment</w:t>
            </w:r>
          </w:p>
        </w:tc>
        <w:tc>
          <w:tcPr>
            <w:tcW w:w="6237" w:type="dxa"/>
          </w:tcPr>
          <w:p w14:paraId="1E55CFC3" w14:textId="17688B96" w:rsidR="008350BA" w:rsidRPr="003F4AEA" w:rsidRDefault="008350BA" w:rsidP="0062423A">
            <w:pPr>
              <w:spacing w:before="120" w:after="120"/>
              <w:rPr>
                <w:rFonts w:cstheme="minorHAnsi"/>
                <w:sz w:val="22"/>
                <w:szCs w:val="22"/>
              </w:rPr>
            </w:pPr>
            <w:r w:rsidRPr="003F4AEA">
              <w:rPr>
                <w:rFonts w:cstheme="minorHAnsi"/>
                <w:sz w:val="22"/>
                <w:szCs w:val="22"/>
              </w:rPr>
              <w:t>Estimate LDL-C lowering as additional 20% when added to highest statin</w:t>
            </w:r>
            <w:r w:rsidR="00FB2E0D" w:rsidRPr="00FB2E0D">
              <w:rPr>
                <w:rStyle w:val="EndnoteReference"/>
                <w:rFonts w:cstheme="minorHAnsi"/>
                <w:sz w:val="22"/>
                <w:szCs w:val="22"/>
              </w:rPr>
              <w:endnoteReference w:id="11"/>
            </w:r>
            <w:r w:rsidR="00FB2E0D" w:rsidRPr="001543D5">
              <w:rPr>
                <w:rFonts w:cstheme="minorHAnsi"/>
                <w:sz w:val="22"/>
                <w:szCs w:val="22"/>
                <w:vertAlign w:val="superscript"/>
              </w:rPr>
              <w:t>,</w:t>
            </w:r>
            <w:r w:rsidR="00FB2E0D" w:rsidRPr="00FB2E0D">
              <w:rPr>
                <w:rStyle w:val="EndnoteReference"/>
                <w:rFonts w:cstheme="minorHAnsi"/>
                <w:sz w:val="22"/>
                <w:szCs w:val="22"/>
              </w:rPr>
              <w:endnoteReference w:id="12"/>
            </w:r>
            <w:r w:rsidRPr="001543D5">
              <w:rPr>
                <w:rFonts w:cstheme="minorHAnsi"/>
                <w:sz w:val="22"/>
                <w:szCs w:val="22"/>
                <w:vertAlign w:val="superscript"/>
              </w:rPr>
              <w:t xml:space="preserve"> </w:t>
            </w:r>
          </w:p>
        </w:tc>
      </w:tr>
      <w:tr w:rsidR="008350BA" w:rsidRPr="003F4AEA" w14:paraId="388A16C0" w14:textId="77777777" w:rsidTr="0062423A">
        <w:trPr>
          <w:trHeight w:val="540"/>
        </w:trPr>
        <w:tc>
          <w:tcPr>
            <w:tcW w:w="3545" w:type="dxa"/>
          </w:tcPr>
          <w:p w14:paraId="52AA48C3" w14:textId="77777777" w:rsidR="008350BA" w:rsidRPr="003F4AEA" w:rsidRDefault="008350BA" w:rsidP="0062423A">
            <w:pPr>
              <w:spacing w:before="120" w:after="120"/>
              <w:rPr>
                <w:rFonts w:cstheme="minorHAnsi"/>
                <w:sz w:val="22"/>
                <w:szCs w:val="22"/>
              </w:rPr>
            </w:pPr>
            <w:r w:rsidRPr="003F4AEA">
              <w:rPr>
                <w:rFonts w:cstheme="minorHAnsi"/>
                <w:sz w:val="22"/>
                <w:szCs w:val="22"/>
              </w:rPr>
              <w:t>What is the expected effect of PCSK9i initiation on LDL-C?</w:t>
            </w:r>
          </w:p>
        </w:tc>
        <w:tc>
          <w:tcPr>
            <w:tcW w:w="1984" w:type="dxa"/>
          </w:tcPr>
          <w:p w14:paraId="69B65474" w14:textId="77777777" w:rsidR="008350BA" w:rsidRPr="003F4AEA" w:rsidRDefault="008350BA" w:rsidP="0062423A">
            <w:pPr>
              <w:spacing w:before="120" w:after="120"/>
              <w:jc w:val="center"/>
              <w:rPr>
                <w:rFonts w:cstheme="minorHAnsi"/>
                <w:sz w:val="22"/>
                <w:szCs w:val="22"/>
              </w:rPr>
            </w:pPr>
            <w:r w:rsidRPr="003F4AEA">
              <w:rPr>
                <w:rFonts w:cstheme="minorHAnsi"/>
                <w:sz w:val="22"/>
                <w:szCs w:val="22"/>
              </w:rPr>
              <w:t>2018 US, 2019 EU, 2022 US</w:t>
            </w:r>
          </w:p>
        </w:tc>
        <w:tc>
          <w:tcPr>
            <w:tcW w:w="2835" w:type="dxa"/>
          </w:tcPr>
          <w:p w14:paraId="12D2CA66" w14:textId="77777777" w:rsidR="008350BA" w:rsidRPr="003F4AEA" w:rsidRDefault="008350BA" w:rsidP="0062423A">
            <w:pPr>
              <w:spacing w:before="120" w:after="120"/>
              <w:rPr>
                <w:rFonts w:cstheme="minorHAnsi"/>
                <w:sz w:val="22"/>
                <w:szCs w:val="22"/>
              </w:rPr>
            </w:pPr>
            <w:r w:rsidRPr="003F4AEA">
              <w:rPr>
                <w:rFonts w:cstheme="minorHAnsi"/>
                <w:sz w:val="22"/>
                <w:szCs w:val="22"/>
              </w:rPr>
              <w:t>To model LDL reduction expected with PCSK9i treatment</w:t>
            </w:r>
          </w:p>
        </w:tc>
        <w:tc>
          <w:tcPr>
            <w:tcW w:w="6237" w:type="dxa"/>
          </w:tcPr>
          <w:p w14:paraId="3BAB5FE1" w14:textId="64922B19" w:rsidR="008350BA" w:rsidRPr="003F4AEA" w:rsidRDefault="008350BA" w:rsidP="0062423A">
            <w:pPr>
              <w:spacing w:before="120" w:after="120"/>
              <w:rPr>
                <w:rFonts w:cstheme="minorHAnsi"/>
                <w:sz w:val="22"/>
                <w:szCs w:val="22"/>
              </w:rPr>
            </w:pPr>
            <w:r w:rsidRPr="003F4AEA">
              <w:rPr>
                <w:rFonts w:cstheme="minorHAnsi"/>
                <w:sz w:val="22"/>
                <w:szCs w:val="22"/>
              </w:rPr>
              <w:t>Estimate LDL-C lowering as additional 60% when added to both highest tolerated statin alone or highest tolerated statin plus ezetimibe</w:t>
            </w:r>
            <w:r w:rsidR="00FB2E0D" w:rsidRPr="00FB2E0D">
              <w:rPr>
                <w:rStyle w:val="EndnoteReference"/>
                <w:rFonts w:cstheme="minorHAnsi"/>
                <w:sz w:val="22"/>
                <w:szCs w:val="22"/>
              </w:rPr>
              <w:endnoteReference w:id="13"/>
            </w:r>
            <w:r w:rsidR="00FB2E0D" w:rsidRPr="001543D5">
              <w:rPr>
                <w:rFonts w:cstheme="minorHAnsi"/>
                <w:sz w:val="22"/>
                <w:szCs w:val="22"/>
                <w:vertAlign w:val="superscript"/>
              </w:rPr>
              <w:t>,</w:t>
            </w:r>
            <w:r w:rsidR="00FB2E0D" w:rsidRPr="00FB2E0D">
              <w:rPr>
                <w:rStyle w:val="EndnoteReference"/>
                <w:rFonts w:cstheme="minorHAnsi"/>
                <w:sz w:val="22"/>
                <w:szCs w:val="22"/>
              </w:rPr>
              <w:endnoteReference w:id="14"/>
            </w:r>
          </w:p>
        </w:tc>
      </w:tr>
      <w:tr w:rsidR="008350BA" w:rsidRPr="003F4AEA" w14:paraId="607B464E" w14:textId="77777777" w:rsidTr="0062423A">
        <w:trPr>
          <w:trHeight w:val="172"/>
        </w:trPr>
        <w:tc>
          <w:tcPr>
            <w:tcW w:w="3545" w:type="dxa"/>
          </w:tcPr>
          <w:p w14:paraId="24979FB0" w14:textId="65D6633E" w:rsidR="008350BA" w:rsidRPr="003F4AEA" w:rsidRDefault="00FB2E0D" w:rsidP="0062423A">
            <w:pPr>
              <w:spacing w:before="120" w:after="120"/>
              <w:rPr>
                <w:rFonts w:cstheme="minorHAnsi"/>
                <w:sz w:val="22"/>
                <w:szCs w:val="22"/>
              </w:rPr>
            </w:pPr>
            <w:r>
              <w:rPr>
                <w:rFonts w:cstheme="minorHAnsi"/>
                <w:sz w:val="22"/>
                <w:szCs w:val="22"/>
              </w:rPr>
              <w:t>,</w:t>
            </w:r>
            <w:r w:rsidR="008350BA" w:rsidRPr="003F4AEA">
              <w:rPr>
                <w:rFonts w:cstheme="minorHAnsi"/>
                <w:sz w:val="22"/>
                <w:szCs w:val="22"/>
              </w:rPr>
              <w:t>What proportion of individuals have heterozygous FH?</w:t>
            </w:r>
          </w:p>
        </w:tc>
        <w:tc>
          <w:tcPr>
            <w:tcW w:w="1984" w:type="dxa"/>
          </w:tcPr>
          <w:p w14:paraId="67D5F7E7" w14:textId="77777777" w:rsidR="008350BA" w:rsidRPr="003F4AEA" w:rsidRDefault="008350BA" w:rsidP="0062423A">
            <w:pPr>
              <w:spacing w:before="120" w:after="120"/>
              <w:jc w:val="center"/>
              <w:rPr>
                <w:rFonts w:cstheme="minorHAnsi"/>
                <w:sz w:val="22"/>
                <w:szCs w:val="22"/>
              </w:rPr>
            </w:pPr>
            <w:r w:rsidRPr="003F4AEA">
              <w:rPr>
                <w:rFonts w:cstheme="minorHAnsi"/>
                <w:sz w:val="22"/>
                <w:szCs w:val="22"/>
              </w:rPr>
              <w:t>2019 EU</w:t>
            </w:r>
          </w:p>
        </w:tc>
        <w:tc>
          <w:tcPr>
            <w:tcW w:w="2835" w:type="dxa"/>
          </w:tcPr>
          <w:p w14:paraId="16945860" w14:textId="77777777" w:rsidR="008350BA" w:rsidRPr="003F4AEA" w:rsidRDefault="008350BA" w:rsidP="0062423A">
            <w:pPr>
              <w:spacing w:before="120" w:after="120"/>
              <w:rPr>
                <w:rFonts w:cstheme="minorHAnsi"/>
                <w:sz w:val="22"/>
                <w:szCs w:val="22"/>
              </w:rPr>
            </w:pPr>
            <w:r w:rsidRPr="003F4AEA">
              <w:rPr>
                <w:rFonts w:cstheme="minorHAnsi"/>
                <w:sz w:val="22"/>
                <w:szCs w:val="22"/>
              </w:rPr>
              <w:t>NHANES lack information on heterozygous FH diagnosis</w:t>
            </w:r>
          </w:p>
        </w:tc>
        <w:tc>
          <w:tcPr>
            <w:tcW w:w="6237" w:type="dxa"/>
          </w:tcPr>
          <w:p w14:paraId="540F0D3A" w14:textId="6BFBAC5B" w:rsidR="008350BA" w:rsidRPr="003F4AEA" w:rsidRDefault="008350BA" w:rsidP="0062423A">
            <w:pPr>
              <w:spacing w:before="120" w:after="120"/>
              <w:rPr>
                <w:rFonts w:cstheme="minorHAnsi"/>
                <w:sz w:val="22"/>
                <w:szCs w:val="22"/>
              </w:rPr>
            </w:pPr>
            <w:r w:rsidRPr="003F4AEA">
              <w:rPr>
                <w:rFonts w:cstheme="minorHAnsi"/>
                <w:sz w:val="22"/>
                <w:szCs w:val="22"/>
              </w:rPr>
              <w:t>Defined as any individual with LDL-C</w:t>
            </w:r>
            <w:r w:rsidRPr="00CB0725">
              <w:rPr>
                <w:rFonts w:cstheme="minorHAnsi"/>
                <w:sz w:val="22"/>
                <w:szCs w:val="22"/>
              </w:rPr>
              <w:t>≥</w:t>
            </w:r>
            <w:r w:rsidRPr="003F4AEA">
              <w:rPr>
                <w:rFonts w:cstheme="minorHAnsi"/>
                <w:sz w:val="22"/>
                <w:szCs w:val="22"/>
              </w:rPr>
              <w:t>190</w:t>
            </w:r>
            <w:r>
              <w:rPr>
                <w:rFonts w:cstheme="minorHAnsi"/>
                <w:sz w:val="22"/>
                <w:szCs w:val="22"/>
              </w:rPr>
              <w:t xml:space="preserve"> </w:t>
            </w:r>
            <w:r w:rsidRPr="003F4AEA">
              <w:rPr>
                <w:rFonts w:cstheme="minorHAnsi"/>
                <w:sz w:val="22"/>
                <w:szCs w:val="22"/>
              </w:rPr>
              <w:t>mg/dL and a family history of early ASCVD</w:t>
            </w:r>
            <w:r w:rsidR="00491BE9">
              <w:rPr>
                <w:rStyle w:val="EndnoteReference"/>
                <w:rFonts w:cstheme="minorHAnsi"/>
                <w:sz w:val="22"/>
                <w:szCs w:val="22"/>
              </w:rPr>
              <w:endnoteReference w:id="15"/>
            </w:r>
          </w:p>
        </w:tc>
      </w:tr>
    </w:tbl>
    <w:p w14:paraId="74450F2D" w14:textId="77777777" w:rsidR="008350BA" w:rsidRPr="003975B0" w:rsidRDefault="008350BA" w:rsidP="008350BA">
      <w:pPr>
        <w:rPr>
          <w:rFonts w:cstheme="minorHAnsi"/>
          <w:b/>
          <w:bCs/>
        </w:rPr>
      </w:pPr>
    </w:p>
    <w:p w14:paraId="601575B1" w14:textId="1AA3DAF4" w:rsidR="00D16203" w:rsidRDefault="008350BA" w:rsidP="007E2764">
      <w:pPr>
        <w:rPr>
          <w:rFonts w:cstheme="minorHAnsi"/>
          <w:sz w:val="20"/>
          <w:szCs w:val="20"/>
        </w:rPr>
      </w:pPr>
      <w:r w:rsidRPr="003F4AEA">
        <w:rPr>
          <w:rFonts w:cstheme="minorHAnsi"/>
          <w:sz w:val="20"/>
          <w:szCs w:val="20"/>
        </w:rPr>
        <w:t>Other risk factors could not be evaluated including: history of prior coronary bypass surgery or percutaneous coronary intervention outside of major ASCVD event; persistently elevated LDL-C; recent acute coronary syndrome; target organ damage; information regarding imaging, coronary revascularization, TIA; patients with ASCVD who experience second vascular event within 2 years while taking maximally tolerated stat</w:t>
      </w:r>
      <w:r>
        <w:rPr>
          <w:rFonts w:cstheme="minorHAnsi"/>
          <w:sz w:val="20"/>
          <w:szCs w:val="20"/>
        </w:rPr>
        <w:t>in</w:t>
      </w:r>
    </w:p>
    <w:p w14:paraId="604681FE" w14:textId="77777777" w:rsidR="005148BA" w:rsidRDefault="005148BA" w:rsidP="007E2764">
      <w:pPr>
        <w:rPr>
          <w:rFonts w:cstheme="minorHAnsi"/>
          <w:sz w:val="20"/>
          <w:szCs w:val="20"/>
        </w:rPr>
      </w:pPr>
    </w:p>
    <w:p w14:paraId="277BA9D4" w14:textId="1E8B6C57" w:rsidR="005148BA" w:rsidRPr="003F4AEA" w:rsidRDefault="005148BA" w:rsidP="005148BA">
      <w:pPr>
        <w:rPr>
          <w:rFonts w:cstheme="minorHAnsi"/>
          <w:sz w:val="20"/>
          <w:szCs w:val="20"/>
        </w:rPr>
      </w:pPr>
      <w:r w:rsidRPr="003F4AEA">
        <w:rPr>
          <w:rFonts w:cstheme="minorHAnsi"/>
          <w:b/>
          <w:bCs/>
          <w:sz w:val="20"/>
          <w:szCs w:val="20"/>
        </w:rPr>
        <w:t>Abbreviations: ASCVD</w:t>
      </w:r>
      <w:r w:rsidRPr="003F4AEA">
        <w:rPr>
          <w:rFonts w:cstheme="minorHAnsi"/>
          <w:sz w:val="20"/>
          <w:szCs w:val="20"/>
        </w:rPr>
        <w:t xml:space="preserve"> atherosclerotic cardiovascular disease</w:t>
      </w:r>
      <w:r w:rsidRPr="003F4AEA">
        <w:rPr>
          <w:rFonts w:cstheme="minorHAnsi"/>
          <w:b/>
          <w:bCs/>
          <w:sz w:val="20"/>
          <w:szCs w:val="20"/>
        </w:rPr>
        <w:t xml:space="preserve"> FH</w:t>
      </w:r>
      <w:r w:rsidRPr="003F4AEA">
        <w:rPr>
          <w:rFonts w:cstheme="minorHAnsi"/>
          <w:sz w:val="20"/>
          <w:szCs w:val="20"/>
        </w:rPr>
        <w:t xml:space="preserve"> familial hypercholesterolemia </w:t>
      </w:r>
      <w:r w:rsidRPr="003F4AEA">
        <w:rPr>
          <w:rFonts w:cstheme="minorHAnsi"/>
          <w:b/>
          <w:bCs/>
          <w:sz w:val="20"/>
          <w:szCs w:val="20"/>
        </w:rPr>
        <w:t xml:space="preserve">LDL-C </w:t>
      </w:r>
      <w:r w:rsidRPr="003F4AEA">
        <w:rPr>
          <w:rFonts w:cstheme="minorHAnsi"/>
          <w:sz w:val="20"/>
          <w:szCs w:val="20"/>
        </w:rPr>
        <w:t xml:space="preserve">low-density lipoprotein cholesterol </w:t>
      </w:r>
      <w:r>
        <w:rPr>
          <w:rFonts w:cstheme="minorHAnsi"/>
          <w:b/>
          <w:bCs/>
          <w:sz w:val="20"/>
          <w:szCs w:val="20"/>
        </w:rPr>
        <w:t xml:space="preserve">NHANES </w:t>
      </w:r>
      <w:r w:rsidRPr="005148BA">
        <w:rPr>
          <w:rFonts w:cstheme="minorHAnsi"/>
          <w:sz w:val="20"/>
          <w:szCs w:val="20"/>
        </w:rPr>
        <w:t xml:space="preserve">National Health and Nutrition Examination Survey </w:t>
      </w:r>
      <w:r w:rsidRPr="003F4AEA">
        <w:rPr>
          <w:rFonts w:cstheme="minorHAnsi"/>
          <w:b/>
          <w:bCs/>
          <w:sz w:val="20"/>
          <w:szCs w:val="20"/>
        </w:rPr>
        <w:t>TIA</w:t>
      </w:r>
      <w:r w:rsidRPr="003F4AEA">
        <w:rPr>
          <w:rFonts w:cstheme="minorHAnsi"/>
          <w:sz w:val="20"/>
          <w:szCs w:val="20"/>
        </w:rPr>
        <w:t xml:space="preserve"> transient ischemic attack</w:t>
      </w:r>
    </w:p>
    <w:p w14:paraId="605446D2" w14:textId="38C55C38" w:rsidR="00514716" w:rsidRDefault="00514716">
      <w:pPr>
        <w:rPr>
          <w:rFonts w:cstheme="minorHAnsi"/>
          <w:sz w:val="20"/>
          <w:szCs w:val="20"/>
        </w:rPr>
      </w:pPr>
      <w:r>
        <w:rPr>
          <w:rFonts w:cstheme="minorHAnsi"/>
          <w:sz w:val="20"/>
          <w:szCs w:val="20"/>
        </w:rPr>
        <w:br w:type="page"/>
      </w:r>
      <w:bookmarkStart w:id="2" w:name="_GoBack"/>
      <w:bookmarkEnd w:id="2"/>
    </w:p>
    <w:p w14:paraId="131B08B6" w14:textId="77777777" w:rsidR="005148BA" w:rsidRDefault="005148BA" w:rsidP="007E2764">
      <w:pPr>
        <w:rPr>
          <w:rFonts w:cstheme="minorHAnsi"/>
          <w:sz w:val="20"/>
          <w:szCs w:val="20"/>
        </w:rPr>
      </w:pPr>
    </w:p>
    <w:p w14:paraId="6A540E48" w14:textId="1476AE2D" w:rsidR="00514716" w:rsidRPr="00514716" w:rsidRDefault="00514716" w:rsidP="00514716">
      <w:pPr>
        <w:rPr>
          <w:rFonts w:cstheme="minorHAnsi"/>
          <w:b/>
          <w:bCs/>
        </w:rPr>
      </w:pPr>
      <w:r w:rsidRPr="00514716">
        <w:rPr>
          <w:rFonts w:cstheme="minorHAnsi"/>
          <w:b/>
          <w:bCs/>
        </w:rPr>
        <w:t>eTable 4</w:t>
      </w:r>
      <w:r w:rsidR="00564AE4">
        <w:rPr>
          <w:rFonts w:cstheme="minorHAnsi"/>
          <w:b/>
          <w:bCs/>
        </w:rPr>
        <w:t>.</w:t>
      </w:r>
      <w:r w:rsidRPr="00514716">
        <w:rPr>
          <w:rFonts w:cstheme="minorHAnsi"/>
          <w:b/>
          <w:bCs/>
        </w:rPr>
        <w:t xml:space="preserve"> Expected economic savings on major cardiovascular events under fully guideline-concordant care (in </w:t>
      </w:r>
      <w:r w:rsidR="00A56094">
        <w:rPr>
          <w:rFonts w:cstheme="minorHAnsi"/>
          <w:b/>
          <w:bCs/>
        </w:rPr>
        <w:t xml:space="preserve">billions of </w:t>
      </w:r>
      <w:r w:rsidRPr="00514716">
        <w:rPr>
          <w:rFonts w:cstheme="minorHAnsi"/>
          <w:b/>
          <w:bCs/>
        </w:rPr>
        <w:t xml:space="preserve">2022 </w:t>
      </w:r>
      <w:r w:rsidR="00A56094">
        <w:rPr>
          <w:rFonts w:cstheme="minorHAnsi"/>
          <w:b/>
          <w:bCs/>
        </w:rPr>
        <w:t>US dollars</w:t>
      </w:r>
      <w:r w:rsidRPr="00514716">
        <w:rPr>
          <w:rFonts w:cstheme="minorHAnsi"/>
          <w:b/>
          <w:bCs/>
        </w:rPr>
        <w:t>).</w:t>
      </w:r>
    </w:p>
    <w:p w14:paraId="554D468E" w14:textId="77777777" w:rsidR="00514716" w:rsidRPr="003975B0" w:rsidRDefault="00514716" w:rsidP="00514716">
      <w:pPr>
        <w:rPr>
          <w:rFonts w:cstheme="minorHAnsi"/>
          <w:b/>
          <w:bCs/>
        </w:rPr>
      </w:pPr>
    </w:p>
    <w:tbl>
      <w:tblPr>
        <w:tblStyle w:val="TableGrid"/>
        <w:tblW w:w="11367" w:type="dxa"/>
        <w:tblInd w:w="270" w:type="dxa"/>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4146"/>
        <w:gridCol w:w="2302"/>
        <w:gridCol w:w="2437"/>
        <w:gridCol w:w="2482"/>
      </w:tblGrid>
      <w:tr w:rsidR="00514716" w:rsidRPr="003975B0" w14:paraId="63C893EF" w14:textId="77777777" w:rsidTr="00514716">
        <w:trPr>
          <w:trHeight w:val="428"/>
        </w:trPr>
        <w:tc>
          <w:tcPr>
            <w:tcW w:w="4146" w:type="dxa"/>
            <w:tcBorders>
              <w:top w:val="double" w:sz="4" w:space="0" w:color="auto"/>
              <w:bottom w:val="single" w:sz="4" w:space="0" w:color="auto"/>
              <w:right w:val="nil"/>
            </w:tcBorders>
            <w:vAlign w:val="center"/>
          </w:tcPr>
          <w:p w14:paraId="1098A229" w14:textId="77777777" w:rsidR="00514716" w:rsidRPr="00382BA1" w:rsidRDefault="00514716" w:rsidP="00FE156D">
            <w:pPr>
              <w:jc w:val="center"/>
              <w:rPr>
                <w:rFonts w:cstheme="minorHAnsi"/>
                <w:sz w:val="22"/>
                <w:szCs w:val="22"/>
              </w:rPr>
            </w:pPr>
          </w:p>
        </w:tc>
        <w:tc>
          <w:tcPr>
            <w:tcW w:w="2302" w:type="dxa"/>
            <w:tcBorders>
              <w:top w:val="double" w:sz="4" w:space="0" w:color="auto"/>
              <w:left w:val="nil"/>
              <w:bottom w:val="single" w:sz="4" w:space="0" w:color="auto"/>
              <w:right w:val="nil"/>
            </w:tcBorders>
            <w:vAlign w:val="center"/>
          </w:tcPr>
          <w:p w14:paraId="4A91B9F0" w14:textId="77777777" w:rsidR="00514716" w:rsidRPr="00382BA1" w:rsidRDefault="00514716" w:rsidP="00FE156D">
            <w:pPr>
              <w:jc w:val="center"/>
              <w:rPr>
                <w:rFonts w:cstheme="minorHAnsi"/>
                <w:sz w:val="22"/>
                <w:szCs w:val="22"/>
              </w:rPr>
            </w:pPr>
            <w:r>
              <w:rPr>
                <w:rFonts w:cstheme="minorHAnsi"/>
                <w:sz w:val="22"/>
                <w:szCs w:val="22"/>
              </w:rPr>
              <w:t>2018 US Guideline</w:t>
            </w:r>
          </w:p>
        </w:tc>
        <w:tc>
          <w:tcPr>
            <w:tcW w:w="2437" w:type="dxa"/>
            <w:tcBorders>
              <w:top w:val="double" w:sz="4" w:space="0" w:color="auto"/>
              <w:left w:val="nil"/>
              <w:bottom w:val="single" w:sz="4" w:space="0" w:color="auto"/>
              <w:right w:val="nil"/>
            </w:tcBorders>
            <w:vAlign w:val="center"/>
          </w:tcPr>
          <w:p w14:paraId="53970B1F" w14:textId="77777777" w:rsidR="00514716" w:rsidRPr="00382BA1" w:rsidRDefault="00514716" w:rsidP="00FE156D">
            <w:pPr>
              <w:jc w:val="center"/>
              <w:rPr>
                <w:rFonts w:cstheme="minorHAnsi"/>
                <w:sz w:val="22"/>
                <w:szCs w:val="22"/>
              </w:rPr>
            </w:pPr>
            <w:r>
              <w:rPr>
                <w:rFonts w:cstheme="minorHAnsi"/>
                <w:sz w:val="22"/>
                <w:szCs w:val="22"/>
              </w:rPr>
              <w:t>2019 EU Guideline</w:t>
            </w:r>
          </w:p>
        </w:tc>
        <w:tc>
          <w:tcPr>
            <w:tcW w:w="2482" w:type="dxa"/>
            <w:tcBorders>
              <w:top w:val="double" w:sz="4" w:space="0" w:color="auto"/>
              <w:left w:val="nil"/>
              <w:bottom w:val="single" w:sz="4" w:space="0" w:color="auto"/>
            </w:tcBorders>
            <w:vAlign w:val="center"/>
          </w:tcPr>
          <w:p w14:paraId="6492836B" w14:textId="77777777" w:rsidR="00514716" w:rsidRPr="00382BA1" w:rsidRDefault="00514716" w:rsidP="00FE156D">
            <w:pPr>
              <w:jc w:val="center"/>
              <w:rPr>
                <w:rFonts w:cstheme="minorHAnsi"/>
                <w:sz w:val="22"/>
                <w:szCs w:val="22"/>
              </w:rPr>
            </w:pPr>
            <w:r>
              <w:rPr>
                <w:rFonts w:cstheme="minorHAnsi"/>
                <w:sz w:val="22"/>
                <w:szCs w:val="22"/>
              </w:rPr>
              <w:t>2022 US Pathway</w:t>
            </w:r>
          </w:p>
        </w:tc>
      </w:tr>
      <w:tr w:rsidR="00514716" w:rsidRPr="003975B0" w14:paraId="62D9C3C0" w14:textId="77777777" w:rsidTr="00514716">
        <w:trPr>
          <w:trHeight w:val="307"/>
        </w:trPr>
        <w:tc>
          <w:tcPr>
            <w:tcW w:w="4146" w:type="dxa"/>
            <w:tcBorders>
              <w:top w:val="single" w:sz="4" w:space="0" w:color="auto"/>
              <w:bottom w:val="nil"/>
              <w:right w:val="nil"/>
            </w:tcBorders>
          </w:tcPr>
          <w:p w14:paraId="20E01F87" w14:textId="59062613" w:rsidR="00514716" w:rsidRPr="00382BA1" w:rsidRDefault="00514716" w:rsidP="00FE156D">
            <w:pPr>
              <w:rPr>
                <w:rFonts w:cstheme="minorHAnsi"/>
                <w:sz w:val="22"/>
                <w:szCs w:val="22"/>
              </w:rPr>
            </w:pPr>
            <w:r w:rsidRPr="00382BA1">
              <w:rPr>
                <w:rFonts w:cstheme="minorHAnsi"/>
                <w:sz w:val="22"/>
                <w:szCs w:val="22"/>
              </w:rPr>
              <w:t>Number avoided</w:t>
            </w:r>
          </w:p>
        </w:tc>
        <w:tc>
          <w:tcPr>
            <w:tcW w:w="2302" w:type="dxa"/>
            <w:tcBorders>
              <w:top w:val="single" w:sz="4" w:space="0" w:color="auto"/>
              <w:left w:val="nil"/>
              <w:bottom w:val="nil"/>
              <w:right w:val="nil"/>
            </w:tcBorders>
          </w:tcPr>
          <w:p w14:paraId="51264081" w14:textId="77777777" w:rsidR="00514716" w:rsidRPr="00382BA1" w:rsidRDefault="00514716" w:rsidP="00FE156D">
            <w:pPr>
              <w:jc w:val="center"/>
              <w:rPr>
                <w:rFonts w:cstheme="minorHAnsi"/>
                <w:sz w:val="22"/>
                <w:szCs w:val="22"/>
              </w:rPr>
            </w:pPr>
          </w:p>
        </w:tc>
        <w:tc>
          <w:tcPr>
            <w:tcW w:w="2437" w:type="dxa"/>
            <w:tcBorders>
              <w:top w:val="single" w:sz="4" w:space="0" w:color="auto"/>
              <w:left w:val="nil"/>
              <w:bottom w:val="nil"/>
              <w:right w:val="nil"/>
            </w:tcBorders>
          </w:tcPr>
          <w:p w14:paraId="43857320" w14:textId="77777777" w:rsidR="00514716" w:rsidRPr="00382BA1" w:rsidRDefault="00514716" w:rsidP="00FE156D">
            <w:pPr>
              <w:jc w:val="center"/>
              <w:rPr>
                <w:rFonts w:cstheme="minorHAnsi"/>
                <w:sz w:val="22"/>
                <w:szCs w:val="22"/>
              </w:rPr>
            </w:pPr>
          </w:p>
        </w:tc>
        <w:tc>
          <w:tcPr>
            <w:tcW w:w="2482" w:type="dxa"/>
            <w:tcBorders>
              <w:top w:val="single" w:sz="4" w:space="0" w:color="auto"/>
              <w:left w:val="nil"/>
              <w:bottom w:val="nil"/>
            </w:tcBorders>
          </w:tcPr>
          <w:p w14:paraId="719E596E" w14:textId="77777777" w:rsidR="00514716" w:rsidRPr="00382BA1" w:rsidRDefault="00514716" w:rsidP="00FE156D">
            <w:pPr>
              <w:jc w:val="center"/>
              <w:rPr>
                <w:rFonts w:cstheme="minorHAnsi"/>
                <w:sz w:val="22"/>
                <w:szCs w:val="22"/>
              </w:rPr>
            </w:pPr>
          </w:p>
        </w:tc>
      </w:tr>
      <w:tr w:rsidR="00514716" w:rsidRPr="003975B0" w14:paraId="0BA8A8A3" w14:textId="77777777" w:rsidTr="00FE156D">
        <w:trPr>
          <w:trHeight w:val="307"/>
        </w:trPr>
        <w:tc>
          <w:tcPr>
            <w:tcW w:w="4146" w:type="dxa"/>
            <w:tcBorders>
              <w:top w:val="nil"/>
              <w:bottom w:val="nil"/>
              <w:right w:val="nil"/>
            </w:tcBorders>
          </w:tcPr>
          <w:p w14:paraId="57378114" w14:textId="77777777" w:rsidR="00514716" w:rsidRPr="00382BA1" w:rsidRDefault="00514716" w:rsidP="00FE156D">
            <w:pPr>
              <w:rPr>
                <w:rFonts w:cstheme="minorHAnsi"/>
                <w:sz w:val="22"/>
                <w:szCs w:val="22"/>
              </w:rPr>
            </w:pPr>
            <w:r w:rsidRPr="00382BA1">
              <w:rPr>
                <w:rFonts w:cstheme="minorHAnsi"/>
                <w:sz w:val="22"/>
                <w:szCs w:val="22"/>
              </w:rPr>
              <w:t xml:space="preserve">     Coronary death</w:t>
            </w:r>
          </w:p>
        </w:tc>
        <w:tc>
          <w:tcPr>
            <w:tcW w:w="2302" w:type="dxa"/>
            <w:tcBorders>
              <w:top w:val="nil"/>
              <w:left w:val="nil"/>
              <w:bottom w:val="nil"/>
              <w:right w:val="nil"/>
            </w:tcBorders>
          </w:tcPr>
          <w:p w14:paraId="075FBE6D" w14:textId="77777777" w:rsidR="00514716" w:rsidRPr="00382BA1" w:rsidRDefault="00514716" w:rsidP="00FE156D">
            <w:pPr>
              <w:jc w:val="center"/>
              <w:rPr>
                <w:rFonts w:cstheme="minorHAnsi"/>
                <w:sz w:val="22"/>
                <w:szCs w:val="22"/>
              </w:rPr>
            </w:pPr>
            <w:r>
              <w:rPr>
                <w:rFonts w:cstheme="minorHAnsi"/>
                <w:sz w:val="22"/>
                <w:szCs w:val="22"/>
              </w:rPr>
              <w:t>3.3</w:t>
            </w:r>
          </w:p>
        </w:tc>
        <w:tc>
          <w:tcPr>
            <w:tcW w:w="2437" w:type="dxa"/>
            <w:tcBorders>
              <w:top w:val="nil"/>
              <w:left w:val="nil"/>
              <w:bottom w:val="nil"/>
              <w:right w:val="nil"/>
            </w:tcBorders>
          </w:tcPr>
          <w:p w14:paraId="7F190D1F" w14:textId="77777777" w:rsidR="00514716" w:rsidRPr="00382BA1" w:rsidRDefault="00514716" w:rsidP="00FE156D">
            <w:pPr>
              <w:jc w:val="center"/>
              <w:rPr>
                <w:rFonts w:cstheme="minorHAnsi"/>
                <w:sz w:val="22"/>
                <w:szCs w:val="22"/>
              </w:rPr>
            </w:pPr>
            <w:r>
              <w:rPr>
                <w:rFonts w:cstheme="minorHAnsi"/>
                <w:sz w:val="22"/>
                <w:szCs w:val="22"/>
              </w:rPr>
              <w:t>4.1</w:t>
            </w:r>
          </w:p>
        </w:tc>
        <w:tc>
          <w:tcPr>
            <w:tcW w:w="2482" w:type="dxa"/>
            <w:tcBorders>
              <w:top w:val="nil"/>
              <w:left w:val="nil"/>
              <w:bottom w:val="nil"/>
            </w:tcBorders>
          </w:tcPr>
          <w:p w14:paraId="7F1960EF" w14:textId="77777777" w:rsidR="00514716" w:rsidRPr="00382BA1" w:rsidRDefault="00514716" w:rsidP="00FE156D">
            <w:pPr>
              <w:jc w:val="center"/>
              <w:rPr>
                <w:rFonts w:cstheme="minorHAnsi"/>
                <w:sz w:val="22"/>
                <w:szCs w:val="22"/>
              </w:rPr>
            </w:pPr>
            <w:r>
              <w:rPr>
                <w:rFonts w:cstheme="minorHAnsi"/>
                <w:sz w:val="22"/>
                <w:szCs w:val="22"/>
              </w:rPr>
              <w:t>4.0</w:t>
            </w:r>
          </w:p>
        </w:tc>
      </w:tr>
      <w:tr w:rsidR="00514716" w:rsidRPr="003975B0" w14:paraId="7E2E9CB2" w14:textId="77777777" w:rsidTr="00FE156D">
        <w:trPr>
          <w:trHeight w:val="307"/>
        </w:trPr>
        <w:tc>
          <w:tcPr>
            <w:tcW w:w="4146" w:type="dxa"/>
            <w:tcBorders>
              <w:top w:val="nil"/>
              <w:bottom w:val="nil"/>
              <w:right w:val="nil"/>
            </w:tcBorders>
          </w:tcPr>
          <w:p w14:paraId="605A39C6" w14:textId="77777777" w:rsidR="00514716" w:rsidRPr="00382BA1" w:rsidRDefault="00514716" w:rsidP="00FE156D">
            <w:pPr>
              <w:rPr>
                <w:rFonts w:cstheme="minorHAnsi"/>
                <w:sz w:val="22"/>
                <w:szCs w:val="22"/>
              </w:rPr>
            </w:pPr>
            <w:r w:rsidRPr="00382BA1">
              <w:rPr>
                <w:rFonts w:cstheme="minorHAnsi"/>
                <w:sz w:val="22"/>
                <w:szCs w:val="22"/>
              </w:rPr>
              <w:t xml:space="preserve">     Non-fatal myocardial infarction</w:t>
            </w:r>
          </w:p>
        </w:tc>
        <w:tc>
          <w:tcPr>
            <w:tcW w:w="2302" w:type="dxa"/>
            <w:tcBorders>
              <w:top w:val="nil"/>
              <w:left w:val="nil"/>
              <w:bottom w:val="nil"/>
              <w:right w:val="nil"/>
            </w:tcBorders>
          </w:tcPr>
          <w:p w14:paraId="0067427E" w14:textId="77777777" w:rsidR="00514716" w:rsidRPr="00382BA1" w:rsidRDefault="00514716" w:rsidP="00FE156D">
            <w:pPr>
              <w:jc w:val="center"/>
              <w:rPr>
                <w:rFonts w:cstheme="minorHAnsi"/>
                <w:sz w:val="22"/>
                <w:szCs w:val="22"/>
              </w:rPr>
            </w:pPr>
            <w:r>
              <w:rPr>
                <w:rFonts w:cstheme="minorHAnsi"/>
                <w:sz w:val="22"/>
                <w:szCs w:val="22"/>
              </w:rPr>
              <w:t>9.3</w:t>
            </w:r>
          </w:p>
        </w:tc>
        <w:tc>
          <w:tcPr>
            <w:tcW w:w="2437" w:type="dxa"/>
            <w:tcBorders>
              <w:top w:val="nil"/>
              <w:left w:val="nil"/>
              <w:bottom w:val="nil"/>
              <w:right w:val="nil"/>
            </w:tcBorders>
          </w:tcPr>
          <w:p w14:paraId="146E7BEC" w14:textId="77777777" w:rsidR="00514716" w:rsidRPr="00382BA1" w:rsidRDefault="00514716" w:rsidP="00FE156D">
            <w:pPr>
              <w:jc w:val="center"/>
              <w:rPr>
                <w:rFonts w:cstheme="minorHAnsi"/>
                <w:sz w:val="22"/>
                <w:szCs w:val="22"/>
              </w:rPr>
            </w:pPr>
            <w:r>
              <w:rPr>
                <w:rFonts w:cstheme="minorHAnsi"/>
                <w:sz w:val="22"/>
                <w:szCs w:val="22"/>
              </w:rPr>
              <w:t>11.6</w:t>
            </w:r>
          </w:p>
        </w:tc>
        <w:tc>
          <w:tcPr>
            <w:tcW w:w="2482" w:type="dxa"/>
            <w:tcBorders>
              <w:top w:val="nil"/>
              <w:left w:val="nil"/>
              <w:bottom w:val="nil"/>
            </w:tcBorders>
          </w:tcPr>
          <w:p w14:paraId="6D94BD49" w14:textId="77777777" w:rsidR="00514716" w:rsidRPr="00382BA1" w:rsidRDefault="00514716" w:rsidP="00FE156D">
            <w:pPr>
              <w:jc w:val="center"/>
              <w:rPr>
                <w:rFonts w:cstheme="minorHAnsi"/>
                <w:sz w:val="22"/>
                <w:szCs w:val="22"/>
              </w:rPr>
            </w:pPr>
            <w:r>
              <w:rPr>
                <w:rFonts w:cstheme="minorHAnsi"/>
                <w:sz w:val="22"/>
                <w:szCs w:val="22"/>
              </w:rPr>
              <w:t>11.2</w:t>
            </w:r>
          </w:p>
        </w:tc>
      </w:tr>
      <w:tr w:rsidR="00514716" w:rsidRPr="003975B0" w14:paraId="1EF78ADA" w14:textId="77777777" w:rsidTr="00FE156D">
        <w:trPr>
          <w:trHeight w:val="307"/>
        </w:trPr>
        <w:tc>
          <w:tcPr>
            <w:tcW w:w="4146" w:type="dxa"/>
            <w:tcBorders>
              <w:top w:val="nil"/>
              <w:bottom w:val="nil"/>
              <w:right w:val="nil"/>
            </w:tcBorders>
          </w:tcPr>
          <w:p w14:paraId="5D3E62C1" w14:textId="77777777" w:rsidR="00514716" w:rsidRPr="00382BA1" w:rsidRDefault="00514716" w:rsidP="00FE156D">
            <w:pPr>
              <w:rPr>
                <w:rFonts w:cstheme="minorHAnsi"/>
                <w:sz w:val="22"/>
                <w:szCs w:val="22"/>
              </w:rPr>
            </w:pPr>
            <w:r w:rsidRPr="00382BA1">
              <w:rPr>
                <w:rFonts w:cstheme="minorHAnsi"/>
                <w:sz w:val="22"/>
                <w:szCs w:val="22"/>
              </w:rPr>
              <w:t xml:space="preserve">     Coronary revascularization</w:t>
            </w:r>
          </w:p>
        </w:tc>
        <w:tc>
          <w:tcPr>
            <w:tcW w:w="2302" w:type="dxa"/>
            <w:tcBorders>
              <w:top w:val="nil"/>
              <w:left w:val="nil"/>
              <w:bottom w:val="nil"/>
              <w:right w:val="nil"/>
            </w:tcBorders>
          </w:tcPr>
          <w:p w14:paraId="3D5F7D53" w14:textId="77777777" w:rsidR="00514716" w:rsidRPr="00382BA1" w:rsidRDefault="00514716" w:rsidP="00FE156D">
            <w:pPr>
              <w:jc w:val="center"/>
              <w:rPr>
                <w:rFonts w:cstheme="minorHAnsi"/>
                <w:sz w:val="22"/>
                <w:szCs w:val="22"/>
              </w:rPr>
            </w:pPr>
            <w:r>
              <w:rPr>
                <w:rFonts w:cstheme="minorHAnsi"/>
                <w:sz w:val="22"/>
                <w:szCs w:val="22"/>
              </w:rPr>
              <w:t>6.3</w:t>
            </w:r>
          </w:p>
        </w:tc>
        <w:tc>
          <w:tcPr>
            <w:tcW w:w="2437" w:type="dxa"/>
            <w:tcBorders>
              <w:top w:val="nil"/>
              <w:left w:val="nil"/>
              <w:bottom w:val="nil"/>
              <w:right w:val="nil"/>
            </w:tcBorders>
          </w:tcPr>
          <w:p w14:paraId="1357B29F" w14:textId="77777777" w:rsidR="00514716" w:rsidRPr="00382BA1" w:rsidRDefault="00514716" w:rsidP="00FE156D">
            <w:pPr>
              <w:jc w:val="center"/>
              <w:rPr>
                <w:rFonts w:cstheme="minorHAnsi"/>
                <w:sz w:val="22"/>
                <w:szCs w:val="22"/>
              </w:rPr>
            </w:pPr>
            <w:r>
              <w:rPr>
                <w:rFonts w:cstheme="minorHAnsi"/>
                <w:sz w:val="22"/>
                <w:szCs w:val="22"/>
              </w:rPr>
              <w:t>7.9</w:t>
            </w:r>
          </w:p>
        </w:tc>
        <w:tc>
          <w:tcPr>
            <w:tcW w:w="2482" w:type="dxa"/>
            <w:tcBorders>
              <w:top w:val="nil"/>
              <w:left w:val="nil"/>
              <w:bottom w:val="nil"/>
            </w:tcBorders>
          </w:tcPr>
          <w:p w14:paraId="266C2C98" w14:textId="77777777" w:rsidR="00514716" w:rsidRPr="00382BA1" w:rsidRDefault="00514716" w:rsidP="00FE156D">
            <w:pPr>
              <w:jc w:val="center"/>
              <w:rPr>
                <w:rFonts w:cstheme="minorHAnsi"/>
                <w:sz w:val="22"/>
                <w:szCs w:val="22"/>
              </w:rPr>
            </w:pPr>
            <w:r>
              <w:rPr>
                <w:rFonts w:cstheme="minorHAnsi"/>
                <w:sz w:val="22"/>
                <w:szCs w:val="22"/>
              </w:rPr>
              <w:t>7.6</w:t>
            </w:r>
          </w:p>
        </w:tc>
      </w:tr>
      <w:tr w:rsidR="00514716" w:rsidRPr="003975B0" w14:paraId="360FDDA1" w14:textId="77777777" w:rsidTr="00514716">
        <w:trPr>
          <w:trHeight w:val="307"/>
        </w:trPr>
        <w:tc>
          <w:tcPr>
            <w:tcW w:w="4146" w:type="dxa"/>
            <w:tcBorders>
              <w:top w:val="nil"/>
              <w:bottom w:val="nil"/>
              <w:right w:val="nil"/>
            </w:tcBorders>
          </w:tcPr>
          <w:p w14:paraId="1996998D" w14:textId="77777777" w:rsidR="00514716" w:rsidRPr="00382BA1" w:rsidRDefault="00514716" w:rsidP="00FE156D">
            <w:pPr>
              <w:rPr>
                <w:rFonts w:cstheme="minorHAnsi"/>
                <w:sz w:val="22"/>
                <w:szCs w:val="22"/>
              </w:rPr>
            </w:pPr>
            <w:r w:rsidRPr="00382BA1">
              <w:rPr>
                <w:rFonts w:cstheme="minorHAnsi"/>
                <w:sz w:val="22"/>
                <w:szCs w:val="22"/>
              </w:rPr>
              <w:t xml:space="preserve">     Stroke</w:t>
            </w:r>
          </w:p>
        </w:tc>
        <w:tc>
          <w:tcPr>
            <w:tcW w:w="2302" w:type="dxa"/>
            <w:tcBorders>
              <w:top w:val="nil"/>
              <w:left w:val="nil"/>
              <w:bottom w:val="nil"/>
              <w:right w:val="nil"/>
            </w:tcBorders>
          </w:tcPr>
          <w:p w14:paraId="418D6D38" w14:textId="77777777" w:rsidR="00514716" w:rsidRPr="00382BA1" w:rsidRDefault="00514716" w:rsidP="00FE156D">
            <w:pPr>
              <w:jc w:val="center"/>
              <w:rPr>
                <w:rFonts w:cstheme="minorHAnsi"/>
                <w:sz w:val="22"/>
                <w:szCs w:val="22"/>
              </w:rPr>
            </w:pPr>
            <w:r>
              <w:rPr>
                <w:rFonts w:cstheme="minorHAnsi"/>
                <w:sz w:val="22"/>
                <w:szCs w:val="22"/>
              </w:rPr>
              <w:t>6.4</w:t>
            </w:r>
          </w:p>
        </w:tc>
        <w:tc>
          <w:tcPr>
            <w:tcW w:w="2437" w:type="dxa"/>
            <w:tcBorders>
              <w:top w:val="nil"/>
              <w:left w:val="nil"/>
              <w:bottom w:val="nil"/>
              <w:right w:val="nil"/>
            </w:tcBorders>
          </w:tcPr>
          <w:p w14:paraId="69A3E39E" w14:textId="77777777" w:rsidR="00514716" w:rsidRPr="00382BA1" w:rsidRDefault="00514716" w:rsidP="00FE156D">
            <w:pPr>
              <w:jc w:val="center"/>
              <w:rPr>
                <w:rFonts w:cstheme="minorHAnsi"/>
                <w:sz w:val="22"/>
                <w:szCs w:val="22"/>
              </w:rPr>
            </w:pPr>
            <w:r>
              <w:rPr>
                <w:rFonts w:cstheme="minorHAnsi"/>
                <w:sz w:val="22"/>
                <w:szCs w:val="22"/>
              </w:rPr>
              <w:t>8.1</w:t>
            </w:r>
          </w:p>
        </w:tc>
        <w:tc>
          <w:tcPr>
            <w:tcW w:w="2482" w:type="dxa"/>
            <w:tcBorders>
              <w:top w:val="nil"/>
              <w:left w:val="nil"/>
              <w:bottom w:val="nil"/>
            </w:tcBorders>
          </w:tcPr>
          <w:p w14:paraId="4F602247" w14:textId="77777777" w:rsidR="00514716" w:rsidRPr="00382BA1" w:rsidRDefault="00514716" w:rsidP="00FE156D">
            <w:pPr>
              <w:jc w:val="center"/>
              <w:rPr>
                <w:rFonts w:cstheme="minorHAnsi"/>
                <w:sz w:val="22"/>
                <w:szCs w:val="22"/>
              </w:rPr>
            </w:pPr>
            <w:r>
              <w:rPr>
                <w:rFonts w:cstheme="minorHAnsi"/>
                <w:sz w:val="22"/>
                <w:szCs w:val="22"/>
              </w:rPr>
              <w:t>7.8</w:t>
            </w:r>
          </w:p>
        </w:tc>
      </w:tr>
      <w:tr w:rsidR="00514716" w:rsidRPr="003975B0" w14:paraId="5E72767F" w14:textId="77777777" w:rsidTr="00FE156D">
        <w:trPr>
          <w:trHeight w:val="307"/>
        </w:trPr>
        <w:tc>
          <w:tcPr>
            <w:tcW w:w="4146" w:type="dxa"/>
            <w:tcBorders>
              <w:top w:val="nil"/>
              <w:bottom w:val="double" w:sz="4" w:space="0" w:color="auto"/>
              <w:right w:val="nil"/>
            </w:tcBorders>
          </w:tcPr>
          <w:p w14:paraId="19B6292E" w14:textId="2804A7E6" w:rsidR="00514716" w:rsidRPr="00382BA1" w:rsidRDefault="00514716" w:rsidP="00FE156D">
            <w:pPr>
              <w:rPr>
                <w:rFonts w:cstheme="minorHAnsi"/>
                <w:sz w:val="22"/>
                <w:szCs w:val="22"/>
              </w:rPr>
            </w:pPr>
            <w:r>
              <w:rPr>
                <w:rFonts w:cstheme="minorHAnsi"/>
                <w:sz w:val="22"/>
                <w:szCs w:val="22"/>
              </w:rPr>
              <w:t>Total</w:t>
            </w:r>
            <w:r w:rsidR="00F26CEC">
              <w:rPr>
                <w:rFonts w:cstheme="minorHAnsi"/>
                <w:sz w:val="22"/>
                <w:szCs w:val="22"/>
              </w:rPr>
              <w:t xml:space="preserve"> (</w:t>
            </w:r>
            <w:r w:rsidR="00A56094">
              <w:rPr>
                <w:rFonts w:cstheme="minorHAnsi"/>
                <w:sz w:val="22"/>
                <w:szCs w:val="22"/>
              </w:rPr>
              <w:t>US dollars</w:t>
            </w:r>
            <w:r w:rsidR="00F26CEC">
              <w:rPr>
                <w:rFonts w:cstheme="minorHAnsi"/>
                <w:sz w:val="22"/>
                <w:szCs w:val="22"/>
              </w:rPr>
              <w:t>)</w:t>
            </w:r>
          </w:p>
        </w:tc>
        <w:tc>
          <w:tcPr>
            <w:tcW w:w="2302" w:type="dxa"/>
            <w:tcBorders>
              <w:top w:val="nil"/>
              <w:left w:val="nil"/>
              <w:bottom w:val="double" w:sz="4" w:space="0" w:color="auto"/>
              <w:right w:val="nil"/>
            </w:tcBorders>
          </w:tcPr>
          <w:p w14:paraId="7C568C52" w14:textId="77777777" w:rsidR="00514716" w:rsidRDefault="00514716" w:rsidP="00FE156D">
            <w:pPr>
              <w:jc w:val="center"/>
              <w:rPr>
                <w:rFonts w:cstheme="minorHAnsi"/>
                <w:sz w:val="22"/>
                <w:szCs w:val="22"/>
              </w:rPr>
            </w:pPr>
            <w:r>
              <w:rPr>
                <w:rFonts w:cstheme="minorHAnsi"/>
                <w:sz w:val="22"/>
                <w:szCs w:val="22"/>
              </w:rPr>
              <w:t>25.3</w:t>
            </w:r>
          </w:p>
        </w:tc>
        <w:tc>
          <w:tcPr>
            <w:tcW w:w="2437" w:type="dxa"/>
            <w:tcBorders>
              <w:top w:val="nil"/>
              <w:left w:val="nil"/>
              <w:bottom w:val="double" w:sz="4" w:space="0" w:color="auto"/>
              <w:right w:val="nil"/>
            </w:tcBorders>
          </w:tcPr>
          <w:p w14:paraId="1F5211FD" w14:textId="77777777" w:rsidR="00514716" w:rsidRPr="00382BA1" w:rsidRDefault="00514716" w:rsidP="00FE156D">
            <w:pPr>
              <w:jc w:val="center"/>
              <w:rPr>
                <w:rFonts w:cstheme="minorHAnsi"/>
                <w:sz w:val="22"/>
                <w:szCs w:val="22"/>
              </w:rPr>
            </w:pPr>
            <w:r>
              <w:rPr>
                <w:rFonts w:cstheme="minorHAnsi"/>
                <w:sz w:val="22"/>
                <w:szCs w:val="22"/>
              </w:rPr>
              <w:t>31.7</w:t>
            </w:r>
          </w:p>
        </w:tc>
        <w:tc>
          <w:tcPr>
            <w:tcW w:w="2482" w:type="dxa"/>
            <w:tcBorders>
              <w:top w:val="nil"/>
              <w:left w:val="nil"/>
              <w:bottom w:val="double" w:sz="4" w:space="0" w:color="auto"/>
            </w:tcBorders>
          </w:tcPr>
          <w:p w14:paraId="2A88D57A" w14:textId="77777777" w:rsidR="00514716" w:rsidRDefault="00514716" w:rsidP="00FE156D">
            <w:pPr>
              <w:jc w:val="center"/>
              <w:rPr>
                <w:rFonts w:cstheme="minorHAnsi"/>
                <w:sz w:val="22"/>
                <w:szCs w:val="22"/>
              </w:rPr>
            </w:pPr>
            <w:r>
              <w:rPr>
                <w:rFonts w:cstheme="minorHAnsi"/>
                <w:sz w:val="22"/>
                <w:szCs w:val="22"/>
              </w:rPr>
              <w:t>30.6</w:t>
            </w:r>
          </w:p>
        </w:tc>
      </w:tr>
    </w:tbl>
    <w:p w14:paraId="1551CBB8" w14:textId="77777777" w:rsidR="00514716" w:rsidRDefault="00514716" w:rsidP="007E2764">
      <w:pPr>
        <w:rPr>
          <w:rFonts w:cstheme="minorHAnsi"/>
          <w:sz w:val="20"/>
          <w:szCs w:val="20"/>
        </w:rPr>
      </w:pPr>
    </w:p>
    <w:p w14:paraId="066F9DE6" w14:textId="6D52196B" w:rsidR="00236E20" w:rsidRPr="003975B0" w:rsidRDefault="00236E20" w:rsidP="007E2764">
      <w:pPr>
        <w:rPr>
          <w:rFonts w:cstheme="minorHAnsi"/>
          <w:sz w:val="20"/>
          <w:szCs w:val="20"/>
        </w:rPr>
        <w:sectPr w:rsidR="00236E20" w:rsidRPr="003975B0" w:rsidSect="00952071">
          <w:headerReference w:type="even" r:id="rId14"/>
          <w:headerReference w:type="default" r:id="rId15"/>
          <w:headerReference w:type="first" r:id="rId16"/>
          <w:endnotePr>
            <w:numFmt w:val="decimal"/>
          </w:endnotePr>
          <w:pgSz w:w="15840" w:h="12240" w:orient="landscape"/>
          <w:pgMar w:top="964" w:right="1440" w:bottom="964" w:left="1440" w:header="720" w:footer="720" w:gutter="0"/>
          <w:cols w:space="720"/>
          <w:docGrid w:linePitch="360"/>
        </w:sectPr>
      </w:pPr>
    </w:p>
    <w:p w14:paraId="687C14B4" w14:textId="3660C07D" w:rsidR="00B14297" w:rsidRDefault="005451E0" w:rsidP="005451E0">
      <w:pPr>
        <w:rPr>
          <w:rFonts w:cstheme="minorHAnsi"/>
        </w:rPr>
      </w:pPr>
      <w:r w:rsidRPr="003F4AEA">
        <w:rPr>
          <w:rFonts w:cstheme="minorHAnsi"/>
          <w:b/>
          <w:bCs/>
        </w:rPr>
        <w:lastRenderedPageBreak/>
        <w:t xml:space="preserve">eTable </w:t>
      </w:r>
      <w:r w:rsidR="00514716">
        <w:rPr>
          <w:rFonts w:cstheme="minorHAnsi"/>
          <w:b/>
          <w:bCs/>
        </w:rPr>
        <w:t>5</w:t>
      </w:r>
      <w:r w:rsidRPr="003F4AEA">
        <w:rPr>
          <w:rFonts w:cstheme="minorHAnsi"/>
          <w:b/>
          <w:bCs/>
        </w:rPr>
        <w:t xml:space="preserve">.  </w:t>
      </w:r>
      <w:r>
        <w:rPr>
          <w:rFonts w:cstheme="minorHAnsi"/>
        </w:rPr>
        <w:t>Results of sensitivity analyses adjusting various assumptions compared to primary analyses.</w:t>
      </w:r>
    </w:p>
    <w:p w14:paraId="18A26DF8" w14:textId="77777777" w:rsidR="005451E0" w:rsidRDefault="005451E0" w:rsidP="005451E0">
      <w:pPr>
        <w:rPr>
          <w:rFonts w:cstheme="minorHAnsi"/>
          <w:b/>
          <w:i/>
          <w:color w:val="008000"/>
          <w:sz w:val="20"/>
        </w:rPr>
      </w:pPr>
    </w:p>
    <w:tbl>
      <w:tblPr>
        <w:tblStyle w:val="TableGrid"/>
        <w:tblW w:w="0" w:type="auto"/>
        <w:tblInd w:w="360" w:type="dxa"/>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2442"/>
        <w:gridCol w:w="2073"/>
        <w:gridCol w:w="2073"/>
        <w:gridCol w:w="2052"/>
      </w:tblGrid>
      <w:tr w:rsidR="005451E0" w14:paraId="21CB27B1" w14:textId="77777777" w:rsidTr="00F97137">
        <w:trPr>
          <w:trHeight w:val="492"/>
        </w:trPr>
        <w:tc>
          <w:tcPr>
            <w:tcW w:w="2442" w:type="dxa"/>
            <w:tcBorders>
              <w:top w:val="double" w:sz="4" w:space="0" w:color="auto"/>
              <w:bottom w:val="double" w:sz="4" w:space="0" w:color="auto"/>
            </w:tcBorders>
          </w:tcPr>
          <w:p w14:paraId="2A617A9E"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p>
        </w:tc>
        <w:tc>
          <w:tcPr>
            <w:tcW w:w="2073" w:type="dxa"/>
            <w:tcBorders>
              <w:bottom w:val="double" w:sz="4" w:space="0" w:color="auto"/>
            </w:tcBorders>
          </w:tcPr>
          <w:p w14:paraId="78A9C9B9" w14:textId="77777777" w:rsidR="005451E0" w:rsidRPr="00382BA1" w:rsidRDefault="005451E0" w:rsidP="0062423A">
            <w:pPr>
              <w:pStyle w:val="xxmsolistparagraph"/>
              <w:spacing w:before="0" w:beforeAutospacing="0" w:after="0" w:afterAutospacing="0"/>
              <w:rPr>
                <w:rFonts w:ascii="Calibri" w:hAnsi="Calibri" w:cs="Calibri"/>
                <w:b/>
                <w:bCs/>
                <w:color w:val="212121"/>
                <w:sz w:val="22"/>
                <w:szCs w:val="22"/>
              </w:rPr>
            </w:pPr>
            <w:r w:rsidRPr="00382BA1">
              <w:rPr>
                <w:rFonts w:ascii="Calibri" w:hAnsi="Calibri" w:cs="Calibri"/>
                <w:b/>
                <w:bCs/>
                <w:color w:val="212121"/>
                <w:sz w:val="22"/>
                <w:szCs w:val="22"/>
              </w:rPr>
              <w:t>2018 US Guideline</w:t>
            </w:r>
          </w:p>
        </w:tc>
        <w:tc>
          <w:tcPr>
            <w:tcW w:w="2073" w:type="dxa"/>
            <w:tcBorders>
              <w:bottom w:val="double" w:sz="4" w:space="0" w:color="auto"/>
            </w:tcBorders>
          </w:tcPr>
          <w:p w14:paraId="24ACC59B" w14:textId="77777777" w:rsidR="005451E0" w:rsidRPr="00382BA1" w:rsidRDefault="005451E0" w:rsidP="0062423A">
            <w:pPr>
              <w:pStyle w:val="xxmsolistparagraph"/>
              <w:spacing w:before="0" w:beforeAutospacing="0" w:after="0" w:afterAutospacing="0"/>
              <w:rPr>
                <w:rFonts w:ascii="Calibri" w:hAnsi="Calibri" w:cs="Calibri"/>
                <w:b/>
                <w:bCs/>
                <w:color w:val="212121"/>
                <w:sz w:val="22"/>
                <w:szCs w:val="22"/>
              </w:rPr>
            </w:pPr>
            <w:r w:rsidRPr="00382BA1">
              <w:rPr>
                <w:rFonts w:ascii="Calibri" w:hAnsi="Calibri" w:cs="Calibri"/>
                <w:b/>
                <w:bCs/>
                <w:color w:val="212121"/>
                <w:sz w:val="22"/>
                <w:szCs w:val="22"/>
              </w:rPr>
              <w:t>2019 EU Guideline</w:t>
            </w:r>
          </w:p>
        </w:tc>
        <w:tc>
          <w:tcPr>
            <w:tcW w:w="2052" w:type="dxa"/>
            <w:tcBorders>
              <w:bottom w:val="double" w:sz="4" w:space="0" w:color="auto"/>
            </w:tcBorders>
          </w:tcPr>
          <w:p w14:paraId="1325877B" w14:textId="77777777" w:rsidR="005451E0" w:rsidRPr="00382BA1" w:rsidRDefault="005451E0" w:rsidP="0062423A">
            <w:pPr>
              <w:pStyle w:val="xxmsolistparagraph"/>
              <w:spacing w:before="0" w:beforeAutospacing="0" w:after="0" w:afterAutospacing="0"/>
              <w:rPr>
                <w:rFonts w:ascii="Calibri" w:hAnsi="Calibri" w:cs="Calibri"/>
                <w:b/>
                <w:bCs/>
                <w:color w:val="212121"/>
                <w:sz w:val="22"/>
                <w:szCs w:val="22"/>
              </w:rPr>
            </w:pPr>
            <w:r w:rsidRPr="00382BA1">
              <w:rPr>
                <w:rFonts w:ascii="Calibri" w:hAnsi="Calibri" w:cs="Calibri"/>
                <w:b/>
                <w:bCs/>
                <w:color w:val="212121"/>
                <w:sz w:val="22"/>
                <w:szCs w:val="22"/>
              </w:rPr>
              <w:t>2022 US Pathway</w:t>
            </w:r>
          </w:p>
        </w:tc>
      </w:tr>
      <w:tr w:rsidR="005451E0" w14:paraId="6E754699" w14:textId="77777777" w:rsidTr="00F97137">
        <w:trPr>
          <w:trHeight w:val="260"/>
        </w:trPr>
        <w:tc>
          <w:tcPr>
            <w:tcW w:w="2442" w:type="dxa"/>
            <w:tcBorders>
              <w:top w:val="double" w:sz="4" w:space="0" w:color="auto"/>
              <w:bottom w:val="double" w:sz="4" w:space="0" w:color="auto"/>
            </w:tcBorders>
            <w:shd w:val="clear" w:color="auto" w:fill="A6A6A6" w:themeFill="background1" w:themeFillShade="A6"/>
          </w:tcPr>
          <w:p w14:paraId="09BE7903"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p>
        </w:tc>
        <w:tc>
          <w:tcPr>
            <w:tcW w:w="6198" w:type="dxa"/>
            <w:gridSpan w:val="3"/>
            <w:tcBorders>
              <w:top w:val="double" w:sz="4" w:space="0" w:color="auto"/>
              <w:bottom w:val="double" w:sz="4" w:space="0" w:color="auto"/>
            </w:tcBorders>
            <w:shd w:val="clear" w:color="auto" w:fill="A6A6A6" w:themeFill="background1" w:themeFillShade="A6"/>
            <w:vAlign w:val="center"/>
          </w:tcPr>
          <w:p w14:paraId="6B35150B" w14:textId="77777777" w:rsidR="005451E0" w:rsidRPr="00382BA1" w:rsidRDefault="005451E0" w:rsidP="00F97137">
            <w:pPr>
              <w:pStyle w:val="xxmsolistparagraph"/>
              <w:spacing w:before="0" w:beforeAutospacing="0" w:after="0" w:afterAutospacing="0"/>
              <w:jc w:val="center"/>
              <w:rPr>
                <w:rFonts w:ascii="Calibri" w:hAnsi="Calibri" w:cs="Calibri"/>
                <w:b/>
                <w:bCs/>
                <w:color w:val="212121"/>
                <w:sz w:val="22"/>
                <w:szCs w:val="22"/>
              </w:rPr>
            </w:pPr>
            <w:r w:rsidRPr="00382BA1">
              <w:rPr>
                <w:rFonts w:ascii="Calibri" w:hAnsi="Calibri" w:cs="Calibri"/>
                <w:b/>
                <w:bCs/>
                <w:color w:val="212121"/>
                <w:sz w:val="22"/>
                <w:szCs w:val="22"/>
              </w:rPr>
              <w:t>LDL-C reduction (mg/dL)</w:t>
            </w:r>
          </w:p>
        </w:tc>
      </w:tr>
      <w:tr w:rsidR="005451E0" w14:paraId="5E9D638A" w14:textId="77777777" w:rsidTr="005451E0">
        <w:trPr>
          <w:trHeight w:val="359"/>
        </w:trPr>
        <w:tc>
          <w:tcPr>
            <w:tcW w:w="2442" w:type="dxa"/>
            <w:tcBorders>
              <w:top w:val="double" w:sz="4" w:space="0" w:color="auto"/>
              <w:bottom w:val="threeDEmboss" w:sz="24" w:space="0" w:color="auto"/>
            </w:tcBorders>
          </w:tcPr>
          <w:p w14:paraId="24224250"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Primary Analyses</w:t>
            </w:r>
          </w:p>
        </w:tc>
        <w:tc>
          <w:tcPr>
            <w:tcW w:w="2073" w:type="dxa"/>
            <w:tcBorders>
              <w:top w:val="double" w:sz="4" w:space="0" w:color="auto"/>
              <w:bottom w:val="threeDEmboss" w:sz="24" w:space="0" w:color="auto"/>
            </w:tcBorders>
          </w:tcPr>
          <w:p w14:paraId="5156ABBD"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37.2</w:t>
            </w:r>
          </w:p>
        </w:tc>
        <w:tc>
          <w:tcPr>
            <w:tcW w:w="2073" w:type="dxa"/>
            <w:tcBorders>
              <w:top w:val="double" w:sz="4" w:space="0" w:color="auto"/>
              <w:bottom w:val="threeDEmboss" w:sz="24" w:space="0" w:color="auto"/>
            </w:tcBorders>
          </w:tcPr>
          <w:p w14:paraId="05073FBD"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48.5</w:t>
            </w:r>
          </w:p>
        </w:tc>
        <w:tc>
          <w:tcPr>
            <w:tcW w:w="2052" w:type="dxa"/>
            <w:tcBorders>
              <w:top w:val="double" w:sz="4" w:space="0" w:color="auto"/>
              <w:bottom w:val="threeDEmboss" w:sz="24" w:space="0" w:color="auto"/>
            </w:tcBorders>
          </w:tcPr>
          <w:p w14:paraId="0224F37B"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46.8</w:t>
            </w:r>
          </w:p>
        </w:tc>
      </w:tr>
      <w:tr w:rsidR="005451E0" w14:paraId="4A057445" w14:textId="77777777" w:rsidTr="005451E0">
        <w:trPr>
          <w:trHeight w:val="359"/>
        </w:trPr>
        <w:tc>
          <w:tcPr>
            <w:tcW w:w="8640" w:type="dxa"/>
            <w:gridSpan w:val="4"/>
            <w:tcBorders>
              <w:top w:val="threeDEmboss" w:sz="24" w:space="0" w:color="auto"/>
              <w:bottom w:val="single" w:sz="4" w:space="0" w:color="auto"/>
            </w:tcBorders>
          </w:tcPr>
          <w:p w14:paraId="57008544" w14:textId="77777777" w:rsidR="005451E0" w:rsidRPr="00E01D68" w:rsidRDefault="005451E0" w:rsidP="0062423A">
            <w:pPr>
              <w:pStyle w:val="xxmsolistparagraph"/>
              <w:spacing w:before="0" w:beforeAutospacing="0" w:after="0" w:afterAutospacing="0"/>
              <w:rPr>
                <w:rFonts w:ascii="Calibri" w:hAnsi="Calibri" w:cs="Calibri"/>
                <w:color w:val="212121"/>
                <w:sz w:val="22"/>
                <w:szCs w:val="22"/>
              </w:rPr>
            </w:pPr>
            <w:r w:rsidRPr="00E01D68">
              <w:rPr>
                <w:rFonts w:ascii="Calibri" w:hAnsi="Calibri" w:cs="Calibri"/>
                <w:color w:val="212121"/>
                <w:sz w:val="22"/>
                <w:szCs w:val="22"/>
              </w:rPr>
              <w:t>Proportion of NHANES</w:t>
            </w:r>
            <w:r w:rsidRPr="00E01D68">
              <w:rPr>
                <w:rFonts w:asciiTheme="minorHAnsi" w:hAnsiTheme="minorHAnsi" w:cstheme="minorHAnsi"/>
                <w:sz w:val="22"/>
                <w:szCs w:val="22"/>
              </w:rPr>
              <w:t xml:space="preserve"> statin users at maximum dosage to primary analyses</w:t>
            </w:r>
          </w:p>
        </w:tc>
      </w:tr>
      <w:tr w:rsidR="005451E0" w14:paraId="2AD807D1" w14:textId="77777777" w:rsidTr="0062423A">
        <w:trPr>
          <w:trHeight w:val="379"/>
        </w:trPr>
        <w:tc>
          <w:tcPr>
            <w:tcW w:w="2442" w:type="dxa"/>
            <w:tcBorders>
              <w:top w:val="single" w:sz="4" w:space="0" w:color="auto"/>
              <w:bottom w:val="single" w:sz="4" w:space="0" w:color="auto"/>
            </w:tcBorders>
          </w:tcPr>
          <w:p w14:paraId="4E4A4A7D"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30/70%</w:t>
            </w:r>
          </w:p>
        </w:tc>
        <w:tc>
          <w:tcPr>
            <w:tcW w:w="2073" w:type="dxa"/>
            <w:tcBorders>
              <w:top w:val="single" w:sz="4" w:space="0" w:color="auto"/>
              <w:bottom w:val="single" w:sz="4" w:space="0" w:color="auto"/>
            </w:tcBorders>
          </w:tcPr>
          <w:p w14:paraId="13188BEF"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38.0</w:t>
            </w:r>
          </w:p>
        </w:tc>
        <w:tc>
          <w:tcPr>
            <w:tcW w:w="2073" w:type="dxa"/>
            <w:tcBorders>
              <w:top w:val="single" w:sz="4" w:space="0" w:color="auto"/>
              <w:bottom w:val="single" w:sz="4" w:space="0" w:color="auto"/>
            </w:tcBorders>
          </w:tcPr>
          <w:p w14:paraId="2FBD003B"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50.0</w:t>
            </w:r>
          </w:p>
        </w:tc>
        <w:tc>
          <w:tcPr>
            <w:tcW w:w="2052" w:type="dxa"/>
            <w:tcBorders>
              <w:top w:val="single" w:sz="4" w:space="0" w:color="auto"/>
              <w:bottom w:val="single" w:sz="4" w:space="0" w:color="auto"/>
            </w:tcBorders>
          </w:tcPr>
          <w:p w14:paraId="00BE97F3"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47.5</w:t>
            </w:r>
          </w:p>
        </w:tc>
      </w:tr>
      <w:tr w:rsidR="005451E0" w14:paraId="1192660F" w14:textId="77777777" w:rsidTr="005451E0">
        <w:trPr>
          <w:trHeight w:val="379"/>
        </w:trPr>
        <w:tc>
          <w:tcPr>
            <w:tcW w:w="2442" w:type="dxa"/>
            <w:tcBorders>
              <w:top w:val="single" w:sz="4" w:space="0" w:color="auto"/>
              <w:bottom w:val="single" w:sz="4" w:space="0" w:color="auto"/>
            </w:tcBorders>
          </w:tcPr>
          <w:p w14:paraId="3CB09BCB"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40/60%</w:t>
            </w:r>
          </w:p>
        </w:tc>
        <w:tc>
          <w:tcPr>
            <w:tcW w:w="2073" w:type="dxa"/>
            <w:tcBorders>
              <w:top w:val="single" w:sz="4" w:space="0" w:color="auto"/>
              <w:bottom w:val="single" w:sz="4" w:space="0" w:color="auto"/>
            </w:tcBorders>
          </w:tcPr>
          <w:p w14:paraId="5E5588EF"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38.7</w:t>
            </w:r>
          </w:p>
        </w:tc>
        <w:tc>
          <w:tcPr>
            <w:tcW w:w="2073" w:type="dxa"/>
            <w:tcBorders>
              <w:top w:val="single" w:sz="4" w:space="0" w:color="auto"/>
              <w:bottom w:val="single" w:sz="4" w:space="0" w:color="auto"/>
            </w:tcBorders>
          </w:tcPr>
          <w:p w14:paraId="1273143D"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50.0</w:t>
            </w:r>
          </w:p>
        </w:tc>
        <w:tc>
          <w:tcPr>
            <w:tcW w:w="2052" w:type="dxa"/>
            <w:tcBorders>
              <w:top w:val="single" w:sz="4" w:space="0" w:color="auto"/>
              <w:bottom w:val="single" w:sz="4" w:space="0" w:color="auto"/>
            </w:tcBorders>
          </w:tcPr>
          <w:p w14:paraId="63DC32B6"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47.4</w:t>
            </w:r>
          </w:p>
        </w:tc>
      </w:tr>
      <w:tr w:rsidR="005451E0" w14:paraId="176C5ABD" w14:textId="77777777" w:rsidTr="005451E0">
        <w:trPr>
          <w:trHeight w:val="379"/>
        </w:trPr>
        <w:tc>
          <w:tcPr>
            <w:tcW w:w="2442" w:type="dxa"/>
            <w:tcBorders>
              <w:top w:val="single" w:sz="4" w:space="0" w:color="auto"/>
              <w:bottom w:val="threeDEmboss" w:sz="24" w:space="0" w:color="auto"/>
            </w:tcBorders>
          </w:tcPr>
          <w:p w14:paraId="3861FD2E"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50/50%</w:t>
            </w:r>
          </w:p>
        </w:tc>
        <w:tc>
          <w:tcPr>
            <w:tcW w:w="2073" w:type="dxa"/>
            <w:tcBorders>
              <w:top w:val="single" w:sz="4" w:space="0" w:color="auto"/>
              <w:bottom w:val="threeDEmboss" w:sz="24" w:space="0" w:color="auto"/>
            </w:tcBorders>
          </w:tcPr>
          <w:p w14:paraId="223A9C3D"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38.8</w:t>
            </w:r>
          </w:p>
        </w:tc>
        <w:tc>
          <w:tcPr>
            <w:tcW w:w="2073" w:type="dxa"/>
            <w:tcBorders>
              <w:top w:val="single" w:sz="4" w:space="0" w:color="auto"/>
              <w:bottom w:val="threeDEmboss" w:sz="24" w:space="0" w:color="auto"/>
            </w:tcBorders>
          </w:tcPr>
          <w:p w14:paraId="3D88916C"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50.0</w:t>
            </w:r>
          </w:p>
        </w:tc>
        <w:tc>
          <w:tcPr>
            <w:tcW w:w="2052" w:type="dxa"/>
            <w:tcBorders>
              <w:top w:val="single" w:sz="4" w:space="0" w:color="auto"/>
              <w:bottom w:val="threeDEmboss" w:sz="24" w:space="0" w:color="auto"/>
            </w:tcBorders>
          </w:tcPr>
          <w:p w14:paraId="3B3FBE17"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47.5</w:t>
            </w:r>
          </w:p>
        </w:tc>
      </w:tr>
      <w:tr w:rsidR="005451E0" w14:paraId="1B3927AB" w14:textId="77777777" w:rsidTr="005451E0">
        <w:trPr>
          <w:trHeight w:val="366"/>
        </w:trPr>
        <w:tc>
          <w:tcPr>
            <w:tcW w:w="8640" w:type="dxa"/>
            <w:gridSpan w:val="4"/>
            <w:tcBorders>
              <w:top w:val="threeDEmboss" w:sz="24" w:space="0" w:color="auto"/>
              <w:bottom w:val="single" w:sz="4" w:space="0" w:color="auto"/>
            </w:tcBorders>
          </w:tcPr>
          <w:p w14:paraId="32E1CB18" w14:textId="7867C856" w:rsidR="005451E0" w:rsidRPr="00E01D68" w:rsidRDefault="005451E0" w:rsidP="0062423A">
            <w:pPr>
              <w:rPr>
                <w:rFonts w:cstheme="minorHAnsi"/>
                <w:b/>
                <w:bCs/>
                <w:sz w:val="22"/>
                <w:szCs w:val="22"/>
              </w:rPr>
            </w:pPr>
            <w:r w:rsidRPr="00E01D68">
              <w:rPr>
                <w:rFonts w:cstheme="minorHAnsi"/>
                <w:sz w:val="22"/>
                <w:szCs w:val="22"/>
              </w:rPr>
              <w:t>LDL-C lowering effect of each statin medication</w:t>
            </w:r>
            <w:r w:rsidR="00F14DC1">
              <w:rPr>
                <w:rFonts w:ascii="Symbol" w:eastAsia="Symbol" w:hAnsi="Symbol" w:cstheme="minorHAnsi"/>
                <w:sz w:val="20"/>
                <w:vertAlign w:val="superscript"/>
                <w:lang w:eastAsia="zh-TW"/>
              </w:rPr>
              <w:t></w:t>
            </w:r>
          </w:p>
        </w:tc>
      </w:tr>
      <w:tr w:rsidR="005451E0" w14:paraId="2971C4A2" w14:textId="77777777" w:rsidTr="005451E0">
        <w:trPr>
          <w:trHeight w:val="379"/>
        </w:trPr>
        <w:tc>
          <w:tcPr>
            <w:tcW w:w="2442" w:type="dxa"/>
            <w:tcBorders>
              <w:top w:val="single" w:sz="4" w:space="0" w:color="auto"/>
              <w:bottom w:val="single" w:sz="4" w:space="0" w:color="auto"/>
            </w:tcBorders>
          </w:tcPr>
          <w:p w14:paraId="7AB39DB0"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Sensitivity-Min</w:t>
            </w:r>
            <w:r w:rsidRPr="00382BA1">
              <w:rPr>
                <w:rFonts w:ascii="Symbol" w:eastAsia="Symbol" w:hAnsi="Symbol" w:cstheme="minorHAnsi"/>
                <w:sz w:val="22"/>
                <w:szCs w:val="22"/>
                <w:vertAlign w:val="superscript"/>
                <w:lang w:eastAsia="zh-TW"/>
              </w:rPr>
              <w:t></w:t>
            </w:r>
          </w:p>
        </w:tc>
        <w:tc>
          <w:tcPr>
            <w:tcW w:w="2073" w:type="dxa"/>
            <w:tcBorders>
              <w:top w:val="single" w:sz="4" w:space="0" w:color="auto"/>
              <w:bottom w:val="single" w:sz="4" w:space="0" w:color="auto"/>
            </w:tcBorders>
          </w:tcPr>
          <w:p w14:paraId="57B56F95"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31.2</w:t>
            </w:r>
          </w:p>
        </w:tc>
        <w:tc>
          <w:tcPr>
            <w:tcW w:w="2073" w:type="dxa"/>
            <w:tcBorders>
              <w:top w:val="single" w:sz="4" w:space="0" w:color="auto"/>
              <w:bottom w:val="single" w:sz="4" w:space="0" w:color="auto"/>
            </w:tcBorders>
          </w:tcPr>
          <w:p w14:paraId="668690B3"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47.1</w:t>
            </w:r>
          </w:p>
        </w:tc>
        <w:tc>
          <w:tcPr>
            <w:tcW w:w="2052" w:type="dxa"/>
            <w:tcBorders>
              <w:top w:val="single" w:sz="4" w:space="0" w:color="auto"/>
              <w:bottom w:val="single" w:sz="4" w:space="0" w:color="auto"/>
            </w:tcBorders>
          </w:tcPr>
          <w:p w14:paraId="536A209B"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53.2</w:t>
            </w:r>
          </w:p>
        </w:tc>
      </w:tr>
      <w:tr w:rsidR="005451E0" w14:paraId="0BA1239B" w14:textId="77777777" w:rsidTr="005451E0">
        <w:trPr>
          <w:trHeight w:val="379"/>
        </w:trPr>
        <w:tc>
          <w:tcPr>
            <w:tcW w:w="2442" w:type="dxa"/>
            <w:tcBorders>
              <w:top w:val="single" w:sz="4" w:space="0" w:color="auto"/>
              <w:bottom w:val="threeDEngrave" w:sz="24" w:space="0" w:color="auto"/>
            </w:tcBorders>
          </w:tcPr>
          <w:p w14:paraId="0C914B07"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Sensitivity-Max</w:t>
            </w:r>
          </w:p>
        </w:tc>
        <w:tc>
          <w:tcPr>
            <w:tcW w:w="2073" w:type="dxa"/>
            <w:tcBorders>
              <w:top w:val="single" w:sz="4" w:space="0" w:color="auto"/>
              <w:bottom w:val="threeDEngrave" w:sz="24" w:space="0" w:color="auto"/>
            </w:tcBorders>
          </w:tcPr>
          <w:p w14:paraId="3CF80CA8"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46.4</w:t>
            </w:r>
          </w:p>
        </w:tc>
        <w:tc>
          <w:tcPr>
            <w:tcW w:w="2073" w:type="dxa"/>
            <w:tcBorders>
              <w:top w:val="single" w:sz="4" w:space="0" w:color="auto"/>
              <w:bottom w:val="threeDEngrave" w:sz="24" w:space="0" w:color="auto"/>
            </w:tcBorders>
          </w:tcPr>
          <w:p w14:paraId="130A5CF4"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68.3</w:t>
            </w:r>
          </w:p>
        </w:tc>
        <w:tc>
          <w:tcPr>
            <w:tcW w:w="2052" w:type="dxa"/>
            <w:tcBorders>
              <w:top w:val="single" w:sz="4" w:space="0" w:color="auto"/>
              <w:bottom w:val="threeDEngrave" w:sz="24" w:space="0" w:color="auto"/>
            </w:tcBorders>
          </w:tcPr>
          <w:p w14:paraId="0F9CC0E7"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60.0</w:t>
            </w:r>
          </w:p>
        </w:tc>
      </w:tr>
      <w:tr w:rsidR="005451E0" w14:paraId="1AF6C947" w14:textId="77777777" w:rsidTr="005451E0">
        <w:trPr>
          <w:trHeight w:val="379"/>
        </w:trPr>
        <w:tc>
          <w:tcPr>
            <w:tcW w:w="2442" w:type="dxa"/>
            <w:tcBorders>
              <w:top w:val="threeDEngrave" w:sz="24" w:space="0" w:color="auto"/>
              <w:bottom w:val="threeDEngrave" w:sz="24" w:space="0" w:color="auto"/>
            </w:tcBorders>
          </w:tcPr>
          <w:p w14:paraId="3FDFA1F0"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2017-2020 data</w:t>
            </w:r>
          </w:p>
        </w:tc>
        <w:tc>
          <w:tcPr>
            <w:tcW w:w="2073" w:type="dxa"/>
            <w:tcBorders>
              <w:top w:val="threeDEngrave" w:sz="24" w:space="0" w:color="auto"/>
              <w:bottom w:val="threeDEngrave" w:sz="24" w:space="0" w:color="auto"/>
            </w:tcBorders>
          </w:tcPr>
          <w:p w14:paraId="0154499C"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36.4</w:t>
            </w:r>
          </w:p>
        </w:tc>
        <w:tc>
          <w:tcPr>
            <w:tcW w:w="2073" w:type="dxa"/>
            <w:tcBorders>
              <w:top w:val="threeDEngrave" w:sz="24" w:space="0" w:color="auto"/>
              <w:bottom w:val="threeDEngrave" w:sz="24" w:space="0" w:color="auto"/>
            </w:tcBorders>
          </w:tcPr>
          <w:p w14:paraId="19989BD9"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48.0</w:t>
            </w:r>
          </w:p>
        </w:tc>
        <w:tc>
          <w:tcPr>
            <w:tcW w:w="2052" w:type="dxa"/>
            <w:tcBorders>
              <w:top w:val="threeDEngrave" w:sz="24" w:space="0" w:color="auto"/>
              <w:bottom w:val="threeDEngrave" w:sz="24" w:space="0" w:color="auto"/>
            </w:tcBorders>
          </w:tcPr>
          <w:p w14:paraId="0E9F93D3"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46.0</w:t>
            </w:r>
          </w:p>
        </w:tc>
      </w:tr>
      <w:tr w:rsidR="005451E0" w14:paraId="2B3B76F6" w14:textId="77777777" w:rsidTr="00F97137">
        <w:trPr>
          <w:trHeight w:val="379"/>
        </w:trPr>
        <w:tc>
          <w:tcPr>
            <w:tcW w:w="2442" w:type="dxa"/>
            <w:tcBorders>
              <w:top w:val="threeDEngrave" w:sz="24" w:space="0" w:color="auto"/>
              <w:bottom w:val="double" w:sz="4" w:space="0" w:color="auto"/>
            </w:tcBorders>
          </w:tcPr>
          <w:p w14:paraId="08946CCB"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Martin-Hopkins</w:t>
            </w:r>
          </w:p>
        </w:tc>
        <w:tc>
          <w:tcPr>
            <w:tcW w:w="2073" w:type="dxa"/>
            <w:tcBorders>
              <w:top w:val="threeDEngrave" w:sz="24" w:space="0" w:color="auto"/>
              <w:bottom w:val="double" w:sz="4" w:space="0" w:color="auto"/>
            </w:tcBorders>
          </w:tcPr>
          <w:p w14:paraId="411E6839"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39.4</w:t>
            </w:r>
          </w:p>
        </w:tc>
        <w:tc>
          <w:tcPr>
            <w:tcW w:w="2073" w:type="dxa"/>
            <w:tcBorders>
              <w:top w:val="threeDEngrave" w:sz="24" w:space="0" w:color="auto"/>
              <w:bottom w:val="double" w:sz="4" w:space="0" w:color="auto"/>
            </w:tcBorders>
          </w:tcPr>
          <w:p w14:paraId="469124F1"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50.2</w:t>
            </w:r>
          </w:p>
        </w:tc>
        <w:tc>
          <w:tcPr>
            <w:tcW w:w="2052" w:type="dxa"/>
            <w:tcBorders>
              <w:top w:val="threeDEngrave" w:sz="24" w:space="0" w:color="auto"/>
              <w:bottom w:val="double" w:sz="4" w:space="0" w:color="auto"/>
            </w:tcBorders>
          </w:tcPr>
          <w:p w14:paraId="4943059F"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48.1</w:t>
            </w:r>
          </w:p>
        </w:tc>
      </w:tr>
      <w:tr w:rsidR="005451E0" w14:paraId="69C50FEC" w14:textId="77777777" w:rsidTr="00F97137">
        <w:trPr>
          <w:trHeight w:val="249"/>
        </w:trPr>
        <w:tc>
          <w:tcPr>
            <w:tcW w:w="2442" w:type="dxa"/>
            <w:tcBorders>
              <w:top w:val="double" w:sz="4" w:space="0" w:color="auto"/>
              <w:bottom w:val="double" w:sz="4" w:space="0" w:color="auto"/>
            </w:tcBorders>
            <w:shd w:val="clear" w:color="auto" w:fill="A6A6A6" w:themeFill="background1" w:themeFillShade="A6"/>
          </w:tcPr>
          <w:p w14:paraId="234F78CF"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p>
        </w:tc>
        <w:tc>
          <w:tcPr>
            <w:tcW w:w="6198" w:type="dxa"/>
            <w:gridSpan w:val="3"/>
            <w:tcBorders>
              <w:top w:val="double" w:sz="4" w:space="0" w:color="auto"/>
              <w:bottom w:val="double" w:sz="4" w:space="0" w:color="auto"/>
            </w:tcBorders>
            <w:shd w:val="clear" w:color="auto" w:fill="A6A6A6" w:themeFill="background1" w:themeFillShade="A6"/>
            <w:vAlign w:val="center"/>
          </w:tcPr>
          <w:p w14:paraId="3ADA74F1" w14:textId="77777777" w:rsidR="005451E0" w:rsidRPr="00382BA1" w:rsidRDefault="005451E0" w:rsidP="00F97137">
            <w:pPr>
              <w:pStyle w:val="xxmsolistparagraph"/>
              <w:spacing w:before="0" w:beforeAutospacing="0" w:after="0" w:afterAutospacing="0"/>
              <w:jc w:val="center"/>
              <w:rPr>
                <w:rFonts w:ascii="Calibri" w:hAnsi="Calibri" w:cs="Calibri"/>
                <w:b/>
                <w:bCs/>
                <w:color w:val="212121"/>
                <w:sz w:val="22"/>
                <w:szCs w:val="22"/>
              </w:rPr>
            </w:pPr>
            <w:r w:rsidRPr="00382BA1">
              <w:rPr>
                <w:rFonts w:ascii="Calibri" w:hAnsi="Calibri" w:cs="Calibri"/>
                <w:b/>
                <w:bCs/>
                <w:color w:val="212121"/>
                <w:sz w:val="22"/>
                <w:szCs w:val="22"/>
              </w:rPr>
              <w:t>Reduction in risk of CV events</w:t>
            </w:r>
          </w:p>
        </w:tc>
      </w:tr>
      <w:tr w:rsidR="005451E0" w14:paraId="45CDC3E6" w14:textId="77777777" w:rsidTr="00F97137">
        <w:trPr>
          <w:trHeight w:val="379"/>
        </w:trPr>
        <w:tc>
          <w:tcPr>
            <w:tcW w:w="2442" w:type="dxa"/>
            <w:tcBorders>
              <w:top w:val="double" w:sz="4" w:space="0" w:color="auto"/>
              <w:bottom w:val="threeDEngrave" w:sz="24" w:space="0" w:color="auto"/>
            </w:tcBorders>
          </w:tcPr>
          <w:p w14:paraId="4800D0C9"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Primary Analyses</w:t>
            </w:r>
          </w:p>
        </w:tc>
        <w:tc>
          <w:tcPr>
            <w:tcW w:w="2073" w:type="dxa"/>
            <w:tcBorders>
              <w:top w:val="double" w:sz="4" w:space="0" w:color="auto"/>
              <w:bottom w:val="threeDEngrave" w:sz="24" w:space="0" w:color="auto"/>
            </w:tcBorders>
          </w:tcPr>
          <w:p w14:paraId="6256991E"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21.3%</w:t>
            </w:r>
          </w:p>
        </w:tc>
        <w:tc>
          <w:tcPr>
            <w:tcW w:w="2073" w:type="dxa"/>
            <w:tcBorders>
              <w:top w:val="double" w:sz="4" w:space="0" w:color="auto"/>
              <w:bottom w:val="threeDEngrave" w:sz="24" w:space="0" w:color="auto"/>
            </w:tcBorders>
          </w:tcPr>
          <w:p w14:paraId="2F3CF588"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26.8%</w:t>
            </w:r>
          </w:p>
        </w:tc>
        <w:tc>
          <w:tcPr>
            <w:tcW w:w="2052" w:type="dxa"/>
            <w:tcBorders>
              <w:top w:val="double" w:sz="4" w:space="0" w:color="auto"/>
              <w:bottom w:val="threeDEngrave" w:sz="24" w:space="0" w:color="auto"/>
            </w:tcBorders>
          </w:tcPr>
          <w:p w14:paraId="50A42FE2"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26.0%</w:t>
            </w:r>
          </w:p>
        </w:tc>
      </w:tr>
      <w:tr w:rsidR="005451E0" w14:paraId="3430EF60" w14:textId="77777777" w:rsidTr="00F97137">
        <w:trPr>
          <w:trHeight w:val="379"/>
        </w:trPr>
        <w:tc>
          <w:tcPr>
            <w:tcW w:w="8640" w:type="dxa"/>
            <w:gridSpan w:val="4"/>
            <w:tcBorders>
              <w:top w:val="threeDEngrave" w:sz="24" w:space="0" w:color="auto"/>
            </w:tcBorders>
          </w:tcPr>
          <w:p w14:paraId="01E11D62"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E01D68">
              <w:rPr>
                <w:rFonts w:ascii="Calibri" w:hAnsi="Calibri" w:cs="Calibri"/>
                <w:color w:val="212121"/>
                <w:sz w:val="22"/>
                <w:szCs w:val="22"/>
              </w:rPr>
              <w:t>Proportion of NHANES</w:t>
            </w:r>
            <w:r w:rsidRPr="00E01D68">
              <w:rPr>
                <w:rFonts w:asciiTheme="minorHAnsi" w:hAnsiTheme="minorHAnsi" w:cstheme="minorHAnsi"/>
                <w:sz w:val="22"/>
                <w:szCs w:val="22"/>
              </w:rPr>
              <w:t xml:space="preserve"> statin users at maximum dosage to primary analyses</w:t>
            </w:r>
          </w:p>
        </w:tc>
      </w:tr>
      <w:tr w:rsidR="005451E0" w14:paraId="0BB4E1A8" w14:textId="77777777" w:rsidTr="0062423A">
        <w:trPr>
          <w:trHeight w:val="359"/>
        </w:trPr>
        <w:tc>
          <w:tcPr>
            <w:tcW w:w="2442" w:type="dxa"/>
          </w:tcPr>
          <w:p w14:paraId="545C0740"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30/70%</w:t>
            </w:r>
          </w:p>
        </w:tc>
        <w:tc>
          <w:tcPr>
            <w:tcW w:w="2073" w:type="dxa"/>
          </w:tcPr>
          <w:p w14:paraId="698EF6C4"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21.7%</w:t>
            </w:r>
          </w:p>
        </w:tc>
        <w:tc>
          <w:tcPr>
            <w:tcW w:w="2073" w:type="dxa"/>
          </w:tcPr>
          <w:p w14:paraId="2C9DB936"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27.5%</w:t>
            </w:r>
          </w:p>
        </w:tc>
        <w:tc>
          <w:tcPr>
            <w:tcW w:w="2052" w:type="dxa"/>
          </w:tcPr>
          <w:p w14:paraId="39D717B2"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26.3%</w:t>
            </w:r>
          </w:p>
        </w:tc>
      </w:tr>
      <w:tr w:rsidR="005451E0" w14:paraId="20E5FB3F" w14:textId="77777777" w:rsidTr="00F97137">
        <w:trPr>
          <w:trHeight w:val="359"/>
        </w:trPr>
        <w:tc>
          <w:tcPr>
            <w:tcW w:w="2442" w:type="dxa"/>
            <w:tcBorders>
              <w:bottom w:val="single" w:sz="4" w:space="0" w:color="auto"/>
            </w:tcBorders>
          </w:tcPr>
          <w:p w14:paraId="3541A347"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40/60%</w:t>
            </w:r>
          </w:p>
        </w:tc>
        <w:tc>
          <w:tcPr>
            <w:tcW w:w="2073" w:type="dxa"/>
            <w:tcBorders>
              <w:bottom w:val="single" w:sz="4" w:space="0" w:color="auto"/>
            </w:tcBorders>
          </w:tcPr>
          <w:p w14:paraId="3221ABF1"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22.0%</w:t>
            </w:r>
          </w:p>
        </w:tc>
        <w:tc>
          <w:tcPr>
            <w:tcW w:w="2073" w:type="dxa"/>
            <w:tcBorders>
              <w:bottom w:val="single" w:sz="4" w:space="0" w:color="auto"/>
            </w:tcBorders>
          </w:tcPr>
          <w:p w14:paraId="50CE0B86"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27.5%</w:t>
            </w:r>
          </w:p>
        </w:tc>
        <w:tc>
          <w:tcPr>
            <w:tcW w:w="2052" w:type="dxa"/>
            <w:tcBorders>
              <w:bottom w:val="single" w:sz="4" w:space="0" w:color="auto"/>
            </w:tcBorders>
          </w:tcPr>
          <w:p w14:paraId="0B9CFEC1"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26.3%</w:t>
            </w:r>
          </w:p>
        </w:tc>
      </w:tr>
      <w:tr w:rsidR="005451E0" w14:paraId="45DFEDC2" w14:textId="77777777" w:rsidTr="00F97137">
        <w:trPr>
          <w:trHeight w:val="359"/>
        </w:trPr>
        <w:tc>
          <w:tcPr>
            <w:tcW w:w="2442" w:type="dxa"/>
            <w:tcBorders>
              <w:top w:val="single" w:sz="4" w:space="0" w:color="auto"/>
              <w:bottom w:val="threeDEngrave" w:sz="24" w:space="0" w:color="auto"/>
            </w:tcBorders>
          </w:tcPr>
          <w:p w14:paraId="31E45E27"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50/50%</w:t>
            </w:r>
          </w:p>
        </w:tc>
        <w:tc>
          <w:tcPr>
            <w:tcW w:w="2073" w:type="dxa"/>
            <w:tcBorders>
              <w:top w:val="single" w:sz="4" w:space="0" w:color="auto"/>
              <w:bottom w:val="threeDEngrave" w:sz="24" w:space="0" w:color="auto"/>
            </w:tcBorders>
          </w:tcPr>
          <w:p w14:paraId="20FCD5D6"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22.1%</w:t>
            </w:r>
          </w:p>
        </w:tc>
        <w:tc>
          <w:tcPr>
            <w:tcW w:w="2073" w:type="dxa"/>
            <w:tcBorders>
              <w:top w:val="single" w:sz="4" w:space="0" w:color="auto"/>
              <w:bottom w:val="threeDEngrave" w:sz="24" w:space="0" w:color="auto"/>
            </w:tcBorders>
          </w:tcPr>
          <w:p w14:paraId="1EA43A27"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27.5%</w:t>
            </w:r>
          </w:p>
        </w:tc>
        <w:tc>
          <w:tcPr>
            <w:tcW w:w="2052" w:type="dxa"/>
            <w:tcBorders>
              <w:top w:val="single" w:sz="4" w:space="0" w:color="auto"/>
              <w:bottom w:val="threeDEngrave" w:sz="24" w:space="0" w:color="auto"/>
            </w:tcBorders>
          </w:tcPr>
          <w:p w14:paraId="1D57A19E"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26.3%</w:t>
            </w:r>
          </w:p>
        </w:tc>
      </w:tr>
      <w:tr w:rsidR="005451E0" w14:paraId="35D7D292" w14:textId="77777777" w:rsidTr="00F97137">
        <w:trPr>
          <w:trHeight w:val="359"/>
        </w:trPr>
        <w:tc>
          <w:tcPr>
            <w:tcW w:w="8640" w:type="dxa"/>
            <w:gridSpan w:val="4"/>
            <w:tcBorders>
              <w:top w:val="threeDEngrave" w:sz="24" w:space="0" w:color="auto"/>
            </w:tcBorders>
          </w:tcPr>
          <w:p w14:paraId="3AB110A1" w14:textId="790008B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E01D68">
              <w:rPr>
                <w:rFonts w:asciiTheme="minorHAnsi" w:hAnsiTheme="minorHAnsi" w:cstheme="minorHAnsi"/>
                <w:sz w:val="22"/>
                <w:szCs w:val="22"/>
              </w:rPr>
              <w:t>LDL-C lowering effect of each statin medication</w:t>
            </w:r>
            <w:r w:rsidR="00F14DC1">
              <w:rPr>
                <w:rFonts w:ascii="Symbol" w:eastAsia="Symbol" w:hAnsi="Symbol" w:cstheme="minorHAnsi"/>
                <w:sz w:val="20"/>
                <w:vertAlign w:val="superscript"/>
                <w:lang w:eastAsia="zh-TW"/>
              </w:rPr>
              <w:t></w:t>
            </w:r>
          </w:p>
        </w:tc>
      </w:tr>
      <w:tr w:rsidR="005451E0" w14:paraId="23C0B47B" w14:textId="77777777" w:rsidTr="00F97137">
        <w:trPr>
          <w:trHeight w:val="359"/>
        </w:trPr>
        <w:tc>
          <w:tcPr>
            <w:tcW w:w="2442" w:type="dxa"/>
            <w:tcBorders>
              <w:bottom w:val="single" w:sz="4" w:space="0" w:color="auto"/>
            </w:tcBorders>
          </w:tcPr>
          <w:p w14:paraId="33B5FBF6"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Sensitivity-Min</w:t>
            </w:r>
          </w:p>
        </w:tc>
        <w:tc>
          <w:tcPr>
            <w:tcW w:w="2073" w:type="dxa"/>
            <w:tcBorders>
              <w:bottom w:val="single" w:sz="4" w:space="0" w:color="auto"/>
            </w:tcBorders>
          </w:tcPr>
          <w:p w14:paraId="678FECCC"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18.2%</w:t>
            </w:r>
          </w:p>
        </w:tc>
        <w:tc>
          <w:tcPr>
            <w:tcW w:w="2073" w:type="dxa"/>
            <w:tcBorders>
              <w:bottom w:val="single" w:sz="4" w:space="0" w:color="auto"/>
            </w:tcBorders>
          </w:tcPr>
          <w:p w14:paraId="177C458C"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26.1%</w:t>
            </w:r>
          </w:p>
        </w:tc>
        <w:tc>
          <w:tcPr>
            <w:tcW w:w="2052" w:type="dxa"/>
            <w:tcBorders>
              <w:bottom w:val="single" w:sz="4" w:space="0" w:color="auto"/>
            </w:tcBorders>
          </w:tcPr>
          <w:p w14:paraId="1584D3DE"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29.0%</w:t>
            </w:r>
          </w:p>
        </w:tc>
      </w:tr>
      <w:tr w:rsidR="005451E0" w14:paraId="4D2341F7" w14:textId="77777777" w:rsidTr="00F97137">
        <w:trPr>
          <w:trHeight w:val="359"/>
        </w:trPr>
        <w:tc>
          <w:tcPr>
            <w:tcW w:w="2442" w:type="dxa"/>
            <w:tcBorders>
              <w:top w:val="single" w:sz="4" w:space="0" w:color="auto"/>
              <w:bottom w:val="threeDEngrave" w:sz="24" w:space="0" w:color="auto"/>
            </w:tcBorders>
          </w:tcPr>
          <w:p w14:paraId="32D89B71"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 xml:space="preserve">    Sensitivity-Max</w:t>
            </w:r>
          </w:p>
        </w:tc>
        <w:tc>
          <w:tcPr>
            <w:tcW w:w="2073" w:type="dxa"/>
            <w:tcBorders>
              <w:top w:val="single" w:sz="4" w:space="0" w:color="auto"/>
              <w:bottom w:val="threeDEngrave" w:sz="24" w:space="0" w:color="auto"/>
            </w:tcBorders>
          </w:tcPr>
          <w:p w14:paraId="3ACFFFD7"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25.8%</w:t>
            </w:r>
          </w:p>
        </w:tc>
        <w:tc>
          <w:tcPr>
            <w:tcW w:w="2073" w:type="dxa"/>
            <w:tcBorders>
              <w:top w:val="single" w:sz="4" w:space="0" w:color="auto"/>
              <w:bottom w:val="threeDEngrave" w:sz="24" w:space="0" w:color="auto"/>
            </w:tcBorders>
          </w:tcPr>
          <w:p w14:paraId="5896A103"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35.5%</w:t>
            </w:r>
          </w:p>
        </w:tc>
        <w:tc>
          <w:tcPr>
            <w:tcW w:w="2052" w:type="dxa"/>
            <w:tcBorders>
              <w:top w:val="single" w:sz="4" w:space="0" w:color="auto"/>
              <w:bottom w:val="threeDEngrave" w:sz="24" w:space="0" w:color="auto"/>
            </w:tcBorders>
          </w:tcPr>
          <w:p w14:paraId="25ABDBFD"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32.0%</w:t>
            </w:r>
          </w:p>
        </w:tc>
      </w:tr>
      <w:tr w:rsidR="005451E0" w14:paraId="5CDA05B6" w14:textId="77777777" w:rsidTr="00F97137">
        <w:trPr>
          <w:trHeight w:val="359"/>
        </w:trPr>
        <w:tc>
          <w:tcPr>
            <w:tcW w:w="2442" w:type="dxa"/>
            <w:tcBorders>
              <w:top w:val="threeDEngrave" w:sz="24" w:space="0" w:color="auto"/>
              <w:bottom w:val="threeDEngrave" w:sz="24" w:space="0" w:color="auto"/>
            </w:tcBorders>
          </w:tcPr>
          <w:p w14:paraId="5CA67E64"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2017-2020 data</w:t>
            </w:r>
          </w:p>
        </w:tc>
        <w:tc>
          <w:tcPr>
            <w:tcW w:w="2073" w:type="dxa"/>
            <w:tcBorders>
              <w:top w:val="threeDEngrave" w:sz="24" w:space="0" w:color="auto"/>
              <w:bottom w:val="threeDEngrave" w:sz="24" w:space="0" w:color="auto"/>
            </w:tcBorders>
          </w:tcPr>
          <w:p w14:paraId="7A4B9E1D"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20.0%</w:t>
            </w:r>
          </w:p>
        </w:tc>
        <w:tc>
          <w:tcPr>
            <w:tcW w:w="2073" w:type="dxa"/>
            <w:tcBorders>
              <w:top w:val="threeDEngrave" w:sz="24" w:space="0" w:color="auto"/>
              <w:bottom w:val="threeDEngrave" w:sz="24" w:space="0" w:color="auto"/>
            </w:tcBorders>
          </w:tcPr>
          <w:p w14:paraId="41FDABEE"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26.5%</w:t>
            </w:r>
          </w:p>
        </w:tc>
        <w:tc>
          <w:tcPr>
            <w:tcW w:w="2052" w:type="dxa"/>
            <w:tcBorders>
              <w:top w:val="threeDEngrave" w:sz="24" w:space="0" w:color="auto"/>
              <w:bottom w:val="threeDEngrave" w:sz="24" w:space="0" w:color="auto"/>
            </w:tcBorders>
          </w:tcPr>
          <w:p w14:paraId="3BB9AACB"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25.1%</w:t>
            </w:r>
          </w:p>
        </w:tc>
      </w:tr>
      <w:tr w:rsidR="005451E0" w14:paraId="1CBE9A5D" w14:textId="77777777" w:rsidTr="00F97137">
        <w:trPr>
          <w:trHeight w:val="359"/>
        </w:trPr>
        <w:tc>
          <w:tcPr>
            <w:tcW w:w="2442" w:type="dxa"/>
            <w:tcBorders>
              <w:top w:val="threeDEngrave" w:sz="24" w:space="0" w:color="auto"/>
            </w:tcBorders>
          </w:tcPr>
          <w:p w14:paraId="3319FA66" w14:textId="77777777" w:rsidR="005451E0" w:rsidRPr="00382BA1" w:rsidRDefault="005451E0" w:rsidP="0062423A">
            <w:pPr>
              <w:pStyle w:val="xxmsolistparagraph"/>
              <w:spacing w:before="0" w:beforeAutospacing="0" w:after="0" w:afterAutospacing="0"/>
              <w:rPr>
                <w:rFonts w:ascii="Calibri" w:hAnsi="Calibri" w:cs="Calibri"/>
                <w:color w:val="212121"/>
                <w:sz w:val="22"/>
                <w:szCs w:val="22"/>
              </w:rPr>
            </w:pPr>
            <w:r w:rsidRPr="00382BA1">
              <w:rPr>
                <w:rFonts w:ascii="Calibri" w:hAnsi="Calibri" w:cs="Calibri"/>
                <w:color w:val="212121"/>
                <w:sz w:val="22"/>
                <w:szCs w:val="22"/>
              </w:rPr>
              <w:t>Martin-Hopkins</w:t>
            </w:r>
          </w:p>
        </w:tc>
        <w:tc>
          <w:tcPr>
            <w:tcW w:w="2073" w:type="dxa"/>
            <w:tcBorders>
              <w:top w:val="threeDEngrave" w:sz="24" w:space="0" w:color="auto"/>
            </w:tcBorders>
          </w:tcPr>
          <w:p w14:paraId="06A7E862"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22.4%</w:t>
            </w:r>
          </w:p>
        </w:tc>
        <w:tc>
          <w:tcPr>
            <w:tcW w:w="2073" w:type="dxa"/>
            <w:tcBorders>
              <w:top w:val="threeDEngrave" w:sz="24" w:space="0" w:color="auto"/>
            </w:tcBorders>
          </w:tcPr>
          <w:p w14:paraId="728ABC75"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27.6%</w:t>
            </w:r>
          </w:p>
        </w:tc>
        <w:tc>
          <w:tcPr>
            <w:tcW w:w="2052" w:type="dxa"/>
            <w:tcBorders>
              <w:top w:val="threeDEngrave" w:sz="24" w:space="0" w:color="auto"/>
            </w:tcBorders>
          </w:tcPr>
          <w:p w14:paraId="4F6CD1EF" w14:textId="77777777" w:rsidR="005451E0" w:rsidRPr="00382BA1" w:rsidRDefault="005451E0" w:rsidP="0062423A">
            <w:pPr>
              <w:pStyle w:val="xxmsolistparagraph"/>
              <w:spacing w:before="0" w:beforeAutospacing="0" w:after="0" w:afterAutospacing="0"/>
              <w:jc w:val="center"/>
              <w:rPr>
                <w:rFonts w:ascii="Calibri" w:hAnsi="Calibri" w:cs="Calibri"/>
                <w:color w:val="212121"/>
                <w:sz w:val="22"/>
                <w:szCs w:val="22"/>
              </w:rPr>
            </w:pPr>
            <w:r w:rsidRPr="00382BA1">
              <w:rPr>
                <w:rFonts w:ascii="Calibri" w:hAnsi="Calibri" w:cs="Calibri"/>
                <w:color w:val="212121"/>
                <w:sz w:val="22"/>
                <w:szCs w:val="22"/>
              </w:rPr>
              <w:t>26.6%</w:t>
            </w:r>
          </w:p>
        </w:tc>
      </w:tr>
    </w:tbl>
    <w:p w14:paraId="5734A1C6" w14:textId="77777777" w:rsidR="005451E0" w:rsidRDefault="005451E0" w:rsidP="005451E0">
      <w:pPr>
        <w:rPr>
          <w:rFonts w:cstheme="minorHAnsi"/>
          <w:b/>
          <w:i/>
          <w:color w:val="008000"/>
          <w:sz w:val="20"/>
        </w:rPr>
      </w:pPr>
    </w:p>
    <w:p w14:paraId="192F076B" w14:textId="2825A3C9" w:rsidR="005451E0" w:rsidRDefault="00F14DC1" w:rsidP="005451E0">
      <w:pPr>
        <w:rPr>
          <w:rFonts w:eastAsia="Symbol" w:cstheme="minorHAnsi"/>
          <w:sz w:val="20"/>
          <w:szCs w:val="20"/>
          <w:lang w:eastAsia="zh-TW"/>
        </w:rPr>
      </w:pPr>
      <w:r w:rsidRPr="00F14DC1">
        <w:rPr>
          <w:rFonts w:eastAsia="Symbol" w:cstheme="minorHAnsi"/>
          <w:sz w:val="20"/>
          <w:szCs w:val="20"/>
          <w:vertAlign w:val="superscript"/>
          <w:lang w:eastAsia="zh-TW"/>
        </w:rPr>
        <w:t>*</w:t>
      </w:r>
      <w:r w:rsidR="005451E0">
        <w:rPr>
          <w:rFonts w:eastAsia="Symbol" w:cstheme="minorHAnsi"/>
          <w:sz w:val="20"/>
          <w:szCs w:val="20"/>
          <w:lang w:eastAsia="zh-TW"/>
        </w:rPr>
        <w:t xml:space="preserve">For the 2018 US </w:t>
      </w:r>
      <w:r w:rsidR="007D11E9">
        <w:rPr>
          <w:rFonts w:eastAsia="Symbol" w:cstheme="minorHAnsi"/>
          <w:sz w:val="20"/>
          <w:szCs w:val="20"/>
          <w:lang w:eastAsia="zh-TW"/>
        </w:rPr>
        <w:t>g</w:t>
      </w:r>
      <w:r w:rsidR="005451E0">
        <w:rPr>
          <w:rFonts w:eastAsia="Symbol" w:cstheme="minorHAnsi"/>
          <w:sz w:val="20"/>
          <w:szCs w:val="20"/>
          <w:lang w:eastAsia="zh-TW"/>
        </w:rPr>
        <w:t>uideline, the combination of assumptions leading to the lowest LDL-C reduction (Sensitivity-Min) were 10% for low intensity, 30% for moderate, and 55% for high intensity statin.  The highest LDL-C reduction (Sensitivity-Max) was a result of 10% for low intensity, 49.9% for moderate, and 50% for high intensity statin</w:t>
      </w:r>
    </w:p>
    <w:p w14:paraId="3C3C4938" w14:textId="41BB136E" w:rsidR="005451E0" w:rsidRDefault="005451E0" w:rsidP="005451E0">
      <w:pPr>
        <w:rPr>
          <w:rFonts w:cstheme="minorHAnsi"/>
          <w:sz w:val="20"/>
          <w:szCs w:val="20"/>
        </w:rPr>
      </w:pPr>
      <w:r>
        <w:rPr>
          <w:rFonts w:eastAsia="Symbol" w:cstheme="minorHAnsi"/>
          <w:sz w:val="20"/>
          <w:szCs w:val="20"/>
          <w:lang w:eastAsia="zh-TW"/>
        </w:rPr>
        <w:t xml:space="preserve">For the 2019 EU </w:t>
      </w:r>
      <w:r w:rsidR="007D11E9">
        <w:rPr>
          <w:rFonts w:eastAsia="Symbol" w:cstheme="minorHAnsi"/>
          <w:sz w:val="20"/>
          <w:szCs w:val="20"/>
          <w:lang w:eastAsia="zh-TW"/>
        </w:rPr>
        <w:t>g</w:t>
      </w:r>
      <w:r>
        <w:rPr>
          <w:rFonts w:eastAsia="Symbol" w:cstheme="minorHAnsi"/>
          <w:sz w:val="20"/>
          <w:szCs w:val="20"/>
          <w:lang w:eastAsia="zh-TW"/>
        </w:rPr>
        <w:t>uideline, Sensitivity-Min corresponded to 30% for low intensity, 30% for moderate, and 50% for high intensity statin.  Sensitivity-Max was a result of 15% for low intensity, 49.9% for moderate, and 60% for high intensity statin</w:t>
      </w:r>
    </w:p>
    <w:p w14:paraId="11EFD2FD" w14:textId="77777777" w:rsidR="00BA2E1E" w:rsidRDefault="005451E0">
      <w:pPr>
        <w:rPr>
          <w:rFonts w:eastAsia="Symbol" w:cstheme="minorHAnsi"/>
          <w:sz w:val="20"/>
          <w:szCs w:val="20"/>
          <w:lang w:eastAsia="zh-TW"/>
        </w:rPr>
      </w:pPr>
      <w:r>
        <w:rPr>
          <w:rFonts w:eastAsia="Symbol" w:cstheme="minorHAnsi"/>
          <w:sz w:val="20"/>
          <w:szCs w:val="20"/>
          <w:lang w:eastAsia="zh-TW"/>
        </w:rPr>
        <w:t xml:space="preserve">For the 2022 US </w:t>
      </w:r>
      <w:r w:rsidR="006A1D57">
        <w:rPr>
          <w:rFonts w:eastAsia="Symbol" w:cstheme="minorHAnsi"/>
          <w:sz w:val="20"/>
          <w:szCs w:val="20"/>
          <w:lang w:eastAsia="zh-TW"/>
        </w:rPr>
        <w:t>p</w:t>
      </w:r>
      <w:r>
        <w:rPr>
          <w:rFonts w:eastAsia="Symbol" w:cstheme="minorHAnsi"/>
          <w:sz w:val="20"/>
          <w:szCs w:val="20"/>
          <w:lang w:eastAsia="zh-TW"/>
        </w:rPr>
        <w:t>athway, Sensitivity-Min corresponded to 10% for low intensity, 40% for moderate, and 50% for high intensity statin.  Sensitivity-Max was a result of 10% for low intensity, 49.9% for moderate, and 50% for high intensity statin</w:t>
      </w:r>
    </w:p>
    <w:p w14:paraId="347AED0B" w14:textId="77777777" w:rsidR="00BA2E1E" w:rsidRDefault="00BA2E1E">
      <w:pPr>
        <w:rPr>
          <w:rFonts w:cstheme="minorHAnsi"/>
          <w:b/>
          <w:bCs/>
        </w:rPr>
        <w:sectPr w:rsidR="00BA2E1E" w:rsidSect="00952071">
          <w:pgSz w:w="12240" w:h="15840"/>
          <w:pgMar w:top="1440" w:right="1440" w:bottom="1440" w:left="1440" w:header="720" w:footer="720" w:gutter="0"/>
          <w:cols w:space="720"/>
          <w:docGrid w:linePitch="360"/>
        </w:sectPr>
      </w:pPr>
    </w:p>
    <w:p w14:paraId="021A435F" w14:textId="55139FA2" w:rsidR="00BA2E1E" w:rsidRPr="00F30FAF" w:rsidRDefault="00BA2E1E" w:rsidP="00BA2E1E">
      <w:pPr>
        <w:rPr>
          <w:b/>
          <w:bCs/>
        </w:rPr>
      </w:pPr>
      <w:r>
        <w:rPr>
          <w:b/>
          <w:bCs/>
        </w:rPr>
        <w:lastRenderedPageBreak/>
        <w:t>e</w:t>
      </w:r>
      <w:r w:rsidRPr="00F30FAF">
        <w:rPr>
          <w:b/>
          <w:bCs/>
        </w:rPr>
        <w:t>Table</w:t>
      </w:r>
      <w:r>
        <w:rPr>
          <w:b/>
          <w:bCs/>
        </w:rPr>
        <w:t xml:space="preserve"> 6. </w:t>
      </w:r>
      <w:r w:rsidRPr="003E3D43">
        <w:rPr>
          <w:rFonts w:cstheme="minorHAnsi"/>
        </w:rPr>
        <w:t>Observed versus expected guideline-concordant utilization of lipid lowering therapies among US adults</w:t>
      </w:r>
      <w:r>
        <w:rPr>
          <w:rFonts w:cstheme="minorHAnsi"/>
        </w:rPr>
        <w:t>, stratified by race.</w:t>
      </w:r>
    </w:p>
    <w:p w14:paraId="449737C7" w14:textId="77777777" w:rsidR="00BA2E1E" w:rsidRDefault="00BA2E1E" w:rsidP="00BA2E1E"/>
    <w:tbl>
      <w:tblPr>
        <w:tblStyle w:val="TableGrid"/>
        <w:tblW w:w="5000" w:type="pct"/>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501"/>
        <w:gridCol w:w="1866"/>
        <w:gridCol w:w="1866"/>
        <w:gridCol w:w="1866"/>
        <w:gridCol w:w="1861"/>
      </w:tblGrid>
      <w:tr w:rsidR="00BA2E1E" w:rsidRPr="00955FAB" w14:paraId="50112969" w14:textId="77777777" w:rsidTr="00FD6ABE">
        <w:trPr>
          <w:trHeight w:hRule="exact" w:val="885"/>
        </w:trPr>
        <w:tc>
          <w:tcPr>
            <w:tcW w:w="2122" w:type="pct"/>
            <w:tcBorders>
              <w:left w:val="nil"/>
              <w:bottom w:val="double" w:sz="4" w:space="0" w:color="auto"/>
              <w:right w:val="nil"/>
            </w:tcBorders>
          </w:tcPr>
          <w:p w14:paraId="7843A3D6" w14:textId="77777777" w:rsidR="00BA2E1E" w:rsidRPr="00955FAB" w:rsidRDefault="00BA2E1E" w:rsidP="00FD6ABE">
            <w:pPr>
              <w:snapToGrid w:val="0"/>
              <w:jc w:val="center"/>
              <w:rPr>
                <w:rFonts w:cstheme="minorHAnsi"/>
                <w:sz w:val="20"/>
                <w:szCs w:val="20"/>
              </w:rPr>
            </w:pPr>
          </w:p>
        </w:tc>
        <w:tc>
          <w:tcPr>
            <w:tcW w:w="720" w:type="pct"/>
            <w:tcBorders>
              <w:left w:val="nil"/>
              <w:bottom w:val="double" w:sz="4" w:space="0" w:color="auto"/>
              <w:right w:val="nil"/>
            </w:tcBorders>
          </w:tcPr>
          <w:p w14:paraId="55F131B7" w14:textId="77777777" w:rsidR="00BA2E1E" w:rsidRPr="00955FAB" w:rsidRDefault="00BA2E1E" w:rsidP="00BA2E1E">
            <w:pPr>
              <w:snapToGrid w:val="0"/>
              <w:jc w:val="center"/>
              <w:rPr>
                <w:rFonts w:cstheme="minorHAnsi"/>
                <w:sz w:val="20"/>
                <w:szCs w:val="20"/>
              </w:rPr>
            </w:pPr>
            <w:r w:rsidRPr="00955FAB">
              <w:rPr>
                <w:rFonts w:cstheme="minorHAnsi"/>
                <w:sz w:val="20"/>
                <w:szCs w:val="20"/>
              </w:rPr>
              <w:t>Non-Hispanic White</w:t>
            </w:r>
          </w:p>
          <w:p w14:paraId="210D25C1" w14:textId="77777777" w:rsidR="00BA2E1E" w:rsidRPr="00955FAB" w:rsidRDefault="00BA2E1E" w:rsidP="00BA2E1E">
            <w:pPr>
              <w:snapToGrid w:val="0"/>
              <w:jc w:val="center"/>
              <w:rPr>
                <w:rFonts w:cstheme="minorHAnsi"/>
                <w:sz w:val="20"/>
                <w:szCs w:val="20"/>
              </w:rPr>
            </w:pPr>
            <w:r w:rsidRPr="00955FAB">
              <w:rPr>
                <w:rFonts w:cstheme="minorHAnsi"/>
                <w:sz w:val="20"/>
                <w:szCs w:val="20"/>
              </w:rPr>
              <w:t xml:space="preserve">N = </w:t>
            </w:r>
            <w:r>
              <w:rPr>
                <w:rFonts w:cstheme="minorHAnsi"/>
                <w:sz w:val="20"/>
                <w:szCs w:val="20"/>
              </w:rPr>
              <w:t>88.3*</w:t>
            </w:r>
          </w:p>
        </w:tc>
        <w:tc>
          <w:tcPr>
            <w:tcW w:w="720" w:type="pct"/>
            <w:tcBorders>
              <w:left w:val="nil"/>
              <w:bottom w:val="double" w:sz="4" w:space="0" w:color="auto"/>
              <w:right w:val="nil"/>
            </w:tcBorders>
          </w:tcPr>
          <w:p w14:paraId="106E22A6" w14:textId="77777777" w:rsidR="00BA2E1E" w:rsidRPr="00955FAB" w:rsidRDefault="00BA2E1E" w:rsidP="00BA2E1E">
            <w:pPr>
              <w:snapToGrid w:val="0"/>
              <w:jc w:val="center"/>
              <w:rPr>
                <w:rFonts w:cstheme="minorHAnsi"/>
                <w:sz w:val="20"/>
                <w:szCs w:val="20"/>
              </w:rPr>
            </w:pPr>
            <w:r w:rsidRPr="00955FAB">
              <w:rPr>
                <w:rFonts w:cstheme="minorHAnsi"/>
                <w:sz w:val="20"/>
                <w:szCs w:val="20"/>
              </w:rPr>
              <w:t>Non-Hispanic Black</w:t>
            </w:r>
          </w:p>
          <w:p w14:paraId="6C34035B" w14:textId="77777777" w:rsidR="00BA2E1E" w:rsidRPr="00955FAB" w:rsidRDefault="00BA2E1E" w:rsidP="00BA2E1E">
            <w:pPr>
              <w:snapToGrid w:val="0"/>
              <w:jc w:val="center"/>
              <w:rPr>
                <w:rFonts w:cstheme="minorHAnsi"/>
                <w:sz w:val="20"/>
                <w:szCs w:val="20"/>
              </w:rPr>
            </w:pPr>
            <w:r w:rsidRPr="00955FAB">
              <w:rPr>
                <w:rFonts w:cstheme="minorHAnsi"/>
                <w:sz w:val="20"/>
                <w:szCs w:val="20"/>
              </w:rPr>
              <w:t xml:space="preserve">N = </w:t>
            </w:r>
            <w:r>
              <w:rPr>
                <w:rFonts w:cstheme="minorHAnsi"/>
                <w:sz w:val="20"/>
                <w:szCs w:val="20"/>
              </w:rPr>
              <w:t>14.3</w:t>
            </w:r>
          </w:p>
        </w:tc>
        <w:tc>
          <w:tcPr>
            <w:tcW w:w="720" w:type="pct"/>
            <w:tcBorders>
              <w:left w:val="nil"/>
              <w:bottom w:val="double" w:sz="4" w:space="0" w:color="auto"/>
              <w:right w:val="nil"/>
            </w:tcBorders>
          </w:tcPr>
          <w:p w14:paraId="2271BE16" w14:textId="77777777" w:rsidR="00BA2E1E" w:rsidRDefault="00BA2E1E" w:rsidP="00BA2E1E">
            <w:pPr>
              <w:snapToGrid w:val="0"/>
              <w:jc w:val="center"/>
              <w:rPr>
                <w:rFonts w:cstheme="minorHAnsi"/>
                <w:sz w:val="20"/>
                <w:szCs w:val="20"/>
              </w:rPr>
            </w:pPr>
            <w:r w:rsidRPr="00955FAB">
              <w:rPr>
                <w:rFonts w:cstheme="minorHAnsi"/>
                <w:sz w:val="20"/>
                <w:szCs w:val="20"/>
              </w:rPr>
              <w:t>Non-Hispanic Asian</w:t>
            </w:r>
          </w:p>
          <w:p w14:paraId="0096076C" w14:textId="77777777" w:rsidR="00BA2E1E" w:rsidRPr="00955FAB" w:rsidRDefault="00BA2E1E" w:rsidP="00BA2E1E">
            <w:pPr>
              <w:snapToGrid w:val="0"/>
              <w:jc w:val="center"/>
              <w:rPr>
                <w:rFonts w:cstheme="minorHAnsi"/>
                <w:sz w:val="20"/>
                <w:szCs w:val="20"/>
              </w:rPr>
            </w:pPr>
            <w:r>
              <w:rPr>
                <w:rFonts w:cstheme="minorHAnsi"/>
                <w:sz w:val="20"/>
                <w:szCs w:val="20"/>
              </w:rPr>
              <w:t>N = 7.0</w:t>
            </w:r>
          </w:p>
        </w:tc>
        <w:tc>
          <w:tcPr>
            <w:tcW w:w="718" w:type="pct"/>
            <w:tcBorders>
              <w:left w:val="nil"/>
              <w:bottom w:val="double" w:sz="4" w:space="0" w:color="auto"/>
              <w:right w:val="nil"/>
            </w:tcBorders>
          </w:tcPr>
          <w:p w14:paraId="16A75AE8" w14:textId="77777777" w:rsidR="00BA2E1E" w:rsidRDefault="00BA2E1E" w:rsidP="00BA2E1E">
            <w:pPr>
              <w:snapToGrid w:val="0"/>
              <w:jc w:val="center"/>
              <w:rPr>
                <w:rFonts w:cstheme="minorHAnsi"/>
                <w:sz w:val="20"/>
                <w:szCs w:val="20"/>
              </w:rPr>
            </w:pPr>
            <w:r>
              <w:rPr>
                <w:rFonts w:cstheme="minorHAnsi"/>
                <w:sz w:val="20"/>
                <w:szCs w:val="20"/>
              </w:rPr>
              <w:t>Hispanic</w:t>
            </w:r>
          </w:p>
          <w:p w14:paraId="2D573141" w14:textId="77777777" w:rsidR="00BA2E1E" w:rsidRDefault="00BA2E1E" w:rsidP="00BA2E1E">
            <w:pPr>
              <w:snapToGrid w:val="0"/>
              <w:jc w:val="center"/>
              <w:rPr>
                <w:rFonts w:cstheme="minorHAnsi"/>
                <w:sz w:val="20"/>
                <w:szCs w:val="20"/>
              </w:rPr>
            </w:pPr>
          </w:p>
          <w:p w14:paraId="050947B9" w14:textId="77777777" w:rsidR="00BA2E1E" w:rsidRPr="00955FAB" w:rsidRDefault="00BA2E1E" w:rsidP="00BA2E1E">
            <w:pPr>
              <w:snapToGrid w:val="0"/>
              <w:jc w:val="center"/>
              <w:rPr>
                <w:rFonts w:cstheme="minorHAnsi"/>
                <w:sz w:val="20"/>
                <w:szCs w:val="20"/>
              </w:rPr>
            </w:pPr>
            <w:r>
              <w:rPr>
                <w:rFonts w:cstheme="minorHAnsi"/>
                <w:sz w:val="20"/>
                <w:szCs w:val="20"/>
              </w:rPr>
              <w:t>N = 17.0</w:t>
            </w:r>
          </w:p>
        </w:tc>
      </w:tr>
      <w:tr w:rsidR="00BA2E1E" w:rsidRPr="00F60168" w14:paraId="490A1698" w14:textId="77777777" w:rsidTr="00FD6ABE">
        <w:trPr>
          <w:trHeight w:hRule="exact" w:val="233"/>
        </w:trPr>
        <w:tc>
          <w:tcPr>
            <w:tcW w:w="2122" w:type="pct"/>
            <w:tcBorders>
              <w:left w:val="nil"/>
              <w:bottom w:val="double" w:sz="4" w:space="0" w:color="auto"/>
              <w:right w:val="nil"/>
            </w:tcBorders>
          </w:tcPr>
          <w:p w14:paraId="3D6E6EE2" w14:textId="77777777" w:rsidR="00BA2E1E" w:rsidRPr="0092283D" w:rsidRDefault="00BA2E1E" w:rsidP="00FD6ABE">
            <w:pPr>
              <w:snapToGrid w:val="0"/>
              <w:rPr>
                <w:rFonts w:cstheme="minorHAnsi"/>
                <w:b/>
                <w:bCs/>
                <w:sz w:val="20"/>
                <w:szCs w:val="20"/>
              </w:rPr>
            </w:pPr>
            <w:r>
              <w:rPr>
                <w:rFonts w:cstheme="minorHAnsi"/>
                <w:b/>
                <w:bCs/>
                <w:sz w:val="20"/>
                <w:szCs w:val="20"/>
              </w:rPr>
              <w:t>Primary Prevention</w:t>
            </w:r>
          </w:p>
        </w:tc>
        <w:tc>
          <w:tcPr>
            <w:tcW w:w="720" w:type="pct"/>
            <w:tcBorders>
              <w:left w:val="nil"/>
              <w:bottom w:val="double" w:sz="4" w:space="0" w:color="auto"/>
              <w:right w:val="nil"/>
            </w:tcBorders>
          </w:tcPr>
          <w:p w14:paraId="50A0AC24" w14:textId="77777777" w:rsidR="00BA2E1E" w:rsidRPr="00955FAB" w:rsidRDefault="00BA2E1E" w:rsidP="00BA2E1E">
            <w:pPr>
              <w:snapToGrid w:val="0"/>
              <w:jc w:val="center"/>
              <w:rPr>
                <w:rFonts w:cstheme="minorHAnsi"/>
                <w:sz w:val="20"/>
                <w:szCs w:val="20"/>
              </w:rPr>
            </w:pPr>
            <w:r w:rsidRPr="00955FAB">
              <w:rPr>
                <w:rFonts w:cstheme="minorHAnsi"/>
                <w:sz w:val="20"/>
                <w:szCs w:val="20"/>
              </w:rPr>
              <w:t xml:space="preserve">N = </w:t>
            </w:r>
            <w:r>
              <w:rPr>
                <w:rFonts w:cstheme="minorHAnsi"/>
                <w:sz w:val="20"/>
                <w:szCs w:val="20"/>
              </w:rPr>
              <w:t>78.3</w:t>
            </w:r>
          </w:p>
        </w:tc>
        <w:tc>
          <w:tcPr>
            <w:tcW w:w="720" w:type="pct"/>
            <w:tcBorders>
              <w:left w:val="nil"/>
              <w:bottom w:val="double" w:sz="4" w:space="0" w:color="auto"/>
              <w:right w:val="nil"/>
            </w:tcBorders>
          </w:tcPr>
          <w:p w14:paraId="3EF8CB54" w14:textId="77777777" w:rsidR="00BA2E1E" w:rsidRPr="0092283D" w:rsidRDefault="00BA2E1E" w:rsidP="00BA2E1E">
            <w:pPr>
              <w:snapToGrid w:val="0"/>
              <w:jc w:val="center"/>
              <w:rPr>
                <w:rFonts w:cstheme="minorHAnsi"/>
                <w:b/>
                <w:bCs/>
                <w:sz w:val="20"/>
                <w:szCs w:val="20"/>
              </w:rPr>
            </w:pPr>
            <w:r w:rsidRPr="00955FAB">
              <w:rPr>
                <w:rFonts w:cstheme="minorHAnsi"/>
                <w:sz w:val="20"/>
                <w:szCs w:val="20"/>
              </w:rPr>
              <w:t xml:space="preserve">N = </w:t>
            </w:r>
            <w:r>
              <w:rPr>
                <w:rFonts w:cstheme="minorHAnsi"/>
                <w:sz w:val="20"/>
                <w:szCs w:val="20"/>
              </w:rPr>
              <w:t>12.4</w:t>
            </w:r>
          </w:p>
        </w:tc>
        <w:tc>
          <w:tcPr>
            <w:tcW w:w="720" w:type="pct"/>
            <w:tcBorders>
              <w:left w:val="nil"/>
              <w:bottom w:val="double" w:sz="4" w:space="0" w:color="auto"/>
              <w:right w:val="nil"/>
            </w:tcBorders>
          </w:tcPr>
          <w:p w14:paraId="699D1EB8" w14:textId="77777777" w:rsidR="00BA2E1E" w:rsidRPr="0092283D" w:rsidRDefault="00BA2E1E" w:rsidP="00BA2E1E">
            <w:pPr>
              <w:snapToGrid w:val="0"/>
              <w:jc w:val="center"/>
              <w:rPr>
                <w:rFonts w:cstheme="minorHAnsi"/>
                <w:b/>
                <w:bCs/>
                <w:sz w:val="20"/>
                <w:szCs w:val="20"/>
              </w:rPr>
            </w:pPr>
            <w:r w:rsidRPr="00955FAB">
              <w:rPr>
                <w:rFonts w:cstheme="minorHAnsi"/>
                <w:sz w:val="20"/>
                <w:szCs w:val="20"/>
              </w:rPr>
              <w:t xml:space="preserve">N = </w:t>
            </w:r>
            <w:r>
              <w:rPr>
                <w:rFonts w:cstheme="minorHAnsi"/>
                <w:sz w:val="20"/>
                <w:szCs w:val="20"/>
              </w:rPr>
              <w:t>6.6</w:t>
            </w:r>
          </w:p>
        </w:tc>
        <w:tc>
          <w:tcPr>
            <w:tcW w:w="718" w:type="pct"/>
            <w:tcBorders>
              <w:left w:val="nil"/>
              <w:bottom w:val="double" w:sz="4" w:space="0" w:color="auto"/>
              <w:right w:val="nil"/>
            </w:tcBorders>
          </w:tcPr>
          <w:p w14:paraId="4BB06471" w14:textId="77777777" w:rsidR="00BA2E1E" w:rsidRPr="0092283D" w:rsidRDefault="00BA2E1E" w:rsidP="00BA2E1E">
            <w:pPr>
              <w:snapToGrid w:val="0"/>
              <w:jc w:val="center"/>
              <w:rPr>
                <w:rFonts w:cstheme="minorHAnsi"/>
                <w:b/>
                <w:bCs/>
                <w:sz w:val="20"/>
                <w:szCs w:val="20"/>
              </w:rPr>
            </w:pPr>
            <w:r w:rsidRPr="00955FAB">
              <w:rPr>
                <w:rFonts w:cstheme="minorHAnsi"/>
                <w:sz w:val="20"/>
                <w:szCs w:val="20"/>
              </w:rPr>
              <w:t xml:space="preserve">N = </w:t>
            </w:r>
            <w:r>
              <w:rPr>
                <w:rFonts w:cstheme="minorHAnsi"/>
                <w:sz w:val="20"/>
                <w:szCs w:val="20"/>
              </w:rPr>
              <w:t>15.7</w:t>
            </w:r>
          </w:p>
        </w:tc>
      </w:tr>
      <w:tr w:rsidR="00BA2E1E" w:rsidRPr="00F60168" w14:paraId="54EE0D89" w14:textId="77777777" w:rsidTr="00FD6ABE">
        <w:trPr>
          <w:trHeight w:hRule="exact" w:val="291"/>
        </w:trPr>
        <w:tc>
          <w:tcPr>
            <w:tcW w:w="2122" w:type="pct"/>
            <w:tcBorders>
              <w:left w:val="nil"/>
              <w:bottom w:val="nil"/>
              <w:right w:val="nil"/>
            </w:tcBorders>
            <w:shd w:val="clear" w:color="auto" w:fill="auto"/>
          </w:tcPr>
          <w:p w14:paraId="2311B35E" w14:textId="77777777" w:rsidR="00BA2E1E" w:rsidRPr="0092283D" w:rsidRDefault="00BA2E1E" w:rsidP="00FD6ABE">
            <w:pPr>
              <w:snapToGrid w:val="0"/>
              <w:rPr>
                <w:rFonts w:cstheme="minorHAnsi"/>
                <w:sz w:val="20"/>
                <w:szCs w:val="20"/>
              </w:rPr>
            </w:pPr>
            <w:r>
              <w:rPr>
                <w:rFonts w:cstheme="minorHAnsi"/>
                <w:sz w:val="20"/>
                <w:szCs w:val="20"/>
              </w:rPr>
              <w:t>Observed LLT utilization in NHANES</w:t>
            </w:r>
          </w:p>
        </w:tc>
        <w:tc>
          <w:tcPr>
            <w:tcW w:w="720" w:type="pct"/>
            <w:tcBorders>
              <w:left w:val="nil"/>
              <w:bottom w:val="nil"/>
              <w:right w:val="nil"/>
            </w:tcBorders>
          </w:tcPr>
          <w:p w14:paraId="791AD112" w14:textId="77777777" w:rsidR="00BA2E1E" w:rsidRPr="0092283D" w:rsidRDefault="00BA2E1E" w:rsidP="002B7789">
            <w:pPr>
              <w:snapToGrid w:val="0"/>
              <w:jc w:val="center"/>
              <w:rPr>
                <w:rFonts w:cstheme="minorHAnsi"/>
                <w:sz w:val="20"/>
                <w:szCs w:val="20"/>
              </w:rPr>
            </w:pPr>
            <w:r>
              <w:rPr>
                <w:rFonts w:cstheme="minorHAnsi"/>
                <w:sz w:val="20"/>
                <w:szCs w:val="20"/>
              </w:rPr>
              <w:t>N = 19.0 (24.2%)</w:t>
            </w:r>
          </w:p>
        </w:tc>
        <w:tc>
          <w:tcPr>
            <w:tcW w:w="720" w:type="pct"/>
            <w:tcBorders>
              <w:left w:val="nil"/>
              <w:bottom w:val="nil"/>
              <w:right w:val="nil"/>
            </w:tcBorders>
          </w:tcPr>
          <w:p w14:paraId="14D39B06" w14:textId="77777777" w:rsidR="00BA2E1E" w:rsidRPr="0092283D" w:rsidRDefault="00BA2E1E" w:rsidP="002B7789">
            <w:pPr>
              <w:snapToGrid w:val="0"/>
              <w:jc w:val="center"/>
              <w:rPr>
                <w:rFonts w:cstheme="minorHAnsi"/>
                <w:sz w:val="20"/>
                <w:szCs w:val="20"/>
              </w:rPr>
            </w:pPr>
            <w:r>
              <w:rPr>
                <w:rFonts w:cstheme="minorHAnsi"/>
                <w:sz w:val="20"/>
                <w:szCs w:val="20"/>
              </w:rPr>
              <w:t>N = 2.6 (21.1%)</w:t>
            </w:r>
          </w:p>
        </w:tc>
        <w:tc>
          <w:tcPr>
            <w:tcW w:w="720" w:type="pct"/>
            <w:tcBorders>
              <w:left w:val="nil"/>
              <w:bottom w:val="nil"/>
              <w:right w:val="nil"/>
            </w:tcBorders>
          </w:tcPr>
          <w:p w14:paraId="14EEF5D9" w14:textId="77777777" w:rsidR="00BA2E1E" w:rsidRPr="0092283D" w:rsidRDefault="00BA2E1E" w:rsidP="002B7789">
            <w:pPr>
              <w:snapToGrid w:val="0"/>
              <w:jc w:val="center"/>
              <w:rPr>
                <w:rFonts w:cstheme="minorHAnsi"/>
                <w:sz w:val="20"/>
                <w:szCs w:val="20"/>
              </w:rPr>
            </w:pPr>
            <w:r>
              <w:rPr>
                <w:rFonts w:cstheme="minorHAnsi"/>
                <w:sz w:val="20"/>
                <w:szCs w:val="20"/>
              </w:rPr>
              <w:t>N = 1.5 (22.5%)</w:t>
            </w:r>
          </w:p>
        </w:tc>
        <w:tc>
          <w:tcPr>
            <w:tcW w:w="718" w:type="pct"/>
            <w:tcBorders>
              <w:left w:val="nil"/>
              <w:bottom w:val="nil"/>
              <w:right w:val="nil"/>
            </w:tcBorders>
          </w:tcPr>
          <w:p w14:paraId="2E5A2FF1" w14:textId="77777777" w:rsidR="00BA2E1E" w:rsidRPr="0092283D" w:rsidRDefault="00BA2E1E" w:rsidP="002B7789">
            <w:pPr>
              <w:snapToGrid w:val="0"/>
              <w:jc w:val="center"/>
              <w:rPr>
                <w:rFonts w:cstheme="minorHAnsi"/>
                <w:sz w:val="20"/>
                <w:szCs w:val="20"/>
              </w:rPr>
            </w:pPr>
            <w:r>
              <w:rPr>
                <w:rFonts w:cstheme="minorHAnsi"/>
                <w:sz w:val="20"/>
                <w:szCs w:val="20"/>
              </w:rPr>
              <w:t>N = 2.7 (17.1%)</w:t>
            </w:r>
          </w:p>
        </w:tc>
      </w:tr>
      <w:tr w:rsidR="00BA2E1E" w:rsidRPr="00F60168" w14:paraId="26DED280" w14:textId="77777777" w:rsidTr="00FD6ABE">
        <w:trPr>
          <w:trHeight w:hRule="exact" w:val="233"/>
        </w:trPr>
        <w:tc>
          <w:tcPr>
            <w:tcW w:w="2122" w:type="pct"/>
            <w:tcBorders>
              <w:top w:val="nil"/>
              <w:left w:val="nil"/>
              <w:bottom w:val="nil"/>
              <w:right w:val="nil"/>
            </w:tcBorders>
          </w:tcPr>
          <w:p w14:paraId="4B8A2A91" w14:textId="77777777" w:rsidR="00BA2E1E" w:rsidRPr="0092283D" w:rsidRDefault="00BA2E1E" w:rsidP="00FD6ABE">
            <w:pPr>
              <w:snapToGrid w:val="0"/>
              <w:rPr>
                <w:rFonts w:cstheme="minorHAnsi"/>
                <w:sz w:val="20"/>
                <w:szCs w:val="20"/>
              </w:rPr>
            </w:pPr>
            <w:r>
              <w:rPr>
                <w:rFonts w:cstheme="minorHAnsi"/>
                <w:sz w:val="20"/>
                <w:szCs w:val="20"/>
              </w:rPr>
              <w:t>Expected LLT utilization – 2018 US guideline</w:t>
            </w:r>
            <w:r w:rsidRPr="00A75595">
              <w:rPr>
                <w:rFonts w:cstheme="minorHAnsi"/>
                <w:sz w:val="18"/>
                <w:szCs w:val="18"/>
                <w:vertAlign w:val="superscript"/>
              </w:rPr>
              <w:t>†</w:t>
            </w:r>
          </w:p>
        </w:tc>
        <w:tc>
          <w:tcPr>
            <w:tcW w:w="720" w:type="pct"/>
            <w:tcBorders>
              <w:top w:val="nil"/>
              <w:left w:val="nil"/>
              <w:bottom w:val="nil"/>
              <w:right w:val="nil"/>
            </w:tcBorders>
          </w:tcPr>
          <w:p w14:paraId="0E8FE8CD" w14:textId="77777777" w:rsidR="00BA2E1E" w:rsidRPr="0092283D" w:rsidRDefault="00BA2E1E" w:rsidP="00BA2E1E">
            <w:pPr>
              <w:snapToGrid w:val="0"/>
              <w:jc w:val="center"/>
              <w:rPr>
                <w:rFonts w:cstheme="minorHAnsi"/>
                <w:sz w:val="20"/>
                <w:szCs w:val="20"/>
              </w:rPr>
            </w:pPr>
            <w:r>
              <w:rPr>
                <w:rFonts w:cstheme="minorHAnsi"/>
                <w:sz w:val="20"/>
                <w:szCs w:val="20"/>
              </w:rPr>
              <w:t>47.2%</w:t>
            </w:r>
          </w:p>
        </w:tc>
        <w:tc>
          <w:tcPr>
            <w:tcW w:w="720" w:type="pct"/>
            <w:tcBorders>
              <w:top w:val="nil"/>
              <w:left w:val="nil"/>
              <w:bottom w:val="nil"/>
              <w:right w:val="nil"/>
            </w:tcBorders>
          </w:tcPr>
          <w:p w14:paraId="41E2B812" w14:textId="77777777" w:rsidR="00BA2E1E" w:rsidRPr="0092283D" w:rsidRDefault="00BA2E1E" w:rsidP="00BA2E1E">
            <w:pPr>
              <w:snapToGrid w:val="0"/>
              <w:jc w:val="center"/>
              <w:rPr>
                <w:rFonts w:cstheme="minorHAnsi"/>
                <w:sz w:val="20"/>
                <w:szCs w:val="20"/>
              </w:rPr>
            </w:pPr>
            <w:r>
              <w:rPr>
                <w:rFonts w:cstheme="minorHAnsi"/>
                <w:sz w:val="20"/>
                <w:szCs w:val="20"/>
              </w:rPr>
              <w:t>53.4%</w:t>
            </w:r>
          </w:p>
        </w:tc>
        <w:tc>
          <w:tcPr>
            <w:tcW w:w="720" w:type="pct"/>
            <w:tcBorders>
              <w:top w:val="nil"/>
              <w:left w:val="nil"/>
              <w:bottom w:val="nil"/>
              <w:right w:val="nil"/>
            </w:tcBorders>
          </w:tcPr>
          <w:p w14:paraId="31BC5BD6" w14:textId="77777777" w:rsidR="00BA2E1E" w:rsidRPr="0092283D" w:rsidRDefault="00BA2E1E" w:rsidP="00BA2E1E">
            <w:pPr>
              <w:snapToGrid w:val="0"/>
              <w:jc w:val="center"/>
              <w:rPr>
                <w:rFonts w:cstheme="minorHAnsi"/>
                <w:sz w:val="20"/>
                <w:szCs w:val="20"/>
              </w:rPr>
            </w:pPr>
            <w:r>
              <w:rPr>
                <w:rFonts w:cstheme="minorHAnsi"/>
                <w:sz w:val="20"/>
                <w:szCs w:val="20"/>
              </w:rPr>
              <w:t>42.1%</w:t>
            </w:r>
          </w:p>
        </w:tc>
        <w:tc>
          <w:tcPr>
            <w:tcW w:w="718" w:type="pct"/>
            <w:tcBorders>
              <w:top w:val="nil"/>
              <w:left w:val="nil"/>
              <w:bottom w:val="nil"/>
              <w:right w:val="nil"/>
            </w:tcBorders>
          </w:tcPr>
          <w:p w14:paraId="221BFDA8" w14:textId="77777777" w:rsidR="00BA2E1E" w:rsidRPr="0092283D" w:rsidRDefault="00BA2E1E" w:rsidP="00BA2E1E">
            <w:pPr>
              <w:snapToGrid w:val="0"/>
              <w:jc w:val="center"/>
              <w:rPr>
                <w:rFonts w:cstheme="minorHAnsi"/>
                <w:sz w:val="20"/>
                <w:szCs w:val="20"/>
              </w:rPr>
            </w:pPr>
            <w:r>
              <w:rPr>
                <w:rFonts w:cstheme="minorHAnsi"/>
                <w:sz w:val="20"/>
                <w:szCs w:val="20"/>
              </w:rPr>
              <w:t>42.9%</w:t>
            </w:r>
          </w:p>
        </w:tc>
      </w:tr>
      <w:tr w:rsidR="00BA2E1E" w:rsidRPr="00F60168" w14:paraId="75926879" w14:textId="77777777" w:rsidTr="00FD6ABE">
        <w:trPr>
          <w:trHeight w:hRule="exact" w:val="233"/>
        </w:trPr>
        <w:tc>
          <w:tcPr>
            <w:tcW w:w="2122" w:type="pct"/>
            <w:tcBorders>
              <w:top w:val="nil"/>
              <w:left w:val="nil"/>
              <w:bottom w:val="nil"/>
              <w:right w:val="nil"/>
            </w:tcBorders>
            <w:shd w:val="clear" w:color="auto" w:fill="auto"/>
          </w:tcPr>
          <w:p w14:paraId="4D3E4261" w14:textId="77777777" w:rsidR="00BA2E1E" w:rsidRPr="0092283D" w:rsidRDefault="00BA2E1E" w:rsidP="00FD6ABE">
            <w:pPr>
              <w:snapToGrid w:val="0"/>
              <w:rPr>
                <w:rFonts w:cstheme="minorHAnsi"/>
                <w:sz w:val="20"/>
                <w:szCs w:val="20"/>
              </w:rPr>
            </w:pPr>
            <w:r>
              <w:rPr>
                <w:rFonts w:cstheme="minorHAnsi"/>
                <w:sz w:val="20"/>
                <w:szCs w:val="20"/>
              </w:rPr>
              <w:t>Expected LLT utilization – 2022 US ACC pathway</w:t>
            </w:r>
            <w:r w:rsidRPr="00A75595">
              <w:rPr>
                <w:rFonts w:cstheme="minorHAnsi"/>
                <w:sz w:val="18"/>
                <w:szCs w:val="18"/>
                <w:vertAlign w:val="superscript"/>
              </w:rPr>
              <w:t>†</w:t>
            </w:r>
          </w:p>
        </w:tc>
        <w:tc>
          <w:tcPr>
            <w:tcW w:w="720" w:type="pct"/>
            <w:tcBorders>
              <w:top w:val="nil"/>
              <w:left w:val="nil"/>
              <w:bottom w:val="nil"/>
              <w:right w:val="nil"/>
            </w:tcBorders>
          </w:tcPr>
          <w:p w14:paraId="688560D2" w14:textId="77777777" w:rsidR="00BA2E1E" w:rsidRPr="0092283D" w:rsidRDefault="00BA2E1E" w:rsidP="00BA2E1E">
            <w:pPr>
              <w:snapToGrid w:val="0"/>
              <w:jc w:val="center"/>
              <w:rPr>
                <w:rFonts w:cstheme="minorHAnsi"/>
                <w:sz w:val="20"/>
                <w:szCs w:val="20"/>
              </w:rPr>
            </w:pPr>
            <w:r>
              <w:rPr>
                <w:rFonts w:cstheme="minorHAnsi"/>
                <w:sz w:val="20"/>
                <w:szCs w:val="20"/>
              </w:rPr>
              <w:t>47.2%</w:t>
            </w:r>
          </w:p>
        </w:tc>
        <w:tc>
          <w:tcPr>
            <w:tcW w:w="720" w:type="pct"/>
            <w:tcBorders>
              <w:top w:val="nil"/>
              <w:left w:val="nil"/>
              <w:bottom w:val="nil"/>
              <w:right w:val="nil"/>
            </w:tcBorders>
          </w:tcPr>
          <w:p w14:paraId="5FE05378" w14:textId="77777777" w:rsidR="00BA2E1E" w:rsidRPr="0092283D" w:rsidRDefault="00BA2E1E" w:rsidP="00BA2E1E">
            <w:pPr>
              <w:snapToGrid w:val="0"/>
              <w:jc w:val="center"/>
              <w:rPr>
                <w:rFonts w:cstheme="minorHAnsi"/>
                <w:sz w:val="20"/>
                <w:szCs w:val="20"/>
              </w:rPr>
            </w:pPr>
            <w:r>
              <w:rPr>
                <w:rFonts w:cstheme="minorHAnsi"/>
                <w:sz w:val="20"/>
                <w:szCs w:val="20"/>
              </w:rPr>
              <w:t>53.4%</w:t>
            </w:r>
          </w:p>
        </w:tc>
        <w:tc>
          <w:tcPr>
            <w:tcW w:w="720" w:type="pct"/>
            <w:tcBorders>
              <w:top w:val="nil"/>
              <w:left w:val="nil"/>
              <w:bottom w:val="nil"/>
              <w:right w:val="nil"/>
            </w:tcBorders>
          </w:tcPr>
          <w:p w14:paraId="3BEF141C" w14:textId="77777777" w:rsidR="00BA2E1E" w:rsidRPr="0092283D" w:rsidRDefault="00BA2E1E" w:rsidP="00BA2E1E">
            <w:pPr>
              <w:snapToGrid w:val="0"/>
              <w:jc w:val="center"/>
              <w:rPr>
                <w:rFonts w:cstheme="minorHAnsi"/>
                <w:sz w:val="20"/>
                <w:szCs w:val="20"/>
              </w:rPr>
            </w:pPr>
            <w:r>
              <w:rPr>
                <w:rFonts w:cstheme="minorHAnsi"/>
                <w:sz w:val="20"/>
                <w:szCs w:val="20"/>
              </w:rPr>
              <w:t>42.1%</w:t>
            </w:r>
          </w:p>
        </w:tc>
        <w:tc>
          <w:tcPr>
            <w:tcW w:w="718" w:type="pct"/>
            <w:tcBorders>
              <w:top w:val="nil"/>
              <w:left w:val="nil"/>
              <w:bottom w:val="nil"/>
              <w:right w:val="nil"/>
            </w:tcBorders>
          </w:tcPr>
          <w:p w14:paraId="5DE35721" w14:textId="77777777" w:rsidR="00BA2E1E" w:rsidRPr="0092283D" w:rsidRDefault="00BA2E1E" w:rsidP="00BA2E1E">
            <w:pPr>
              <w:snapToGrid w:val="0"/>
              <w:jc w:val="center"/>
              <w:rPr>
                <w:rFonts w:cstheme="minorHAnsi"/>
                <w:sz w:val="20"/>
                <w:szCs w:val="20"/>
              </w:rPr>
            </w:pPr>
            <w:r>
              <w:rPr>
                <w:rFonts w:cstheme="minorHAnsi"/>
                <w:sz w:val="20"/>
                <w:szCs w:val="20"/>
              </w:rPr>
              <w:t>42.9%</w:t>
            </w:r>
          </w:p>
        </w:tc>
      </w:tr>
      <w:tr w:rsidR="00BA2E1E" w:rsidRPr="00F60168" w14:paraId="0A9AB639" w14:textId="77777777" w:rsidTr="00FD6ABE">
        <w:trPr>
          <w:trHeight w:hRule="exact" w:val="233"/>
        </w:trPr>
        <w:tc>
          <w:tcPr>
            <w:tcW w:w="2122" w:type="pct"/>
            <w:tcBorders>
              <w:top w:val="nil"/>
              <w:left w:val="nil"/>
              <w:bottom w:val="double" w:sz="4" w:space="0" w:color="auto"/>
              <w:right w:val="nil"/>
            </w:tcBorders>
          </w:tcPr>
          <w:p w14:paraId="0CBEE1D9" w14:textId="77777777" w:rsidR="00BA2E1E" w:rsidRPr="0092283D" w:rsidRDefault="00BA2E1E" w:rsidP="00FD6ABE">
            <w:pPr>
              <w:snapToGrid w:val="0"/>
              <w:rPr>
                <w:rFonts w:cstheme="minorHAnsi"/>
                <w:sz w:val="20"/>
                <w:szCs w:val="20"/>
              </w:rPr>
            </w:pPr>
            <w:r>
              <w:rPr>
                <w:rFonts w:cstheme="minorHAnsi"/>
                <w:sz w:val="20"/>
                <w:szCs w:val="20"/>
              </w:rPr>
              <w:t>Expected LLT utilization – 2018 2019 EU guideline</w:t>
            </w:r>
            <w:r w:rsidRPr="00A75595">
              <w:rPr>
                <w:rFonts w:cstheme="minorHAnsi"/>
                <w:sz w:val="18"/>
                <w:szCs w:val="18"/>
                <w:vertAlign w:val="superscript"/>
              </w:rPr>
              <w:t>†</w:t>
            </w:r>
          </w:p>
        </w:tc>
        <w:tc>
          <w:tcPr>
            <w:tcW w:w="720" w:type="pct"/>
            <w:tcBorders>
              <w:top w:val="nil"/>
              <w:left w:val="nil"/>
              <w:bottom w:val="double" w:sz="4" w:space="0" w:color="auto"/>
              <w:right w:val="nil"/>
            </w:tcBorders>
          </w:tcPr>
          <w:p w14:paraId="11EAE6ED" w14:textId="77777777" w:rsidR="00BA2E1E" w:rsidRPr="0092283D" w:rsidRDefault="00BA2E1E" w:rsidP="00BA2E1E">
            <w:pPr>
              <w:snapToGrid w:val="0"/>
              <w:jc w:val="center"/>
              <w:rPr>
                <w:rFonts w:cstheme="minorHAnsi"/>
                <w:sz w:val="20"/>
                <w:szCs w:val="20"/>
              </w:rPr>
            </w:pPr>
            <w:r>
              <w:rPr>
                <w:rFonts w:cstheme="minorHAnsi"/>
                <w:sz w:val="20"/>
                <w:szCs w:val="20"/>
              </w:rPr>
              <w:t>88.1%</w:t>
            </w:r>
          </w:p>
        </w:tc>
        <w:tc>
          <w:tcPr>
            <w:tcW w:w="720" w:type="pct"/>
            <w:tcBorders>
              <w:top w:val="nil"/>
              <w:left w:val="nil"/>
              <w:bottom w:val="double" w:sz="4" w:space="0" w:color="auto"/>
              <w:right w:val="nil"/>
            </w:tcBorders>
          </w:tcPr>
          <w:p w14:paraId="7BA9C233" w14:textId="77777777" w:rsidR="00BA2E1E" w:rsidRPr="0092283D" w:rsidRDefault="00BA2E1E" w:rsidP="00BA2E1E">
            <w:pPr>
              <w:snapToGrid w:val="0"/>
              <w:jc w:val="center"/>
              <w:rPr>
                <w:rFonts w:cstheme="minorHAnsi"/>
                <w:sz w:val="20"/>
                <w:szCs w:val="20"/>
              </w:rPr>
            </w:pPr>
            <w:r>
              <w:rPr>
                <w:rFonts w:cstheme="minorHAnsi"/>
                <w:sz w:val="20"/>
                <w:szCs w:val="20"/>
              </w:rPr>
              <w:t>81.9%</w:t>
            </w:r>
          </w:p>
        </w:tc>
        <w:tc>
          <w:tcPr>
            <w:tcW w:w="720" w:type="pct"/>
            <w:tcBorders>
              <w:top w:val="nil"/>
              <w:left w:val="nil"/>
              <w:bottom w:val="double" w:sz="4" w:space="0" w:color="auto"/>
              <w:right w:val="nil"/>
            </w:tcBorders>
          </w:tcPr>
          <w:p w14:paraId="3A8C0FE5" w14:textId="77777777" w:rsidR="00BA2E1E" w:rsidRPr="0092283D" w:rsidRDefault="00BA2E1E" w:rsidP="00BA2E1E">
            <w:pPr>
              <w:snapToGrid w:val="0"/>
              <w:jc w:val="center"/>
              <w:rPr>
                <w:rFonts w:cstheme="minorHAnsi"/>
                <w:sz w:val="20"/>
                <w:szCs w:val="20"/>
              </w:rPr>
            </w:pPr>
            <w:r>
              <w:rPr>
                <w:rFonts w:cstheme="minorHAnsi"/>
                <w:sz w:val="20"/>
                <w:szCs w:val="20"/>
              </w:rPr>
              <w:t>84.1%</w:t>
            </w:r>
          </w:p>
        </w:tc>
        <w:tc>
          <w:tcPr>
            <w:tcW w:w="718" w:type="pct"/>
            <w:tcBorders>
              <w:top w:val="nil"/>
              <w:left w:val="nil"/>
              <w:bottom w:val="double" w:sz="4" w:space="0" w:color="auto"/>
              <w:right w:val="nil"/>
            </w:tcBorders>
          </w:tcPr>
          <w:p w14:paraId="2A4A974A" w14:textId="77777777" w:rsidR="00BA2E1E" w:rsidRPr="0092283D" w:rsidRDefault="00BA2E1E" w:rsidP="00BA2E1E">
            <w:pPr>
              <w:snapToGrid w:val="0"/>
              <w:jc w:val="center"/>
              <w:rPr>
                <w:rFonts w:cstheme="minorHAnsi"/>
                <w:sz w:val="20"/>
                <w:szCs w:val="20"/>
              </w:rPr>
            </w:pPr>
            <w:r>
              <w:rPr>
                <w:rFonts w:cstheme="minorHAnsi"/>
                <w:sz w:val="20"/>
                <w:szCs w:val="20"/>
              </w:rPr>
              <w:t>85.0%</w:t>
            </w:r>
          </w:p>
        </w:tc>
      </w:tr>
      <w:tr w:rsidR="00BA2E1E" w:rsidRPr="00F60168" w14:paraId="2F973AE0" w14:textId="77777777" w:rsidTr="00FD6ABE">
        <w:trPr>
          <w:trHeight w:hRule="exact" w:val="372"/>
        </w:trPr>
        <w:tc>
          <w:tcPr>
            <w:tcW w:w="2122" w:type="pct"/>
            <w:tcBorders>
              <w:left w:val="nil"/>
              <w:right w:val="nil"/>
            </w:tcBorders>
          </w:tcPr>
          <w:p w14:paraId="6C4D4EFE" w14:textId="77777777" w:rsidR="00BA2E1E" w:rsidRPr="0092283D" w:rsidRDefault="00BA2E1E" w:rsidP="00FD6ABE">
            <w:pPr>
              <w:snapToGrid w:val="0"/>
              <w:rPr>
                <w:rFonts w:cstheme="minorHAnsi"/>
                <w:b/>
                <w:bCs/>
                <w:sz w:val="20"/>
                <w:szCs w:val="20"/>
              </w:rPr>
            </w:pPr>
            <w:r>
              <w:rPr>
                <w:rFonts w:cstheme="minorHAnsi"/>
                <w:b/>
                <w:bCs/>
                <w:sz w:val="20"/>
                <w:szCs w:val="20"/>
              </w:rPr>
              <w:t>Secondary Prevention</w:t>
            </w:r>
            <w:r w:rsidRPr="003E3D43">
              <w:rPr>
                <w:rFonts w:cstheme="minorHAnsi"/>
                <w:vertAlign w:val="superscript"/>
              </w:rPr>
              <w:t>‡</w:t>
            </w:r>
          </w:p>
        </w:tc>
        <w:tc>
          <w:tcPr>
            <w:tcW w:w="720" w:type="pct"/>
            <w:tcBorders>
              <w:left w:val="nil"/>
              <w:right w:val="nil"/>
            </w:tcBorders>
          </w:tcPr>
          <w:p w14:paraId="6CDC5F81" w14:textId="77777777" w:rsidR="00BA2E1E" w:rsidRPr="0092283D" w:rsidRDefault="00BA2E1E" w:rsidP="00BA2E1E">
            <w:pPr>
              <w:snapToGrid w:val="0"/>
              <w:jc w:val="center"/>
              <w:rPr>
                <w:rFonts w:cstheme="minorHAnsi"/>
                <w:b/>
                <w:bCs/>
                <w:sz w:val="20"/>
                <w:szCs w:val="20"/>
              </w:rPr>
            </w:pPr>
            <w:r w:rsidRPr="00955FAB">
              <w:rPr>
                <w:rFonts w:cstheme="minorHAnsi"/>
                <w:sz w:val="20"/>
                <w:szCs w:val="20"/>
              </w:rPr>
              <w:t xml:space="preserve">N = </w:t>
            </w:r>
            <w:r>
              <w:rPr>
                <w:rFonts w:cstheme="minorHAnsi"/>
                <w:sz w:val="20"/>
                <w:szCs w:val="20"/>
              </w:rPr>
              <w:t>10.0</w:t>
            </w:r>
          </w:p>
        </w:tc>
        <w:tc>
          <w:tcPr>
            <w:tcW w:w="720" w:type="pct"/>
            <w:tcBorders>
              <w:left w:val="nil"/>
              <w:right w:val="nil"/>
            </w:tcBorders>
          </w:tcPr>
          <w:p w14:paraId="5D48D405" w14:textId="77777777" w:rsidR="00BA2E1E" w:rsidRPr="0092283D" w:rsidRDefault="00BA2E1E" w:rsidP="00BA2E1E">
            <w:pPr>
              <w:snapToGrid w:val="0"/>
              <w:jc w:val="center"/>
              <w:rPr>
                <w:rFonts w:cstheme="minorHAnsi"/>
                <w:b/>
                <w:bCs/>
                <w:sz w:val="20"/>
                <w:szCs w:val="20"/>
              </w:rPr>
            </w:pPr>
            <w:r w:rsidRPr="00955FAB">
              <w:rPr>
                <w:rFonts w:cstheme="minorHAnsi"/>
                <w:sz w:val="20"/>
                <w:szCs w:val="20"/>
              </w:rPr>
              <w:t xml:space="preserve">N = </w:t>
            </w:r>
            <w:r>
              <w:rPr>
                <w:rFonts w:cstheme="minorHAnsi"/>
                <w:sz w:val="20"/>
                <w:szCs w:val="20"/>
              </w:rPr>
              <w:t>1.9</w:t>
            </w:r>
          </w:p>
        </w:tc>
        <w:tc>
          <w:tcPr>
            <w:tcW w:w="720" w:type="pct"/>
            <w:tcBorders>
              <w:left w:val="nil"/>
              <w:right w:val="nil"/>
            </w:tcBorders>
          </w:tcPr>
          <w:p w14:paraId="4DFA9CE8" w14:textId="77777777" w:rsidR="00BA2E1E" w:rsidRPr="0092283D" w:rsidRDefault="00BA2E1E" w:rsidP="00BA2E1E">
            <w:pPr>
              <w:snapToGrid w:val="0"/>
              <w:jc w:val="center"/>
              <w:rPr>
                <w:rFonts w:cstheme="minorHAnsi"/>
                <w:b/>
                <w:bCs/>
                <w:sz w:val="20"/>
                <w:szCs w:val="20"/>
              </w:rPr>
            </w:pPr>
            <w:r w:rsidRPr="00955FAB">
              <w:rPr>
                <w:rFonts w:cstheme="minorHAnsi"/>
                <w:sz w:val="20"/>
                <w:szCs w:val="20"/>
              </w:rPr>
              <w:t xml:space="preserve">N = </w:t>
            </w:r>
            <w:r>
              <w:rPr>
                <w:rFonts w:cstheme="minorHAnsi"/>
                <w:sz w:val="20"/>
                <w:szCs w:val="20"/>
              </w:rPr>
              <w:t>0.4</w:t>
            </w:r>
          </w:p>
        </w:tc>
        <w:tc>
          <w:tcPr>
            <w:tcW w:w="718" w:type="pct"/>
            <w:tcBorders>
              <w:left w:val="nil"/>
              <w:right w:val="nil"/>
            </w:tcBorders>
          </w:tcPr>
          <w:p w14:paraId="22624900" w14:textId="77777777" w:rsidR="00BA2E1E" w:rsidRPr="0092283D" w:rsidRDefault="00BA2E1E" w:rsidP="00BA2E1E">
            <w:pPr>
              <w:snapToGrid w:val="0"/>
              <w:jc w:val="center"/>
              <w:rPr>
                <w:rFonts w:cstheme="minorHAnsi"/>
                <w:b/>
                <w:bCs/>
                <w:sz w:val="20"/>
                <w:szCs w:val="20"/>
              </w:rPr>
            </w:pPr>
            <w:r w:rsidRPr="00955FAB">
              <w:rPr>
                <w:rFonts w:cstheme="minorHAnsi"/>
                <w:sz w:val="20"/>
                <w:szCs w:val="20"/>
              </w:rPr>
              <w:t xml:space="preserve">N = </w:t>
            </w:r>
            <w:r>
              <w:rPr>
                <w:rFonts w:cstheme="minorHAnsi"/>
                <w:sz w:val="20"/>
                <w:szCs w:val="20"/>
              </w:rPr>
              <w:t>1.3</w:t>
            </w:r>
          </w:p>
        </w:tc>
      </w:tr>
      <w:tr w:rsidR="00BA2E1E" w:rsidRPr="00F60168" w14:paraId="2174B11B" w14:textId="77777777" w:rsidTr="00FD6ABE">
        <w:trPr>
          <w:trHeight w:hRule="exact" w:val="264"/>
        </w:trPr>
        <w:tc>
          <w:tcPr>
            <w:tcW w:w="2122" w:type="pct"/>
            <w:tcBorders>
              <w:left w:val="nil"/>
              <w:bottom w:val="nil"/>
              <w:right w:val="nil"/>
            </w:tcBorders>
            <w:shd w:val="clear" w:color="auto" w:fill="auto"/>
          </w:tcPr>
          <w:p w14:paraId="57BA6DDA" w14:textId="77777777" w:rsidR="00BA2E1E" w:rsidRPr="0092283D" w:rsidRDefault="00BA2E1E" w:rsidP="00FD6ABE">
            <w:pPr>
              <w:snapToGrid w:val="0"/>
              <w:rPr>
                <w:rFonts w:cstheme="minorHAnsi"/>
                <w:sz w:val="20"/>
                <w:szCs w:val="20"/>
              </w:rPr>
            </w:pPr>
            <w:r>
              <w:rPr>
                <w:rFonts w:cstheme="minorHAnsi"/>
                <w:sz w:val="20"/>
                <w:szCs w:val="20"/>
              </w:rPr>
              <w:t>Observed LLT utilization in NHANES</w:t>
            </w:r>
          </w:p>
        </w:tc>
        <w:tc>
          <w:tcPr>
            <w:tcW w:w="720" w:type="pct"/>
            <w:tcBorders>
              <w:left w:val="nil"/>
              <w:bottom w:val="nil"/>
              <w:right w:val="nil"/>
            </w:tcBorders>
          </w:tcPr>
          <w:p w14:paraId="2615332B" w14:textId="77777777" w:rsidR="00BA2E1E" w:rsidRPr="0092283D" w:rsidRDefault="00BA2E1E" w:rsidP="002B7789">
            <w:pPr>
              <w:snapToGrid w:val="0"/>
              <w:jc w:val="center"/>
              <w:rPr>
                <w:rFonts w:cstheme="minorHAnsi"/>
                <w:sz w:val="20"/>
                <w:szCs w:val="20"/>
              </w:rPr>
            </w:pPr>
            <w:r>
              <w:rPr>
                <w:rFonts w:cstheme="minorHAnsi"/>
                <w:sz w:val="20"/>
                <w:szCs w:val="20"/>
              </w:rPr>
              <w:t>N = 7.4 (73.5%)</w:t>
            </w:r>
          </w:p>
        </w:tc>
        <w:tc>
          <w:tcPr>
            <w:tcW w:w="720" w:type="pct"/>
            <w:tcBorders>
              <w:left w:val="nil"/>
              <w:bottom w:val="nil"/>
              <w:right w:val="nil"/>
            </w:tcBorders>
          </w:tcPr>
          <w:p w14:paraId="1658AC79" w14:textId="77777777" w:rsidR="00BA2E1E" w:rsidRPr="0092283D" w:rsidRDefault="00BA2E1E" w:rsidP="002B7789">
            <w:pPr>
              <w:snapToGrid w:val="0"/>
              <w:jc w:val="center"/>
              <w:rPr>
                <w:rFonts w:cstheme="minorHAnsi"/>
                <w:sz w:val="20"/>
                <w:szCs w:val="20"/>
              </w:rPr>
            </w:pPr>
            <w:r>
              <w:rPr>
                <w:rFonts w:cstheme="minorHAnsi"/>
                <w:sz w:val="20"/>
                <w:szCs w:val="20"/>
              </w:rPr>
              <w:t>N = 1.0 (52.6%)</w:t>
            </w:r>
          </w:p>
        </w:tc>
        <w:tc>
          <w:tcPr>
            <w:tcW w:w="720" w:type="pct"/>
            <w:tcBorders>
              <w:left w:val="nil"/>
              <w:bottom w:val="nil"/>
              <w:right w:val="nil"/>
            </w:tcBorders>
          </w:tcPr>
          <w:p w14:paraId="62DD6C1B" w14:textId="77777777" w:rsidR="00BA2E1E" w:rsidRPr="0092283D" w:rsidRDefault="00BA2E1E" w:rsidP="002B7789">
            <w:pPr>
              <w:snapToGrid w:val="0"/>
              <w:jc w:val="center"/>
              <w:rPr>
                <w:rFonts w:cstheme="minorHAnsi"/>
                <w:sz w:val="20"/>
                <w:szCs w:val="20"/>
              </w:rPr>
            </w:pPr>
            <w:r>
              <w:rPr>
                <w:rFonts w:cstheme="minorHAnsi"/>
                <w:sz w:val="20"/>
                <w:szCs w:val="20"/>
              </w:rPr>
              <w:t>N = 0.3 (65.4%)</w:t>
            </w:r>
          </w:p>
        </w:tc>
        <w:tc>
          <w:tcPr>
            <w:tcW w:w="718" w:type="pct"/>
            <w:tcBorders>
              <w:left w:val="nil"/>
              <w:bottom w:val="nil"/>
              <w:right w:val="nil"/>
            </w:tcBorders>
          </w:tcPr>
          <w:p w14:paraId="638932F4" w14:textId="77777777" w:rsidR="00BA2E1E" w:rsidRPr="0092283D" w:rsidRDefault="00BA2E1E" w:rsidP="002B7789">
            <w:pPr>
              <w:snapToGrid w:val="0"/>
              <w:jc w:val="center"/>
              <w:rPr>
                <w:rFonts w:cstheme="minorHAnsi"/>
                <w:sz w:val="20"/>
                <w:szCs w:val="20"/>
              </w:rPr>
            </w:pPr>
            <w:r>
              <w:rPr>
                <w:rFonts w:cstheme="minorHAnsi"/>
                <w:sz w:val="20"/>
                <w:szCs w:val="20"/>
              </w:rPr>
              <w:t>N = 0.6 (45.4%)</w:t>
            </w:r>
          </w:p>
        </w:tc>
      </w:tr>
      <w:tr w:rsidR="00BA2E1E" w:rsidRPr="00F60168" w14:paraId="79B73342" w14:textId="77777777" w:rsidTr="00FD6ABE">
        <w:trPr>
          <w:trHeight w:hRule="exact" w:val="233"/>
        </w:trPr>
        <w:tc>
          <w:tcPr>
            <w:tcW w:w="2122" w:type="pct"/>
            <w:tcBorders>
              <w:top w:val="nil"/>
              <w:left w:val="nil"/>
              <w:bottom w:val="nil"/>
              <w:right w:val="nil"/>
            </w:tcBorders>
          </w:tcPr>
          <w:p w14:paraId="14BB12F5" w14:textId="77777777" w:rsidR="00BA2E1E" w:rsidRPr="0092283D" w:rsidRDefault="00BA2E1E" w:rsidP="00FD6ABE">
            <w:pPr>
              <w:snapToGrid w:val="0"/>
              <w:rPr>
                <w:rFonts w:cstheme="minorHAnsi"/>
                <w:sz w:val="20"/>
                <w:szCs w:val="20"/>
              </w:rPr>
            </w:pPr>
            <w:r>
              <w:rPr>
                <w:rFonts w:cstheme="minorHAnsi"/>
                <w:sz w:val="20"/>
                <w:szCs w:val="20"/>
              </w:rPr>
              <w:t>Expected LLT utilization – 2018 US guideline</w:t>
            </w:r>
            <w:r w:rsidRPr="00A75595">
              <w:rPr>
                <w:rFonts w:cstheme="minorHAnsi"/>
                <w:sz w:val="18"/>
                <w:szCs w:val="18"/>
                <w:vertAlign w:val="superscript"/>
              </w:rPr>
              <w:t>†</w:t>
            </w:r>
          </w:p>
        </w:tc>
        <w:tc>
          <w:tcPr>
            <w:tcW w:w="720" w:type="pct"/>
            <w:tcBorders>
              <w:top w:val="nil"/>
              <w:left w:val="nil"/>
              <w:bottom w:val="nil"/>
              <w:right w:val="nil"/>
            </w:tcBorders>
          </w:tcPr>
          <w:p w14:paraId="67D2F2AE"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20" w:type="pct"/>
            <w:tcBorders>
              <w:top w:val="nil"/>
              <w:left w:val="nil"/>
              <w:bottom w:val="nil"/>
              <w:right w:val="nil"/>
            </w:tcBorders>
          </w:tcPr>
          <w:p w14:paraId="22B4E776"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20" w:type="pct"/>
            <w:tcBorders>
              <w:top w:val="nil"/>
              <w:left w:val="nil"/>
              <w:bottom w:val="nil"/>
              <w:right w:val="nil"/>
            </w:tcBorders>
          </w:tcPr>
          <w:p w14:paraId="11206313"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18" w:type="pct"/>
            <w:tcBorders>
              <w:top w:val="nil"/>
              <w:left w:val="nil"/>
              <w:bottom w:val="nil"/>
              <w:right w:val="nil"/>
            </w:tcBorders>
          </w:tcPr>
          <w:p w14:paraId="22859523" w14:textId="77777777" w:rsidR="00BA2E1E" w:rsidRPr="0092283D" w:rsidRDefault="00BA2E1E" w:rsidP="00BA2E1E">
            <w:pPr>
              <w:snapToGrid w:val="0"/>
              <w:jc w:val="center"/>
              <w:rPr>
                <w:rFonts w:cstheme="minorHAnsi"/>
                <w:sz w:val="20"/>
                <w:szCs w:val="20"/>
              </w:rPr>
            </w:pPr>
            <w:r>
              <w:rPr>
                <w:rFonts w:cstheme="minorHAnsi"/>
                <w:sz w:val="20"/>
                <w:szCs w:val="20"/>
              </w:rPr>
              <w:t>100%</w:t>
            </w:r>
          </w:p>
        </w:tc>
      </w:tr>
      <w:tr w:rsidR="00BA2E1E" w:rsidRPr="00F60168" w14:paraId="1971FA24" w14:textId="77777777" w:rsidTr="00FD6ABE">
        <w:trPr>
          <w:trHeight w:hRule="exact" w:val="233"/>
        </w:trPr>
        <w:tc>
          <w:tcPr>
            <w:tcW w:w="2122" w:type="pct"/>
            <w:tcBorders>
              <w:top w:val="nil"/>
              <w:left w:val="nil"/>
              <w:bottom w:val="nil"/>
              <w:right w:val="nil"/>
            </w:tcBorders>
            <w:shd w:val="clear" w:color="auto" w:fill="auto"/>
          </w:tcPr>
          <w:p w14:paraId="04365920" w14:textId="77777777" w:rsidR="00BA2E1E" w:rsidRPr="0092283D" w:rsidRDefault="00BA2E1E" w:rsidP="00FD6ABE">
            <w:pPr>
              <w:snapToGrid w:val="0"/>
              <w:rPr>
                <w:rFonts w:cstheme="minorHAnsi"/>
                <w:sz w:val="20"/>
                <w:szCs w:val="20"/>
              </w:rPr>
            </w:pPr>
            <w:r>
              <w:rPr>
                <w:rFonts w:cstheme="minorHAnsi"/>
                <w:sz w:val="20"/>
                <w:szCs w:val="20"/>
              </w:rPr>
              <w:t>Expected LLT utilization – 2022 US ACC pathway</w:t>
            </w:r>
            <w:r w:rsidRPr="00A75595">
              <w:rPr>
                <w:rFonts w:cstheme="minorHAnsi"/>
                <w:sz w:val="18"/>
                <w:szCs w:val="18"/>
                <w:vertAlign w:val="superscript"/>
              </w:rPr>
              <w:t>†</w:t>
            </w:r>
          </w:p>
        </w:tc>
        <w:tc>
          <w:tcPr>
            <w:tcW w:w="720" w:type="pct"/>
            <w:tcBorders>
              <w:top w:val="nil"/>
              <w:left w:val="nil"/>
              <w:bottom w:val="nil"/>
              <w:right w:val="nil"/>
            </w:tcBorders>
          </w:tcPr>
          <w:p w14:paraId="3405D48D"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20" w:type="pct"/>
            <w:tcBorders>
              <w:top w:val="nil"/>
              <w:left w:val="nil"/>
              <w:bottom w:val="nil"/>
              <w:right w:val="nil"/>
            </w:tcBorders>
          </w:tcPr>
          <w:p w14:paraId="5EB7FA57"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20" w:type="pct"/>
            <w:tcBorders>
              <w:top w:val="nil"/>
              <w:left w:val="nil"/>
              <w:bottom w:val="nil"/>
              <w:right w:val="nil"/>
            </w:tcBorders>
          </w:tcPr>
          <w:p w14:paraId="530BC2A2"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18" w:type="pct"/>
            <w:tcBorders>
              <w:top w:val="nil"/>
              <w:left w:val="nil"/>
              <w:bottom w:val="nil"/>
              <w:right w:val="nil"/>
            </w:tcBorders>
          </w:tcPr>
          <w:p w14:paraId="05369154" w14:textId="77777777" w:rsidR="00BA2E1E" w:rsidRPr="0092283D" w:rsidRDefault="00BA2E1E" w:rsidP="00BA2E1E">
            <w:pPr>
              <w:snapToGrid w:val="0"/>
              <w:jc w:val="center"/>
              <w:rPr>
                <w:rFonts w:cstheme="minorHAnsi"/>
                <w:sz w:val="20"/>
                <w:szCs w:val="20"/>
              </w:rPr>
            </w:pPr>
            <w:r>
              <w:rPr>
                <w:rFonts w:cstheme="minorHAnsi"/>
                <w:sz w:val="20"/>
                <w:szCs w:val="20"/>
              </w:rPr>
              <w:t>100%</w:t>
            </w:r>
          </w:p>
        </w:tc>
      </w:tr>
      <w:tr w:rsidR="00BA2E1E" w:rsidRPr="00F60168" w14:paraId="2C000D8A" w14:textId="77777777" w:rsidTr="00FD6ABE">
        <w:trPr>
          <w:trHeight w:hRule="exact" w:val="233"/>
        </w:trPr>
        <w:tc>
          <w:tcPr>
            <w:tcW w:w="2122" w:type="pct"/>
            <w:tcBorders>
              <w:top w:val="nil"/>
              <w:left w:val="nil"/>
              <w:right w:val="nil"/>
            </w:tcBorders>
          </w:tcPr>
          <w:p w14:paraId="4495FA83" w14:textId="77777777" w:rsidR="00BA2E1E" w:rsidRPr="0092283D" w:rsidRDefault="00BA2E1E" w:rsidP="00FD6ABE">
            <w:pPr>
              <w:snapToGrid w:val="0"/>
              <w:rPr>
                <w:rFonts w:cstheme="minorHAnsi"/>
                <w:sz w:val="20"/>
                <w:szCs w:val="20"/>
              </w:rPr>
            </w:pPr>
            <w:r>
              <w:rPr>
                <w:rFonts w:cstheme="minorHAnsi"/>
                <w:sz w:val="20"/>
                <w:szCs w:val="20"/>
              </w:rPr>
              <w:t>Expected LLT utilization – 2018 2019 EU guideline</w:t>
            </w:r>
            <w:r w:rsidRPr="00A75595">
              <w:rPr>
                <w:rFonts w:cstheme="minorHAnsi"/>
                <w:sz w:val="18"/>
                <w:szCs w:val="18"/>
                <w:vertAlign w:val="superscript"/>
              </w:rPr>
              <w:t>†</w:t>
            </w:r>
          </w:p>
        </w:tc>
        <w:tc>
          <w:tcPr>
            <w:tcW w:w="720" w:type="pct"/>
            <w:tcBorders>
              <w:top w:val="nil"/>
              <w:left w:val="nil"/>
              <w:right w:val="nil"/>
            </w:tcBorders>
          </w:tcPr>
          <w:p w14:paraId="48B85FB6"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20" w:type="pct"/>
            <w:tcBorders>
              <w:top w:val="nil"/>
              <w:left w:val="nil"/>
              <w:right w:val="nil"/>
            </w:tcBorders>
          </w:tcPr>
          <w:p w14:paraId="643CA713"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20" w:type="pct"/>
            <w:tcBorders>
              <w:top w:val="nil"/>
              <w:left w:val="nil"/>
              <w:right w:val="nil"/>
            </w:tcBorders>
          </w:tcPr>
          <w:p w14:paraId="05E27B91" w14:textId="77777777" w:rsidR="00BA2E1E" w:rsidRPr="0092283D" w:rsidRDefault="00BA2E1E" w:rsidP="00BA2E1E">
            <w:pPr>
              <w:snapToGrid w:val="0"/>
              <w:jc w:val="center"/>
              <w:rPr>
                <w:rFonts w:cstheme="minorHAnsi"/>
                <w:sz w:val="20"/>
                <w:szCs w:val="20"/>
              </w:rPr>
            </w:pPr>
            <w:r>
              <w:rPr>
                <w:rFonts w:cstheme="minorHAnsi"/>
                <w:sz w:val="20"/>
                <w:szCs w:val="20"/>
              </w:rPr>
              <w:t>100%</w:t>
            </w:r>
          </w:p>
        </w:tc>
        <w:tc>
          <w:tcPr>
            <w:tcW w:w="718" w:type="pct"/>
            <w:tcBorders>
              <w:top w:val="nil"/>
              <w:left w:val="nil"/>
              <w:right w:val="nil"/>
            </w:tcBorders>
          </w:tcPr>
          <w:p w14:paraId="5CAB2039" w14:textId="77777777" w:rsidR="00BA2E1E" w:rsidRPr="0092283D" w:rsidRDefault="00BA2E1E" w:rsidP="00BA2E1E">
            <w:pPr>
              <w:snapToGrid w:val="0"/>
              <w:jc w:val="center"/>
              <w:rPr>
                <w:rFonts w:cstheme="minorHAnsi"/>
                <w:sz w:val="20"/>
                <w:szCs w:val="20"/>
              </w:rPr>
            </w:pPr>
            <w:r>
              <w:rPr>
                <w:rFonts w:cstheme="minorHAnsi"/>
                <w:sz w:val="20"/>
                <w:szCs w:val="20"/>
              </w:rPr>
              <w:t>100%</w:t>
            </w:r>
          </w:p>
        </w:tc>
      </w:tr>
    </w:tbl>
    <w:p w14:paraId="19143104" w14:textId="77777777" w:rsidR="00BA2E1E" w:rsidRDefault="00BA2E1E" w:rsidP="00BA2E1E"/>
    <w:p w14:paraId="36A91DAD" w14:textId="77777777" w:rsidR="00BA2E1E" w:rsidRDefault="00BA2E1E" w:rsidP="00BA2E1E">
      <w:pPr>
        <w:rPr>
          <w:sz w:val="18"/>
          <w:szCs w:val="18"/>
        </w:rPr>
      </w:pPr>
      <w:r w:rsidRPr="00F30FAF">
        <w:rPr>
          <w:sz w:val="18"/>
          <w:szCs w:val="18"/>
        </w:rPr>
        <w:t>*N is in millions</w:t>
      </w:r>
    </w:p>
    <w:p w14:paraId="10E44AAB" w14:textId="77777777" w:rsidR="00BA2E1E" w:rsidRDefault="00BA2E1E" w:rsidP="00BA2E1E">
      <w:pPr>
        <w:rPr>
          <w:rFonts w:cstheme="minorHAnsi"/>
          <w:sz w:val="18"/>
          <w:szCs w:val="18"/>
        </w:rPr>
      </w:pPr>
      <w:r w:rsidRPr="00A75595">
        <w:rPr>
          <w:rFonts w:cstheme="minorHAnsi"/>
          <w:sz w:val="18"/>
          <w:szCs w:val="18"/>
          <w:vertAlign w:val="superscript"/>
        </w:rPr>
        <w:t>†</w:t>
      </w:r>
      <w:r w:rsidRPr="003E3D43">
        <w:rPr>
          <w:rFonts w:cstheme="minorHAnsi"/>
          <w:sz w:val="18"/>
          <w:szCs w:val="18"/>
        </w:rPr>
        <w:t xml:space="preserve">Expected guideline-concordant utilization is defined as the proportion of US patients who would be prescribed each drug class under ideal conditions of fully guideline- and pathway-concordant care. </w:t>
      </w:r>
    </w:p>
    <w:p w14:paraId="21114D47" w14:textId="77777777" w:rsidR="00BA2E1E" w:rsidRDefault="00BA2E1E" w:rsidP="00BA2E1E">
      <w:pPr>
        <w:rPr>
          <w:rFonts w:cstheme="minorHAnsi"/>
          <w:sz w:val="18"/>
          <w:szCs w:val="18"/>
        </w:rPr>
      </w:pPr>
      <w:r w:rsidRPr="003E3D43">
        <w:rPr>
          <w:rFonts w:cstheme="minorHAnsi"/>
          <w:vertAlign w:val="superscript"/>
        </w:rPr>
        <w:t>‡</w:t>
      </w:r>
      <w:r w:rsidRPr="003E3D43">
        <w:rPr>
          <w:rFonts w:cstheme="minorHAnsi"/>
          <w:sz w:val="18"/>
          <w:szCs w:val="18"/>
        </w:rPr>
        <w:t>Secondary prevention is defined as individuals with clinical cardiovascular disease for both the US guidelines and EU guidelines.  Clinical cardiovascular disease was defined as individuals in NHANES who self-reported coronary heart disease, angina/angina pectoris, myocardial infarction, or stroke.</w:t>
      </w:r>
    </w:p>
    <w:p w14:paraId="2FCE5763" w14:textId="77777777" w:rsidR="00BA2E1E" w:rsidRPr="00F30FAF" w:rsidRDefault="00BA2E1E" w:rsidP="00BA2E1E">
      <w:pPr>
        <w:rPr>
          <w:rFonts w:cstheme="minorHAnsi"/>
          <w:sz w:val="18"/>
          <w:szCs w:val="18"/>
        </w:rPr>
      </w:pPr>
    </w:p>
    <w:p w14:paraId="19FB4C74" w14:textId="7375E592" w:rsidR="00BA2E1E" w:rsidRDefault="00BA2E1E" w:rsidP="00BA2E1E">
      <w:pPr>
        <w:rPr>
          <w:rFonts w:cstheme="minorHAnsi"/>
          <w:sz w:val="20"/>
          <w:szCs w:val="20"/>
          <w:lang w:eastAsia="zh-TW"/>
        </w:rPr>
      </w:pPr>
      <w:r>
        <w:rPr>
          <w:rFonts w:cstheme="minorHAnsi"/>
          <w:b/>
          <w:bCs/>
          <w:sz w:val="20"/>
          <w:szCs w:val="20"/>
          <w:lang w:eastAsia="zh-TW"/>
        </w:rPr>
        <w:t xml:space="preserve">LLT </w:t>
      </w:r>
      <w:r>
        <w:rPr>
          <w:rFonts w:cstheme="minorHAnsi"/>
          <w:sz w:val="20"/>
          <w:szCs w:val="20"/>
          <w:lang w:eastAsia="zh-TW"/>
        </w:rPr>
        <w:t>lipid lowering therapy</w:t>
      </w:r>
    </w:p>
    <w:p w14:paraId="369CE5A7" w14:textId="77777777" w:rsidR="00BA2E1E" w:rsidRPr="00F30FAF" w:rsidRDefault="00BA2E1E" w:rsidP="00BA2E1E">
      <w:pPr>
        <w:rPr>
          <w:rFonts w:cstheme="minorHAnsi"/>
          <w:sz w:val="18"/>
          <w:szCs w:val="18"/>
        </w:rPr>
      </w:pPr>
    </w:p>
    <w:p w14:paraId="58B0CFA9" w14:textId="77777777" w:rsidR="00BA2E1E" w:rsidRPr="003E3D43" w:rsidRDefault="00BA2E1E" w:rsidP="00BA2E1E">
      <w:pPr>
        <w:rPr>
          <w:rFonts w:cstheme="minorHAnsi"/>
          <w:sz w:val="18"/>
          <w:szCs w:val="18"/>
        </w:rPr>
      </w:pPr>
      <w:r w:rsidRPr="003E3D43">
        <w:rPr>
          <w:rFonts w:cstheme="minorHAnsi"/>
          <w:b/>
          <w:bCs/>
          <w:sz w:val="18"/>
          <w:szCs w:val="18"/>
        </w:rPr>
        <w:t xml:space="preserve">Source: </w:t>
      </w:r>
      <w:r w:rsidRPr="003E3D43">
        <w:rPr>
          <w:rFonts w:cstheme="minorHAnsi"/>
          <w:sz w:val="18"/>
          <w:szCs w:val="18"/>
        </w:rPr>
        <w:t>National Health and Nutrition Examination Survey, 2013-March 2020</w:t>
      </w:r>
    </w:p>
    <w:p w14:paraId="2E1B8E74" w14:textId="77777777" w:rsidR="00BA2E1E" w:rsidRDefault="00BA2E1E">
      <w:pPr>
        <w:rPr>
          <w:rFonts w:cstheme="minorHAnsi"/>
          <w:b/>
          <w:bCs/>
        </w:rPr>
      </w:pPr>
      <w:r>
        <w:rPr>
          <w:rFonts w:cstheme="minorHAnsi"/>
          <w:b/>
          <w:bCs/>
        </w:rPr>
        <w:br w:type="page"/>
      </w:r>
    </w:p>
    <w:p w14:paraId="70E8274B" w14:textId="77777777" w:rsidR="00BA2E1E" w:rsidRDefault="00BA2E1E">
      <w:pPr>
        <w:rPr>
          <w:rFonts w:cstheme="minorHAnsi"/>
          <w:b/>
          <w:bCs/>
        </w:rPr>
        <w:sectPr w:rsidR="00BA2E1E" w:rsidSect="00BA2E1E">
          <w:pgSz w:w="15840" w:h="12240" w:orient="landscape"/>
          <w:pgMar w:top="1440" w:right="1440" w:bottom="1440" w:left="1440" w:header="720" w:footer="720" w:gutter="0"/>
          <w:cols w:space="720"/>
          <w:docGrid w:linePitch="360"/>
        </w:sectPr>
      </w:pPr>
    </w:p>
    <w:p w14:paraId="344C1665" w14:textId="08AE9F22" w:rsidR="004F1072" w:rsidRDefault="00814AC8">
      <w:r>
        <w:rPr>
          <w:rFonts w:cstheme="minorHAnsi"/>
          <w:b/>
          <w:bCs/>
        </w:rPr>
        <w:lastRenderedPageBreak/>
        <w:t xml:space="preserve">eFigure 1. </w:t>
      </w:r>
      <w:r w:rsidRPr="00814AC8">
        <w:rPr>
          <w:rFonts w:cstheme="minorHAnsi"/>
        </w:rPr>
        <w:t xml:space="preserve">Detailed </w:t>
      </w:r>
      <w:r>
        <w:t>f</w:t>
      </w:r>
      <w:r w:rsidRPr="003975B0">
        <w:t xml:space="preserve">lowchart depicting </w:t>
      </w:r>
      <w:r>
        <w:t>assignment to LLT</w:t>
      </w:r>
      <w:r w:rsidRPr="003975B0">
        <w:t xml:space="preserve"> </w:t>
      </w:r>
      <w:r>
        <w:t>by the 2018 US guideline</w:t>
      </w:r>
      <w:r w:rsidRPr="003975B0">
        <w:t>.</w:t>
      </w:r>
    </w:p>
    <w:p w14:paraId="219743BA" w14:textId="04DD2E76" w:rsidR="00814AC8" w:rsidRDefault="00814AC8">
      <w:pPr>
        <w:rPr>
          <w:rFonts w:cstheme="minorHAnsi"/>
          <w:b/>
          <w:bCs/>
        </w:rPr>
      </w:pPr>
      <w:r w:rsidRPr="003975B0">
        <w:t xml:space="preserve">   </w:t>
      </w:r>
      <w:r w:rsidR="004F1072">
        <w:rPr>
          <w:rFonts w:cstheme="minorHAnsi"/>
          <w:b/>
          <w:bCs/>
          <w:noProof/>
        </w:rPr>
        <w:drawing>
          <wp:inline distT="0" distB="0" distL="0" distR="0" wp14:anchorId="4017592E" wp14:editId="79BA8DC1">
            <wp:extent cx="6395155" cy="5232400"/>
            <wp:effectExtent l="0" t="0" r="5715" b="0"/>
            <wp:docPr id="838029139" name="Picture 838029139"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29139" name="Picture 5" descr="A diagram of a flow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413588" cy="5247482"/>
                    </a:xfrm>
                    <a:prstGeom prst="rect">
                      <a:avLst/>
                    </a:prstGeom>
                  </pic:spPr>
                </pic:pic>
              </a:graphicData>
            </a:graphic>
          </wp:inline>
        </w:drawing>
      </w:r>
    </w:p>
    <w:p w14:paraId="2347B9AD" w14:textId="77777777" w:rsidR="004F1072" w:rsidRDefault="004F1072">
      <w:pPr>
        <w:rPr>
          <w:rFonts w:cstheme="minorHAnsi"/>
          <w:b/>
          <w:bCs/>
        </w:rPr>
      </w:pPr>
      <w:r>
        <w:rPr>
          <w:rFonts w:cstheme="minorHAnsi"/>
          <w:b/>
          <w:bCs/>
        </w:rPr>
        <w:br w:type="page"/>
      </w:r>
    </w:p>
    <w:p w14:paraId="2549E5A1" w14:textId="282B617D" w:rsidR="00814AC8" w:rsidRDefault="00814AC8">
      <w:r>
        <w:rPr>
          <w:rFonts w:cstheme="minorHAnsi"/>
          <w:b/>
          <w:bCs/>
        </w:rPr>
        <w:lastRenderedPageBreak/>
        <w:t xml:space="preserve">eFigure 2. </w:t>
      </w:r>
      <w:r w:rsidRPr="00814AC8">
        <w:rPr>
          <w:rFonts w:cstheme="minorHAnsi"/>
        </w:rPr>
        <w:t xml:space="preserve">Detailed </w:t>
      </w:r>
      <w:r>
        <w:t>f</w:t>
      </w:r>
      <w:r w:rsidRPr="003975B0">
        <w:t xml:space="preserve">lowchart depicting </w:t>
      </w:r>
      <w:r>
        <w:t>assignment to LLT</w:t>
      </w:r>
      <w:r w:rsidRPr="003975B0">
        <w:t xml:space="preserve"> </w:t>
      </w:r>
      <w:r>
        <w:t>by the 2019 EU guideline</w:t>
      </w:r>
      <w:r w:rsidRPr="003975B0">
        <w:t xml:space="preserve">.   </w:t>
      </w:r>
    </w:p>
    <w:p w14:paraId="4B195A86" w14:textId="77777777" w:rsidR="00EA4A9F" w:rsidRDefault="00EA4A9F"/>
    <w:p w14:paraId="555A967E" w14:textId="5B96A8BB" w:rsidR="00814AC8" w:rsidRDefault="00814AC8">
      <w:r>
        <w:rPr>
          <w:noProof/>
        </w:rPr>
        <w:drawing>
          <wp:inline distT="0" distB="0" distL="0" distR="0" wp14:anchorId="3DD3ED05" wp14:editId="7C2587C3">
            <wp:extent cx="6483339" cy="6155266"/>
            <wp:effectExtent l="0" t="0" r="0" b="4445"/>
            <wp:docPr id="1005529902" name="Picture 1005529902" descr="A flowchart of a patient's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29902" name="Picture 2" descr="A flowchart of a patient's flow&#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6494586" cy="6165944"/>
                    </a:xfrm>
                    <a:prstGeom prst="rect">
                      <a:avLst/>
                    </a:prstGeom>
                  </pic:spPr>
                </pic:pic>
              </a:graphicData>
            </a:graphic>
          </wp:inline>
        </w:drawing>
      </w:r>
    </w:p>
    <w:p w14:paraId="7E392071" w14:textId="77777777" w:rsidR="00814AC8" w:rsidRDefault="00814AC8">
      <w:pPr>
        <w:rPr>
          <w:rFonts w:cstheme="minorHAnsi"/>
          <w:b/>
          <w:bCs/>
        </w:rPr>
      </w:pPr>
    </w:p>
    <w:p w14:paraId="52CB608D" w14:textId="77777777" w:rsidR="00814AC8" w:rsidRDefault="00814AC8">
      <w:pPr>
        <w:rPr>
          <w:rFonts w:cstheme="minorHAnsi"/>
          <w:b/>
          <w:bCs/>
        </w:rPr>
        <w:sectPr w:rsidR="00814AC8" w:rsidSect="002B7789">
          <w:pgSz w:w="12240" w:h="15840"/>
          <w:pgMar w:top="1440" w:right="1440" w:bottom="1440" w:left="1440" w:header="720" w:footer="720" w:gutter="0"/>
          <w:cols w:space="720"/>
          <w:docGrid w:linePitch="360"/>
        </w:sectPr>
      </w:pPr>
    </w:p>
    <w:p w14:paraId="0A4AA3F1" w14:textId="224882B7" w:rsidR="00814AC8" w:rsidRPr="00814AC8" w:rsidRDefault="00814AC8">
      <w:pPr>
        <w:rPr>
          <w:rFonts w:cstheme="minorHAnsi"/>
          <w:b/>
          <w:bCs/>
        </w:rPr>
      </w:pPr>
      <w:r>
        <w:rPr>
          <w:rFonts w:cstheme="minorHAnsi"/>
          <w:b/>
          <w:bCs/>
        </w:rPr>
        <w:lastRenderedPageBreak/>
        <w:t xml:space="preserve">eFigure 3. </w:t>
      </w:r>
      <w:r w:rsidRPr="00814AC8">
        <w:rPr>
          <w:rFonts w:cstheme="minorHAnsi"/>
        </w:rPr>
        <w:t xml:space="preserve">Detailed </w:t>
      </w:r>
      <w:r>
        <w:t>f</w:t>
      </w:r>
      <w:r w:rsidRPr="003975B0">
        <w:t xml:space="preserve">lowchart depicting </w:t>
      </w:r>
      <w:r>
        <w:t>assignment to LLT</w:t>
      </w:r>
      <w:r w:rsidRPr="003975B0">
        <w:t xml:space="preserve"> </w:t>
      </w:r>
      <w:r>
        <w:t>by the 2022 US pathway</w:t>
      </w:r>
      <w:r w:rsidRPr="003975B0">
        <w:t xml:space="preserve">.   </w:t>
      </w:r>
    </w:p>
    <w:p w14:paraId="4CDF1FC5" w14:textId="77777777" w:rsidR="00814AC8" w:rsidRDefault="00814AC8">
      <w:pPr>
        <w:rPr>
          <w:rFonts w:cstheme="minorHAnsi"/>
          <w:b/>
          <w:bCs/>
        </w:rPr>
      </w:pPr>
    </w:p>
    <w:p w14:paraId="1597F73B" w14:textId="7AD16453" w:rsidR="00814AC8" w:rsidRDefault="00F13D5D">
      <w:pPr>
        <w:rPr>
          <w:rFonts w:cstheme="minorHAnsi"/>
          <w:b/>
          <w:bCs/>
        </w:rPr>
        <w:sectPr w:rsidR="00814AC8" w:rsidSect="00952071">
          <w:pgSz w:w="15840" w:h="12240" w:orient="landscape"/>
          <w:pgMar w:top="1440" w:right="1440" w:bottom="1440" w:left="1440" w:header="720" w:footer="720" w:gutter="0"/>
          <w:cols w:space="720"/>
          <w:docGrid w:linePitch="360"/>
        </w:sectPr>
      </w:pPr>
      <w:r>
        <w:rPr>
          <w:rFonts w:cstheme="minorHAnsi"/>
          <w:b/>
          <w:bCs/>
          <w:noProof/>
        </w:rPr>
        <w:drawing>
          <wp:inline distT="0" distB="0" distL="0" distR="0" wp14:anchorId="4E02B6B8" wp14:editId="45D901B4">
            <wp:extent cx="8952646" cy="5545667"/>
            <wp:effectExtent l="0" t="0" r="1270" b="4445"/>
            <wp:docPr id="355962962" name="Picture 35596296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62962" name="Picture 4" descr="A diagram of a flow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8962961" cy="5552057"/>
                    </a:xfrm>
                    <a:prstGeom prst="rect">
                      <a:avLst/>
                    </a:prstGeom>
                  </pic:spPr>
                </pic:pic>
              </a:graphicData>
            </a:graphic>
          </wp:inline>
        </w:drawing>
      </w:r>
    </w:p>
    <w:p w14:paraId="12999100" w14:textId="77777777" w:rsidR="004A1ED8" w:rsidRDefault="004A1ED8">
      <w:r>
        <w:rPr>
          <w:b/>
          <w:bCs/>
        </w:rPr>
        <w:lastRenderedPageBreak/>
        <w:t>Conflict of Interest Statement</w:t>
      </w:r>
    </w:p>
    <w:p w14:paraId="0000A349" w14:textId="4C1667D1" w:rsidR="004A1ED8" w:rsidRDefault="004A1ED8" w:rsidP="004A1ED8">
      <w:pPr>
        <w:jc w:val="both"/>
      </w:pPr>
      <w:r w:rsidRPr="24750A11">
        <w:t>Dr. Alexander is past Chair of FDA’s Peripheral and Central Nervous System Advisory Committee and is a co-founding Principal and equity holder in Stage Analytics. Outside of this work, Dr. Martin has received personal consulting fees from Amgen, AstraZeneca, BMS, Kaneka, Merck, NewAmsterdam, Novartis, Novo Nordisk, Premier, Sanofi, and 89bio. Outside of this work, Dr. Michos has received personal consulting fees from Amgen, Arrowhead, AstraZeneca, Boehringer Ingelheim, Edwards Lifescience, Esperion, Ionis, Lilly, Medtronic, Merck, NewAmsterdam, Novartis, Novo Nordisk, and Pfizer. These arrangements have been reviewed and approved by Johns Hopkins University in accordance with its conflict of interest policies.  Dr. Victores, Dr. Bash and Dr. Exter are employees of Merck</w:t>
      </w:r>
      <w:r>
        <w:t xml:space="preserve"> </w:t>
      </w:r>
      <w:r w:rsidRPr="24750A11">
        <w:t>Sharp &amp; Dohme LLC, a subsidiary of Merck &amp; Co.</w:t>
      </w:r>
      <w:r>
        <w:t>,</w:t>
      </w:r>
      <w:r w:rsidRPr="24750A11">
        <w:t xml:space="preserve"> Inc., Rahway, NJ, USA. Ms. Curran is now employed by Boehringer Ingelheim.</w:t>
      </w:r>
    </w:p>
    <w:p w14:paraId="09C9C636" w14:textId="77777777" w:rsidR="004A1ED8" w:rsidRDefault="004A1ED8">
      <w:r>
        <w:br w:type="page"/>
      </w:r>
    </w:p>
    <w:p w14:paraId="5C2387E7" w14:textId="3384D41A" w:rsidR="004B20A7" w:rsidRPr="004B20A7" w:rsidRDefault="004B20A7">
      <w:pPr>
        <w:rPr>
          <w:rFonts w:cstheme="minorHAnsi"/>
          <w:b/>
          <w:bCs/>
        </w:rPr>
      </w:pPr>
      <w:r w:rsidRPr="003975B0">
        <w:rPr>
          <w:rFonts w:cstheme="minorHAnsi"/>
          <w:b/>
          <w:bCs/>
        </w:rPr>
        <w:lastRenderedPageBreak/>
        <w:t>REFERENCES</w:t>
      </w:r>
    </w:p>
    <w:sectPr w:rsidR="004B20A7" w:rsidRPr="004B20A7" w:rsidSect="009520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4D69F" w14:textId="77777777" w:rsidR="00E1328E" w:rsidRDefault="00E1328E" w:rsidP="008B06A9">
      <w:r>
        <w:separator/>
      </w:r>
    </w:p>
  </w:endnote>
  <w:endnote w:type="continuationSeparator" w:id="0">
    <w:p w14:paraId="76C2ADCC" w14:textId="77777777" w:rsidR="00E1328E" w:rsidRDefault="00E1328E" w:rsidP="008B06A9">
      <w:r>
        <w:continuationSeparator/>
      </w:r>
    </w:p>
  </w:endnote>
  <w:endnote w:type="continuationNotice" w:id="1">
    <w:p w14:paraId="7AF5675C" w14:textId="77777777" w:rsidR="00E1328E" w:rsidRDefault="00E1328E"/>
  </w:endnote>
  <w:endnote w:id="2">
    <w:p w14:paraId="2256962E" w14:textId="77777777" w:rsidR="001F77A7" w:rsidRPr="001543D5" w:rsidRDefault="001F77A7" w:rsidP="001F77A7">
      <w:pPr>
        <w:pStyle w:val="EndnoteText"/>
        <w:snapToGrid w:val="0"/>
        <w:rP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Conroy RM, Pyörälä K, Fitzgerald AP, et al. Estimation of ten-year risk of fatal cardiovascular disease in Europe: the SCORE project. Eur Heart J. 2003;24:987-1003.</w:t>
      </w:r>
    </w:p>
    <w:p w14:paraId="6ECC17D5" w14:textId="77777777" w:rsidR="001F77A7" w:rsidRPr="001543D5" w:rsidRDefault="001F77A7" w:rsidP="001F77A7">
      <w:pPr>
        <w:pStyle w:val="EndnoteText"/>
        <w:snapToGrid w:val="0"/>
        <w:rPr>
          <w:rFonts w:ascii="Calibri" w:hAnsi="Calibri" w:cs="Calibri"/>
          <w:sz w:val="24"/>
          <w:szCs w:val="24"/>
        </w:rPr>
      </w:pPr>
    </w:p>
  </w:endnote>
  <w:endnote w:id="3">
    <w:p w14:paraId="26BB3E44" w14:textId="53857AEB" w:rsidR="001F77A7" w:rsidRPr="001543D5" w:rsidRDefault="001F77A7" w:rsidP="001F77A7">
      <w:pPr>
        <w:pStyle w:val="EndnoteText"/>
        <w:rPr>
          <w:rFonts w:ascii="Calibri" w:hAnsi="Calibri" w:cs="Calibri"/>
          <w:color w:val="212121"/>
          <w:sz w:val="24"/>
          <w:szCs w:val="24"/>
          <w:shd w:val="clear" w:color="auto" w:fill="FFFFFF"/>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1543D5">
        <w:rPr>
          <w:rFonts w:ascii="Calibri" w:hAnsi="Calibri" w:cs="Calibri"/>
          <w:color w:val="212121"/>
          <w:sz w:val="24"/>
          <w:szCs w:val="24"/>
          <w:shd w:val="clear" w:color="auto" w:fill="FFFFFF"/>
        </w:rPr>
        <w:t>SCORE2 working group and ESC Cardiovascular risk collaboration. SCORE2 risk prediction algorithms: new models to estimate 10-year risk of cardiovascular disease in Europe. Eur Heart J. 2021;42:2439-2454.</w:t>
      </w:r>
    </w:p>
    <w:p w14:paraId="78508227" w14:textId="77777777" w:rsidR="001F77A7" w:rsidRPr="001543D5" w:rsidRDefault="001F77A7" w:rsidP="001F77A7">
      <w:pPr>
        <w:pStyle w:val="EndnoteText"/>
        <w:rPr>
          <w:rFonts w:ascii="Calibri" w:hAnsi="Calibri" w:cs="Calibri"/>
          <w:color w:val="212121"/>
          <w:sz w:val="24"/>
          <w:szCs w:val="24"/>
          <w:shd w:val="clear" w:color="auto" w:fill="FFFFFF"/>
        </w:rPr>
      </w:pPr>
    </w:p>
  </w:endnote>
  <w:endnote w:id="4">
    <w:p w14:paraId="439E0F00" w14:textId="77777777" w:rsidR="001F77A7" w:rsidRPr="001543D5" w:rsidRDefault="001F77A7" w:rsidP="001F77A7">
      <w:pPr>
        <w:pStyle w:val="EndnoteText"/>
        <w:rP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Heart Disease FastStats. U.S. Centers for Disease Control and Prevention. Available at: https://www.cdc.gov/nchs/fastats/heart-disease.htm (Accessed June 15, 2023).</w:t>
      </w:r>
    </w:p>
    <w:p w14:paraId="21B23E28" w14:textId="77777777" w:rsidR="001F77A7" w:rsidRPr="001543D5" w:rsidRDefault="001F77A7" w:rsidP="001F77A7">
      <w:pPr>
        <w:pStyle w:val="EndnoteText"/>
        <w:rPr>
          <w:rFonts w:ascii="Calibri" w:hAnsi="Calibri" w:cs="Calibri"/>
          <w:sz w:val="24"/>
          <w:szCs w:val="24"/>
        </w:rPr>
      </w:pPr>
    </w:p>
  </w:endnote>
  <w:endnote w:id="5">
    <w:p w14:paraId="15DD568A" w14:textId="70588E7C" w:rsidR="00FB2E0D" w:rsidRPr="001543D5" w:rsidRDefault="00FB2E0D">
      <w:pPr>
        <w:pStyle w:val="EndnoteText"/>
        <w:rP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00491BE9" w:rsidRPr="001543D5">
        <w:rPr>
          <w:rFonts w:ascii="Calibri" w:hAnsi="Calibri" w:cs="Calibri"/>
          <w:color w:val="191919"/>
          <w:sz w:val="24"/>
          <w:szCs w:val="24"/>
          <w:lang w:val="en-GB"/>
        </w:rPr>
        <w:t>Gao Y, Shah LM, Ding J, Martin SS. US Trends in Cholesterol Screening, Lipid Levels, and Lipid-Lowering Medication Use in US Adults, 1999 to 2018. J Am Heart Assoc. 2023;12:e028205.</w:t>
      </w:r>
    </w:p>
    <w:p w14:paraId="74CF4015" w14:textId="77777777" w:rsidR="00FB2E0D" w:rsidRPr="001543D5" w:rsidRDefault="00FB2E0D">
      <w:pPr>
        <w:pStyle w:val="EndnoteText"/>
        <w:rPr>
          <w:rFonts w:ascii="Calibri" w:hAnsi="Calibri" w:cs="Calibri"/>
          <w:sz w:val="24"/>
          <w:szCs w:val="24"/>
        </w:rPr>
      </w:pPr>
    </w:p>
  </w:endnote>
  <w:endnote w:id="6">
    <w:p w14:paraId="4F781DB4" w14:textId="1143470A" w:rsidR="00491BE9" w:rsidRPr="001543D5" w:rsidRDefault="00491BE9" w:rsidP="001543D5">
      <w:pPr>
        <w:pStyle w:val="EndnoteText"/>
        <w:spacing w:after="240"/>
        <w:rP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1543D5">
        <w:rPr>
          <w:rFonts w:ascii="Calibri" w:hAnsi="Calibri" w:cs="Calibri"/>
          <w:color w:val="000000"/>
          <w:sz w:val="24"/>
          <w:szCs w:val="24"/>
          <w:lang w:val="en-GB"/>
        </w:rPr>
        <w:t>Olufade T, Zhou S, Anzalone D, Kern DM, Tunceli O, Cziraky MJ, Willey VJ. Initiation Patterns of Statins in the 2 Years After Release of the 2013 American College of Cardiology/American Heart Association (ACC/AHA) Cholesterol Management Guideline in a Large US Health Plan. J Am Heart Assoc. 2017;6:e005205.</w:t>
      </w:r>
    </w:p>
  </w:endnote>
  <w:endnote w:id="7">
    <w:p w14:paraId="030B2C74" w14:textId="4FA3EC64" w:rsidR="00FB2E0D" w:rsidRPr="001543D5" w:rsidRDefault="00FB2E0D" w:rsidP="001543D5">
      <w:pPr>
        <w:pStyle w:val="EndnoteText"/>
        <w:spacing w:after="240"/>
        <w:rP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1543D5">
        <w:rPr>
          <w:rFonts w:ascii="Calibri" w:hAnsi="Calibri" w:cs="Calibri"/>
          <w:color w:val="212121"/>
          <w:sz w:val="24"/>
          <w:szCs w:val="24"/>
          <w:shd w:val="clear" w:color="auto" w:fill="FFFFFF"/>
        </w:rPr>
        <w:t>Gao Y, Shah LM, Ding J, Martin SS. US Trends in Cholesterol Screening, Lipid Levels, and Lipid-Lowering Medication Use in US Adults, 1999 to 2018. J Am Heart Assoc. 2023;12:e028205. </w:t>
      </w:r>
    </w:p>
  </w:endnote>
  <w:endnote w:id="8">
    <w:p w14:paraId="29A41955" w14:textId="6CCD9C25" w:rsidR="00491BE9" w:rsidRPr="001543D5" w:rsidRDefault="00491BE9" w:rsidP="001543D5">
      <w:pPr>
        <w:pStyle w:val="EndnoteText"/>
        <w:spacing w:after="240"/>
        <w:rP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1543D5">
        <w:rPr>
          <w:rFonts w:ascii="Calibri" w:hAnsi="Calibri" w:cs="Calibri"/>
          <w:color w:val="3F3F3F"/>
          <w:sz w:val="24"/>
          <w:szCs w:val="24"/>
          <w:lang w:val="en-GB"/>
        </w:rPr>
        <w:t>Lloyd-Jones D, Morris P, et al. 2022 ACC Expert Consensus Decision Pathway on the Role of Nonstatin Therapies for LDL-Cholesterol Lowering in the Management of Atherosclerotic Cardiovascular Disease Risk. </w:t>
      </w:r>
      <w:r w:rsidRPr="001543D5">
        <w:rPr>
          <w:rFonts w:ascii="Calibri" w:hAnsi="Calibri" w:cs="Calibri"/>
          <w:i/>
          <w:iCs/>
          <w:color w:val="3F3F3F"/>
          <w:sz w:val="24"/>
          <w:szCs w:val="24"/>
          <w:lang w:val="en-GB"/>
        </w:rPr>
        <w:t>J Am Coll Cardiol. </w:t>
      </w:r>
      <w:r w:rsidRPr="001543D5">
        <w:rPr>
          <w:rFonts w:ascii="Calibri" w:hAnsi="Calibri" w:cs="Calibri"/>
          <w:color w:val="3F3F3F"/>
          <w:sz w:val="24"/>
          <w:szCs w:val="24"/>
          <w:lang w:val="en-GB"/>
        </w:rPr>
        <w:t>2022;80:1366–1418.</w:t>
      </w:r>
    </w:p>
  </w:endnote>
  <w:endnote w:id="9">
    <w:p w14:paraId="0C7F9F3B" w14:textId="73D6B88E" w:rsidR="00FB2E0D" w:rsidRPr="001543D5" w:rsidRDefault="00FB2E0D" w:rsidP="001543D5">
      <w:pPr>
        <w:pStyle w:val="EndnoteText"/>
        <w:spacing w:after="240"/>
        <w:rPr>
          <w:rFonts w:ascii="Calibri" w:hAnsi="Calibri" w:cs="Calibri"/>
          <w:color w:val="212121"/>
          <w:sz w:val="24"/>
          <w:szCs w:val="24"/>
          <w:shd w:val="clear" w:color="auto" w:fill="FFFFFF"/>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D97BD8">
        <w:rPr>
          <w:rFonts w:ascii="Calibri" w:hAnsi="Calibri" w:cs="Calibri"/>
          <w:color w:val="212121"/>
          <w:sz w:val="24"/>
          <w:szCs w:val="24"/>
          <w:shd w:val="clear" w:color="auto" w:fill="FFFFFF"/>
        </w:rPr>
        <w:t>McKinley EC, Bittner VA, Brown TM, Chen L, Exter J, Farkouh ME, Huang L, Jackson EA, Levitan EB, Orroth KK, Reading SR, Rosenson RS, Safford MM, Woodward M, Muntner P, Colantonio LD. The Projected Impact of Population-Wide Achievement of LDL Cholesterol &lt;70 mg/dL on the Number of Recurrent Events Among US Adults with ASCVD. Cardiovasc Drugs Ther. 2023 Feb;37(1):107-116. doi: 10.1007/s10557-021-07268-x. Epub 2021 Oct 2. PMID: 34599698.</w:t>
      </w:r>
    </w:p>
  </w:endnote>
  <w:endnote w:id="10">
    <w:p w14:paraId="4FCA12ED" w14:textId="2C30CF1E" w:rsidR="00FB2E0D" w:rsidRPr="00D97BD8" w:rsidRDefault="00FB2E0D">
      <w:pPr>
        <w:pStyle w:val="EndnoteText"/>
        <w:rPr>
          <w:rStyle w:val="ui-provide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D97BD8">
        <w:rPr>
          <w:rStyle w:val="ui-provider"/>
          <w:rFonts w:ascii="Calibri" w:hAnsi="Calibri" w:cs="Calibri"/>
          <w:sz w:val="24"/>
          <w:szCs w:val="24"/>
        </w:rPr>
        <w:t>Grundy SM, Stone NJ, Bailey AL, et al. 2018 AHA/ACC/AACVPR/AAPA/ABC/ACPM/ADA/AGS/APhA/ASPC/NLA/PCNA Guideline on the Management of Blood Cholesterol: Executive Summary: A Report of the American College of Cardiology/American Heart Association Task Force on Clinical Practice Guidelines J Am Coll Cardiol. 2019;73:3168-3209.</w:t>
      </w:r>
    </w:p>
    <w:p w14:paraId="13AE3AE8" w14:textId="77777777" w:rsidR="00FB2E0D" w:rsidRPr="001543D5" w:rsidRDefault="00FB2E0D">
      <w:pPr>
        <w:pStyle w:val="EndnoteText"/>
        <w:rPr>
          <w:rFonts w:ascii="Calibri" w:hAnsi="Calibri" w:cs="Calibri"/>
          <w:sz w:val="24"/>
          <w:szCs w:val="24"/>
        </w:rPr>
      </w:pPr>
    </w:p>
  </w:endnote>
  <w:endnote w:id="11">
    <w:p w14:paraId="774E84E6" w14:textId="69AFFC52" w:rsidR="00FB2E0D" w:rsidRPr="00D97BD8" w:rsidRDefault="00FB2E0D">
      <w:pPr>
        <w:pStyle w:val="EndnoteText"/>
        <w:rPr>
          <w:rFonts w:ascii="Calibri" w:hAnsi="Calibri" w:cs="Calibri"/>
          <w:color w:val="212121"/>
          <w:sz w:val="24"/>
          <w:szCs w:val="24"/>
          <w:shd w:val="clear" w:color="auto" w:fill="FFFFFF"/>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D97BD8">
        <w:rPr>
          <w:rFonts w:ascii="Calibri" w:hAnsi="Calibri" w:cs="Calibri"/>
          <w:color w:val="212121"/>
          <w:sz w:val="24"/>
          <w:szCs w:val="24"/>
          <w:shd w:val="clear" w:color="auto" w:fill="FFFFFF"/>
        </w:rPr>
        <w:t>McKinley EC, Bittner VA, Brown TM, Chen L, Exter J, Farkouh ME, Huang L, Jackson EA, Levitan EB, Orroth KK, Reading SR, Rosenson RS, Safford MM, Woodward M, Muntner P, Colantonio LD. The Projected Impact of Population-Wide Achievement of LDL Cholesterol &lt;70 mg/dL on the Number of Recurrent Events Among US Adults with ASCVD. Cardiovasc Drugs Ther. 2023 Feb;37(1):107-116. doi: 10.1007/s10557-021-07268-x. Epub 2021 Oct 2. PMID: 34599698.</w:t>
      </w:r>
    </w:p>
    <w:p w14:paraId="636D75A6" w14:textId="77777777" w:rsidR="00FB2E0D" w:rsidRPr="001543D5" w:rsidRDefault="00FB2E0D">
      <w:pPr>
        <w:pStyle w:val="EndnoteText"/>
        <w:rPr>
          <w:rFonts w:ascii="Calibri" w:hAnsi="Calibri" w:cs="Calibri"/>
          <w:sz w:val="24"/>
          <w:szCs w:val="24"/>
        </w:rPr>
      </w:pPr>
    </w:p>
  </w:endnote>
  <w:endnote w:id="12">
    <w:p w14:paraId="4D6CB42F" w14:textId="56F7BEE6" w:rsidR="00FB2E0D" w:rsidRPr="00D97BD8" w:rsidRDefault="00FB2E0D">
      <w:pPr>
        <w:pStyle w:val="EndnoteText"/>
        <w:rPr>
          <w:rStyle w:val="ui-provide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D97BD8">
        <w:rPr>
          <w:rStyle w:val="ui-provider"/>
          <w:rFonts w:ascii="Calibri" w:hAnsi="Calibri" w:cs="Calibri"/>
          <w:sz w:val="24"/>
          <w:szCs w:val="24"/>
        </w:rPr>
        <w:t>Grundy SM, Stone NJ, Bailey AL, et al. 2018 AHA/ACC/AACVPR/AAPA/ABC/ACPM/ADA/AGS/APhA/ASPC/NLA/PCNA Guideline on the Management of Blood Cholesterol: Executive Summary: A Report of the American College of Cardiology/American Heart Association Task Force on Clinical Practice Guidelines J Am Coll Cardiol. 2019;73:3168-3209.</w:t>
      </w:r>
    </w:p>
    <w:p w14:paraId="01AF725C" w14:textId="77777777" w:rsidR="00FB2E0D" w:rsidRPr="001543D5" w:rsidRDefault="00FB2E0D">
      <w:pPr>
        <w:pStyle w:val="EndnoteText"/>
        <w:rPr>
          <w:rFonts w:ascii="Calibri" w:hAnsi="Calibri" w:cs="Calibri"/>
          <w:sz w:val="24"/>
          <w:szCs w:val="24"/>
        </w:rPr>
      </w:pPr>
    </w:p>
  </w:endnote>
  <w:endnote w:id="13">
    <w:p w14:paraId="09FB2F8E" w14:textId="3F5A7632" w:rsidR="00FB2E0D" w:rsidRPr="00D97BD8" w:rsidRDefault="00FB2E0D">
      <w:pPr>
        <w:pStyle w:val="EndnoteText"/>
        <w:rPr>
          <w:rFonts w:ascii="Calibri" w:hAnsi="Calibri" w:cs="Calibri"/>
          <w:color w:val="212121"/>
          <w:sz w:val="24"/>
          <w:szCs w:val="24"/>
          <w:shd w:val="clear" w:color="auto" w:fill="FFFFFF"/>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D97BD8">
        <w:rPr>
          <w:rFonts w:ascii="Calibri" w:hAnsi="Calibri" w:cs="Calibri"/>
          <w:color w:val="212121"/>
          <w:sz w:val="24"/>
          <w:szCs w:val="24"/>
          <w:shd w:val="clear" w:color="auto" w:fill="FFFFFF"/>
        </w:rPr>
        <w:t>McKinley EC, Bittner VA, Brown TM, Chen L, Exter J, Farkouh ME, Huang L, Jackson EA, Levitan EB, Orroth KK, Reading SR, Rosenson RS, Safford MM, Woodward M, Muntner P, Colantonio LD. The Projected Impact of Population-Wide Achievement of LDL Cholesterol &lt;70 mg/dL on the Number of Recurrent Events Among US Adults with ASCVD. Cardiovasc Drugs Ther. 2023 Feb;37(1):107-116. doi: 10.1007/s10557-021-07268-x. Epub 2021 Oct 2. PMID: 34599698.</w:t>
      </w:r>
    </w:p>
    <w:p w14:paraId="41D92350" w14:textId="77777777" w:rsidR="00FB2E0D" w:rsidRPr="001543D5" w:rsidRDefault="00FB2E0D">
      <w:pPr>
        <w:pStyle w:val="EndnoteText"/>
        <w:rPr>
          <w:rFonts w:ascii="Calibri" w:hAnsi="Calibri" w:cs="Calibri"/>
          <w:sz w:val="24"/>
          <w:szCs w:val="24"/>
        </w:rPr>
      </w:pPr>
    </w:p>
  </w:endnote>
  <w:endnote w:id="14">
    <w:p w14:paraId="4AF5AC0C" w14:textId="10592983" w:rsidR="00FB2E0D" w:rsidRPr="00D97BD8" w:rsidRDefault="00FB2E0D" w:rsidP="00FB2E0D">
      <w:pPr>
        <w:pStyle w:val="EndnoteText"/>
        <w:rPr>
          <w:rStyle w:val="ui-provider"/>
          <w:rFonts w:ascii="Calibri" w:hAnsi="Calibri" w:cs="Calibri"/>
          <w:sz w:val="24"/>
          <w:szCs w:val="24"/>
        </w:rPr>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D97BD8">
        <w:rPr>
          <w:rStyle w:val="ui-provider"/>
          <w:rFonts w:ascii="Calibri" w:hAnsi="Calibri" w:cs="Calibri"/>
          <w:sz w:val="24"/>
          <w:szCs w:val="24"/>
        </w:rPr>
        <w:t>Grundy SM, Stone NJ, Bailey AL, et al. 2018 AHA/ACC/AACVPR/AAPA/ABC/ACPM/ADA/AGS/APhA/ASPC/NLA/PCNA Guideline on the Management of Blood Cholesterol: Executive Summary: A Report of the American College of Cardiology/American Heart Association Task Force on Clinical Practice Guidelines J Am Coll Cardiol. 2019;73:3168-3209.</w:t>
      </w:r>
    </w:p>
    <w:p w14:paraId="7382FB8F" w14:textId="4DD6251F" w:rsidR="00FB2E0D" w:rsidRPr="001543D5" w:rsidRDefault="00FB2E0D">
      <w:pPr>
        <w:pStyle w:val="EndnoteText"/>
        <w:rPr>
          <w:rFonts w:ascii="Calibri" w:hAnsi="Calibri" w:cs="Calibri"/>
          <w:sz w:val="24"/>
          <w:szCs w:val="24"/>
        </w:rPr>
      </w:pPr>
    </w:p>
  </w:endnote>
  <w:endnote w:id="15">
    <w:p w14:paraId="3110155F" w14:textId="6FFAF89A" w:rsidR="00491BE9" w:rsidRDefault="00491BE9">
      <w:pPr>
        <w:pStyle w:val="EndnoteText"/>
      </w:pPr>
      <w:r w:rsidRPr="001543D5">
        <w:rPr>
          <w:rStyle w:val="EndnoteReference"/>
          <w:rFonts w:ascii="Calibri" w:hAnsi="Calibri" w:cs="Calibri"/>
          <w:sz w:val="24"/>
          <w:szCs w:val="24"/>
        </w:rPr>
        <w:endnoteRef/>
      </w:r>
      <w:r w:rsidRPr="001543D5">
        <w:rPr>
          <w:rFonts w:ascii="Calibri" w:hAnsi="Calibri" w:cs="Calibri"/>
          <w:sz w:val="24"/>
          <w:szCs w:val="24"/>
        </w:rPr>
        <w:t xml:space="preserve"> </w:t>
      </w:r>
      <w:r w:rsidRPr="001543D5">
        <w:rPr>
          <w:rFonts w:ascii="Calibri" w:hAnsi="Calibri" w:cs="Calibri"/>
          <w:color w:val="000000"/>
          <w:sz w:val="24"/>
          <w:szCs w:val="24"/>
          <w:lang w:val="en-GB"/>
        </w:rPr>
        <w:t>Mach F, Baigent C, Catapano AL, et al. 2019 ESC/EAS Guidelines for the management of dyslipidaemias: lipid modification to reduce cardiovascular risk. Eur Heart J. 2020;41:111-188.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Invention">
    <w:charset w:val="00"/>
    <w:family w:val="swiss"/>
    <w:pitch w:val="variable"/>
    <w:sig w:usb0="A000006F" w:usb1="4000004B" w:usb2="00000000" w:usb3="00000000" w:csb0="00000013"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292057"/>
      <w:docPartObj>
        <w:docPartGallery w:val="Page Numbers (Bottom of Page)"/>
        <w:docPartUnique/>
      </w:docPartObj>
    </w:sdtPr>
    <w:sdtEndPr>
      <w:rPr>
        <w:noProof/>
      </w:rPr>
    </w:sdtEndPr>
    <w:sdtContent>
      <w:p w14:paraId="15A44A13" w14:textId="02CB37CD" w:rsidR="00EA5A06" w:rsidRDefault="00EA5A06">
        <w:pPr>
          <w:pStyle w:val="Footer"/>
          <w:jc w:val="right"/>
        </w:pPr>
        <w:r>
          <w:fldChar w:fldCharType="begin"/>
        </w:r>
        <w:r>
          <w:instrText xml:space="preserve"> PAGE   \* MERGEFORMAT </w:instrText>
        </w:r>
        <w:r>
          <w:fldChar w:fldCharType="separate"/>
        </w:r>
        <w:r w:rsidR="0038216C">
          <w:rPr>
            <w:noProof/>
          </w:rPr>
          <w:t>10</w:t>
        </w:r>
        <w:r>
          <w:rPr>
            <w:noProof/>
          </w:rPr>
          <w:fldChar w:fldCharType="end"/>
        </w:r>
      </w:p>
    </w:sdtContent>
  </w:sdt>
  <w:p w14:paraId="656E05CD" w14:textId="77777777" w:rsidR="00EA5A06" w:rsidRDefault="00EA5A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86C7E" w14:textId="77777777" w:rsidR="00E1328E" w:rsidRDefault="00E1328E" w:rsidP="008B06A9">
      <w:r>
        <w:separator/>
      </w:r>
    </w:p>
  </w:footnote>
  <w:footnote w:type="continuationSeparator" w:id="0">
    <w:p w14:paraId="753F7C50" w14:textId="77777777" w:rsidR="00E1328E" w:rsidRDefault="00E1328E" w:rsidP="008B06A9">
      <w:r>
        <w:continuationSeparator/>
      </w:r>
    </w:p>
  </w:footnote>
  <w:footnote w:type="continuationNotice" w:id="1">
    <w:p w14:paraId="187F5A13" w14:textId="77777777" w:rsidR="00E1328E" w:rsidRDefault="00E1328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01628" w14:textId="66B39516" w:rsidR="000F137B" w:rsidRDefault="000F137B">
    <w:pPr>
      <w:pStyle w:val="Header"/>
    </w:pPr>
    <w:r>
      <w:rPr>
        <w:noProof/>
      </w:rPr>
      <mc:AlternateContent>
        <mc:Choice Requires="wps">
          <w:drawing>
            <wp:anchor distT="0" distB="0" distL="0" distR="0" simplePos="0" relativeHeight="251658241" behindDoc="0" locked="0" layoutInCell="1" allowOverlap="1" wp14:anchorId="126B50CD" wp14:editId="0997B6C2">
              <wp:simplePos x="635" y="635"/>
              <wp:positionH relativeFrom="page">
                <wp:align>left</wp:align>
              </wp:positionH>
              <wp:positionV relativeFrom="page">
                <wp:align>top</wp:align>
              </wp:positionV>
              <wp:extent cx="443865" cy="443865"/>
              <wp:effectExtent l="0" t="0" r="12700" b="9525"/>
              <wp:wrapNone/>
              <wp:docPr id="3" name="Text Box 3" descr="Confident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D0B0BB" w14:textId="0218B9AC"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26B50CD" id="_x0000_t202" coordsize="21600,21600" o:spt="202" path="m,l,21600r21600,l21600,xe">
              <v:stroke joinstyle="miter"/>
              <v:path gradientshapeok="t" o:connecttype="rect"/>
            </v:shapetype>
            <v:shape id="Text Box 3" o:spid="_x0000_s1034" type="#_x0000_t202" alt="Confidential"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" filled="f" stroked="f">
              <v:textbox style="mso-fit-shape-to-text:t" inset="20pt,15pt,0,0">
                <w:txbxContent>
                  <w:p w14:paraId="15D0B0BB" w14:textId="0218B9AC"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9E580" w14:textId="64F86DDD" w:rsidR="000F137B" w:rsidRDefault="000F137B">
    <w:pPr>
      <w:pStyle w:val="Header"/>
    </w:pPr>
    <w:r>
      <w:rPr>
        <w:noProof/>
      </w:rPr>
      <mc:AlternateContent>
        <mc:Choice Requires="wps">
          <w:drawing>
            <wp:anchor distT="0" distB="0" distL="0" distR="0" simplePos="0" relativeHeight="251658240" behindDoc="0" locked="0" layoutInCell="1" allowOverlap="1" wp14:anchorId="299BB218" wp14:editId="5477CE8A">
              <wp:simplePos x="635" y="635"/>
              <wp:positionH relativeFrom="page">
                <wp:align>left</wp:align>
              </wp:positionH>
              <wp:positionV relativeFrom="page">
                <wp:align>top</wp:align>
              </wp:positionV>
              <wp:extent cx="443865" cy="443865"/>
              <wp:effectExtent l="0" t="0" r="12700" b="9525"/>
              <wp:wrapNone/>
              <wp:docPr id="1" name="Text Box 1" descr="Confident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21EA70" w14:textId="482BD42E"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99BB218" id="_x0000_t202" coordsize="21600,21600" o:spt="202" path="m,l,21600r21600,l21600,xe">
              <v:stroke joinstyle="miter"/>
              <v:path gradientshapeok="t" o:connecttype="rect"/>
            </v:shapetype>
            <v:shape id="Text Box 1" o:spid="_x0000_s1035" type="#_x0000_t202" alt="Confident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" filled="f" stroked="f">
              <v:textbox style="mso-fit-shape-to-text:t" inset="20pt,15pt,0,0">
                <w:txbxContent>
                  <w:p w14:paraId="7821EA70" w14:textId="482BD42E"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6BEB8" w14:textId="22AD015A" w:rsidR="000F137B" w:rsidRDefault="000F137B">
    <w:pPr>
      <w:pStyle w:val="Header"/>
    </w:pPr>
    <w:r>
      <w:rPr>
        <w:noProof/>
      </w:rPr>
      <mc:AlternateContent>
        <mc:Choice Requires="wps">
          <w:drawing>
            <wp:anchor distT="0" distB="0" distL="0" distR="0" simplePos="0" relativeHeight="251658244" behindDoc="0" locked="0" layoutInCell="1" allowOverlap="1" wp14:anchorId="6219A812" wp14:editId="19FFCA27">
              <wp:simplePos x="635" y="635"/>
              <wp:positionH relativeFrom="page">
                <wp:align>left</wp:align>
              </wp:positionH>
              <wp:positionV relativeFrom="page">
                <wp:align>top</wp:align>
              </wp:positionV>
              <wp:extent cx="443865" cy="443865"/>
              <wp:effectExtent l="0" t="0" r="12700" b="9525"/>
              <wp:wrapNone/>
              <wp:docPr id="9" name="Text Box 9" descr="Confident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3FD641" w14:textId="260B4917"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219A812" id="_x0000_t202" coordsize="21600,21600" o:spt="202" path="m,l,21600r21600,l21600,xe">
              <v:stroke joinstyle="miter"/>
              <v:path gradientshapeok="t" o:connecttype="rect"/>
            </v:shapetype>
            <v:shape id="Text Box 9" o:spid="_x0000_s1036" type="#_x0000_t202" alt="Confidential" style="position:absolute;margin-left:0;margin-top:0;width:34.95pt;height:34.9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" filled="f" stroked="f">
              <v:textbox style="mso-fit-shape-to-text:t" inset="20pt,15pt,0,0">
                <w:txbxContent>
                  <w:p w14:paraId="423FD641" w14:textId="260B4917"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B69D" w14:textId="2ED71E36" w:rsidR="008350BA" w:rsidRDefault="008350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20547" w14:textId="322D165B" w:rsidR="000F137B" w:rsidRDefault="000F137B">
    <w:pPr>
      <w:pStyle w:val="Header"/>
    </w:pPr>
    <w:r>
      <w:rPr>
        <w:noProof/>
      </w:rPr>
      <mc:AlternateContent>
        <mc:Choice Requires="wps">
          <w:drawing>
            <wp:anchor distT="0" distB="0" distL="0" distR="0" simplePos="0" relativeHeight="251658243" behindDoc="0" locked="0" layoutInCell="1" allowOverlap="1" wp14:anchorId="06BF7DC0" wp14:editId="56A9FC45">
              <wp:simplePos x="635" y="635"/>
              <wp:positionH relativeFrom="page">
                <wp:align>left</wp:align>
              </wp:positionH>
              <wp:positionV relativeFrom="page">
                <wp:align>top</wp:align>
              </wp:positionV>
              <wp:extent cx="443865" cy="443865"/>
              <wp:effectExtent l="0" t="0" r="12700" b="9525"/>
              <wp:wrapNone/>
              <wp:docPr id="6" name="Text Box 6" descr="Confident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D439E0" w14:textId="08BD065E"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6BF7DC0" id="_x0000_t202" coordsize="21600,21600" o:spt="202" path="m,l,21600r21600,l21600,xe">
              <v:stroke joinstyle="miter"/>
              <v:path gradientshapeok="t" o:connecttype="rect"/>
            </v:shapetype>
            <v:shape id="Text Box 6" o:spid="_x0000_s1037" type="#_x0000_t202" alt="Confidential" style="position:absolute;margin-left:0;margin-top:0;width:34.95pt;height:34.9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" filled="f" stroked="f">
              <v:textbox style="mso-fit-shape-to-text:t" inset="20pt,15pt,0,0">
                <w:txbxContent>
                  <w:p w14:paraId="20D439E0" w14:textId="08BD065E" w:rsidR="000F137B" w:rsidRPr="000F137B" w:rsidRDefault="000F137B" w:rsidP="000F137B">
                    <w:pPr>
                      <w:rPr>
                        <w:rFonts w:ascii="Calibri" w:eastAsia="Calibri" w:hAnsi="Calibri" w:cs="Calibri"/>
                        <w:noProof/>
                        <w:color w:val="8E6A00"/>
                      </w:rPr>
                    </w:pPr>
                    <w:r w:rsidRPr="000F137B">
                      <w:rPr>
                        <w:rFonts w:ascii="Calibri" w:eastAsia="Calibri" w:hAnsi="Calibri" w:cs="Calibri"/>
                        <w:noProof/>
                        <w:color w:val="8E6A00"/>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699A"/>
    <w:multiLevelType w:val="hybridMultilevel"/>
    <w:tmpl w:val="E89EA02E"/>
    <w:lvl w:ilvl="0" w:tplc="7EA2ADC6">
      <w:start w:val="1"/>
      <w:numFmt w:val="decimal"/>
      <w:lvlText w:val="%1)"/>
      <w:lvlJc w:val="left"/>
      <w:pPr>
        <w:ind w:left="1080" w:hanging="360"/>
      </w:pPr>
      <w:rPr>
        <w:rFonts w:ascii="Invention" w:eastAsia="PMingLiU" w:hAnsi="Invention"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9E421A"/>
    <w:multiLevelType w:val="hybridMultilevel"/>
    <w:tmpl w:val="B29459C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9A94F62"/>
    <w:multiLevelType w:val="hybridMultilevel"/>
    <w:tmpl w:val="079C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26050"/>
    <w:multiLevelType w:val="hybridMultilevel"/>
    <w:tmpl w:val="6BE215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E2316"/>
    <w:multiLevelType w:val="hybridMultilevel"/>
    <w:tmpl w:val="DB085384"/>
    <w:lvl w:ilvl="0" w:tplc="FFFFFFFF">
      <w:start w:val="1"/>
      <w:numFmt w:val="decimal"/>
      <w:lvlText w:val="%1)"/>
      <w:lvlJc w:val="left"/>
      <w:pPr>
        <w:ind w:left="1080" w:hanging="360"/>
      </w:pPr>
      <w:rPr>
        <w:rFonts w:ascii="Invention" w:eastAsia="PMingLiU" w:hAnsi="Invention" w:cs="Arial"/>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3E7D0F"/>
    <w:multiLevelType w:val="hybridMultilevel"/>
    <w:tmpl w:val="C4826960"/>
    <w:lvl w:ilvl="0" w:tplc="EA5A387E">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47A5D"/>
    <w:multiLevelType w:val="hybridMultilevel"/>
    <w:tmpl w:val="F8B6E1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32280E"/>
    <w:multiLevelType w:val="hybridMultilevel"/>
    <w:tmpl w:val="548CD15E"/>
    <w:lvl w:ilvl="0" w:tplc="AEF8D776">
      <w:start w:val="1"/>
      <w:numFmt w:val="decimal"/>
      <w:lvlText w:val="%1."/>
      <w:lvlJc w:val="left"/>
      <w:pPr>
        <w:ind w:left="458" w:hanging="360"/>
      </w:pPr>
      <w:rPr>
        <w:rFonts w:hint="default"/>
      </w:rPr>
    </w:lvl>
    <w:lvl w:ilvl="1" w:tplc="04090019">
      <w:start w:val="1"/>
      <w:numFmt w:val="lowerLetter"/>
      <w:lvlText w:val="%2."/>
      <w:lvlJc w:val="left"/>
      <w:pPr>
        <w:ind w:left="1178" w:hanging="360"/>
      </w:pPr>
    </w:lvl>
    <w:lvl w:ilvl="2" w:tplc="0409001B">
      <w:start w:val="1"/>
      <w:numFmt w:val="lowerRoman"/>
      <w:lvlText w:val="%3."/>
      <w:lvlJc w:val="right"/>
      <w:pPr>
        <w:ind w:left="1898" w:hanging="180"/>
      </w:pPr>
    </w:lvl>
    <w:lvl w:ilvl="3" w:tplc="0409000F" w:tentative="1">
      <w:start w:val="1"/>
      <w:numFmt w:val="decimal"/>
      <w:lvlText w:val="%4."/>
      <w:lvlJc w:val="left"/>
      <w:pPr>
        <w:ind w:left="2618" w:hanging="360"/>
      </w:pPr>
    </w:lvl>
    <w:lvl w:ilvl="4" w:tplc="04090019" w:tentative="1">
      <w:start w:val="1"/>
      <w:numFmt w:val="lowerLetter"/>
      <w:lvlText w:val="%5."/>
      <w:lvlJc w:val="left"/>
      <w:pPr>
        <w:ind w:left="3338" w:hanging="360"/>
      </w:pPr>
    </w:lvl>
    <w:lvl w:ilvl="5" w:tplc="0409001B" w:tentative="1">
      <w:start w:val="1"/>
      <w:numFmt w:val="lowerRoman"/>
      <w:lvlText w:val="%6."/>
      <w:lvlJc w:val="right"/>
      <w:pPr>
        <w:ind w:left="4058" w:hanging="180"/>
      </w:pPr>
    </w:lvl>
    <w:lvl w:ilvl="6" w:tplc="0409000F" w:tentative="1">
      <w:start w:val="1"/>
      <w:numFmt w:val="decimal"/>
      <w:lvlText w:val="%7."/>
      <w:lvlJc w:val="left"/>
      <w:pPr>
        <w:ind w:left="4778" w:hanging="360"/>
      </w:pPr>
    </w:lvl>
    <w:lvl w:ilvl="7" w:tplc="04090019" w:tentative="1">
      <w:start w:val="1"/>
      <w:numFmt w:val="lowerLetter"/>
      <w:lvlText w:val="%8."/>
      <w:lvlJc w:val="left"/>
      <w:pPr>
        <w:ind w:left="5498" w:hanging="360"/>
      </w:pPr>
    </w:lvl>
    <w:lvl w:ilvl="8" w:tplc="0409001B" w:tentative="1">
      <w:start w:val="1"/>
      <w:numFmt w:val="lowerRoman"/>
      <w:lvlText w:val="%9."/>
      <w:lvlJc w:val="right"/>
      <w:pPr>
        <w:ind w:left="6218" w:hanging="180"/>
      </w:pPr>
    </w:lvl>
  </w:abstractNum>
  <w:abstractNum w:abstractNumId="8" w15:restartNumberingAfterBreak="0">
    <w:nsid w:val="1AFB3B4F"/>
    <w:multiLevelType w:val="singleLevel"/>
    <w:tmpl w:val="2B94275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C0E74DA"/>
    <w:multiLevelType w:val="hybridMultilevel"/>
    <w:tmpl w:val="36B09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397EE4"/>
    <w:multiLevelType w:val="singleLevel"/>
    <w:tmpl w:val="C67626E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7077E8"/>
    <w:multiLevelType w:val="hybridMultilevel"/>
    <w:tmpl w:val="D2907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872940"/>
    <w:multiLevelType w:val="hybridMultilevel"/>
    <w:tmpl w:val="68D64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45325"/>
    <w:multiLevelType w:val="hybridMultilevel"/>
    <w:tmpl w:val="8F38D3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1141C4"/>
    <w:multiLevelType w:val="hybridMultilevel"/>
    <w:tmpl w:val="F8B6E1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A066134"/>
    <w:multiLevelType w:val="hybridMultilevel"/>
    <w:tmpl w:val="D5A22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620250"/>
    <w:multiLevelType w:val="multilevel"/>
    <w:tmpl w:val="DD62A148"/>
    <w:lvl w:ilvl="0">
      <w:start w:val="1"/>
      <w:numFmt w:val="bullet"/>
      <w:pStyle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627"/>
        </w:tabs>
        <w:ind w:left="1627" w:hanging="360"/>
      </w:pPr>
      <w:rPr>
        <w:rFonts w:ascii="Courier New" w:hAnsi="Courier New" w:cs="Courier New" w:hint="default"/>
      </w:rPr>
    </w:lvl>
    <w:lvl w:ilvl="2">
      <w:start w:val="1"/>
      <w:numFmt w:val="bullet"/>
      <w:lvlText w:val=""/>
      <w:lvlJc w:val="left"/>
      <w:pPr>
        <w:tabs>
          <w:tab w:val="num" w:pos="2347"/>
        </w:tabs>
        <w:ind w:left="2347" w:hanging="360"/>
      </w:pPr>
      <w:rPr>
        <w:rFonts w:ascii="Wingdings" w:hAnsi="Wingdings" w:hint="default"/>
      </w:rPr>
    </w:lvl>
    <w:lvl w:ilvl="3">
      <w:start w:val="1"/>
      <w:numFmt w:val="bullet"/>
      <w:lvlText w:val=""/>
      <w:lvlJc w:val="left"/>
      <w:pPr>
        <w:tabs>
          <w:tab w:val="num" w:pos="3067"/>
        </w:tabs>
        <w:ind w:left="3067" w:hanging="360"/>
      </w:pPr>
      <w:rPr>
        <w:rFonts w:ascii="Symbol" w:hAnsi="Symbol" w:hint="default"/>
      </w:rPr>
    </w:lvl>
    <w:lvl w:ilvl="4">
      <w:start w:val="1"/>
      <w:numFmt w:val="bullet"/>
      <w:lvlText w:val="o"/>
      <w:lvlJc w:val="left"/>
      <w:pPr>
        <w:tabs>
          <w:tab w:val="num" w:pos="3787"/>
        </w:tabs>
        <w:ind w:left="3787" w:hanging="360"/>
      </w:pPr>
      <w:rPr>
        <w:rFonts w:ascii="Courier New" w:hAnsi="Courier New" w:cs="Courier New" w:hint="default"/>
      </w:rPr>
    </w:lvl>
    <w:lvl w:ilvl="5">
      <w:start w:val="1"/>
      <w:numFmt w:val="bullet"/>
      <w:lvlText w:val=""/>
      <w:lvlJc w:val="left"/>
      <w:pPr>
        <w:tabs>
          <w:tab w:val="num" w:pos="4507"/>
        </w:tabs>
        <w:ind w:left="4507" w:hanging="360"/>
      </w:pPr>
      <w:rPr>
        <w:rFonts w:ascii="Wingdings" w:hAnsi="Wingdings" w:hint="default"/>
      </w:rPr>
    </w:lvl>
    <w:lvl w:ilvl="6">
      <w:start w:val="1"/>
      <w:numFmt w:val="bullet"/>
      <w:lvlText w:val=""/>
      <w:lvlJc w:val="left"/>
      <w:pPr>
        <w:tabs>
          <w:tab w:val="num" w:pos="5227"/>
        </w:tabs>
        <w:ind w:left="5227" w:hanging="360"/>
      </w:pPr>
      <w:rPr>
        <w:rFonts w:ascii="Symbol" w:hAnsi="Symbol" w:hint="default"/>
      </w:rPr>
    </w:lvl>
    <w:lvl w:ilvl="7">
      <w:start w:val="1"/>
      <w:numFmt w:val="bullet"/>
      <w:lvlText w:val="o"/>
      <w:lvlJc w:val="left"/>
      <w:pPr>
        <w:tabs>
          <w:tab w:val="num" w:pos="5947"/>
        </w:tabs>
        <w:ind w:left="5947" w:hanging="360"/>
      </w:pPr>
      <w:rPr>
        <w:rFonts w:ascii="Courier New" w:hAnsi="Courier New" w:cs="Courier New" w:hint="default"/>
      </w:rPr>
    </w:lvl>
    <w:lvl w:ilvl="8">
      <w:start w:val="1"/>
      <w:numFmt w:val="bullet"/>
      <w:lvlText w:val=""/>
      <w:lvlJc w:val="left"/>
      <w:pPr>
        <w:tabs>
          <w:tab w:val="num" w:pos="6667"/>
        </w:tabs>
        <w:ind w:left="6667" w:hanging="360"/>
      </w:pPr>
      <w:rPr>
        <w:rFonts w:ascii="Wingdings" w:hAnsi="Wingdings" w:hint="default"/>
      </w:rPr>
    </w:lvl>
  </w:abstractNum>
  <w:abstractNum w:abstractNumId="17" w15:restartNumberingAfterBreak="0">
    <w:nsid w:val="2BC43257"/>
    <w:multiLevelType w:val="hybridMultilevel"/>
    <w:tmpl w:val="4EF21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27C76"/>
    <w:multiLevelType w:val="hybridMultilevel"/>
    <w:tmpl w:val="8BD4DA46"/>
    <w:lvl w:ilvl="0" w:tplc="664027F8">
      <w:start w:val="1"/>
      <w:numFmt w:val="bullet"/>
      <w:pStyle w:val="Style1"/>
      <w:lvlText w:val=""/>
      <w:lvlJc w:val="left"/>
      <w:pPr>
        <w:tabs>
          <w:tab w:val="num" w:pos="180"/>
        </w:tabs>
        <w:ind w:left="180" w:hanging="360"/>
      </w:pPr>
      <w:rPr>
        <w:rFonts w:ascii="Wingdings" w:hAnsi="Wingdings" w:hint="default"/>
      </w:rPr>
    </w:lvl>
    <w:lvl w:ilvl="1" w:tplc="04090005">
      <w:start w:val="1"/>
      <w:numFmt w:val="bullet"/>
      <w:lvlText w:val=""/>
      <w:lvlJc w:val="left"/>
      <w:pPr>
        <w:tabs>
          <w:tab w:val="num" w:pos="1260"/>
        </w:tabs>
        <w:ind w:left="1260" w:hanging="360"/>
      </w:pPr>
      <w:rPr>
        <w:rFonts w:ascii="Wingdings" w:hAnsi="Wingdings" w:hint="default"/>
      </w:rPr>
    </w:lvl>
    <w:lvl w:ilvl="2" w:tplc="04090003">
      <w:start w:val="1"/>
      <w:numFmt w:val="bullet"/>
      <w:lvlText w:val="o"/>
      <w:lvlJc w:val="left"/>
      <w:pPr>
        <w:tabs>
          <w:tab w:val="num" w:pos="1980"/>
        </w:tabs>
        <w:ind w:left="1980" w:hanging="360"/>
      </w:pPr>
      <w:rPr>
        <w:rFonts w:ascii="Courier New" w:hAnsi="Courier New" w:cs="Courier New" w:hint="default"/>
      </w:rPr>
    </w:lvl>
    <w:lvl w:ilvl="3" w:tplc="0409000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2DB545DB"/>
    <w:multiLevelType w:val="hybridMultilevel"/>
    <w:tmpl w:val="94AC00C6"/>
    <w:lvl w:ilvl="0" w:tplc="32A0A11E">
      <w:start w:val="1"/>
      <w:numFmt w:val="decimal"/>
      <w:lvlText w:val="%1."/>
      <w:lvlJc w:val="left"/>
      <w:pPr>
        <w:ind w:left="720" w:hanging="360"/>
      </w:pPr>
      <w:rPr>
        <w:rFonts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F520AD"/>
    <w:multiLevelType w:val="hybridMultilevel"/>
    <w:tmpl w:val="B5F63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984B43"/>
    <w:multiLevelType w:val="hybridMultilevel"/>
    <w:tmpl w:val="E29E5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394A2B"/>
    <w:multiLevelType w:val="hybridMultilevel"/>
    <w:tmpl w:val="4AFCF808"/>
    <w:lvl w:ilvl="0" w:tplc="04090001">
      <w:start w:val="1"/>
      <w:numFmt w:val="bullet"/>
      <w:pStyle w:val="sub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1207C6"/>
    <w:multiLevelType w:val="hybridMultilevel"/>
    <w:tmpl w:val="268653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CA04CB"/>
    <w:multiLevelType w:val="hybridMultilevel"/>
    <w:tmpl w:val="283A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B95D02"/>
    <w:multiLevelType w:val="hybridMultilevel"/>
    <w:tmpl w:val="B9CEC8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0D6032"/>
    <w:multiLevelType w:val="hybridMultilevel"/>
    <w:tmpl w:val="1D60415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761C74"/>
    <w:multiLevelType w:val="hybridMultilevel"/>
    <w:tmpl w:val="A69C2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872760"/>
    <w:multiLevelType w:val="hybridMultilevel"/>
    <w:tmpl w:val="73FE7B0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15:restartNumberingAfterBreak="0">
    <w:nsid w:val="50087E22"/>
    <w:multiLevelType w:val="hybridMultilevel"/>
    <w:tmpl w:val="01A6A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BD1B73"/>
    <w:multiLevelType w:val="hybridMultilevel"/>
    <w:tmpl w:val="9C7020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7606DF"/>
    <w:multiLevelType w:val="hybridMultilevel"/>
    <w:tmpl w:val="6F2A0F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485235"/>
    <w:multiLevelType w:val="hybridMultilevel"/>
    <w:tmpl w:val="4422176C"/>
    <w:lvl w:ilvl="0" w:tplc="FFFFFFFF">
      <w:start w:val="1"/>
      <w:numFmt w:val="decimal"/>
      <w:lvlText w:val="%1."/>
      <w:lvlJc w:val="left"/>
      <w:pPr>
        <w:ind w:left="72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6DB3C01"/>
    <w:multiLevelType w:val="hybridMultilevel"/>
    <w:tmpl w:val="1E0C02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462EED"/>
    <w:multiLevelType w:val="hybridMultilevel"/>
    <w:tmpl w:val="D5468D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7FA201E"/>
    <w:multiLevelType w:val="multilevel"/>
    <w:tmpl w:val="A28C76F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C2875FE"/>
    <w:multiLevelType w:val="hybridMultilevel"/>
    <w:tmpl w:val="81B69958"/>
    <w:lvl w:ilvl="0" w:tplc="41604F52">
      <w:start w:val="1"/>
      <w:numFmt w:val="decimal"/>
      <w:lvlText w:val="%1."/>
      <w:lvlJc w:val="left"/>
      <w:pPr>
        <w:tabs>
          <w:tab w:val="num" w:pos="360"/>
        </w:tabs>
        <w:ind w:left="360" w:hanging="360"/>
      </w:pPr>
      <w:rPr>
        <w:rFonts w:hint="default"/>
        <w:b w:val="0"/>
        <w:bCs w:val="0"/>
        <w:i w:val="0"/>
        <w:i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E881B43"/>
    <w:multiLevelType w:val="hybridMultilevel"/>
    <w:tmpl w:val="244CDFC2"/>
    <w:lvl w:ilvl="0" w:tplc="D9DA1AE4">
      <w:start w:val="1"/>
      <w:numFmt w:val="bullet"/>
      <w:lvlText w:val=""/>
      <w:lvlJc w:val="left"/>
      <w:pPr>
        <w:ind w:left="720" w:hanging="360"/>
      </w:pPr>
      <w:rPr>
        <w:rFonts w:ascii="Symbol" w:hAnsi="Symbol" w:hint="default"/>
      </w:rPr>
    </w:lvl>
    <w:lvl w:ilvl="1" w:tplc="1F9CEAD6">
      <w:start w:val="1"/>
      <w:numFmt w:val="bullet"/>
      <w:lvlText w:val="o"/>
      <w:lvlJc w:val="left"/>
      <w:pPr>
        <w:ind w:left="1440" w:hanging="360"/>
      </w:pPr>
      <w:rPr>
        <w:rFonts w:ascii="Courier New" w:hAnsi="Courier New" w:hint="default"/>
      </w:rPr>
    </w:lvl>
    <w:lvl w:ilvl="2" w:tplc="B0401288">
      <w:start w:val="1"/>
      <w:numFmt w:val="bullet"/>
      <w:lvlText w:val=""/>
      <w:lvlJc w:val="left"/>
      <w:pPr>
        <w:ind w:left="2160" w:hanging="360"/>
      </w:pPr>
      <w:rPr>
        <w:rFonts w:ascii="Wingdings" w:hAnsi="Wingdings" w:hint="default"/>
      </w:rPr>
    </w:lvl>
    <w:lvl w:ilvl="3" w:tplc="62BE7890">
      <w:start w:val="1"/>
      <w:numFmt w:val="bullet"/>
      <w:lvlText w:val=""/>
      <w:lvlJc w:val="left"/>
      <w:pPr>
        <w:ind w:left="2880" w:hanging="360"/>
      </w:pPr>
      <w:rPr>
        <w:rFonts w:ascii="Symbol" w:hAnsi="Symbol" w:hint="default"/>
      </w:rPr>
    </w:lvl>
    <w:lvl w:ilvl="4" w:tplc="B78C0856">
      <w:start w:val="1"/>
      <w:numFmt w:val="bullet"/>
      <w:lvlText w:val="o"/>
      <w:lvlJc w:val="left"/>
      <w:pPr>
        <w:ind w:left="3600" w:hanging="360"/>
      </w:pPr>
      <w:rPr>
        <w:rFonts w:ascii="Courier New" w:hAnsi="Courier New" w:hint="default"/>
      </w:rPr>
    </w:lvl>
    <w:lvl w:ilvl="5" w:tplc="3A06619E">
      <w:start w:val="1"/>
      <w:numFmt w:val="bullet"/>
      <w:lvlText w:val=""/>
      <w:lvlJc w:val="left"/>
      <w:pPr>
        <w:ind w:left="4320" w:hanging="360"/>
      </w:pPr>
      <w:rPr>
        <w:rFonts w:ascii="Wingdings" w:hAnsi="Wingdings" w:hint="default"/>
      </w:rPr>
    </w:lvl>
    <w:lvl w:ilvl="6" w:tplc="45DC65EE">
      <w:start w:val="1"/>
      <w:numFmt w:val="bullet"/>
      <w:lvlText w:val=""/>
      <w:lvlJc w:val="left"/>
      <w:pPr>
        <w:ind w:left="5040" w:hanging="360"/>
      </w:pPr>
      <w:rPr>
        <w:rFonts w:ascii="Symbol" w:hAnsi="Symbol" w:hint="default"/>
      </w:rPr>
    </w:lvl>
    <w:lvl w:ilvl="7" w:tplc="D6D433B4">
      <w:start w:val="1"/>
      <w:numFmt w:val="bullet"/>
      <w:lvlText w:val="o"/>
      <w:lvlJc w:val="left"/>
      <w:pPr>
        <w:ind w:left="5760" w:hanging="360"/>
      </w:pPr>
      <w:rPr>
        <w:rFonts w:ascii="Courier New" w:hAnsi="Courier New" w:hint="default"/>
      </w:rPr>
    </w:lvl>
    <w:lvl w:ilvl="8" w:tplc="F44CA798">
      <w:start w:val="1"/>
      <w:numFmt w:val="bullet"/>
      <w:lvlText w:val=""/>
      <w:lvlJc w:val="left"/>
      <w:pPr>
        <w:ind w:left="6480" w:hanging="360"/>
      </w:pPr>
      <w:rPr>
        <w:rFonts w:ascii="Wingdings" w:hAnsi="Wingdings" w:hint="default"/>
      </w:rPr>
    </w:lvl>
  </w:abstractNum>
  <w:abstractNum w:abstractNumId="38" w15:restartNumberingAfterBreak="0">
    <w:nsid w:val="72F86748"/>
    <w:multiLevelType w:val="hybridMultilevel"/>
    <w:tmpl w:val="219CA170"/>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9" w15:restartNumberingAfterBreak="0">
    <w:nsid w:val="73EC0838"/>
    <w:multiLevelType w:val="hybridMultilevel"/>
    <w:tmpl w:val="F9F48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CF645C"/>
    <w:multiLevelType w:val="hybridMultilevel"/>
    <w:tmpl w:val="7E284A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98C6642">
      <w:start w:val="10"/>
      <w:numFmt w:val="bullet"/>
      <w:lvlText w:val="-"/>
      <w:lvlJc w:val="left"/>
      <w:pPr>
        <w:ind w:left="2880" w:hanging="360"/>
      </w:pPr>
      <w:rPr>
        <w:rFonts w:ascii="Invention" w:eastAsiaTheme="minorEastAsia" w:hAnsi="Invention"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DC375E"/>
    <w:multiLevelType w:val="hybridMultilevel"/>
    <w:tmpl w:val="4422176C"/>
    <w:lvl w:ilvl="0" w:tplc="E0DA9C32">
      <w:start w:val="1"/>
      <w:numFmt w:val="decimal"/>
      <w:lvlText w:val="%1."/>
      <w:lvlJc w:val="left"/>
      <w:pPr>
        <w:ind w:left="720" w:hanging="36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2F05A9"/>
    <w:multiLevelType w:val="hybridMultilevel"/>
    <w:tmpl w:val="78FE1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B04020"/>
    <w:multiLevelType w:val="hybridMultilevel"/>
    <w:tmpl w:val="7652A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F3260B"/>
    <w:multiLevelType w:val="hybridMultilevel"/>
    <w:tmpl w:val="65865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16"/>
  </w:num>
  <w:num w:numId="3">
    <w:abstractNumId w:val="22"/>
  </w:num>
  <w:num w:numId="4">
    <w:abstractNumId w:val="8"/>
  </w:num>
  <w:num w:numId="5">
    <w:abstractNumId w:val="10"/>
  </w:num>
  <w:num w:numId="6">
    <w:abstractNumId w:val="33"/>
  </w:num>
  <w:num w:numId="7">
    <w:abstractNumId w:val="18"/>
  </w:num>
  <w:num w:numId="8">
    <w:abstractNumId w:val="31"/>
  </w:num>
  <w:num w:numId="9">
    <w:abstractNumId w:val="39"/>
  </w:num>
  <w:num w:numId="10">
    <w:abstractNumId w:val="15"/>
  </w:num>
  <w:num w:numId="11">
    <w:abstractNumId w:val="20"/>
  </w:num>
  <w:num w:numId="12">
    <w:abstractNumId w:val="44"/>
  </w:num>
  <w:num w:numId="13">
    <w:abstractNumId w:val="37"/>
  </w:num>
  <w:num w:numId="14">
    <w:abstractNumId w:val="34"/>
  </w:num>
  <w:num w:numId="15">
    <w:abstractNumId w:val="27"/>
  </w:num>
  <w:num w:numId="16">
    <w:abstractNumId w:val="13"/>
  </w:num>
  <w:num w:numId="17">
    <w:abstractNumId w:val="1"/>
  </w:num>
  <w:num w:numId="18">
    <w:abstractNumId w:val="35"/>
  </w:num>
  <w:num w:numId="19">
    <w:abstractNumId w:val="17"/>
  </w:num>
  <w:num w:numId="20">
    <w:abstractNumId w:val="12"/>
  </w:num>
  <w:num w:numId="21">
    <w:abstractNumId w:val="7"/>
  </w:num>
  <w:num w:numId="22">
    <w:abstractNumId w:val="25"/>
  </w:num>
  <w:num w:numId="23">
    <w:abstractNumId w:val="28"/>
  </w:num>
  <w:num w:numId="24">
    <w:abstractNumId w:val="9"/>
  </w:num>
  <w:num w:numId="25">
    <w:abstractNumId w:val="26"/>
  </w:num>
  <w:num w:numId="26">
    <w:abstractNumId w:val="0"/>
  </w:num>
  <w:num w:numId="27">
    <w:abstractNumId w:val="4"/>
  </w:num>
  <w:num w:numId="28">
    <w:abstractNumId w:val="6"/>
  </w:num>
  <w:num w:numId="29">
    <w:abstractNumId w:val="40"/>
  </w:num>
  <w:num w:numId="30">
    <w:abstractNumId w:val="14"/>
  </w:num>
  <w:num w:numId="31">
    <w:abstractNumId w:val="29"/>
  </w:num>
  <w:num w:numId="32">
    <w:abstractNumId w:val="11"/>
  </w:num>
  <w:num w:numId="33">
    <w:abstractNumId w:val="38"/>
  </w:num>
  <w:num w:numId="34">
    <w:abstractNumId w:val="42"/>
  </w:num>
  <w:num w:numId="35">
    <w:abstractNumId w:val="21"/>
  </w:num>
  <w:num w:numId="36">
    <w:abstractNumId w:val="2"/>
  </w:num>
  <w:num w:numId="37">
    <w:abstractNumId w:val="23"/>
  </w:num>
  <w:num w:numId="38">
    <w:abstractNumId w:val="3"/>
  </w:num>
  <w:num w:numId="39">
    <w:abstractNumId w:val="32"/>
  </w:num>
  <w:num w:numId="40">
    <w:abstractNumId w:val="5"/>
  </w:num>
  <w:num w:numId="41">
    <w:abstractNumId w:val="36"/>
  </w:num>
  <w:num w:numId="42">
    <w:abstractNumId w:val="24"/>
  </w:num>
  <w:num w:numId="43">
    <w:abstractNumId w:val="43"/>
  </w:num>
  <w:num w:numId="44">
    <w:abstractNumId w:val="3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F"/>
    <w:rsid w:val="00002FCD"/>
    <w:rsid w:val="00003A4D"/>
    <w:rsid w:val="00004415"/>
    <w:rsid w:val="0000582A"/>
    <w:rsid w:val="0000723E"/>
    <w:rsid w:val="00007CD4"/>
    <w:rsid w:val="00011944"/>
    <w:rsid w:val="00013312"/>
    <w:rsid w:val="00013EDC"/>
    <w:rsid w:val="00014EC5"/>
    <w:rsid w:val="000154CB"/>
    <w:rsid w:val="000162E1"/>
    <w:rsid w:val="00017A76"/>
    <w:rsid w:val="00017F31"/>
    <w:rsid w:val="0002513A"/>
    <w:rsid w:val="00025B6D"/>
    <w:rsid w:val="00027656"/>
    <w:rsid w:val="000301A1"/>
    <w:rsid w:val="00030393"/>
    <w:rsid w:val="00031CC2"/>
    <w:rsid w:val="00031E45"/>
    <w:rsid w:val="00035F85"/>
    <w:rsid w:val="00037749"/>
    <w:rsid w:val="00041763"/>
    <w:rsid w:val="000429BC"/>
    <w:rsid w:val="00042A87"/>
    <w:rsid w:val="00042ED7"/>
    <w:rsid w:val="000447AB"/>
    <w:rsid w:val="00046508"/>
    <w:rsid w:val="00047502"/>
    <w:rsid w:val="000507B2"/>
    <w:rsid w:val="0005088A"/>
    <w:rsid w:val="00050E11"/>
    <w:rsid w:val="0005118F"/>
    <w:rsid w:val="000563C9"/>
    <w:rsid w:val="00056610"/>
    <w:rsid w:val="00057087"/>
    <w:rsid w:val="00057C07"/>
    <w:rsid w:val="00061F15"/>
    <w:rsid w:val="0006666D"/>
    <w:rsid w:val="0006789F"/>
    <w:rsid w:val="000719DC"/>
    <w:rsid w:val="000722E1"/>
    <w:rsid w:val="000733B7"/>
    <w:rsid w:val="00074916"/>
    <w:rsid w:val="00081709"/>
    <w:rsid w:val="000827B6"/>
    <w:rsid w:val="00083471"/>
    <w:rsid w:val="00087EA5"/>
    <w:rsid w:val="0009118F"/>
    <w:rsid w:val="000913B8"/>
    <w:rsid w:val="00091AD3"/>
    <w:rsid w:val="00091C82"/>
    <w:rsid w:val="00093729"/>
    <w:rsid w:val="00096363"/>
    <w:rsid w:val="000966A2"/>
    <w:rsid w:val="000968F1"/>
    <w:rsid w:val="000A02A9"/>
    <w:rsid w:val="000A0C13"/>
    <w:rsid w:val="000A115E"/>
    <w:rsid w:val="000A4752"/>
    <w:rsid w:val="000A49D3"/>
    <w:rsid w:val="000A7CB5"/>
    <w:rsid w:val="000B1ABD"/>
    <w:rsid w:val="000B1D79"/>
    <w:rsid w:val="000B4625"/>
    <w:rsid w:val="000B4A87"/>
    <w:rsid w:val="000B5186"/>
    <w:rsid w:val="000B759F"/>
    <w:rsid w:val="000B7A11"/>
    <w:rsid w:val="000C0099"/>
    <w:rsid w:val="000C3FDC"/>
    <w:rsid w:val="000C45A8"/>
    <w:rsid w:val="000C5200"/>
    <w:rsid w:val="000D4570"/>
    <w:rsid w:val="000D4765"/>
    <w:rsid w:val="000D4A6F"/>
    <w:rsid w:val="000D50ED"/>
    <w:rsid w:val="000D58DC"/>
    <w:rsid w:val="000E04C2"/>
    <w:rsid w:val="000E113C"/>
    <w:rsid w:val="000E115D"/>
    <w:rsid w:val="000E2FBF"/>
    <w:rsid w:val="000E4703"/>
    <w:rsid w:val="000E58F7"/>
    <w:rsid w:val="000E5DCE"/>
    <w:rsid w:val="000F0241"/>
    <w:rsid w:val="000F0907"/>
    <w:rsid w:val="000F137B"/>
    <w:rsid w:val="000F2262"/>
    <w:rsid w:val="000F2F6F"/>
    <w:rsid w:val="000F3506"/>
    <w:rsid w:val="000F5DF0"/>
    <w:rsid w:val="000F6042"/>
    <w:rsid w:val="000F6AC5"/>
    <w:rsid w:val="001028B2"/>
    <w:rsid w:val="0010328B"/>
    <w:rsid w:val="00103472"/>
    <w:rsid w:val="0010492C"/>
    <w:rsid w:val="00110699"/>
    <w:rsid w:val="001132CA"/>
    <w:rsid w:val="00113A61"/>
    <w:rsid w:val="00114317"/>
    <w:rsid w:val="001148DB"/>
    <w:rsid w:val="001158E6"/>
    <w:rsid w:val="001165ED"/>
    <w:rsid w:val="0012084C"/>
    <w:rsid w:val="00120DF7"/>
    <w:rsid w:val="001213B3"/>
    <w:rsid w:val="001217F7"/>
    <w:rsid w:val="00122BC1"/>
    <w:rsid w:val="0012329A"/>
    <w:rsid w:val="00123977"/>
    <w:rsid w:val="001245B2"/>
    <w:rsid w:val="00127CF8"/>
    <w:rsid w:val="001344C3"/>
    <w:rsid w:val="0013781E"/>
    <w:rsid w:val="00141A28"/>
    <w:rsid w:val="00141EE8"/>
    <w:rsid w:val="00142AC8"/>
    <w:rsid w:val="00144301"/>
    <w:rsid w:val="0014455F"/>
    <w:rsid w:val="0014681B"/>
    <w:rsid w:val="00146865"/>
    <w:rsid w:val="00147839"/>
    <w:rsid w:val="00147E03"/>
    <w:rsid w:val="00147EEA"/>
    <w:rsid w:val="00150786"/>
    <w:rsid w:val="00150C4D"/>
    <w:rsid w:val="001511C6"/>
    <w:rsid w:val="00151710"/>
    <w:rsid w:val="0015296D"/>
    <w:rsid w:val="001543D5"/>
    <w:rsid w:val="00155473"/>
    <w:rsid w:val="00156043"/>
    <w:rsid w:val="001560C8"/>
    <w:rsid w:val="00156C5C"/>
    <w:rsid w:val="00157FE4"/>
    <w:rsid w:val="00161EA9"/>
    <w:rsid w:val="001621FA"/>
    <w:rsid w:val="00162744"/>
    <w:rsid w:val="00163683"/>
    <w:rsid w:val="00163BBC"/>
    <w:rsid w:val="00164A62"/>
    <w:rsid w:val="00167924"/>
    <w:rsid w:val="00170C30"/>
    <w:rsid w:val="00172AEA"/>
    <w:rsid w:val="00173A57"/>
    <w:rsid w:val="00174824"/>
    <w:rsid w:val="001748DC"/>
    <w:rsid w:val="0017526E"/>
    <w:rsid w:val="00175A60"/>
    <w:rsid w:val="00177665"/>
    <w:rsid w:val="00180A24"/>
    <w:rsid w:val="00185677"/>
    <w:rsid w:val="00185760"/>
    <w:rsid w:val="0018738A"/>
    <w:rsid w:val="00190C89"/>
    <w:rsid w:val="00192531"/>
    <w:rsid w:val="001957F6"/>
    <w:rsid w:val="001964D7"/>
    <w:rsid w:val="001A040E"/>
    <w:rsid w:val="001A0AF0"/>
    <w:rsid w:val="001A1C4F"/>
    <w:rsid w:val="001A2352"/>
    <w:rsid w:val="001A25DF"/>
    <w:rsid w:val="001A4E15"/>
    <w:rsid w:val="001A522D"/>
    <w:rsid w:val="001A6E3C"/>
    <w:rsid w:val="001B09F2"/>
    <w:rsid w:val="001B0F7B"/>
    <w:rsid w:val="001B131C"/>
    <w:rsid w:val="001B2048"/>
    <w:rsid w:val="001B3EB8"/>
    <w:rsid w:val="001B53A8"/>
    <w:rsid w:val="001B6DDA"/>
    <w:rsid w:val="001B71DA"/>
    <w:rsid w:val="001C073C"/>
    <w:rsid w:val="001C07F5"/>
    <w:rsid w:val="001C0D71"/>
    <w:rsid w:val="001C5055"/>
    <w:rsid w:val="001C565D"/>
    <w:rsid w:val="001C6704"/>
    <w:rsid w:val="001D377D"/>
    <w:rsid w:val="001D439B"/>
    <w:rsid w:val="001D5739"/>
    <w:rsid w:val="001D6384"/>
    <w:rsid w:val="001E0D45"/>
    <w:rsid w:val="001E3FC1"/>
    <w:rsid w:val="001E4E71"/>
    <w:rsid w:val="001E6EBB"/>
    <w:rsid w:val="001E7A69"/>
    <w:rsid w:val="001F2BB3"/>
    <w:rsid w:val="001F4AC0"/>
    <w:rsid w:val="001F658C"/>
    <w:rsid w:val="001F6E6F"/>
    <w:rsid w:val="001F77A7"/>
    <w:rsid w:val="00203147"/>
    <w:rsid w:val="00203647"/>
    <w:rsid w:val="002037FF"/>
    <w:rsid w:val="002136DD"/>
    <w:rsid w:val="00214C3A"/>
    <w:rsid w:val="0021509D"/>
    <w:rsid w:val="002169BF"/>
    <w:rsid w:val="002235A1"/>
    <w:rsid w:val="002248C5"/>
    <w:rsid w:val="0022612A"/>
    <w:rsid w:val="0022657D"/>
    <w:rsid w:val="0022768F"/>
    <w:rsid w:val="002313ED"/>
    <w:rsid w:val="002318DB"/>
    <w:rsid w:val="00236E20"/>
    <w:rsid w:val="00240F61"/>
    <w:rsid w:val="00242721"/>
    <w:rsid w:val="00242DAF"/>
    <w:rsid w:val="00243495"/>
    <w:rsid w:val="0024355D"/>
    <w:rsid w:val="00243982"/>
    <w:rsid w:val="00243A21"/>
    <w:rsid w:val="0024418F"/>
    <w:rsid w:val="002454DB"/>
    <w:rsid w:val="002529FC"/>
    <w:rsid w:val="002535A8"/>
    <w:rsid w:val="00261E25"/>
    <w:rsid w:val="00262854"/>
    <w:rsid w:val="00262E4E"/>
    <w:rsid w:val="002632A2"/>
    <w:rsid w:val="0026473C"/>
    <w:rsid w:val="00264FAB"/>
    <w:rsid w:val="0026782D"/>
    <w:rsid w:val="00267A0A"/>
    <w:rsid w:val="00270876"/>
    <w:rsid w:val="00272B01"/>
    <w:rsid w:val="002733A7"/>
    <w:rsid w:val="00273B52"/>
    <w:rsid w:val="00275EA9"/>
    <w:rsid w:val="002767C9"/>
    <w:rsid w:val="00277984"/>
    <w:rsid w:val="00281556"/>
    <w:rsid w:val="002826FC"/>
    <w:rsid w:val="002918F8"/>
    <w:rsid w:val="00293708"/>
    <w:rsid w:val="0029431E"/>
    <w:rsid w:val="00294B6A"/>
    <w:rsid w:val="00295236"/>
    <w:rsid w:val="00296421"/>
    <w:rsid w:val="0029687E"/>
    <w:rsid w:val="002A0507"/>
    <w:rsid w:val="002A39D8"/>
    <w:rsid w:val="002A4BB4"/>
    <w:rsid w:val="002A572C"/>
    <w:rsid w:val="002B17E8"/>
    <w:rsid w:val="002B4E0B"/>
    <w:rsid w:val="002B5029"/>
    <w:rsid w:val="002B5513"/>
    <w:rsid w:val="002B7789"/>
    <w:rsid w:val="002C22BF"/>
    <w:rsid w:val="002C2B52"/>
    <w:rsid w:val="002C4367"/>
    <w:rsid w:val="002C6124"/>
    <w:rsid w:val="002C7F35"/>
    <w:rsid w:val="002D1351"/>
    <w:rsid w:val="002D155C"/>
    <w:rsid w:val="002D2213"/>
    <w:rsid w:val="002D37C1"/>
    <w:rsid w:val="002D47FA"/>
    <w:rsid w:val="002D4A13"/>
    <w:rsid w:val="002D5E10"/>
    <w:rsid w:val="002D5F1A"/>
    <w:rsid w:val="002D76A8"/>
    <w:rsid w:val="002D7BDB"/>
    <w:rsid w:val="002E090B"/>
    <w:rsid w:val="002E360A"/>
    <w:rsid w:val="002E3B6D"/>
    <w:rsid w:val="002E49DE"/>
    <w:rsid w:val="002E710C"/>
    <w:rsid w:val="002E7442"/>
    <w:rsid w:val="002F18CF"/>
    <w:rsid w:val="002F38A6"/>
    <w:rsid w:val="002F5BF6"/>
    <w:rsid w:val="002F6EA1"/>
    <w:rsid w:val="002F7093"/>
    <w:rsid w:val="002F71A2"/>
    <w:rsid w:val="002F7418"/>
    <w:rsid w:val="002F7437"/>
    <w:rsid w:val="0030058C"/>
    <w:rsid w:val="003029C5"/>
    <w:rsid w:val="00303FE8"/>
    <w:rsid w:val="00305E57"/>
    <w:rsid w:val="0030632E"/>
    <w:rsid w:val="00310201"/>
    <w:rsid w:val="00313E6A"/>
    <w:rsid w:val="003165E4"/>
    <w:rsid w:val="00316F35"/>
    <w:rsid w:val="003206CB"/>
    <w:rsid w:val="003206F2"/>
    <w:rsid w:val="00323261"/>
    <w:rsid w:val="00323773"/>
    <w:rsid w:val="0032424D"/>
    <w:rsid w:val="003260B6"/>
    <w:rsid w:val="003310AA"/>
    <w:rsid w:val="0033164A"/>
    <w:rsid w:val="00333F78"/>
    <w:rsid w:val="00334A8D"/>
    <w:rsid w:val="00335892"/>
    <w:rsid w:val="00336BB9"/>
    <w:rsid w:val="003372FF"/>
    <w:rsid w:val="00337839"/>
    <w:rsid w:val="00341896"/>
    <w:rsid w:val="00342252"/>
    <w:rsid w:val="00343F69"/>
    <w:rsid w:val="00350C14"/>
    <w:rsid w:val="00351717"/>
    <w:rsid w:val="00352942"/>
    <w:rsid w:val="00352B6D"/>
    <w:rsid w:val="00352EF7"/>
    <w:rsid w:val="0035589F"/>
    <w:rsid w:val="0035609C"/>
    <w:rsid w:val="00356F44"/>
    <w:rsid w:val="00361096"/>
    <w:rsid w:val="00361237"/>
    <w:rsid w:val="00363742"/>
    <w:rsid w:val="00364E60"/>
    <w:rsid w:val="00365AE5"/>
    <w:rsid w:val="003664E7"/>
    <w:rsid w:val="00366EA6"/>
    <w:rsid w:val="0036734D"/>
    <w:rsid w:val="0037052A"/>
    <w:rsid w:val="0037301B"/>
    <w:rsid w:val="00373C8C"/>
    <w:rsid w:val="00373EEA"/>
    <w:rsid w:val="00381A5C"/>
    <w:rsid w:val="0038216C"/>
    <w:rsid w:val="00382A7E"/>
    <w:rsid w:val="003838E6"/>
    <w:rsid w:val="00384485"/>
    <w:rsid w:val="00386B64"/>
    <w:rsid w:val="0038761F"/>
    <w:rsid w:val="003900CC"/>
    <w:rsid w:val="00390315"/>
    <w:rsid w:val="003926D0"/>
    <w:rsid w:val="00394145"/>
    <w:rsid w:val="00394826"/>
    <w:rsid w:val="003975B0"/>
    <w:rsid w:val="003975DD"/>
    <w:rsid w:val="003A1ADE"/>
    <w:rsid w:val="003A25C6"/>
    <w:rsid w:val="003A33BB"/>
    <w:rsid w:val="003A33F2"/>
    <w:rsid w:val="003A5222"/>
    <w:rsid w:val="003A65DB"/>
    <w:rsid w:val="003B2226"/>
    <w:rsid w:val="003B332A"/>
    <w:rsid w:val="003B3E4F"/>
    <w:rsid w:val="003B48C5"/>
    <w:rsid w:val="003B5785"/>
    <w:rsid w:val="003B651F"/>
    <w:rsid w:val="003B77C1"/>
    <w:rsid w:val="003C011D"/>
    <w:rsid w:val="003C01EE"/>
    <w:rsid w:val="003C0D7E"/>
    <w:rsid w:val="003C357F"/>
    <w:rsid w:val="003C4AD5"/>
    <w:rsid w:val="003C50D5"/>
    <w:rsid w:val="003C5339"/>
    <w:rsid w:val="003C6223"/>
    <w:rsid w:val="003D32D4"/>
    <w:rsid w:val="003D39B6"/>
    <w:rsid w:val="003D5A5D"/>
    <w:rsid w:val="003D76E8"/>
    <w:rsid w:val="003E1FF7"/>
    <w:rsid w:val="003E3FDB"/>
    <w:rsid w:val="003E5127"/>
    <w:rsid w:val="003E5EA8"/>
    <w:rsid w:val="003E5EFE"/>
    <w:rsid w:val="003E78F2"/>
    <w:rsid w:val="003F0005"/>
    <w:rsid w:val="003F04E2"/>
    <w:rsid w:val="003F1A14"/>
    <w:rsid w:val="003F1C45"/>
    <w:rsid w:val="003F2DF4"/>
    <w:rsid w:val="003F36C4"/>
    <w:rsid w:val="003F4442"/>
    <w:rsid w:val="003F50E8"/>
    <w:rsid w:val="003F549B"/>
    <w:rsid w:val="003F5D8C"/>
    <w:rsid w:val="003F71A5"/>
    <w:rsid w:val="00401976"/>
    <w:rsid w:val="004023CC"/>
    <w:rsid w:val="0040321B"/>
    <w:rsid w:val="00410157"/>
    <w:rsid w:val="0041216C"/>
    <w:rsid w:val="0041261C"/>
    <w:rsid w:val="00412FF0"/>
    <w:rsid w:val="00413FBC"/>
    <w:rsid w:val="00414664"/>
    <w:rsid w:val="004157B4"/>
    <w:rsid w:val="0042223E"/>
    <w:rsid w:val="004251D7"/>
    <w:rsid w:val="00425A52"/>
    <w:rsid w:val="00425F50"/>
    <w:rsid w:val="00426CB0"/>
    <w:rsid w:val="00427039"/>
    <w:rsid w:val="00427437"/>
    <w:rsid w:val="004308B2"/>
    <w:rsid w:val="00430951"/>
    <w:rsid w:val="0043140F"/>
    <w:rsid w:val="00433D39"/>
    <w:rsid w:val="004364B5"/>
    <w:rsid w:val="00436CA4"/>
    <w:rsid w:val="004401EE"/>
    <w:rsid w:val="00440635"/>
    <w:rsid w:val="00440DA5"/>
    <w:rsid w:val="00444380"/>
    <w:rsid w:val="0044468D"/>
    <w:rsid w:val="00446A48"/>
    <w:rsid w:val="00447684"/>
    <w:rsid w:val="00451DE4"/>
    <w:rsid w:val="004527DF"/>
    <w:rsid w:val="004527E7"/>
    <w:rsid w:val="00453A20"/>
    <w:rsid w:val="00453E8A"/>
    <w:rsid w:val="004541FA"/>
    <w:rsid w:val="00457FC0"/>
    <w:rsid w:val="00460C54"/>
    <w:rsid w:val="00461726"/>
    <w:rsid w:val="004619AF"/>
    <w:rsid w:val="00463B72"/>
    <w:rsid w:val="004643D5"/>
    <w:rsid w:val="00465514"/>
    <w:rsid w:val="0046584E"/>
    <w:rsid w:val="00465CC9"/>
    <w:rsid w:val="00466D3A"/>
    <w:rsid w:val="00470D34"/>
    <w:rsid w:val="00470F61"/>
    <w:rsid w:val="004712FA"/>
    <w:rsid w:val="00472C68"/>
    <w:rsid w:val="00475A77"/>
    <w:rsid w:val="0047690B"/>
    <w:rsid w:val="0047734F"/>
    <w:rsid w:val="004816F9"/>
    <w:rsid w:val="00483664"/>
    <w:rsid w:val="00484680"/>
    <w:rsid w:val="00485698"/>
    <w:rsid w:val="004861D1"/>
    <w:rsid w:val="0048739A"/>
    <w:rsid w:val="00487553"/>
    <w:rsid w:val="00490BCF"/>
    <w:rsid w:val="00491257"/>
    <w:rsid w:val="00491BE9"/>
    <w:rsid w:val="00491C0F"/>
    <w:rsid w:val="004939B5"/>
    <w:rsid w:val="00494AB2"/>
    <w:rsid w:val="004954AB"/>
    <w:rsid w:val="0049582D"/>
    <w:rsid w:val="0049636E"/>
    <w:rsid w:val="004965C9"/>
    <w:rsid w:val="00497E51"/>
    <w:rsid w:val="00497FB6"/>
    <w:rsid w:val="004A1841"/>
    <w:rsid w:val="004A1ED8"/>
    <w:rsid w:val="004A7360"/>
    <w:rsid w:val="004B20A7"/>
    <w:rsid w:val="004B26B6"/>
    <w:rsid w:val="004B344C"/>
    <w:rsid w:val="004B36D7"/>
    <w:rsid w:val="004C1C81"/>
    <w:rsid w:val="004C2088"/>
    <w:rsid w:val="004C42DB"/>
    <w:rsid w:val="004C4F9A"/>
    <w:rsid w:val="004C52CE"/>
    <w:rsid w:val="004C5A6F"/>
    <w:rsid w:val="004C75DC"/>
    <w:rsid w:val="004D025A"/>
    <w:rsid w:val="004D03DA"/>
    <w:rsid w:val="004D0CAB"/>
    <w:rsid w:val="004D193E"/>
    <w:rsid w:val="004D3458"/>
    <w:rsid w:val="004D4852"/>
    <w:rsid w:val="004D68F9"/>
    <w:rsid w:val="004D6BAF"/>
    <w:rsid w:val="004D7185"/>
    <w:rsid w:val="004E00C8"/>
    <w:rsid w:val="004E023C"/>
    <w:rsid w:val="004E0355"/>
    <w:rsid w:val="004E0724"/>
    <w:rsid w:val="004E33D8"/>
    <w:rsid w:val="004E3B63"/>
    <w:rsid w:val="004E4633"/>
    <w:rsid w:val="004E4827"/>
    <w:rsid w:val="004E5144"/>
    <w:rsid w:val="004E5536"/>
    <w:rsid w:val="004E5AB9"/>
    <w:rsid w:val="004E62AA"/>
    <w:rsid w:val="004E68E6"/>
    <w:rsid w:val="004F1072"/>
    <w:rsid w:val="004F18A1"/>
    <w:rsid w:val="005017F0"/>
    <w:rsid w:val="0050204B"/>
    <w:rsid w:val="0051051E"/>
    <w:rsid w:val="00511978"/>
    <w:rsid w:val="00513721"/>
    <w:rsid w:val="0051440D"/>
    <w:rsid w:val="00514716"/>
    <w:rsid w:val="005148BA"/>
    <w:rsid w:val="00522E8F"/>
    <w:rsid w:val="005239B9"/>
    <w:rsid w:val="00526EFE"/>
    <w:rsid w:val="005279AC"/>
    <w:rsid w:val="0053422F"/>
    <w:rsid w:val="005363BB"/>
    <w:rsid w:val="005374A8"/>
    <w:rsid w:val="005379DD"/>
    <w:rsid w:val="00540B74"/>
    <w:rsid w:val="00540CFE"/>
    <w:rsid w:val="00542DF6"/>
    <w:rsid w:val="00542E1E"/>
    <w:rsid w:val="005430C8"/>
    <w:rsid w:val="005432CC"/>
    <w:rsid w:val="005451E0"/>
    <w:rsid w:val="0054592D"/>
    <w:rsid w:val="00545B7D"/>
    <w:rsid w:val="00545F66"/>
    <w:rsid w:val="0054656B"/>
    <w:rsid w:val="005513D2"/>
    <w:rsid w:val="00552FC4"/>
    <w:rsid w:val="005540AF"/>
    <w:rsid w:val="00554495"/>
    <w:rsid w:val="00556D61"/>
    <w:rsid w:val="0056055B"/>
    <w:rsid w:val="00561B14"/>
    <w:rsid w:val="00564AE4"/>
    <w:rsid w:val="005666B7"/>
    <w:rsid w:val="0056765F"/>
    <w:rsid w:val="00572C42"/>
    <w:rsid w:val="00574D3D"/>
    <w:rsid w:val="0057650B"/>
    <w:rsid w:val="00577324"/>
    <w:rsid w:val="00581919"/>
    <w:rsid w:val="00582C8E"/>
    <w:rsid w:val="00583490"/>
    <w:rsid w:val="00585042"/>
    <w:rsid w:val="00585C22"/>
    <w:rsid w:val="00586D0E"/>
    <w:rsid w:val="005919B9"/>
    <w:rsid w:val="00592D72"/>
    <w:rsid w:val="00594BF9"/>
    <w:rsid w:val="00594C6E"/>
    <w:rsid w:val="00594F3B"/>
    <w:rsid w:val="00595F61"/>
    <w:rsid w:val="005965F5"/>
    <w:rsid w:val="005966C8"/>
    <w:rsid w:val="00597434"/>
    <w:rsid w:val="005A1CB9"/>
    <w:rsid w:val="005A2486"/>
    <w:rsid w:val="005A35C4"/>
    <w:rsid w:val="005A4421"/>
    <w:rsid w:val="005A4883"/>
    <w:rsid w:val="005A5010"/>
    <w:rsid w:val="005A5991"/>
    <w:rsid w:val="005B0AC1"/>
    <w:rsid w:val="005B398E"/>
    <w:rsid w:val="005B483A"/>
    <w:rsid w:val="005B5F0B"/>
    <w:rsid w:val="005B645B"/>
    <w:rsid w:val="005B7388"/>
    <w:rsid w:val="005B7438"/>
    <w:rsid w:val="005B77E5"/>
    <w:rsid w:val="005B7869"/>
    <w:rsid w:val="005B7D67"/>
    <w:rsid w:val="005C011F"/>
    <w:rsid w:val="005C2B8E"/>
    <w:rsid w:val="005C3653"/>
    <w:rsid w:val="005C545D"/>
    <w:rsid w:val="005D07A0"/>
    <w:rsid w:val="005D0E8D"/>
    <w:rsid w:val="005D1AE1"/>
    <w:rsid w:val="005D1CB5"/>
    <w:rsid w:val="005D2284"/>
    <w:rsid w:val="005D236C"/>
    <w:rsid w:val="005D3048"/>
    <w:rsid w:val="005D3257"/>
    <w:rsid w:val="005D3905"/>
    <w:rsid w:val="005D3DE5"/>
    <w:rsid w:val="005D41CC"/>
    <w:rsid w:val="005D45D0"/>
    <w:rsid w:val="005D63E2"/>
    <w:rsid w:val="005D6B0D"/>
    <w:rsid w:val="005D754C"/>
    <w:rsid w:val="005E2BCE"/>
    <w:rsid w:val="005E32EB"/>
    <w:rsid w:val="005E3980"/>
    <w:rsid w:val="005E5E42"/>
    <w:rsid w:val="005E62CF"/>
    <w:rsid w:val="005E76E8"/>
    <w:rsid w:val="005F029F"/>
    <w:rsid w:val="005F1474"/>
    <w:rsid w:val="005F2D65"/>
    <w:rsid w:val="005F586A"/>
    <w:rsid w:val="005F66F8"/>
    <w:rsid w:val="005F6F58"/>
    <w:rsid w:val="005F7151"/>
    <w:rsid w:val="00600769"/>
    <w:rsid w:val="006019B4"/>
    <w:rsid w:val="00601E11"/>
    <w:rsid w:val="0060339A"/>
    <w:rsid w:val="00604194"/>
    <w:rsid w:val="006048BA"/>
    <w:rsid w:val="00604B21"/>
    <w:rsid w:val="00604DDA"/>
    <w:rsid w:val="00607B93"/>
    <w:rsid w:val="00610FB4"/>
    <w:rsid w:val="006126F1"/>
    <w:rsid w:val="0061328A"/>
    <w:rsid w:val="00613464"/>
    <w:rsid w:val="00614010"/>
    <w:rsid w:val="00614023"/>
    <w:rsid w:val="006143AB"/>
    <w:rsid w:val="00614972"/>
    <w:rsid w:val="006165BB"/>
    <w:rsid w:val="00616707"/>
    <w:rsid w:val="00620C31"/>
    <w:rsid w:val="006210F7"/>
    <w:rsid w:val="00621805"/>
    <w:rsid w:val="006220E2"/>
    <w:rsid w:val="0062244C"/>
    <w:rsid w:val="0062258A"/>
    <w:rsid w:val="0062423A"/>
    <w:rsid w:val="006257C1"/>
    <w:rsid w:val="00625836"/>
    <w:rsid w:val="0062648E"/>
    <w:rsid w:val="0062655C"/>
    <w:rsid w:val="00627F30"/>
    <w:rsid w:val="00630F53"/>
    <w:rsid w:val="00632ECD"/>
    <w:rsid w:val="00633A1A"/>
    <w:rsid w:val="00637A11"/>
    <w:rsid w:val="00640392"/>
    <w:rsid w:val="0064157D"/>
    <w:rsid w:val="00641740"/>
    <w:rsid w:val="00642291"/>
    <w:rsid w:val="00642741"/>
    <w:rsid w:val="00643CD1"/>
    <w:rsid w:val="00644483"/>
    <w:rsid w:val="00645F63"/>
    <w:rsid w:val="0064601D"/>
    <w:rsid w:val="0064658D"/>
    <w:rsid w:val="00646C42"/>
    <w:rsid w:val="00646E65"/>
    <w:rsid w:val="00646FB5"/>
    <w:rsid w:val="0064731B"/>
    <w:rsid w:val="006504DC"/>
    <w:rsid w:val="0065127D"/>
    <w:rsid w:val="00651E4E"/>
    <w:rsid w:val="006520B7"/>
    <w:rsid w:val="006524DD"/>
    <w:rsid w:val="00652574"/>
    <w:rsid w:val="00652969"/>
    <w:rsid w:val="00652D08"/>
    <w:rsid w:val="006539F7"/>
    <w:rsid w:val="00654C4D"/>
    <w:rsid w:val="006565CF"/>
    <w:rsid w:val="00657774"/>
    <w:rsid w:val="00660E5A"/>
    <w:rsid w:val="006648EF"/>
    <w:rsid w:val="006649B6"/>
    <w:rsid w:val="00664C42"/>
    <w:rsid w:val="006656E4"/>
    <w:rsid w:val="00666468"/>
    <w:rsid w:val="006666A3"/>
    <w:rsid w:val="00666726"/>
    <w:rsid w:val="006674CE"/>
    <w:rsid w:val="0066776B"/>
    <w:rsid w:val="00670BBB"/>
    <w:rsid w:val="00671A67"/>
    <w:rsid w:val="00671F5E"/>
    <w:rsid w:val="006744DF"/>
    <w:rsid w:val="0067542F"/>
    <w:rsid w:val="00676022"/>
    <w:rsid w:val="00677389"/>
    <w:rsid w:val="0068186A"/>
    <w:rsid w:val="00682F25"/>
    <w:rsid w:val="00683769"/>
    <w:rsid w:val="006838C5"/>
    <w:rsid w:val="00683AF7"/>
    <w:rsid w:val="00685EDF"/>
    <w:rsid w:val="00686AF2"/>
    <w:rsid w:val="00687CF4"/>
    <w:rsid w:val="00691292"/>
    <w:rsid w:val="0069209E"/>
    <w:rsid w:val="006932F1"/>
    <w:rsid w:val="00694E49"/>
    <w:rsid w:val="00697430"/>
    <w:rsid w:val="00697B9C"/>
    <w:rsid w:val="006A1749"/>
    <w:rsid w:val="006A1D57"/>
    <w:rsid w:val="006A63F4"/>
    <w:rsid w:val="006B25B2"/>
    <w:rsid w:val="006B2958"/>
    <w:rsid w:val="006B5661"/>
    <w:rsid w:val="006B635C"/>
    <w:rsid w:val="006B6591"/>
    <w:rsid w:val="006B7E1F"/>
    <w:rsid w:val="006C05AB"/>
    <w:rsid w:val="006C3F2E"/>
    <w:rsid w:val="006C4750"/>
    <w:rsid w:val="006C5E61"/>
    <w:rsid w:val="006C665E"/>
    <w:rsid w:val="006C7D74"/>
    <w:rsid w:val="006C7EE0"/>
    <w:rsid w:val="006D0964"/>
    <w:rsid w:val="006D3217"/>
    <w:rsid w:val="006D430D"/>
    <w:rsid w:val="006D5312"/>
    <w:rsid w:val="006D5358"/>
    <w:rsid w:val="006D5834"/>
    <w:rsid w:val="006D6111"/>
    <w:rsid w:val="006D7F94"/>
    <w:rsid w:val="006E0AE6"/>
    <w:rsid w:val="006E2008"/>
    <w:rsid w:val="006E21DD"/>
    <w:rsid w:val="006E3BBE"/>
    <w:rsid w:val="006E534F"/>
    <w:rsid w:val="006E7E2C"/>
    <w:rsid w:val="006F000E"/>
    <w:rsid w:val="006F0118"/>
    <w:rsid w:val="006F07CF"/>
    <w:rsid w:val="006F2FDF"/>
    <w:rsid w:val="006F3561"/>
    <w:rsid w:val="006F397C"/>
    <w:rsid w:val="006F4CF7"/>
    <w:rsid w:val="006F6D88"/>
    <w:rsid w:val="006F7ADC"/>
    <w:rsid w:val="0070297E"/>
    <w:rsid w:val="007036D7"/>
    <w:rsid w:val="00707189"/>
    <w:rsid w:val="0070797B"/>
    <w:rsid w:val="00711139"/>
    <w:rsid w:val="007123D5"/>
    <w:rsid w:val="00713A19"/>
    <w:rsid w:val="00714B5F"/>
    <w:rsid w:val="007150C9"/>
    <w:rsid w:val="007160A2"/>
    <w:rsid w:val="0071648C"/>
    <w:rsid w:val="007165D7"/>
    <w:rsid w:val="0071784D"/>
    <w:rsid w:val="007178A6"/>
    <w:rsid w:val="00722951"/>
    <w:rsid w:val="00724926"/>
    <w:rsid w:val="007262F7"/>
    <w:rsid w:val="00726CCB"/>
    <w:rsid w:val="0072772E"/>
    <w:rsid w:val="007315DF"/>
    <w:rsid w:val="00731EB3"/>
    <w:rsid w:val="00732073"/>
    <w:rsid w:val="00737C29"/>
    <w:rsid w:val="007413AF"/>
    <w:rsid w:val="00741931"/>
    <w:rsid w:val="00742908"/>
    <w:rsid w:val="0074298A"/>
    <w:rsid w:val="00745B4D"/>
    <w:rsid w:val="00747FB9"/>
    <w:rsid w:val="0075006C"/>
    <w:rsid w:val="007505F9"/>
    <w:rsid w:val="0075072B"/>
    <w:rsid w:val="007516DD"/>
    <w:rsid w:val="007554E6"/>
    <w:rsid w:val="00756A54"/>
    <w:rsid w:val="00756E31"/>
    <w:rsid w:val="00762490"/>
    <w:rsid w:val="00762D08"/>
    <w:rsid w:val="00771877"/>
    <w:rsid w:val="00776E64"/>
    <w:rsid w:val="00780548"/>
    <w:rsid w:val="007817F9"/>
    <w:rsid w:val="00784FCF"/>
    <w:rsid w:val="00785863"/>
    <w:rsid w:val="00785E79"/>
    <w:rsid w:val="007871DE"/>
    <w:rsid w:val="00791041"/>
    <w:rsid w:val="00791045"/>
    <w:rsid w:val="00792855"/>
    <w:rsid w:val="00794471"/>
    <w:rsid w:val="00794FA3"/>
    <w:rsid w:val="0079762D"/>
    <w:rsid w:val="007A2B99"/>
    <w:rsid w:val="007A3AE7"/>
    <w:rsid w:val="007A41FC"/>
    <w:rsid w:val="007A475A"/>
    <w:rsid w:val="007A49F3"/>
    <w:rsid w:val="007A4FA2"/>
    <w:rsid w:val="007A5CB1"/>
    <w:rsid w:val="007A6560"/>
    <w:rsid w:val="007A662A"/>
    <w:rsid w:val="007B0421"/>
    <w:rsid w:val="007B22FE"/>
    <w:rsid w:val="007B3144"/>
    <w:rsid w:val="007B364B"/>
    <w:rsid w:val="007B5FF5"/>
    <w:rsid w:val="007B6029"/>
    <w:rsid w:val="007C6A23"/>
    <w:rsid w:val="007D11E9"/>
    <w:rsid w:val="007D35EC"/>
    <w:rsid w:val="007D36F0"/>
    <w:rsid w:val="007D4C04"/>
    <w:rsid w:val="007D6ADF"/>
    <w:rsid w:val="007D6D82"/>
    <w:rsid w:val="007E0B27"/>
    <w:rsid w:val="007E2764"/>
    <w:rsid w:val="007E3440"/>
    <w:rsid w:val="007F00E0"/>
    <w:rsid w:val="007F1080"/>
    <w:rsid w:val="007F14A7"/>
    <w:rsid w:val="007F3208"/>
    <w:rsid w:val="007F716D"/>
    <w:rsid w:val="007F7C62"/>
    <w:rsid w:val="007F7D85"/>
    <w:rsid w:val="00801233"/>
    <w:rsid w:val="008025E0"/>
    <w:rsid w:val="00803447"/>
    <w:rsid w:val="00806A20"/>
    <w:rsid w:val="00810EA6"/>
    <w:rsid w:val="00811808"/>
    <w:rsid w:val="00811887"/>
    <w:rsid w:val="00811D6E"/>
    <w:rsid w:val="008120C0"/>
    <w:rsid w:val="00812B9C"/>
    <w:rsid w:val="00813164"/>
    <w:rsid w:val="00814AC8"/>
    <w:rsid w:val="00814AF9"/>
    <w:rsid w:val="00816303"/>
    <w:rsid w:val="00816533"/>
    <w:rsid w:val="00816978"/>
    <w:rsid w:val="008213EC"/>
    <w:rsid w:val="008219C3"/>
    <w:rsid w:val="00823040"/>
    <w:rsid w:val="00823CE4"/>
    <w:rsid w:val="00824576"/>
    <w:rsid w:val="00824C15"/>
    <w:rsid w:val="008262A5"/>
    <w:rsid w:val="00827408"/>
    <w:rsid w:val="0082746A"/>
    <w:rsid w:val="00830997"/>
    <w:rsid w:val="00833796"/>
    <w:rsid w:val="00835050"/>
    <w:rsid w:val="008350BA"/>
    <w:rsid w:val="00835DCE"/>
    <w:rsid w:val="00837C10"/>
    <w:rsid w:val="00840831"/>
    <w:rsid w:val="00841313"/>
    <w:rsid w:val="0084256C"/>
    <w:rsid w:val="00844B9F"/>
    <w:rsid w:val="00845351"/>
    <w:rsid w:val="008459C0"/>
    <w:rsid w:val="00847B5A"/>
    <w:rsid w:val="00847C21"/>
    <w:rsid w:val="008506B4"/>
    <w:rsid w:val="008515C0"/>
    <w:rsid w:val="0085256A"/>
    <w:rsid w:val="00852754"/>
    <w:rsid w:val="00854D69"/>
    <w:rsid w:val="0085575C"/>
    <w:rsid w:val="00856823"/>
    <w:rsid w:val="00856AA5"/>
    <w:rsid w:val="008605BA"/>
    <w:rsid w:val="00861BD0"/>
    <w:rsid w:val="00862300"/>
    <w:rsid w:val="00862D91"/>
    <w:rsid w:val="008630E4"/>
    <w:rsid w:val="00863106"/>
    <w:rsid w:val="00865144"/>
    <w:rsid w:val="00865615"/>
    <w:rsid w:val="008713ED"/>
    <w:rsid w:val="00871C0C"/>
    <w:rsid w:val="00871E60"/>
    <w:rsid w:val="00872B49"/>
    <w:rsid w:val="00877830"/>
    <w:rsid w:val="00880D2A"/>
    <w:rsid w:val="00881474"/>
    <w:rsid w:val="00882317"/>
    <w:rsid w:val="0088309E"/>
    <w:rsid w:val="00885D3A"/>
    <w:rsid w:val="0089189B"/>
    <w:rsid w:val="00892154"/>
    <w:rsid w:val="00892198"/>
    <w:rsid w:val="00892217"/>
    <w:rsid w:val="00892DD5"/>
    <w:rsid w:val="008946A8"/>
    <w:rsid w:val="0089582C"/>
    <w:rsid w:val="00896085"/>
    <w:rsid w:val="008A05EA"/>
    <w:rsid w:val="008A3A94"/>
    <w:rsid w:val="008A7622"/>
    <w:rsid w:val="008B06A9"/>
    <w:rsid w:val="008B0D23"/>
    <w:rsid w:val="008B176B"/>
    <w:rsid w:val="008B2843"/>
    <w:rsid w:val="008B2FD1"/>
    <w:rsid w:val="008B501A"/>
    <w:rsid w:val="008B5C61"/>
    <w:rsid w:val="008B6C59"/>
    <w:rsid w:val="008B7898"/>
    <w:rsid w:val="008C130B"/>
    <w:rsid w:val="008C31A5"/>
    <w:rsid w:val="008C4A74"/>
    <w:rsid w:val="008C6807"/>
    <w:rsid w:val="008C6D7B"/>
    <w:rsid w:val="008C795B"/>
    <w:rsid w:val="008C7E55"/>
    <w:rsid w:val="008D03D5"/>
    <w:rsid w:val="008D2A67"/>
    <w:rsid w:val="008D2A9F"/>
    <w:rsid w:val="008D2CDA"/>
    <w:rsid w:val="008D3800"/>
    <w:rsid w:val="008D440D"/>
    <w:rsid w:val="008D4D69"/>
    <w:rsid w:val="008D5873"/>
    <w:rsid w:val="008D67F9"/>
    <w:rsid w:val="008D6D2A"/>
    <w:rsid w:val="008E0D45"/>
    <w:rsid w:val="008E2D70"/>
    <w:rsid w:val="008E2FE7"/>
    <w:rsid w:val="008E3571"/>
    <w:rsid w:val="008E65D4"/>
    <w:rsid w:val="008E667F"/>
    <w:rsid w:val="008E794A"/>
    <w:rsid w:val="008F00FE"/>
    <w:rsid w:val="008F1C0F"/>
    <w:rsid w:val="008F388E"/>
    <w:rsid w:val="008F41A7"/>
    <w:rsid w:val="008F4924"/>
    <w:rsid w:val="008F6191"/>
    <w:rsid w:val="00900142"/>
    <w:rsid w:val="0090047E"/>
    <w:rsid w:val="0090198E"/>
    <w:rsid w:val="00903930"/>
    <w:rsid w:val="00903E1A"/>
    <w:rsid w:val="009073DB"/>
    <w:rsid w:val="00910D63"/>
    <w:rsid w:val="00910FFA"/>
    <w:rsid w:val="00911227"/>
    <w:rsid w:val="009123A6"/>
    <w:rsid w:val="00912929"/>
    <w:rsid w:val="00912E5F"/>
    <w:rsid w:val="00913915"/>
    <w:rsid w:val="00914A29"/>
    <w:rsid w:val="00914F54"/>
    <w:rsid w:val="0091515D"/>
    <w:rsid w:val="00915907"/>
    <w:rsid w:val="00917492"/>
    <w:rsid w:val="00921EFF"/>
    <w:rsid w:val="0092274A"/>
    <w:rsid w:val="00923144"/>
    <w:rsid w:val="00923854"/>
    <w:rsid w:val="0093028B"/>
    <w:rsid w:val="00930E8B"/>
    <w:rsid w:val="009318BA"/>
    <w:rsid w:val="00931983"/>
    <w:rsid w:val="00931FE8"/>
    <w:rsid w:val="00932B35"/>
    <w:rsid w:val="0094322F"/>
    <w:rsid w:val="009442CE"/>
    <w:rsid w:val="00944F34"/>
    <w:rsid w:val="00946866"/>
    <w:rsid w:val="00946B69"/>
    <w:rsid w:val="00947996"/>
    <w:rsid w:val="00950FC0"/>
    <w:rsid w:val="009511C1"/>
    <w:rsid w:val="00952071"/>
    <w:rsid w:val="009523E2"/>
    <w:rsid w:val="0095272A"/>
    <w:rsid w:val="00953D96"/>
    <w:rsid w:val="00957FDD"/>
    <w:rsid w:val="009605FF"/>
    <w:rsid w:val="00962DC8"/>
    <w:rsid w:val="00963B76"/>
    <w:rsid w:val="00967283"/>
    <w:rsid w:val="00967913"/>
    <w:rsid w:val="009679CC"/>
    <w:rsid w:val="00970B29"/>
    <w:rsid w:val="009711FE"/>
    <w:rsid w:val="00973061"/>
    <w:rsid w:val="00974256"/>
    <w:rsid w:val="00974A71"/>
    <w:rsid w:val="00980D3B"/>
    <w:rsid w:val="009816A4"/>
    <w:rsid w:val="00985EF8"/>
    <w:rsid w:val="00986D78"/>
    <w:rsid w:val="00993D4F"/>
    <w:rsid w:val="00994536"/>
    <w:rsid w:val="00995391"/>
    <w:rsid w:val="0099546C"/>
    <w:rsid w:val="0099641A"/>
    <w:rsid w:val="009A188F"/>
    <w:rsid w:val="009A2D97"/>
    <w:rsid w:val="009A4AA4"/>
    <w:rsid w:val="009A6DF4"/>
    <w:rsid w:val="009A6E7C"/>
    <w:rsid w:val="009B0035"/>
    <w:rsid w:val="009B1129"/>
    <w:rsid w:val="009B3005"/>
    <w:rsid w:val="009B46BE"/>
    <w:rsid w:val="009B5C13"/>
    <w:rsid w:val="009C0305"/>
    <w:rsid w:val="009C3BF5"/>
    <w:rsid w:val="009C3C3E"/>
    <w:rsid w:val="009C41F5"/>
    <w:rsid w:val="009C4CAE"/>
    <w:rsid w:val="009C67C8"/>
    <w:rsid w:val="009C70B8"/>
    <w:rsid w:val="009C7BED"/>
    <w:rsid w:val="009C7CE9"/>
    <w:rsid w:val="009D0A81"/>
    <w:rsid w:val="009D1390"/>
    <w:rsid w:val="009D1421"/>
    <w:rsid w:val="009D285A"/>
    <w:rsid w:val="009D298D"/>
    <w:rsid w:val="009D2F35"/>
    <w:rsid w:val="009D3949"/>
    <w:rsid w:val="009D614F"/>
    <w:rsid w:val="009D7D04"/>
    <w:rsid w:val="009E2231"/>
    <w:rsid w:val="009E59E8"/>
    <w:rsid w:val="009E6B4E"/>
    <w:rsid w:val="009F03FE"/>
    <w:rsid w:val="009F047F"/>
    <w:rsid w:val="009F0B8E"/>
    <w:rsid w:val="009F1C79"/>
    <w:rsid w:val="009F1E24"/>
    <w:rsid w:val="00A0004A"/>
    <w:rsid w:val="00A01634"/>
    <w:rsid w:val="00A01B98"/>
    <w:rsid w:val="00A0464E"/>
    <w:rsid w:val="00A05373"/>
    <w:rsid w:val="00A0624B"/>
    <w:rsid w:val="00A067B6"/>
    <w:rsid w:val="00A07FC0"/>
    <w:rsid w:val="00A15C29"/>
    <w:rsid w:val="00A17C10"/>
    <w:rsid w:val="00A20D3D"/>
    <w:rsid w:val="00A23494"/>
    <w:rsid w:val="00A25946"/>
    <w:rsid w:val="00A2643C"/>
    <w:rsid w:val="00A26B04"/>
    <w:rsid w:val="00A27260"/>
    <w:rsid w:val="00A30559"/>
    <w:rsid w:val="00A30DB8"/>
    <w:rsid w:val="00A31292"/>
    <w:rsid w:val="00A31B58"/>
    <w:rsid w:val="00A322BF"/>
    <w:rsid w:val="00A323B5"/>
    <w:rsid w:val="00A34C19"/>
    <w:rsid w:val="00A356AF"/>
    <w:rsid w:val="00A37070"/>
    <w:rsid w:val="00A3789E"/>
    <w:rsid w:val="00A37FBE"/>
    <w:rsid w:val="00A46267"/>
    <w:rsid w:val="00A505D6"/>
    <w:rsid w:val="00A51B81"/>
    <w:rsid w:val="00A525CF"/>
    <w:rsid w:val="00A55412"/>
    <w:rsid w:val="00A55973"/>
    <w:rsid w:val="00A55A9D"/>
    <w:rsid w:val="00A56094"/>
    <w:rsid w:val="00A56340"/>
    <w:rsid w:val="00A56706"/>
    <w:rsid w:val="00A57F29"/>
    <w:rsid w:val="00A607B4"/>
    <w:rsid w:val="00A619CB"/>
    <w:rsid w:val="00A61FA6"/>
    <w:rsid w:val="00A658B0"/>
    <w:rsid w:val="00A70130"/>
    <w:rsid w:val="00A706BF"/>
    <w:rsid w:val="00A74A8A"/>
    <w:rsid w:val="00A7512A"/>
    <w:rsid w:val="00A75595"/>
    <w:rsid w:val="00A7592B"/>
    <w:rsid w:val="00A829CF"/>
    <w:rsid w:val="00A834D4"/>
    <w:rsid w:val="00A83A26"/>
    <w:rsid w:val="00A85C93"/>
    <w:rsid w:val="00A86D17"/>
    <w:rsid w:val="00A87DC3"/>
    <w:rsid w:val="00A9132F"/>
    <w:rsid w:val="00A9201F"/>
    <w:rsid w:val="00A927D9"/>
    <w:rsid w:val="00A932DF"/>
    <w:rsid w:val="00A9348D"/>
    <w:rsid w:val="00A95018"/>
    <w:rsid w:val="00A95070"/>
    <w:rsid w:val="00A9735A"/>
    <w:rsid w:val="00AA10FF"/>
    <w:rsid w:val="00AA14B4"/>
    <w:rsid w:val="00AA2A6E"/>
    <w:rsid w:val="00AA340A"/>
    <w:rsid w:val="00AB1A27"/>
    <w:rsid w:val="00AB4654"/>
    <w:rsid w:val="00AB4B8F"/>
    <w:rsid w:val="00AB54AD"/>
    <w:rsid w:val="00AB6F31"/>
    <w:rsid w:val="00AC27A3"/>
    <w:rsid w:val="00AC2E31"/>
    <w:rsid w:val="00AC2E60"/>
    <w:rsid w:val="00AC42FB"/>
    <w:rsid w:val="00AC43D1"/>
    <w:rsid w:val="00AC4C77"/>
    <w:rsid w:val="00AC5748"/>
    <w:rsid w:val="00AC6534"/>
    <w:rsid w:val="00AD1BCC"/>
    <w:rsid w:val="00AD2E7D"/>
    <w:rsid w:val="00AD6073"/>
    <w:rsid w:val="00AD6182"/>
    <w:rsid w:val="00AD6EC2"/>
    <w:rsid w:val="00AE2277"/>
    <w:rsid w:val="00AE2414"/>
    <w:rsid w:val="00AE49EB"/>
    <w:rsid w:val="00AE49F4"/>
    <w:rsid w:val="00AE59E6"/>
    <w:rsid w:val="00AE645B"/>
    <w:rsid w:val="00AE6B44"/>
    <w:rsid w:val="00AF2BF6"/>
    <w:rsid w:val="00AF2C5C"/>
    <w:rsid w:val="00AF3A31"/>
    <w:rsid w:val="00AF3E39"/>
    <w:rsid w:val="00AF5483"/>
    <w:rsid w:val="00AF63C9"/>
    <w:rsid w:val="00B005D7"/>
    <w:rsid w:val="00B00BEA"/>
    <w:rsid w:val="00B04251"/>
    <w:rsid w:val="00B053C9"/>
    <w:rsid w:val="00B05DBB"/>
    <w:rsid w:val="00B05DE4"/>
    <w:rsid w:val="00B06B6B"/>
    <w:rsid w:val="00B07ED5"/>
    <w:rsid w:val="00B10B0F"/>
    <w:rsid w:val="00B119F4"/>
    <w:rsid w:val="00B11FEE"/>
    <w:rsid w:val="00B12909"/>
    <w:rsid w:val="00B129EC"/>
    <w:rsid w:val="00B12D3E"/>
    <w:rsid w:val="00B13A5D"/>
    <w:rsid w:val="00B14297"/>
    <w:rsid w:val="00B15921"/>
    <w:rsid w:val="00B17FAA"/>
    <w:rsid w:val="00B20C0E"/>
    <w:rsid w:val="00B20D47"/>
    <w:rsid w:val="00B2532B"/>
    <w:rsid w:val="00B25AC9"/>
    <w:rsid w:val="00B27195"/>
    <w:rsid w:val="00B30802"/>
    <w:rsid w:val="00B30D03"/>
    <w:rsid w:val="00B31AB9"/>
    <w:rsid w:val="00B32836"/>
    <w:rsid w:val="00B35B07"/>
    <w:rsid w:val="00B375E7"/>
    <w:rsid w:val="00B404A9"/>
    <w:rsid w:val="00B40AE0"/>
    <w:rsid w:val="00B421CD"/>
    <w:rsid w:val="00B42460"/>
    <w:rsid w:val="00B460AD"/>
    <w:rsid w:val="00B522AF"/>
    <w:rsid w:val="00B52D45"/>
    <w:rsid w:val="00B52EAE"/>
    <w:rsid w:val="00B53176"/>
    <w:rsid w:val="00B5454E"/>
    <w:rsid w:val="00B54E28"/>
    <w:rsid w:val="00B553D6"/>
    <w:rsid w:val="00B56F1E"/>
    <w:rsid w:val="00B57239"/>
    <w:rsid w:val="00B57750"/>
    <w:rsid w:val="00B5778B"/>
    <w:rsid w:val="00B57C43"/>
    <w:rsid w:val="00B63048"/>
    <w:rsid w:val="00B743EE"/>
    <w:rsid w:val="00B74F57"/>
    <w:rsid w:val="00B75657"/>
    <w:rsid w:val="00B823CD"/>
    <w:rsid w:val="00B82F41"/>
    <w:rsid w:val="00B8320B"/>
    <w:rsid w:val="00B84A18"/>
    <w:rsid w:val="00B86D5F"/>
    <w:rsid w:val="00B9063D"/>
    <w:rsid w:val="00B90938"/>
    <w:rsid w:val="00B91078"/>
    <w:rsid w:val="00B92288"/>
    <w:rsid w:val="00B92C10"/>
    <w:rsid w:val="00B94DB0"/>
    <w:rsid w:val="00B950F5"/>
    <w:rsid w:val="00B95657"/>
    <w:rsid w:val="00B96335"/>
    <w:rsid w:val="00B971DB"/>
    <w:rsid w:val="00B977E8"/>
    <w:rsid w:val="00BA2CDE"/>
    <w:rsid w:val="00BA2E1E"/>
    <w:rsid w:val="00BA3BEB"/>
    <w:rsid w:val="00BA3D4F"/>
    <w:rsid w:val="00BA4731"/>
    <w:rsid w:val="00BA473A"/>
    <w:rsid w:val="00BB0482"/>
    <w:rsid w:val="00BB05BF"/>
    <w:rsid w:val="00BB31EF"/>
    <w:rsid w:val="00BB54C2"/>
    <w:rsid w:val="00BB73E0"/>
    <w:rsid w:val="00BC24C8"/>
    <w:rsid w:val="00BC30CA"/>
    <w:rsid w:val="00BC38EC"/>
    <w:rsid w:val="00BC43D4"/>
    <w:rsid w:val="00BC4E86"/>
    <w:rsid w:val="00BC4FB9"/>
    <w:rsid w:val="00BC5C7C"/>
    <w:rsid w:val="00BC75A2"/>
    <w:rsid w:val="00BD200A"/>
    <w:rsid w:val="00BD3E48"/>
    <w:rsid w:val="00BD4BA8"/>
    <w:rsid w:val="00BD5CE1"/>
    <w:rsid w:val="00BD6C2E"/>
    <w:rsid w:val="00BE265C"/>
    <w:rsid w:val="00BE77F6"/>
    <w:rsid w:val="00BE7C3E"/>
    <w:rsid w:val="00BE7F19"/>
    <w:rsid w:val="00BF18EA"/>
    <w:rsid w:val="00BF240F"/>
    <w:rsid w:val="00BF7265"/>
    <w:rsid w:val="00C0230C"/>
    <w:rsid w:val="00C03707"/>
    <w:rsid w:val="00C0469B"/>
    <w:rsid w:val="00C04BD1"/>
    <w:rsid w:val="00C05AD6"/>
    <w:rsid w:val="00C05F64"/>
    <w:rsid w:val="00C05FD6"/>
    <w:rsid w:val="00C103A3"/>
    <w:rsid w:val="00C16797"/>
    <w:rsid w:val="00C204BF"/>
    <w:rsid w:val="00C21E0F"/>
    <w:rsid w:val="00C22EA8"/>
    <w:rsid w:val="00C2372B"/>
    <w:rsid w:val="00C23B9F"/>
    <w:rsid w:val="00C24849"/>
    <w:rsid w:val="00C25EB3"/>
    <w:rsid w:val="00C267BB"/>
    <w:rsid w:val="00C32DDC"/>
    <w:rsid w:val="00C32EB7"/>
    <w:rsid w:val="00C32FD0"/>
    <w:rsid w:val="00C33988"/>
    <w:rsid w:val="00C33B83"/>
    <w:rsid w:val="00C35A82"/>
    <w:rsid w:val="00C35D5B"/>
    <w:rsid w:val="00C37B2B"/>
    <w:rsid w:val="00C40458"/>
    <w:rsid w:val="00C418A4"/>
    <w:rsid w:val="00C433C9"/>
    <w:rsid w:val="00C459D9"/>
    <w:rsid w:val="00C45B92"/>
    <w:rsid w:val="00C4606E"/>
    <w:rsid w:val="00C46BAF"/>
    <w:rsid w:val="00C47527"/>
    <w:rsid w:val="00C52495"/>
    <w:rsid w:val="00C52535"/>
    <w:rsid w:val="00C55B41"/>
    <w:rsid w:val="00C57375"/>
    <w:rsid w:val="00C60620"/>
    <w:rsid w:val="00C60EB2"/>
    <w:rsid w:val="00C61F2E"/>
    <w:rsid w:val="00C66BED"/>
    <w:rsid w:val="00C67EA7"/>
    <w:rsid w:val="00C707EC"/>
    <w:rsid w:val="00C716D1"/>
    <w:rsid w:val="00C71E52"/>
    <w:rsid w:val="00C72BA1"/>
    <w:rsid w:val="00C731AD"/>
    <w:rsid w:val="00C74678"/>
    <w:rsid w:val="00C74C22"/>
    <w:rsid w:val="00C7699A"/>
    <w:rsid w:val="00C7700E"/>
    <w:rsid w:val="00C82D60"/>
    <w:rsid w:val="00C85414"/>
    <w:rsid w:val="00C85462"/>
    <w:rsid w:val="00C86769"/>
    <w:rsid w:val="00C87B22"/>
    <w:rsid w:val="00C908A4"/>
    <w:rsid w:val="00C956AB"/>
    <w:rsid w:val="00CA0A0C"/>
    <w:rsid w:val="00CA0C45"/>
    <w:rsid w:val="00CA4546"/>
    <w:rsid w:val="00CA5BF8"/>
    <w:rsid w:val="00CA6063"/>
    <w:rsid w:val="00CB00F6"/>
    <w:rsid w:val="00CB1D58"/>
    <w:rsid w:val="00CB22C7"/>
    <w:rsid w:val="00CB6296"/>
    <w:rsid w:val="00CC003D"/>
    <w:rsid w:val="00CC1061"/>
    <w:rsid w:val="00CC1D8E"/>
    <w:rsid w:val="00CC22F4"/>
    <w:rsid w:val="00CC246E"/>
    <w:rsid w:val="00CC3D74"/>
    <w:rsid w:val="00CC5A5B"/>
    <w:rsid w:val="00CC6DAB"/>
    <w:rsid w:val="00CC7830"/>
    <w:rsid w:val="00CD16FB"/>
    <w:rsid w:val="00CD3276"/>
    <w:rsid w:val="00CD3808"/>
    <w:rsid w:val="00CD519C"/>
    <w:rsid w:val="00CD5727"/>
    <w:rsid w:val="00CD5872"/>
    <w:rsid w:val="00CD6A45"/>
    <w:rsid w:val="00CD7CB7"/>
    <w:rsid w:val="00CE13A4"/>
    <w:rsid w:val="00CE2A9E"/>
    <w:rsid w:val="00CE42A1"/>
    <w:rsid w:val="00CE5137"/>
    <w:rsid w:val="00CE5275"/>
    <w:rsid w:val="00CE52D5"/>
    <w:rsid w:val="00CE5806"/>
    <w:rsid w:val="00CF0B55"/>
    <w:rsid w:val="00CF16BE"/>
    <w:rsid w:val="00CF483F"/>
    <w:rsid w:val="00CF53E0"/>
    <w:rsid w:val="00CF5A1B"/>
    <w:rsid w:val="00CF5BDA"/>
    <w:rsid w:val="00CF64F1"/>
    <w:rsid w:val="00D03120"/>
    <w:rsid w:val="00D049F1"/>
    <w:rsid w:val="00D04FA9"/>
    <w:rsid w:val="00D0588D"/>
    <w:rsid w:val="00D05C0F"/>
    <w:rsid w:val="00D05FEC"/>
    <w:rsid w:val="00D06134"/>
    <w:rsid w:val="00D06213"/>
    <w:rsid w:val="00D06EB5"/>
    <w:rsid w:val="00D071B0"/>
    <w:rsid w:val="00D07C5D"/>
    <w:rsid w:val="00D111E9"/>
    <w:rsid w:val="00D13166"/>
    <w:rsid w:val="00D13439"/>
    <w:rsid w:val="00D140CF"/>
    <w:rsid w:val="00D15B53"/>
    <w:rsid w:val="00D161E8"/>
    <w:rsid w:val="00D16203"/>
    <w:rsid w:val="00D16365"/>
    <w:rsid w:val="00D17C36"/>
    <w:rsid w:val="00D205A8"/>
    <w:rsid w:val="00D21D60"/>
    <w:rsid w:val="00D22889"/>
    <w:rsid w:val="00D230F7"/>
    <w:rsid w:val="00D25E96"/>
    <w:rsid w:val="00D2685B"/>
    <w:rsid w:val="00D30EBD"/>
    <w:rsid w:val="00D323A0"/>
    <w:rsid w:val="00D33DC9"/>
    <w:rsid w:val="00D348CC"/>
    <w:rsid w:val="00D34AD4"/>
    <w:rsid w:val="00D36EEF"/>
    <w:rsid w:val="00D403DF"/>
    <w:rsid w:val="00D4154B"/>
    <w:rsid w:val="00D44F6E"/>
    <w:rsid w:val="00D45E25"/>
    <w:rsid w:val="00D45EC5"/>
    <w:rsid w:val="00D46E61"/>
    <w:rsid w:val="00D5048C"/>
    <w:rsid w:val="00D510FE"/>
    <w:rsid w:val="00D54741"/>
    <w:rsid w:val="00D559BA"/>
    <w:rsid w:val="00D56703"/>
    <w:rsid w:val="00D571D0"/>
    <w:rsid w:val="00D6093A"/>
    <w:rsid w:val="00D6200C"/>
    <w:rsid w:val="00D63009"/>
    <w:rsid w:val="00D63D56"/>
    <w:rsid w:val="00D6432D"/>
    <w:rsid w:val="00D64373"/>
    <w:rsid w:val="00D670C4"/>
    <w:rsid w:val="00D70980"/>
    <w:rsid w:val="00D7198F"/>
    <w:rsid w:val="00D72117"/>
    <w:rsid w:val="00D75A7E"/>
    <w:rsid w:val="00D802A8"/>
    <w:rsid w:val="00D81861"/>
    <w:rsid w:val="00D82CE4"/>
    <w:rsid w:val="00D83169"/>
    <w:rsid w:val="00D8609C"/>
    <w:rsid w:val="00D90D8E"/>
    <w:rsid w:val="00D9269F"/>
    <w:rsid w:val="00D972E5"/>
    <w:rsid w:val="00D97BD8"/>
    <w:rsid w:val="00DA0806"/>
    <w:rsid w:val="00DA0D78"/>
    <w:rsid w:val="00DA10A5"/>
    <w:rsid w:val="00DA1E5A"/>
    <w:rsid w:val="00DA2F6A"/>
    <w:rsid w:val="00DA30AB"/>
    <w:rsid w:val="00DA30AE"/>
    <w:rsid w:val="00DA3F74"/>
    <w:rsid w:val="00DA4C76"/>
    <w:rsid w:val="00DA5AE1"/>
    <w:rsid w:val="00DA5DCA"/>
    <w:rsid w:val="00DA645D"/>
    <w:rsid w:val="00DA6F61"/>
    <w:rsid w:val="00DB0DEF"/>
    <w:rsid w:val="00DB17F8"/>
    <w:rsid w:val="00DB1A4A"/>
    <w:rsid w:val="00DB389F"/>
    <w:rsid w:val="00DB4ABA"/>
    <w:rsid w:val="00DB561E"/>
    <w:rsid w:val="00DB6BCE"/>
    <w:rsid w:val="00DC074E"/>
    <w:rsid w:val="00DC19BF"/>
    <w:rsid w:val="00DC34D5"/>
    <w:rsid w:val="00DC3BF5"/>
    <w:rsid w:val="00DC764A"/>
    <w:rsid w:val="00DD02DB"/>
    <w:rsid w:val="00DD0971"/>
    <w:rsid w:val="00DD0C59"/>
    <w:rsid w:val="00DD0D93"/>
    <w:rsid w:val="00DD2BE7"/>
    <w:rsid w:val="00DD46AC"/>
    <w:rsid w:val="00DD6443"/>
    <w:rsid w:val="00DE1755"/>
    <w:rsid w:val="00DE264A"/>
    <w:rsid w:val="00DE33F0"/>
    <w:rsid w:val="00DE37C9"/>
    <w:rsid w:val="00DE3B2A"/>
    <w:rsid w:val="00DE4CFF"/>
    <w:rsid w:val="00DE5590"/>
    <w:rsid w:val="00DE570E"/>
    <w:rsid w:val="00DE5D6E"/>
    <w:rsid w:val="00DE67CB"/>
    <w:rsid w:val="00DE6812"/>
    <w:rsid w:val="00DF0578"/>
    <w:rsid w:val="00DF10E8"/>
    <w:rsid w:val="00DF2909"/>
    <w:rsid w:val="00DF4266"/>
    <w:rsid w:val="00DF5747"/>
    <w:rsid w:val="00DF68D4"/>
    <w:rsid w:val="00E00650"/>
    <w:rsid w:val="00E0512F"/>
    <w:rsid w:val="00E05895"/>
    <w:rsid w:val="00E062CD"/>
    <w:rsid w:val="00E075C1"/>
    <w:rsid w:val="00E102D2"/>
    <w:rsid w:val="00E1328E"/>
    <w:rsid w:val="00E14747"/>
    <w:rsid w:val="00E1498E"/>
    <w:rsid w:val="00E151AF"/>
    <w:rsid w:val="00E16929"/>
    <w:rsid w:val="00E17360"/>
    <w:rsid w:val="00E173C8"/>
    <w:rsid w:val="00E1780C"/>
    <w:rsid w:val="00E206D8"/>
    <w:rsid w:val="00E212A9"/>
    <w:rsid w:val="00E21AA6"/>
    <w:rsid w:val="00E23419"/>
    <w:rsid w:val="00E234E5"/>
    <w:rsid w:val="00E24B28"/>
    <w:rsid w:val="00E309B8"/>
    <w:rsid w:val="00E3282D"/>
    <w:rsid w:val="00E32871"/>
    <w:rsid w:val="00E36BA5"/>
    <w:rsid w:val="00E36F17"/>
    <w:rsid w:val="00E37779"/>
    <w:rsid w:val="00E37FE3"/>
    <w:rsid w:val="00E400F6"/>
    <w:rsid w:val="00E4119E"/>
    <w:rsid w:val="00E413B9"/>
    <w:rsid w:val="00E41747"/>
    <w:rsid w:val="00E456F8"/>
    <w:rsid w:val="00E5242E"/>
    <w:rsid w:val="00E53E20"/>
    <w:rsid w:val="00E563A8"/>
    <w:rsid w:val="00E60452"/>
    <w:rsid w:val="00E60CC3"/>
    <w:rsid w:val="00E61657"/>
    <w:rsid w:val="00E619D5"/>
    <w:rsid w:val="00E61E2D"/>
    <w:rsid w:val="00E65DA9"/>
    <w:rsid w:val="00E74792"/>
    <w:rsid w:val="00E74873"/>
    <w:rsid w:val="00E75B69"/>
    <w:rsid w:val="00E76B06"/>
    <w:rsid w:val="00E76E02"/>
    <w:rsid w:val="00E771DF"/>
    <w:rsid w:val="00E77D6E"/>
    <w:rsid w:val="00E811EB"/>
    <w:rsid w:val="00E8197C"/>
    <w:rsid w:val="00E82A08"/>
    <w:rsid w:val="00E82C13"/>
    <w:rsid w:val="00E83B94"/>
    <w:rsid w:val="00E8414F"/>
    <w:rsid w:val="00E86A4F"/>
    <w:rsid w:val="00E86BB9"/>
    <w:rsid w:val="00E90E35"/>
    <w:rsid w:val="00E91234"/>
    <w:rsid w:val="00E914BE"/>
    <w:rsid w:val="00E936E0"/>
    <w:rsid w:val="00E95B75"/>
    <w:rsid w:val="00E97C68"/>
    <w:rsid w:val="00EA0307"/>
    <w:rsid w:val="00EA05FD"/>
    <w:rsid w:val="00EA3B1C"/>
    <w:rsid w:val="00EA4A9F"/>
    <w:rsid w:val="00EA5A06"/>
    <w:rsid w:val="00EA6115"/>
    <w:rsid w:val="00EA7B42"/>
    <w:rsid w:val="00EB06B9"/>
    <w:rsid w:val="00EB31CF"/>
    <w:rsid w:val="00EB4500"/>
    <w:rsid w:val="00EB5DDA"/>
    <w:rsid w:val="00EB6D3C"/>
    <w:rsid w:val="00EC067F"/>
    <w:rsid w:val="00EC2301"/>
    <w:rsid w:val="00EC2449"/>
    <w:rsid w:val="00EC3795"/>
    <w:rsid w:val="00EC3D18"/>
    <w:rsid w:val="00EC4218"/>
    <w:rsid w:val="00EC62EB"/>
    <w:rsid w:val="00EC7952"/>
    <w:rsid w:val="00ED008E"/>
    <w:rsid w:val="00ED07C5"/>
    <w:rsid w:val="00ED1CBA"/>
    <w:rsid w:val="00ED1E47"/>
    <w:rsid w:val="00ED57BC"/>
    <w:rsid w:val="00ED6A3C"/>
    <w:rsid w:val="00ED7659"/>
    <w:rsid w:val="00EE2C75"/>
    <w:rsid w:val="00EE3F2D"/>
    <w:rsid w:val="00EE434C"/>
    <w:rsid w:val="00EE445F"/>
    <w:rsid w:val="00EE5CA0"/>
    <w:rsid w:val="00EE6701"/>
    <w:rsid w:val="00EE67B5"/>
    <w:rsid w:val="00EE6951"/>
    <w:rsid w:val="00EF2B45"/>
    <w:rsid w:val="00EF31B3"/>
    <w:rsid w:val="00EF44E4"/>
    <w:rsid w:val="00EF4CDD"/>
    <w:rsid w:val="00EF5B8D"/>
    <w:rsid w:val="00EF5D05"/>
    <w:rsid w:val="00EF7377"/>
    <w:rsid w:val="00F004F9"/>
    <w:rsid w:val="00F009B5"/>
    <w:rsid w:val="00F00D34"/>
    <w:rsid w:val="00F012F7"/>
    <w:rsid w:val="00F037A0"/>
    <w:rsid w:val="00F0524A"/>
    <w:rsid w:val="00F05CE5"/>
    <w:rsid w:val="00F05D9B"/>
    <w:rsid w:val="00F06536"/>
    <w:rsid w:val="00F074D0"/>
    <w:rsid w:val="00F07E02"/>
    <w:rsid w:val="00F10124"/>
    <w:rsid w:val="00F10B66"/>
    <w:rsid w:val="00F10F8D"/>
    <w:rsid w:val="00F12295"/>
    <w:rsid w:val="00F135CC"/>
    <w:rsid w:val="00F13742"/>
    <w:rsid w:val="00F13D5D"/>
    <w:rsid w:val="00F13E02"/>
    <w:rsid w:val="00F1488D"/>
    <w:rsid w:val="00F14DC1"/>
    <w:rsid w:val="00F15C94"/>
    <w:rsid w:val="00F1640C"/>
    <w:rsid w:val="00F164CE"/>
    <w:rsid w:val="00F16608"/>
    <w:rsid w:val="00F20D22"/>
    <w:rsid w:val="00F216E7"/>
    <w:rsid w:val="00F223A6"/>
    <w:rsid w:val="00F243E6"/>
    <w:rsid w:val="00F244C9"/>
    <w:rsid w:val="00F24674"/>
    <w:rsid w:val="00F26A21"/>
    <w:rsid w:val="00F26CA3"/>
    <w:rsid w:val="00F26CEC"/>
    <w:rsid w:val="00F27C39"/>
    <w:rsid w:val="00F30D8C"/>
    <w:rsid w:val="00F327B5"/>
    <w:rsid w:val="00F34A53"/>
    <w:rsid w:val="00F36421"/>
    <w:rsid w:val="00F40AE6"/>
    <w:rsid w:val="00F41D50"/>
    <w:rsid w:val="00F4213B"/>
    <w:rsid w:val="00F42E57"/>
    <w:rsid w:val="00F4472C"/>
    <w:rsid w:val="00F45145"/>
    <w:rsid w:val="00F45A56"/>
    <w:rsid w:val="00F46574"/>
    <w:rsid w:val="00F500E5"/>
    <w:rsid w:val="00F506F0"/>
    <w:rsid w:val="00F50816"/>
    <w:rsid w:val="00F51C93"/>
    <w:rsid w:val="00F55FD1"/>
    <w:rsid w:val="00F577BF"/>
    <w:rsid w:val="00F60168"/>
    <w:rsid w:val="00F615A2"/>
    <w:rsid w:val="00F61AE6"/>
    <w:rsid w:val="00F61E39"/>
    <w:rsid w:val="00F64E60"/>
    <w:rsid w:val="00F66831"/>
    <w:rsid w:val="00F6692B"/>
    <w:rsid w:val="00F66B67"/>
    <w:rsid w:val="00F702E5"/>
    <w:rsid w:val="00F715B8"/>
    <w:rsid w:val="00F7212E"/>
    <w:rsid w:val="00F73DA3"/>
    <w:rsid w:val="00F7455F"/>
    <w:rsid w:val="00F75232"/>
    <w:rsid w:val="00F754F0"/>
    <w:rsid w:val="00F76D7A"/>
    <w:rsid w:val="00F77BC8"/>
    <w:rsid w:val="00F81FB8"/>
    <w:rsid w:val="00F821C3"/>
    <w:rsid w:val="00F82BC5"/>
    <w:rsid w:val="00F84174"/>
    <w:rsid w:val="00F86176"/>
    <w:rsid w:val="00F86837"/>
    <w:rsid w:val="00F86A57"/>
    <w:rsid w:val="00F86B1B"/>
    <w:rsid w:val="00F912F1"/>
    <w:rsid w:val="00F95077"/>
    <w:rsid w:val="00F959CE"/>
    <w:rsid w:val="00F97137"/>
    <w:rsid w:val="00FA0EC5"/>
    <w:rsid w:val="00FA131E"/>
    <w:rsid w:val="00FA205F"/>
    <w:rsid w:val="00FA53C0"/>
    <w:rsid w:val="00FA651B"/>
    <w:rsid w:val="00FA7208"/>
    <w:rsid w:val="00FA764B"/>
    <w:rsid w:val="00FA7FA3"/>
    <w:rsid w:val="00FB04D6"/>
    <w:rsid w:val="00FB0C0B"/>
    <w:rsid w:val="00FB138B"/>
    <w:rsid w:val="00FB1C6A"/>
    <w:rsid w:val="00FB2E0D"/>
    <w:rsid w:val="00FB36DD"/>
    <w:rsid w:val="00FB4032"/>
    <w:rsid w:val="00FB4ABE"/>
    <w:rsid w:val="00FB608D"/>
    <w:rsid w:val="00FC07CA"/>
    <w:rsid w:val="00FC0EF8"/>
    <w:rsid w:val="00FC202B"/>
    <w:rsid w:val="00FC235C"/>
    <w:rsid w:val="00FC610C"/>
    <w:rsid w:val="00FD0E83"/>
    <w:rsid w:val="00FD12FE"/>
    <w:rsid w:val="00FD196F"/>
    <w:rsid w:val="00FD4BD5"/>
    <w:rsid w:val="00FD54A2"/>
    <w:rsid w:val="00FD5572"/>
    <w:rsid w:val="00FD5698"/>
    <w:rsid w:val="00FD6629"/>
    <w:rsid w:val="00FD7C6A"/>
    <w:rsid w:val="00FE03A9"/>
    <w:rsid w:val="00FE156D"/>
    <w:rsid w:val="00FE263B"/>
    <w:rsid w:val="00FE389D"/>
    <w:rsid w:val="00FE48ED"/>
    <w:rsid w:val="00FE4B4C"/>
    <w:rsid w:val="00FE5869"/>
    <w:rsid w:val="00FF318F"/>
    <w:rsid w:val="00FF3324"/>
    <w:rsid w:val="00FF40C3"/>
    <w:rsid w:val="00FF49C9"/>
    <w:rsid w:val="00FF663E"/>
    <w:rsid w:val="02316729"/>
    <w:rsid w:val="0DB1AFFF"/>
    <w:rsid w:val="118273C7"/>
    <w:rsid w:val="14C24C08"/>
    <w:rsid w:val="1AAF90B2"/>
    <w:rsid w:val="2394BDFB"/>
    <w:rsid w:val="24750A11"/>
    <w:rsid w:val="25FA6857"/>
    <w:rsid w:val="34F227E3"/>
    <w:rsid w:val="4011FC3C"/>
    <w:rsid w:val="44C7B4F9"/>
    <w:rsid w:val="46CFB84F"/>
    <w:rsid w:val="4C457514"/>
    <w:rsid w:val="56F68692"/>
    <w:rsid w:val="5E53E968"/>
    <w:rsid w:val="6346F155"/>
    <w:rsid w:val="67177C4C"/>
    <w:rsid w:val="7B68AB0B"/>
    <w:rsid w:val="7DBF0E2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31783"/>
  <w15:docId w15:val="{D21903BA-59F5-4E25-B910-DD1D2F969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81E"/>
  </w:style>
  <w:style w:type="paragraph" w:styleId="Heading1">
    <w:name w:val="heading 1"/>
    <w:basedOn w:val="Normal"/>
    <w:next w:val="Normal"/>
    <w:link w:val="Heading1Char"/>
    <w:qFormat/>
    <w:rsid w:val="00F51C93"/>
    <w:pPr>
      <w:keepNext/>
      <w:spacing w:before="240" w:after="60"/>
      <w:outlineLvl w:val="0"/>
    </w:pPr>
    <w:rPr>
      <w:rFonts w:ascii="Times New Roman" w:eastAsia="Times New Roman" w:hAnsi="Times New Roman" w:cs="Arial"/>
      <w:b/>
      <w:bCs/>
      <w:kern w:val="32"/>
      <w:sz w:val="32"/>
      <w:szCs w:val="32"/>
      <w14:ligatures w14:val="none"/>
    </w:rPr>
  </w:style>
  <w:style w:type="paragraph" w:styleId="Heading2">
    <w:name w:val="heading 2"/>
    <w:next w:val="Normal"/>
    <w:link w:val="Heading2Char"/>
    <w:qFormat/>
    <w:rsid w:val="00F51C93"/>
    <w:pPr>
      <w:spacing w:after="240"/>
      <w:ind w:left="720" w:hanging="720"/>
      <w:outlineLvl w:val="1"/>
    </w:pPr>
    <w:rPr>
      <w:rFonts w:ascii="Times New Roman" w:eastAsia="Times New Roman" w:hAnsi="Times New Roman" w:cs="Times New Roman"/>
      <w:b/>
      <w:kern w:val="0"/>
      <w:szCs w:val="20"/>
      <w14:ligatures w14:val="none"/>
    </w:rPr>
  </w:style>
  <w:style w:type="paragraph" w:styleId="Heading3">
    <w:name w:val="heading 3"/>
    <w:next w:val="Normal"/>
    <w:link w:val="Heading3Char"/>
    <w:qFormat/>
    <w:rsid w:val="00F51C93"/>
    <w:pPr>
      <w:keepNext/>
      <w:spacing w:before="240" w:after="60"/>
      <w:ind w:left="965" w:hanging="965"/>
      <w:outlineLvl w:val="2"/>
    </w:pPr>
    <w:rPr>
      <w:rFonts w:ascii="Times New Roman" w:eastAsia="Times New Roman" w:hAnsi="Times New Roman" w:cs="Arial"/>
      <w:b/>
      <w:bCs/>
      <w:kern w:val="0"/>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78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06A9"/>
    <w:pPr>
      <w:tabs>
        <w:tab w:val="center" w:pos="4513"/>
        <w:tab w:val="right" w:pos="9026"/>
      </w:tabs>
    </w:pPr>
  </w:style>
  <w:style w:type="character" w:customStyle="1" w:styleId="HeaderChar">
    <w:name w:val="Header Char"/>
    <w:basedOn w:val="DefaultParagraphFont"/>
    <w:link w:val="Header"/>
    <w:uiPriority w:val="99"/>
    <w:rsid w:val="008B06A9"/>
  </w:style>
  <w:style w:type="paragraph" w:styleId="Footer">
    <w:name w:val="footer"/>
    <w:basedOn w:val="Normal"/>
    <w:link w:val="FooterChar"/>
    <w:uiPriority w:val="99"/>
    <w:unhideWhenUsed/>
    <w:rsid w:val="008B06A9"/>
    <w:pPr>
      <w:tabs>
        <w:tab w:val="center" w:pos="4513"/>
        <w:tab w:val="right" w:pos="9026"/>
      </w:tabs>
    </w:pPr>
  </w:style>
  <w:style w:type="character" w:customStyle="1" w:styleId="FooterChar">
    <w:name w:val="Footer Char"/>
    <w:basedOn w:val="DefaultParagraphFont"/>
    <w:link w:val="Footer"/>
    <w:uiPriority w:val="99"/>
    <w:rsid w:val="008B06A9"/>
  </w:style>
  <w:style w:type="character" w:styleId="CommentReference">
    <w:name w:val="annotation reference"/>
    <w:basedOn w:val="DefaultParagraphFont"/>
    <w:uiPriority w:val="99"/>
    <w:unhideWhenUsed/>
    <w:rsid w:val="008B06A9"/>
    <w:rPr>
      <w:sz w:val="16"/>
      <w:szCs w:val="16"/>
    </w:rPr>
  </w:style>
  <w:style w:type="paragraph" w:styleId="CommentText">
    <w:name w:val="annotation text"/>
    <w:basedOn w:val="Normal"/>
    <w:link w:val="CommentTextChar"/>
    <w:unhideWhenUsed/>
    <w:rsid w:val="008B06A9"/>
    <w:rPr>
      <w:sz w:val="20"/>
      <w:szCs w:val="20"/>
    </w:rPr>
  </w:style>
  <w:style w:type="character" w:customStyle="1" w:styleId="CommentTextChar">
    <w:name w:val="Comment Text Char"/>
    <w:basedOn w:val="DefaultParagraphFont"/>
    <w:link w:val="CommentText"/>
    <w:rsid w:val="008B06A9"/>
    <w:rPr>
      <w:sz w:val="20"/>
      <w:szCs w:val="20"/>
    </w:rPr>
  </w:style>
  <w:style w:type="paragraph" w:styleId="CommentSubject">
    <w:name w:val="annotation subject"/>
    <w:basedOn w:val="CommentText"/>
    <w:next w:val="CommentText"/>
    <w:link w:val="CommentSubjectChar"/>
    <w:uiPriority w:val="99"/>
    <w:semiHidden/>
    <w:unhideWhenUsed/>
    <w:rsid w:val="008B06A9"/>
    <w:rPr>
      <w:b/>
      <w:bCs/>
    </w:rPr>
  </w:style>
  <w:style w:type="character" w:customStyle="1" w:styleId="CommentSubjectChar">
    <w:name w:val="Comment Subject Char"/>
    <w:basedOn w:val="CommentTextChar"/>
    <w:link w:val="CommentSubject"/>
    <w:uiPriority w:val="99"/>
    <w:semiHidden/>
    <w:rsid w:val="008B06A9"/>
    <w:rPr>
      <w:b/>
      <w:bCs/>
      <w:sz w:val="20"/>
      <w:szCs w:val="20"/>
    </w:rPr>
  </w:style>
  <w:style w:type="paragraph" w:styleId="BalloonText">
    <w:name w:val="Balloon Text"/>
    <w:basedOn w:val="Normal"/>
    <w:link w:val="BalloonTextChar"/>
    <w:uiPriority w:val="99"/>
    <w:semiHidden/>
    <w:unhideWhenUsed/>
    <w:rsid w:val="00DE55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590"/>
    <w:rPr>
      <w:rFonts w:ascii="Segoe UI" w:hAnsi="Segoe UI" w:cs="Segoe UI"/>
      <w:sz w:val="18"/>
      <w:szCs w:val="18"/>
    </w:rPr>
  </w:style>
  <w:style w:type="paragraph" w:styleId="Revision">
    <w:name w:val="Revision"/>
    <w:hidden/>
    <w:uiPriority w:val="99"/>
    <w:semiHidden/>
    <w:rsid w:val="006B6591"/>
  </w:style>
  <w:style w:type="paragraph" w:styleId="ListParagraph">
    <w:name w:val="List Paragraph"/>
    <w:basedOn w:val="Normal"/>
    <w:link w:val="ListParagraphChar"/>
    <w:uiPriority w:val="34"/>
    <w:qFormat/>
    <w:rsid w:val="000563C9"/>
    <w:pPr>
      <w:ind w:left="720"/>
      <w:contextualSpacing/>
    </w:pPr>
    <w:rPr>
      <w:rFonts w:ascii="Times New Roman" w:eastAsia="Times New Roman" w:hAnsi="Times New Roman" w:cs="Times New Roman"/>
      <w:kern w:val="0"/>
      <w14:ligatures w14:val="none"/>
    </w:rPr>
  </w:style>
  <w:style w:type="character" w:customStyle="1" w:styleId="ListParagraphChar">
    <w:name w:val="List Paragraph Char"/>
    <w:basedOn w:val="DefaultParagraphFont"/>
    <w:link w:val="ListParagraph"/>
    <w:uiPriority w:val="34"/>
    <w:rsid w:val="000563C9"/>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rsid w:val="00F51C93"/>
    <w:rPr>
      <w:rFonts w:ascii="Times New Roman" w:eastAsia="Times New Roman" w:hAnsi="Times New Roman" w:cs="Arial"/>
      <w:b/>
      <w:bCs/>
      <w:kern w:val="32"/>
      <w:sz w:val="32"/>
      <w:szCs w:val="32"/>
      <w14:ligatures w14:val="none"/>
    </w:rPr>
  </w:style>
  <w:style w:type="character" w:customStyle="1" w:styleId="Heading2Char">
    <w:name w:val="Heading 2 Char"/>
    <w:basedOn w:val="DefaultParagraphFont"/>
    <w:link w:val="Heading2"/>
    <w:rsid w:val="00F51C93"/>
    <w:rPr>
      <w:rFonts w:ascii="Times New Roman" w:eastAsia="Times New Roman" w:hAnsi="Times New Roman" w:cs="Times New Roman"/>
      <w:b/>
      <w:kern w:val="0"/>
      <w:szCs w:val="20"/>
      <w14:ligatures w14:val="none"/>
    </w:rPr>
  </w:style>
  <w:style w:type="character" w:customStyle="1" w:styleId="Heading3Char">
    <w:name w:val="Heading 3 Char"/>
    <w:basedOn w:val="DefaultParagraphFont"/>
    <w:link w:val="Heading3"/>
    <w:rsid w:val="00F51C93"/>
    <w:rPr>
      <w:rFonts w:ascii="Times New Roman" w:eastAsia="Times New Roman" w:hAnsi="Times New Roman" w:cs="Arial"/>
      <w:b/>
      <w:bCs/>
      <w:kern w:val="0"/>
      <w:szCs w:val="26"/>
      <w14:ligatures w14:val="none"/>
    </w:rPr>
  </w:style>
  <w:style w:type="character" w:styleId="Hyperlink">
    <w:name w:val="Hyperlink"/>
    <w:basedOn w:val="DefaultParagraphFont"/>
    <w:uiPriority w:val="99"/>
    <w:unhideWhenUsed/>
    <w:rsid w:val="00F51C93"/>
    <w:rPr>
      <w:color w:val="0563C1" w:themeColor="hyperlink"/>
      <w:u w:val="single"/>
    </w:rPr>
  </w:style>
  <w:style w:type="character" w:customStyle="1" w:styleId="UnresolvedMention">
    <w:name w:val="Unresolved Mention"/>
    <w:basedOn w:val="DefaultParagraphFont"/>
    <w:uiPriority w:val="99"/>
    <w:semiHidden/>
    <w:unhideWhenUsed/>
    <w:rsid w:val="00F51C93"/>
    <w:rPr>
      <w:color w:val="605E5C"/>
      <w:shd w:val="clear" w:color="auto" w:fill="E1DFDD"/>
    </w:rPr>
  </w:style>
  <w:style w:type="paragraph" w:customStyle="1" w:styleId="bullet">
    <w:name w:val="bullet"/>
    <w:basedOn w:val="Normal"/>
    <w:next w:val="Normal"/>
    <w:rsid w:val="00F51C93"/>
    <w:pPr>
      <w:numPr>
        <w:numId w:val="2"/>
      </w:numPr>
      <w:tabs>
        <w:tab w:val="left" w:pos="0"/>
        <w:tab w:val="left" w:pos="1080"/>
      </w:tabs>
      <w:spacing w:after="158"/>
      <w:jc w:val="both"/>
    </w:pPr>
    <w:rPr>
      <w:rFonts w:ascii="Arial" w:eastAsia="Times New Roman" w:hAnsi="Arial" w:cs="Times New Roman"/>
      <w:kern w:val="0"/>
      <w:szCs w:val="20"/>
      <w14:ligatures w14:val="none"/>
    </w:rPr>
  </w:style>
  <w:style w:type="paragraph" w:customStyle="1" w:styleId="centeredb">
    <w:name w:val="centered:b"/>
    <w:basedOn w:val="Normal"/>
    <w:next w:val="Normal"/>
    <w:rsid w:val="00F51C93"/>
    <w:pPr>
      <w:spacing w:after="331"/>
      <w:jc w:val="center"/>
    </w:pPr>
    <w:rPr>
      <w:rFonts w:ascii="Arial" w:eastAsia="Times New Roman" w:hAnsi="Arial" w:cs="Times New Roman"/>
      <w:b/>
      <w:kern w:val="0"/>
      <w:szCs w:val="20"/>
      <w14:ligatures w14:val="none"/>
    </w:rPr>
  </w:style>
  <w:style w:type="paragraph" w:customStyle="1" w:styleId="subbullet">
    <w:name w:val="subbullet"/>
    <w:basedOn w:val="Normal"/>
    <w:next w:val="Normal"/>
    <w:rsid w:val="00F51C93"/>
    <w:pPr>
      <w:numPr>
        <w:numId w:val="3"/>
      </w:numPr>
      <w:tabs>
        <w:tab w:val="left" w:pos="0"/>
        <w:tab w:val="left" w:pos="1440"/>
      </w:tabs>
      <w:spacing w:after="158"/>
      <w:jc w:val="both"/>
    </w:pPr>
    <w:rPr>
      <w:rFonts w:ascii="Arial" w:eastAsia="Times New Roman" w:hAnsi="Arial" w:cs="Times New Roman"/>
      <w:kern w:val="0"/>
      <w:szCs w:val="20"/>
      <w14:ligatures w14:val="none"/>
    </w:rPr>
  </w:style>
  <w:style w:type="character" w:customStyle="1" w:styleId="cit-article-title">
    <w:name w:val="cit-article-title"/>
    <w:basedOn w:val="DefaultParagraphFont"/>
    <w:rsid w:val="00F51C93"/>
  </w:style>
  <w:style w:type="paragraph" w:customStyle="1" w:styleId="paragraph">
    <w:name w:val="paragraph"/>
    <w:basedOn w:val="Normal"/>
    <w:rsid w:val="00F51C93"/>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51C93"/>
  </w:style>
  <w:style w:type="character" w:customStyle="1" w:styleId="eop">
    <w:name w:val="eop"/>
    <w:basedOn w:val="DefaultParagraphFont"/>
    <w:rsid w:val="00F51C93"/>
  </w:style>
  <w:style w:type="paragraph" w:styleId="TOC1">
    <w:name w:val="toc 1"/>
    <w:basedOn w:val="Normal"/>
    <w:next w:val="Normal"/>
    <w:autoRedefine/>
    <w:uiPriority w:val="39"/>
    <w:rsid w:val="00F51C93"/>
    <w:pPr>
      <w:spacing w:before="120" w:after="120"/>
    </w:pPr>
    <w:rPr>
      <w:rFonts w:ascii="Times New Roman" w:eastAsia="Times New Roman" w:hAnsi="Times New Roman" w:cs="Times New Roman"/>
      <w:b/>
      <w:bCs/>
      <w:caps/>
      <w:kern w:val="0"/>
      <w:sz w:val="20"/>
      <w:szCs w:val="20"/>
      <w14:ligatures w14:val="none"/>
    </w:rPr>
  </w:style>
  <w:style w:type="paragraph" w:customStyle="1" w:styleId="Style1">
    <w:name w:val="Style1"/>
    <w:basedOn w:val="Normal"/>
    <w:link w:val="Style1Char"/>
    <w:rsid w:val="00F51C93"/>
    <w:pPr>
      <w:numPr>
        <w:numId w:val="7"/>
      </w:numPr>
      <w:tabs>
        <w:tab w:val="clear" w:pos="180"/>
        <w:tab w:val="left" w:pos="187"/>
      </w:tabs>
      <w:spacing w:after="40"/>
    </w:pPr>
    <w:rPr>
      <w:rFonts w:ascii="Times New Roman" w:eastAsia="Times New Roman" w:hAnsi="Times New Roman" w:cs="Times New Roman"/>
      <w:kern w:val="0"/>
      <w:sz w:val="20"/>
      <w:szCs w:val="20"/>
      <w14:ligatures w14:val="none"/>
    </w:rPr>
  </w:style>
  <w:style w:type="character" w:customStyle="1" w:styleId="Style1Char">
    <w:name w:val="Style1 Char"/>
    <w:link w:val="Style1"/>
    <w:rsid w:val="00F51C93"/>
    <w:rPr>
      <w:rFonts w:ascii="Times New Roman" w:eastAsia="Times New Roman" w:hAnsi="Times New Roman" w:cs="Times New Roman"/>
      <w:kern w:val="0"/>
      <w:sz w:val="20"/>
      <w:szCs w:val="20"/>
      <w14:ligatures w14:val="none"/>
    </w:rPr>
  </w:style>
  <w:style w:type="paragraph" w:customStyle="1" w:styleId="cellleft9">
    <w:name w:val="cell:left9"/>
    <w:basedOn w:val="Normal"/>
    <w:next w:val="Normal"/>
    <w:rsid w:val="00F51C93"/>
    <w:pPr>
      <w:spacing w:before="30" w:after="30"/>
    </w:pPr>
    <w:rPr>
      <w:rFonts w:ascii="Arial" w:eastAsia="Times New Roman" w:hAnsi="Arial" w:cs="Times New Roman"/>
      <w:kern w:val="0"/>
      <w:sz w:val="18"/>
      <w:szCs w:val="20"/>
      <w14:ligatures w14:val="none"/>
    </w:rPr>
  </w:style>
  <w:style w:type="paragraph" w:customStyle="1" w:styleId="heading2text">
    <w:name w:val="heading 2 text"/>
    <w:rsid w:val="00F51C93"/>
    <w:pPr>
      <w:spacing w:after="240"/>
      <w:ind w:left="360"/>
      <w:jc w:val="both"/>
    </w:pPr>
    <w:rPr>
      <w:rFonts w:ascii="Times New Roman" w:eastAsia="Times New Roman" w:hAnsi="Times New Roman" w:cs="Times New Roman"/>
      <w:kern w:val="0"/>
      <w:szCs w:val="20"/>
      <w14:ligatures w14:val="none"/>
    </w:rPr>
  </w:style>
  <w:style w:type="paragraph" w:styleId="TOC2">
    <w:name w:val="toc 2"/>
    <w:basedOn w:val="Normal"/>
    <w:next w:val="Normal"/>
    <w:autoRedefine/>
    <w:uiPriority w:val="39"/>
    <w:unhideWhenUsed/>
    <w:rsid w:val="00F51C93"/>
    <w:pPr>
      <w:spacing w:after="100" w:line="259" w:lineRule="auto"/>
      <w:ind w:left="220"/>
    </w:pPr>
    <w:rPr>
      <w:rFonts w:eastAsia="PMingLiU"/>
      <w:kern w:val="0"/>
      <w:sz w:val="22"/>
      <w:szCs w:val="22"/>
      <w14:ligatures w14:val="none"/>
    </w:rPr>
  </w:style>
  <w:style w:type="paragraph" w:customStyle="1" w:styleId="AllText">
    <w:name w:val="AllText"/>
    <w:basedOn w:val="Normal"/>
    <w:link w:val="AllTextChar"/>
    <w:rsid w:val="00F51C93"/>
    <w:pPr>
      <w:spacing w:after="240"/>
      <w:jc w:val="both"/>
    </w:pPr>
    <w:rPr>
      <w:rFonts w:ascii="Times New Roman" w:eastAsia="Times New Roman" w:hAnsi="Times New Roman" w:cs="Times New Roman"/>
      <w:kern w:val="0"/>
      <w:szCs w:val="20"/>
      <w14:ligatures w14:val="none"/>
    </w:rPr>
  </w:style>
  <w:style w:type="character" w:customStyle="1" w:styleId="AllTextChar">
    <w:name w:val="AllText Char"/>
    <w:link w:val="AllText"/>
    <w:locked/>
    <w:rsid w:val="00F51C93"/>
    <w:rPr>
      <w:rFonts w:ascii="Times New Roman" w:eastAsia="Times New Roman" w:hAnsi="Times New Roman" w:cs="Times New Roman"/>
      <w:kern w:val="0"/>
      <w:szCs w:val="20"/>
      <w14:ligatures w14:val="none"/>
    </w:rPr>
  </w:style>
  <w:style w:type="paragraph" w:styleId="TOC3">
    <w:name w:val="toc 3"/>
    <w:basedOn w:val="Normal"/>
    <w:next w:val="Normal"/>
    <w:autoRedefine/>
    <w:uiPriority w:val="39"/>
    <w:unhideWhenUsed/>
    <w:rsid w:val="00F51C93"/>
    <w:pPr>
      <w:spacing w:after="100" w:line="259" w:lineRule="auto"/>
      <w:ind w:left="440"/>
    </w:pPr>
    <w:rPr>
      <w:rFonts w:eastAsia="PMingLiU"/>
      <w:kern w:val="0"/>
      <w:sz w:val="22"/>
      <w:szCs w:val="22"/>
      <w14:ligatures w14:val="none"/>
    </w:rPr>
  </w:style>
  <w:style w:type="paragraph" w:styleId="EndnoteText">
    <w:name w:val="endnote text"/>
    <w:basedOn w:val="Normal"/>
    <w:link w:val="EndnoteTextChar"/>
    <w:uiPriority w:val="99"/>
    <w:unhideWhenUsed/>
    <w:rsid w:val="00F51C93"/>
    <w:rPr>
      <w:rFonts w:eastAsia="PMingLiU"/>
      <w:kern w:val="0"/>
      <w:sz w:val="20"/>
      <w:szCs w:val="20"/>
      <w14:ligatures w14:val="none"/>
    </w:rPr>
  </w:style>
  <w:style w:type="character" w:customStyle="1" w:styleId="EndnoteTextChar">
    <w:name w:val="Endnote Text Char"/>
    <w:basedOn w:val="DefaultParagraphFont"/>
    <w:link w:val="EndnoteText"/>
    <w:uiPriority w:val="99"/>
    <w:rsid w:val="00F51C93"/>
    <w:rPr>
      <w:rFonts w:eastAsia="PMingLiU"/>
      <w:kern w:val="0"/>
      <w:sz w:val="20"/>
      <w:szCs w:val="20"/>
      <w14:ligatures w14:val="none"/>
    </w:rPr>
  </w:style>
  <w:style w:type="character" w:styleId="EndnoteReference">
    <w:name w:val="endnote reference"/>
    <w:basedOn w:val="DefaultParagraphFont"/>
    <w:uiPriority w:val="99"/>
    <w:unhideWhenUsed/>
    <w:rsid w:val="00F51C93"/>
    <w:rPr>
      <w:vertAlign w:val="superscript"/>
    </w:rPr>
  </w:style>
  <w:style w:type="paragraph" w:styleId="NormalWeb">
    <w:name w:val="Normal (Web)"/>
    <w:basedOn w:val="Normal"/>
    <w:uiPriority w:val="99"/>
    <w:unhideWhenUsed/>
    <w:rsid w:val="00F51C93"/>
    <w:pPr>
      <w:spacing w:before="100" w:beforeAutospacing="1" w:after="100" w:afterAutospacing="1"/>
    </w:pPr>
    <w:rPr>
      <w:rFonts w:ascii="Times New Roman" w:eastAsia="Times New Roman" w:hAnsi="Times New Roman" w:cs="Times New Roman"/>
      <w:kern w:val="0"/>
      <w:lang w:eastAsia="zh-TW"/>
      <w14:ligatures w14:val="none"/>
    </w:rPr>
  </w:style>
  <w:style w:type="character" w:styleId="FollowedHyperlink">
    <w:name w:val="FollowedHyperlink"/>
    <w:basedOn w:val="DefaultParagraphFont"/>
    <w:uiPriority w:val="99"/>
    <w:semiHidden/>
    <w:unhideWhenUsed/>
    <w:rsid w:val="00F51C93"/>
    <w:rPr>
      <w:color w:val="954F72" w:themeColor="followedHyperlink"/>
      <w:u w:val="single"/>
    </w:rPr>
  </w:style>
  <w:style w:type="character" w:customStyle="1" w:styleId="citationeditorial-comment">
    <w:name w:val="citation__editorial-comment"/>
    <w:basedOn w:val="DefaultParagraphFont"/>
    <w:rsid w:val="00F51C93"/>
  </w:style>
  <w:style w:type="character" w:styleId="PlaceholderText">
    <w:name w:val="Placeholder Text"/>
    <w:basedOn w:val="DefaultParagraphFont"/>
    <w:uiPriority w:val="99"/>
    <w:semiHidden/>
    <w:rsid w:val="00F51C93"/>
    <w:rPr>
      <w:color w:val="808080"/>
    </w:rPr>
  </w:style>
  <w:style w:type="character" w:styleId="Emphasis">
    <w:name w:val="Emphasis"/>
    <w:basedOn w:val="DefaultParagraphFont"/>
    <w:uiPriority w:val="20"/>
    <w:qFormat/>
    <w:rsid w:val="00F51C93"/>
    <w:rPr>
      <w:i/>
      <w:iCs/>
    </w:rPr>
  </w:style>
  <w:style w:type="paragraph" w:customStyle="1" w:styleId="xxmsolistparagraph">
    <w:name w:val="xxmsolistparagraph"/>
    <w:basedOn w:val="Normal"/>
    <w:rsid w:val="00401976"/>
    <w:pPr>
      <w:spacing w:before="100" w:beforeAutospacing="1" w:after="100" w:afterAutospacing="1"/>
    </w:pPr>
    <w:rPr>
      <w:rFonts w:ascii="Times New Roman" w:eastAsia="Times New Roman" w:hAnsi="Times New Roman" w:cs="Times New Roman"/>
      <w:kern w:val="0"/>
      <w14:ligatures w14:val="none"/>
    </w:rPr>
  </w:style>
  <w:style w:type="paragraph" w:customStyle="1" w:styleId="Vrantwortl">
    <w:name w:val="Vrantwortl."/>
    <w:basedOn w:val="Normal"/>
    <w:rsid w:val="007A2B99"/>
    <w:pPr>
      <w:tabs>
        <w:tab w:val="left" w:pos="-720"/>
        <w:tab w:val="left" w:pos="4320"/>
      </w:tabs>
      <w:ind w:right="-20"/>
      <w:jc w:val="both"/>
    </w:pPr>
    <w:rPr>
      <w:rFonts w:ascii="Times New Roman" w:eastAsia="Times New Roman" w:hAnsi="Times New Roman" w:cs="Times New Roman"/>
      <w:color w:val="000000"/>
      <w:kern w:val="0"/>
      <w:szCs w:val="20"/>
      <w:lang w:eastAsia="de-DE"/>
      <w14:ligatures w14:val="none"/>
    </w:rPr>
  </w:style>
  <w:style w:type="paragraph" w:customStyle="1" w:styleId="Paragraph0">
    <w:name w:val="Paragraph"/>
    <w:link w:val="ParagraphChar"/>
    <w:rsid w:val="00E8197C"/>
    <w:pPr>
      <w:spacing w:before="60" w:after="240"/>
    </w:pPr>
    <w:rPr>
      <w:rFonts w:ascii="Times New Roman" w:eastAsia="MS Gothic" w:hAnsi="Times New Roman" w:cs="Times New Roman"/>
      <w:kern w:val="0"/>
      <w14:ligatures w14:val="none"/>
    </w:rPr>
  </w:style>
  <w:style w:type="character" w:customStyle="1" w:styleId="ParagraphChar">
    <w:name w:val="Paragraph Char"/>
    <w:link w:val="Paragraph0"/>
    <w:rsid w:val="00E8197C"/>
    <w:rPr>
      <w:rFonts w:ascii="Times New Roman" w:eastAsia="MS Gothic" w:hAnsi="Times New Roman" w:cs="Times New Roman"/>
      <w:kern w:val="0"/>
      <w14:ligatures w14:val="none"/>
    </w:rPr>
  </w:style>
  <w:style w:type="character" w:styleId="LineNumber">
    <w:name w:val="line number"/>
    <w:basedOn w:val="DefaultParagraphFont"/>
    <w:uiPriority w:val="99"/>
    <w:semiHidden/>
    <w:unhideWhenUsed/>
    <w:rsid w:val="00444380"/>
  </w:style>
  <w:style w:type="character" w:customStyle="1" w:styleId="ui-provider">
    <w:name w:val="ui-provider"/>
    <w:basedOn w:val="DefaultParagraphFont"/>
    <w:rsid w:val="001621FA"/>
  </w:style>
  <w:style w:type="character" w:customStyle="1" w:styleId="al-author-delim">
    <w:name w:val="al-author-delim"/>
    <w:basedOn w:val="DefaultParagraphFont"/>
    <w:rsid w:val="00DE6812"/>
  </w:style>
  <w:style w:type="character" w:customStyle="1" w:styleId="apple-converted-space">
    <w:name w:val="apple-converted-space"/>
    <w:basedOn w:val="DefaultParagraphFont"/>
    <w:rsid w:val="00BE77F6"/>
  </w:style>
  <w:style w:type="character" w:customStyle="1" w:styleId="Mention">
    <w:name w:val="Mention"/>
    <w:basedOn w:val="DefaultParagraphFont"/>
    <w:uiPriority w:val="99"/>
    <w:unhideWhenUsed/>
    <w:rsid w:val="00A322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60898">
      <w:bodyDiv w:val="1"/>
      <w:marLeft w:val="0"/>
      <w:marRight w:val="0"/>
      <w:marTop w:val="0"/>
      <w:marBottom w:val="0"/>
      <w:divBdr>
        <w:top w:val="none" w:sz="0" w:space="0" w:color="auto"/>
        <w:left w:val="none" w:sz="0" w:space="0" w:color="auto"/>
        <w:bottom w:val="none" w:sz="0" w:space="0" w:color="auto"/>
        <w:right w:val="none" w:sz="0" w:space="0" w:color="auto"/>
      </w:divBdr>
      <w:divsChild>
        <w:div w:id="174662239">
          <w:marLeft w:val="0"/>
          <w:marRight w:val="0"/>
          <w:marTop w:val="0"/>
          <w:marBottom w:val="0"/>
          <w:divBdr>
            <w:top w:val="none" w:sz="0" w:space="0" w:color="auto"/>
            <w:left w:val="none" w:sz="0" w:space="0" w:color="auto"/>
            <w:bottom w:val="none" w:sz="0" w:space="0" w:color="auto"/>
            <w:right w:val="none" w:sz="0" w:space="0" w:color="auto"/>
          </w:divBdr>
        </w:div>
      </w:divsChild>
    </w:div>
    <w:div w:id="572010009">
      <w:bodyDiv w:val="1"/>
      <w:marLeft w:val="0"/>
      <w:marRight w:val="0"/>
      <w:marTop w:val="0"/>
      <w:marBottom w:val="0"/>
      <w:divBdr>
        <w:top w:val="none" w:sz="0" w:space="0" w:color="auto"/>
        <w:left w:val="none" w:sz="0" w:space="0" w:color="auto"/>
        <w:bottom w:val="none" w:sz="0" w:space="0" w:color="auto"/>
        <w:right w:val="none" w:sz="0" w:space="0" w:color="auto"/>
      </w:divBdr>
    </w:div>
    <w:div w:id="804859117">
      <w:bodyDiv w:val="1"/>
      <w:marLeft w:val="0"/>
      <w:marRight w:val="0"/>
      <w:marTop w:val="0"/>
      <w:marBottom w:val="0"/>
      <w:divBdr>
        <w:top w:val="none" w:sz="0" w:space="0" w:color="auto"/>
        <w:left w:val="none" w:sz="0" w:space="0" w:color="auto"/>
        <w:bottom w:val="none" w:sz="0" w:space="0" w:color="auto"/>
        <w:right w:val="none" w:sz="0" w:space="0" w:color="auto"/>
      </w:divBdr>
      <w:divsChild>
        <w:div w:id="725950978">
          <w:blockQuote w:val="1"/>
          <w:marLeft w:val="150"/>
          <w:marRight w:val="150"/>
          <w:marTop w:val="0"/>
          <w:marBottom w:val="0"/>
          <w:divBdr>
            <w:top w:val="none" w:sz="0" w:space="0" w:color="auto"/>
            <w:left w:val="none" w:sz="0" w:space="0" w:color="auto"/>
            <w:bottom w:val="none" w:sz="0" w:space="0" w:color="auto"/>
            <w:right w:val="none" w:sz="0" w:space="0" w:color="auto"/>
          </w:divBdr>
          <w:divsChild>
            <w:div w:id="787116655">
              <w:marLeft w:val="0"/>
              <w:marRight w:val="0"/>
              <w:marTop w:val="0"/>
              <w:marBottom w:val="0"/>
              <w:divBdr>
                <w:top w:val="none" w:sz="0" w:space="0" w:color="auto"/>
                <w:left w:val="none" w:sz="0" w:space="0" w:color="auto"/>
                <w:bottom w:val="none" w:sz="0" w:space="0" w:color="auto"/>
                <w:right w:val="none" w:sz="0" w:space="0" w:color="auto"/>
              </w:divBdr>
              <w:divsChild>
                <w:div w:id="796022785">
                  <w:marLeft w:val="0"/>
                  <w:marRight w:val="0"/>
                  <w:marTop w:val="0"/>
                  <w:marBottom w:val="0"/>
                  <w:divBdr>
                    <w:top w:val="none" w:sz="0" w:space="0" w:color="auto"/>
                    <w:left w:val="none" w:sz="0" w:space="0" w:color="auto"/>
                    <w:bottom w:val="none" w:sz="0" w:space="0" w:color="auto"/>
                    <w:right w:val="none" w:sz="0" w:space="0" w:color="auto"/>
                  </w:divBdr>
                  <w:divsChild>
                    <w:div w:id="899174450">
                      <w:marLeft w:val="0"/>
                      <w:marRight w:val="0"/>
                      <w:marTop w:val="0"/>
                      <w:marBottom w:val="0"/>
                      <w:divBdr>
                        <w:top w:val="none" w:sz="0" w:space="0" w:color="auto"/>
                        <w:left w:val="none" w:sz="0" w:space="0" w:color="auto"/>
                        <w:bottom w:val="none" w:sz="0" w:space="0" w:color="auto"/>
                        <w:right w:val="none" w:sz="0" w:space="0" w:color="auto"/>
                      </w:divBdr>
                    </w:div>
                    <w:div w:id="150543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330584">
      <w:bodyDiv w:val="1"/>
      <w:marLeft w:val="0"/>
      <w:marRight w:val="0"/>
      <w:marTop w:val="0"/>
      <w:marBottom w:val="0"/>
      <w:divBdr>
        <w:top w:val="none" w:sz="0" w:space="0" w:color="auto"/>
        <w:left w:val="none" w:sz="0" w:space="0" w:color="auto"/>
        <w:bottom w:val="none" w:sz="0" w:space="0" w:color="auto"/>
        <w:right w:val="none" w:sz="0" w:space="0" w:color="auto"/>
      </w:divBdr>
    </w:div>
    <w:div w:id="1765151017">
      <w:bodyDiv w:val="1"/>
      <w:marLeft w:val="0"/>
      <w:marRight w:val="0"/>
      <w:marTop w:val="0"/>
      <w:marBottom w:val="0"/>
      <w:divBdr>
        <w:top w:val="none" w:sz="0" w:space="0" w:color="auto"/>
        <w:left w:val="none" w:sz="0" w:space="0" w:color="auto"/>
        <w:bottom w:val="none" w:sz="0" w:space="0" w:color="auto"/>
        <w:right w:val="none" w:sz="0" w:space="0" w:color="auto"/>
      </w:divBdr>
    </w:div>
    <w:div w:id="1767382708">
      <w:bodyDiv w:val="1"/>
      <w:marLeft w:val="0"/>
      <w:marRight w:val="0"/>
      <w:marTop w:val="0"/>
      <w:marBottom w:val="0"/>
      <w:divBdr>
        <w:top w:val="none" w:sz="0" w:space="0" w:color="auto"/>
        <w:left w:val="none" w:sz="0" w:space="0" w:color="auto"/>
        <w:bottom w:val="none" w:sz="0" w:space="0" w:color="auto"/>
        <w:right w:val="none" w:sz="0" w:space="0" w:color="auto"/>
      </w:divBdr>
    </w:div>
    <w:div w:id="1781222871">
      <w:bodyDiv w:val="1"/>
      <w:marLeft w:val="0"/>
      <w:marRight w:val="0"/>
      <w:marTop w:val="0"/>
      <w:marBottom w:val="0"/>
      <w:divBdr>
        <w:top w:val="none" w:sz="0" w:space="0" w:color="auto"/>
        <w:left w:val="none" w:sz="0" w:space="0" w:color="auto"/>
        <w:bottom w:val="none" w:sz="0" w:space="0" w:color="auto"/>
        <w:right w:val="none" w:sz="0" w:space="0" w:color="auto"/>
      </w:divBdr>
    </w:div>
    <w:div w:id="1804539234">
      <w:bodyDiv w:val="1"/>
      <w:marLeft w:val="0"/>
      <w:marRight w:val="0"/>
      <w:marTop w:val="0"/>
      <w:marBottom w:val="0"/>
      <w:divBdr>
        <w:top w:val="none" w:sz="0" w:space="0" w:color="auto"/>
        <w:left w:val="none" w:sz="0" w:space="0" w:color="auto"/>
        <w:bottom w:val="none" w:sz="0" w:space="0" w:color="auto"/>
        <w:right w:val="none" w:sz="0" w:space="0" w:color="auto"/>
      </w:divBdr>
    </w:div>
    <w:div w:id="1961258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D24D66FC969F45BF91B116D87F2646" ma:contentTypeVersion="14" ma:contentTypeDescription="Create a new document." ma:contentTypeScope="" ma:versionID="73f468f3565ac76aa1b94dedbcb08a62">
  <xsd:schema xmlns:xsd="http://www.w3.org/2001/XMLSchema" xmlns:xs="http://www.w3.org/2001/XMLSchema" xmlns:p="http://schemas.microsoft.com/office/2006/metadata/properties" xmlns:ns1="http://schemas.microsoft.com/sharepoint/v3" xmlns:ns2="28c197d6-1d16-4263-bc27-19e32dcea1bd" xmlns:ns3="0ee7545e-50bf-4941-aeb8-0b3ae6b0b9c4" targetNamespace="http://schemas.microsoft.com/office/2006/metadata/properties" ma:root="true" ma:fieldsID="bd667c32143ff3ed4db5cfb82b676b73" ns1:_="" ns2:_="" ns3:_="">
    <xsd:import namespace="http://schemas.microsoft.com/sharepoint/v3"/>
    <xsd:import namespace="28c197d6-1d16-4263-bc27-19e32dcea1bd"/>
    <xsd:import namespace="0ee7545e-50bf-4941-aeb8-0b3ae6b0b9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c197d6-1d16-4263-bc27-19e32dcea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f5e642b-91f5-4888-b018-43334a040d0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e7545e-50bf-4941-aeb8-0b3ae6b0b9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0ee7545e-50bf-4941-aeb8-0b3ae6b0b9c4">
      <UserInfo>
        <DisplayName>Everyone except external users</DisplayName>
        <AccountId>8</AccountId>
        <AccountType/>
      </UserInfo>
      <UserInfo>
        <DisplayName>MK-0616 VEST Team Owners</DisplayName>
        <AccountId>6</AccountId>
        <AccountType/>
      </UserInfo>
      <UserInfo>
        <DisplayName>Victores, Alejandro</DisplayName>
        <AccountId>19</AccountId>
        <AccountType/>
      </UserInfo>
      <UserInfo>
        <DisplayName>Exter, Jason</DisplayName>
        <AccountId>21</AccountId>
        <AccountType/>
      </UserInfo>
      <UserInfo>
        <DisplayName>Bash, Lori D</DisplayName>
        <AccountId>18</AccountId>
        <AccountType/>
      </UserInfo>
    </SharedWithUsers>
    <lcf76f155ced4ddcb4097134ff3c332f xmlns="28c197d6-1d16-4263-bc27-19e32dcea1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D27EE-CF13-43BE-8CFF-AEEE6B221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c197d6-1d16-4263-bc27-19e32dcea1bd"/>
    <ds:schemaRef ds:uri="0ee7545e-50bf-4941-aeb8-0b3ae6b0b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65910-E852-4C4B-8290-EAB6B3D7770B}">
  <ds:schemaRefs>
    <ds:schemaRef ds:uri="http://schemas.microsoft.com/office/2006/metadata/properties"/>
    <ds:schemaRef ds:uri="http://schemas.microsoft.com/office/infopath/2007/PartnerControls"/>
    <ds:schemaRef ds:uri="http://schemas.microsoft.com/sharepoint/v3"/>
    <ds:schemaRef ds:uri="0ee7545e-50bf-4941-aeb8-0b3ae6b0b9c4"/>
    <ds:schemaRef ds:uri="28c197d6-1d16-4263-bc27-19e32dcea1bd"/>
  </ds:schemaRefs>
</ds:datastoreItem>
</file>

<file path=customXml/itemProps3.xml><?xml version="1.0" encoding="utf-8"?>
<ds:datastoreItem xmlns:ds="http://schemas.openxmlformats.org/officeDocument/2006/customXml" ds:itemID="{64C50637-3602-4B9A-A64A-DBBF5E49804E}">
  <ds:schemaRefs>
    <ds:schemaRef ds:uri="http://schemas.microsoft.com/sharepoint/v3/contenttype/forms"/>
  </ds:schemaRefs>
</ds:datastoreItem>
</file>

<file path=customXml/itemProps4.xml><?xml version="1.0" encoding="utf-8"?>
<ds:datastoreItem xmlns:ds="http://schemas.openxmlformats.org/officeDocument/2006/customXml" ds:itemID="{E781908A-ECF4-401C-A03C-9EA809F3F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3267</Words>
  <Characters>18622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Curran</dc:creator>
  <cp:keywords/>
  <dc:description/>
  <cp:lastModifiedBy>Bejoco , Edilyn </cp:lastModifiedBy>
  <cp:revision>2</cp:revision>
  <cp:lastPrinted>2025-01-18T13:50:00Z</cp:lastPrinted>
  <dcterms:created xsi:type="dcterms:W3CDTF">2025-05-17T05:20:00Z</dcterms:created>
  <dcterms:modified xsi:type="dcterms:W3CDTF">2025-05-17T05:20:00Z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0x01010009D24D66FC969F45BF91B116D87F2646</vt:lpwstr>
  </property>
  <property fmtid="{D5CDD505-2E9C-101B-9397-08002B2CF9AE}" pid="3" name="ClassificationContentMarkingHeaderShapeIds">
    <vt:lpwstr>1,3,5,6,9,d</vt:lpwstr>
  </property>
  <property fmtid="{D5CDD505-2E9C-101B-9397-08002B2CF9AE}" pid="4" name="ClassificationContentMarkingHeaderFontProps">
    <vt:lpwstr>#8e6a00,12,Calibri</vt:lpwstr>
  </property>
  <property fmtid="{D5CDD505-2E9C-101B-9397-08002B2CF9AE}" pid="5" name="ClassificationContentMarkingHeaderText">
    <vt:lpwstr>Confidential</vt:lpwstr>
  </property>
  <property fmtid="{D5CDD505-2E9C-101B-9397-08002B2CF9AE}" pid="6" name="MSIP_Label_2c56a699-e9bd-437a-8412-901342082749_Enabled">
    <vt:lpwstr>true</vt:lpwstr>
  </property>
  <property fmtid="{D5CDD505-2E9C-101B-9397-08002B2CF9AE}" pid="7" name="MSIP_Label_2c56a699-e9bd-437a-8412-901342082749_SetDate">
    <vt:lpwstr>2023-11-29T20:19:38Z</vt:lpwstr>
  </property>
  <property fmtid="{D5CDD505-2E9C-101B-9397-08002B2CF9AE}" pid="8" name="MSIP_Label_2c56a699-e9bd-437a-8412-901342082749_Method">
    <vt:lpwstr>Privileged</vt:lpwstr>
  </property>
  <property fmtid="{D5CDD505-2E9C-101B-9397-08002B2CF9AE}" pid="9" name="MSIP_Label_2c56a699-e9bd-437a-8412-901342082749_Name">
    <vt:lpwstr>2c56a699-e9bd-437a-8412-901342082749</vt:lpwstr>
  </property>
  <property fmtid="{D5CDD505-2E9C-101B-9397-08002B2CF9AE}" pid="10" name="MSIP_Label_2c56a699-e9bd-437a-8412-901342082749_SiteId">
    <vt:lpwstr>a00de4ec-48a8-43a6-be74-e31274e2060d</vt:lpwstr>
  </property>
  <property fmtid="{D5CDD505-2E9C-101B-9397-08002B2CF9AE}" pid="11" name="MSIP_Label_2c56a699-e9bd-437a-8412-901342082749_ActionId">
    <vt:lpwstr>3d2cfa36-c863-49b2-b72d-dcc4dd106875</vt:lpwstr>
  </property>
  <property fmtid="{D5CDD505-2E9C-101B-9397-08002B2CF9AE}" pid="12" name="MSIP_Label_2c56a699-e9bd-437a-8412-901342082749_ContentBits">
    <vt:lpwstr>1</vt:lpwstr>
  </property>
  <property fmtid="{D5CDD505-2E9C-101B-9397-08002B2CF9AE}" pid="13" name="_NewReviewCycle">
    <vt:lpwstr/>
  </property>
  <property fmtid="{D5CDD505-2E9C-101B-9397-08002B2CF9AE}" pid="14" name="GrammarlyDocumentId">
    <vt:lpwstr>888ec46ac323bbe2de8da881d1fccb9a358e312700795afc9cffa894a05696b5</vt:lpwstr>
  </property>
  <property fmtid="{D5CDD505-2E9C-101B-9397-08002B2CF9AE}" pid="15" name="_AdHocReviewCycleID">
    <vt:i4>1324341565</vt:i4>
  </property>
  <property fmtid="{D5CDD505-2E9C-101B-9397-08002B2CF9AE}" pid="16" name="_EmailSubject">
    <vt:lpwstr>JGIM-D-24-02392R1  - Conditionally accepted</vt:lpwstr>
  </property>
  <property fmtid="{D5CDD505-2E9C-101B-9397-08002B2CF9AE}" pid="17" name="_AuthorEmail">
    <vt:lpwstr>alejandro.victores@merck.com</vt:lpwstr>
  </property>
  <property fmtid="{D5CDD505-2E9C-101B-9397-08002B2CF9AE}" pid="18" name="_AuthorEmailDisplayName">
    <vt:lpwstr>Victores, Alejandro</vt:lpwstr>
  </property>
  <property fmtid="{D5CDD505-2E9C-101B-9397-08002B2CF9AE}" pid="19" name="_PreviousAdHocReviewCycleID">
    <vt:i4>-813584305</vt:i4>
  </property>
  <property fmtid="{D5CDD505-2E9C-101B-9397-08002B2CF9AE}" pid="20" name="MediaServiceImageTags">
    <vt:lpwstr/>
  </property>
  <property fmtid="{D5CDD505-2E9C-101B-9397-08002B2CF9AE}" pid="21" name="_ReviewingToolsShownOnce">
    <vt:lpwstr/>
  </property>
</Properties>
</file>