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5155" w14:textId="110BA33C" w:rsidR="00D20E13" w:rsidRPr="006B570F" w:rsidRDefault="006B570F">
      <w:pPr>
        <w:rPr>
          <w:b/>
          <w:bCs/>
        </w:rPr>
      </w:pPr>
      <w:r w:rsidRPr="006B570F">
        <w:rPr>
          <w:b/>
          <w:bCs/>
        </w:rPr>
        <w:t>Supplement</w:t>
      </w:r>
      <w:r w:rsidR="00D83258">
        <w:rPr>
          <w:b/>
          <w:bCs/>
        </w:rPr>
        <w:t xml:space="preserve">. </w:t>
      </w:r>
      <w:r>
        <w:rPr>
          <w:b/>
          <w:bCs/>
        </w:rPr>
        <w:t xml:space="preserve"> </w:t>
      </w:r>
      <w:r w:rsidR="00D83258">
        <w:rPr>
          <w:b/>
          <w:bCs/>
        </w:rPr>
        <w:t>Statistical Regression Approach and Database</w:t>
      </w:r>
    </w:p>
    <w:p w14:paraId="4A3B87C8" w14:textId="77777777" w:rsidR="006B570F" w:rsidRDefault="006B570F"/>
    <w:p w14:paraId="09FA173D" w14:textId="77777777" w:rsidR="006B570F" w:rsidRDefault="006B570F"/>
    <w:p w14:paraId="5E69C4B2" w14:textId="3B9BBC17" w:rsidR="006B570F" w:rsidRDefault="006B570F" w:rsidP="00BB523F">
      <w:pPr>
        <w:spacing w:line="480" w:lineRule="auto"/>
        <w:contextualSpacing/>
        <w:rPr>
          <w:rFonts w:ascii="Aptos" w:hAnsi="Aptos" w:cs="Arial"/>
          <w:i/>
          <w:iCs/>
          <w:color w:val="000000" w:themeColor="text1"/>
        </w:rPr>
      </w:pPr>
      <w:r w:rsidRPr="006B570F">
        <w:rPr>
          <w:rFonts w:ascii="Aptos" w:hAnsi="Aptos" w:cs="Arial"/>
          <w:i/>
          <w:iCs/>
          <w:color w:val="000000" w:themeColor="text1"/>
        </w:rPr>
        <w:t>Multiple Regression</w:t>
      </w:r>
      <w:r>
        <w:rPr>
          <w:rFonts w:ascii="Aptos" w:hAnsi="Aptos" w:cs="Arial"/>
          <w:i/>
          <w:iCs/>
          <w:color w:val="000000" w:themeColor="text1"/>
        </w:rPr>
        <w:t xml:space="preserve"> for </w:t>
      </w:r>
      <w:r w:rsidR="00414124">
        <w:rPr>
          <w:rFonts w:ascii="Aptos" w:hAnsi="Aptos" w:cs="Arial"/>
          <w:i/>
          <w:iCs/>
          <w:color w:val="000000" w:themeColor="text1"/>
        </w:rPr>
        <w:t>Spending</w:t>
      </w:r>
      <w:r>
        <w:rPr>
          <w:rFonts w:ascii="Aptos" w:hAnsi="Aptos" w:cs="Arial"/>
          <w:i/>
          <w:iCs/>
          <w:color w:val="000000" w:themeColor="text1"/>
        </w:rPr>
        <w:t xml:space="preserve"> per Patient Estimation</w:t>
      </w:r>
    </w:p>
    <w:p w14:paraId="41F7EFB4" w14:textId="77777777" w:rsidR="006B570F" w:rsidRPr="006B570F" w:rsidRDefault="006B570F" w:rsidP="00BB523F">
      <w:pPr>
        <w:spacing w:line="480" w:lineRule="auto"/>
        <w:contextualSpacing/>
        <w:rPr>
          <w:rFonts w:ascii="Aptos" w:hAnsi="Aptos" w:cs="Arial"/>
          <w:i/>
          <w:iCs/>
          <w:color w:val="000000" w:themeColor="text1"/>
        </w:rPr>
      </w:pPr>
    </w:p>
    <w:p w14:paraId="0102FCEE" w14:textId="0921814B" w:rsidR="006B570F" w:rsidRDefault="006B570F" w:rsidP="00BB523F">
      <w:pPr>
        <w:spacing w:line="480" w:lineRule="auto"/>
        <w:contextualSpacing/>
        <w:rPr>
          <w:rFonts w:ascii="Aptos" w:hAnsi="Aptos" w:cs="Arial"/>
          <w:color w:val="000000" w:themeColor="text1"/>
        </w:rPr>
      </w:pPr>
      <w:r>
        <w:rPr>
          <w:rFonts w:ascii="Aptos" w:hAnsi="Aptos" w:cs="Arial"/>
          <w:color w:val="000000" w:themeColor="text1"/>
        </w:rPr>
        <w:t>M</w:t>
      </w:r>
      <w:r w:rsidRPr="00F56EB1">
        <w:rPr>
          <w:rFonts w:ascii="Aptos" w:hAnsi="Aptos" w:cs="Arial"/>
          <w:color w:val="000000" w:themeColor="text1"/>
        </w:rPr>
        <w:t xml:space="preserve">onthly </w:t>
      </w:r>
      <w:r w:rsidR="002D1C06">
        <w:rPr>
          <w:rFonts w:ascii="Aptos" w:hAnsi="Aptos" w:cs="Arial"/>
          <w:color w:val="000000" w:themeColor="text1"/>
        </w:rPr>
        <w:t>spend</w:t>
      </w:r>
      <w:r w:rsidRPr="00F56EB1">
        <w:rPr>
          <w:rFonts w:ascii="Aptos" w:hAnsi="Aptos" w:cs="Arial"/>
          <w:color w:val="000000" w:themeColor="text1"/>
        </w:rPr>
        <w:t xml:space="preserve"> per patient</w:t>
      </w:r>
      <w:r>
        <w:rPr>
          <w:rFonts w:ascii="Aptos" w:hAnsi="Aptos" w:cs="Arial"/>
          <w:color w:val="000000" w:themeColor="text1"/>
        </w:rPr>
        <w:t xml:space="preserve"> was modeled by multiple linear regression </w:t>
      </w:r>
      <w:r w:rsidRPr="00F56EB1">
        <w:rPr>
          <w:rFonts w:ascii="Aptos" w:hAnsi="Aptos" w:cs="Arial"/>
          <w:color w:val="000000" w:themeColor="text1"/>
        </w:rPr>
        <w:t xml:space="preserve">with independent variables for months since January 1, 2012, age category, and two indicator variables: one independent variable each to signify the release of </w:t>
      </w:r>
      <w:proofErr w:type="spellStart"/>
      <w:r w:rsidRPr="00F56EB1">
        <w:rPr>
          <w:rFonts w:ascii="Aptos" w:hAnsi="Aptos" w:cs="Arial"/>
          <w:color w:val="000000" w:themeColor="text1"/>
        </w:rPr>
        <w:t>Basaglar</w:t>
      </w:r>
      <w:proofErr w:type="spellEnd"/>
      <w:r w:rsidRPr="00F56EB1">
        <w:rPr>
          <w:rFonts w:ascii="Aptos" w:hAnsi="Aptos" w:cs="Arial"/>
          <w:color w:val="000000" w:themeColor="text1"/>
        </w:rPr>
        <w:t xml:space="preserve">® and </w:t>
      </w:r>
      <w:proofErr w:type="spellStart"/>
      <w:r w:rsidRPr="00F56EB1">
        <w:rPr>
          <w:rFonts w:ascii="Aptos" w:hAnsi="Aptos" w:cs="Arial"/>
          <w:color w:val="000000" w:themeColor="text1"/>
        </w:rPr>
        <w:t>Semglee</w:t>
      </w:r>
      <w:proofErr w:type="spellEnd"/>
      <w:r w:rsidRPr="00F56EB1">
        <w:rPr>
          <w:rFonts w:ascii="Aptos" w:hAnsi="Aptos" w:cs="Arial"/>
          <w:color w:val="000000" w:themeColor="text1"/>
        </w:rPr>
        <w:t xml:space="preserve">® separately. Interaction terms were fit between time and release indicators to quantify change in </w:t>
      </w:r>
      <w:r w:rsidR="002D1C06">
        <w:rPr>
          <w:rFonts w:ascii="Aptos" w:hAnsi="Aptos" w:cs="Arial"/>
          <w:color w:val="000000" w:themeColor="text1"/>
        </w:rPr>
        <w:t>spending</w:t>
      </w:r>
      <w:r w:rsidRPr="00F56EB1">
        <w:rPr>
          <w:rFonts w:ascii="Aptos" w:hAnsi="Aptos" w:cs="Arial"/>
          <w:color w:val="000000" w:themeColor="text1"/>
        </w:rPr>
        <w:t xml:space="preserve"> per month before and after release of the alternative </w:t>
      </w:r>
      <w:proofErr w:type="spellStart"/>
      <w:r w:rsidRPr="00F56EB1">
        <w:rPr>
          <w:rFonts w:ascii="Aptos" w:hAnsi="Aptos" w:cs="Arial"/>
          <w:color w:val="000000" w:themeColor="text1"/>
        </w:rPr>
        <w:t>glargines</w:t>
      </w:r>
      <w:proofErr w:type="spellEnd"/>
      <w:r w:rsidRPr="00F56EB1">
        <w:rPr>
          <w:rFonts w:ascii="Aptos" w:hAnsi="Aptos" w:cs="Arial"/>
          <w:color w:val="000000" w:themeColor="text1"/>
        </w:rPr>
        <w:t xml:space="preserve"> that referenced Lantus®. For cost savings sensitivity analyses, Lantus® </w:t>
      </w:r>
      <w:r w:rsidR="002302A2">
        <w:rPr>
          <w:rFonts w:ascii="Aptos" w:hAnsi="Aptos" w:cs="Arial"/>
          <w:color w:val="000000" w:themeColor="text1"/>
        </w:rPr>
        <w:t>costs</w:t>
      </w:r>
      <w:r w:rsidR="002C6C57">
        <w:rPr>
          <w:rFonts w:ascii="Aptos" w:hAnsi="Aptos" w:cs="Arial"/>
          <w:color w:val="000000" w:themeColor="text1"/>
        </w:rPr>
        <w:t>F</w:t>
      </w:r>
      <w:r w:rsidRPr="00F56EB1">
        <w:rPr>
          <w:rFonts w:ascii="Aptos" w:hAnsi="Aptos" w:cs="Arial"/>
          <w:color w:val="000000" w:themeColor="text1"/>
        </w:rPr>
        <w:t xml:space="preserve"> were forecasted after </w:t>
      </w:r>
      <w:proofErr w:type="spellStart"/>
      <w:r w:rsidRPr="00F56EB1">
        <w:rPr>
          <w:rFonts w:ascii="Aptos" w:hAnsi="Aptos" w:cs="Arial"/>
          <w:color w:val="000000" w:themeColor="text1"/>
        </w:rPr>
        <w:t>Basaglar</w:t>
      </w:r>
      <w:proofErr w:type="spellEnd"/>
      <w:r w:rsidRPr="00F56EB1">
        <w:rPr>
          <w:rFonts w:ascii="Aptos" w:hAnsi="Aptos" w:cs="Arial"/>
          <w:color w:val="000000" w:themeColor="text1"/>
        </w:rPr>
        <w:t xml:space="preserve">® availability using an autoregressive integrated moving average (ARIMA) model </w:t>
      </w:r>
      <w:r w:rsidRPr="00F56EB1">
        <w:rPr>
          <w:rFonts w:ascii="Aptos" w:hAnsi="Aptos" w:cs="Arial"/>
          <w:color w:val="000000" w:themeColor="text1"/>
        </w:rPr>
        <w:fldChar w:fldCharType="begin"/>
      </w:r>
      <w:r w:rsidRPr="00F56EB1">
        <w:rPr>
          <w:rFonts w:ascii="Aptos" w:hAnsi="Aptos" w:cs="Arial"/>
          <w:color w:val="000000" w:themeColor="text1"/>
        </w:rPr>
        <w:instrText xml:space="preserve"> ADDIN ZOTERO_ITEM CSL_CITATION {"citationID":"URuCLbTC","properties":{"formattedCitation":"\\super 26\\nosupersub{}","plainCitation":"26","noteIndex":0},"citationItems":[{"id":7,"uris":["http://zotero.org/users/1138203/items/H8SJZFPS"],"itemData":{"id":7,"type":"book","abstract":"Praise for the Fourth Edition  \"The book follows faithfully the style of the original edition. The approach is heavily motivated by real-world time series, and by developing a complete approach to model building, estimation, forecasting and control.\"—Mathematical Reviews Bridging classical models and modern topics, the Fifth Edition of Time Series Analysis: Forecasting and Control maintains a balanced presentation of the tools for modeling and analyzing time series. Also describing the latest developments that have occurred in the field over the past decade through applications from areas such as business, finance, and engineering, the Fifth Edition continues to serve as one of the most influential and prominent works on the subject. Time Series Analysis: Forecasting and Control, Fifth Edition provides a clearly written exploration of the key methods for building, classifying, testing, and analyzing stochastic models for time series and describes their use in five important areas of application: forecasting; determining the transfer function of a system; modeling the effects of intervention events; developing multivariate dynamic models; and designing simple control schemes. Along with these classical uses, the new edition covers modern topics with new features that include:  A redesigned chapter on multivariate time series analysis with an expanded treatment of Vector Autoregressive, or VAR models, along with a discussion of the analytical tools needed for modeling vector time series An expanded chapter on special topics covering unit root testing, time-varying volatility models such as ARCH and GARCH, nonlinear time series models, and long memory models Numerous examples drawn from finance, economics, engineering, and other related fields The use of the publicly available R software for graphical illustrations and numerical calculations along with scripts that demonstrate the use of R for model building and forecasting Updates to literature references throughout and new end-of-chapter exercises Streamlined chapter introductions and revisions that update and enhance the exposition  Time Series Analysis: Forecasting and Control, Fifth Edition is a valuable real-world reference for researchers and practitioners in time series analysis, econometrics, finance, and related fields. The book is also an excellent textbook for beginning graduate-level courses in advanced statistics, mathematics, economics, finance, engineering, and physics.","ISBN":"978-1-118-67492-5","language":"en","note":"Google-Books-ID: rNt5CgAAQBAJ","number-of-pages":"709","publisher":"John Wiley &amp; Sons","source":"Google Books","title":"Time Series Analysis: Forecasting and Control","title-short":"Time Series Analysis","author":[{"family":"Box","given":"George E. P."},{"family":"Jenkins","given":"Gwilym M."},{"family":"Reinsel","given":"Gregory C."},{"family":"Ljung","given":"Greta M."}],"issued":{"date-parts":[["2015",5,29]]}}}],"schema":"https://github.com/citation-style-language/schema/raw/master/csl-citation.json"} </w:instrText>
      </w:r>
      <w:r w:rsidRPr="00F56EB1">
        <w:rPr>
          <w:rFonts w:ascii="Aptos" w:hAnsi="Aptos" w:cs="Arial"/>
          <w:color w:val="000000" w:themeColor="text1"/>
        </w:rPr>
        <w:fldChar w:fldCharType="separate"/>
      </w:r>
      <w:r w:rsidRPr="00F56EB1">
        <w:rPr>
          <w:rFonts w:ascii="Aptos" w:hAnsi="Aptos" w:cs="Times New Roman"/>
          <w:color w:val="000000" w:themeColor="text1"/>
          <w:vertAlign w:val="superscript"/>
        </w:rPr>
        <w:t>26</w:t>
      </w:r>
      <w:r w:rsidRPr="00F56EB1">
        <w:rPr>
          <w:rFonts w:ascii="Aptos" w:hAnsi="Aptos" w:cs="Arial"/>
          <w:color w:val="000000" w:themeColor="text1"/>
        </w:rPr>
        <w:fldChar w:fldCharType="end"/>
      </w:r>
      <w:r w:rsidRPr="00F56EB1">
        <w:rPr>
          <w:rStyle w:val="CommentReference"/>
          <w:rFonts w:ascii="Aptos" w:hAnsi="Aptos"/>
          <w:color w:val="000000" w:themeColor="text1"/>
          <w:sz w:val="22"/>
          <w:szCs w:val="22"/>
        </w:rPr>
        <w:t xml:space="preserve"> </w:t>
      </w:r>
      <w:r w:rsidRPr="00F56EB1">
        <w:rPr>
          <w:rFonts w:ascii="Aptos" w:hAnsi="Aptos" w:cs="Arial"/>
          <w:color w:val="000000" w:themeColor="text1"/>
        </w:rPr>
        <w:t xml:space="preserve">applying Lantus® data from 2012 to timepoint of 1 year prior to </w:t>
      </w:r>
      <w:proofErr w:type="spellStart"/>
      <w:r w:rsidRPr="00F56EB1">
        <w:rPr>
          <w:rFonts w:ascii="Aptos" w:hAnsi="Aptos" w:cs="Arial"/>
          <w:color w:val="000000" w:themeColor="text1"/>
        </w:rPr>
        <w:t>Basaglar</w:t>
      </w:r>
      <w:proofErr w:type="spellEnd"/>
      <w:r w:rsidRPr="00F56EB1">
        <w:rPr>
          <w:rFonts w:ascii="Aptos" w:hAnsi="Aptos" w:cs="Arial"/>
          <w:color w:val="000000" w:themeColor="text1"/>
        </w:rPr>
        <w:t>® release.</w:t>
      </w:r>
    </w:p>
    <w:p w14:paraId="7C9EEC4E" w14:textId="77777777" w:rsidR="006B570F" w:rsidRPr="00F56EB1" w:rsidRDefault="006B570F" w:rsidP="00BB523F">
      <w:pPr>
        <w:spacing w:line="480" w:lineRule="auto"/>
        <w:contextualSpacing/>
        <w:rPr>
          <w:rFonts w:ascii="Aptos" w:hAnsi="Aptos" w:cs="Arial"/>
          <w:color w:val="000000" w:themeColor="text1"/>
        </w:rPr>
      </w:pPr>
    </w:p>
    <w:p w14:paraId="537D17B2" w14:textId="77777777" w:rsidR="006B570F" w:rsidRDefault="006B570F" w:rsidP="00BB523F">
      <w:pPr>
        <w:spacing w:line="480" w:lineRule="auto"/>
        <w:contextualSpacing/>
      </w:pPr>
    </w:p>
    <w:p w14:paraId="7F95C898" w14:textId="44ADD1FF" w:rsidR="006B570F" w:rsidRPr="006B570F" w:rsidRDefault="006B570F" w:rsidP="00BB523F">
      <w:pPr>
        <w:spacing w:line="480" w:lineRule="auto"/>
        <w:contextualSpacing/>
        <w:rPr>
          <w:i/>
          <w:iCs/>
        </w:rPr>
      </w:pPr>
      <w:r w:rsidRPr="006B570F">
        <w:rPr>
          <w:i/>
          <w:iCs/>
        </w:rPr>
        <w:t>University of California Health Data Warehouse Study Database</w:t>
      </w:r>
    </w:p>
    <w:p w14:paraId="490260BD" w14:textId="77777777" w:rsidR="006B570F" w:rsidRDefault="006B570F" w:rsidP="00BB523F">
      <w:pPr>
        <w:spacing w:line="480" w:lineRule="auto"/>
        <w:contextualSpacing/>
      </w:pPr>
    </w:p>
    <w:p w14:paraId="2987F692" w14:textId="06385EEF" w:rsidR="006B570F" w:rsidRPr="006B570F" w:rsidRDefault="006B570F" w:rsidP="00BB523F">
      <w:pPr>
        <w:pStyle w:val="Default"/>
        <w:spacing w:line="480" w:lineRule="auto"/>
        <w:contextualSpacing/>
        <w:rPr>
          <w:rFonts w:ascii="Aptos" w:eastAsia="Times New Roman" w:hAnsi="Aptos"/>
          <w:color w:val="000000" w:themeColor="text1"/>
          <w:sz w:val="22"/>
          <w:szCs w:val="22"/>
        </w:rPr>
      </w:pPr>
      <w:r w:rsidRPr="006B570F">
        <w:rPr>
          <w:rFonts w:ascii="Aptos" w:hAnsi="Aptos"/>
          <w:color w:val="000000" w:themeColor="text1"/>
          <w:sz w:val="22"/>
          <w:szCs w:val="22"/>
        </w:rPr>
        <w:t xml:space="preserve">University of California Health (UC Health) is the largest academic health system in the US and is a non-profit, health system comprised of six health centers (Davis, Irvine, Los Angeles, Riverside, San Diego, San Francisco) and 20 health professional schools </w:t>
      </w:r>
      <w:r w:rsidRPr="006B570F">
        <w:rPr>
          <w:rFonts w:ascii="Aptos" w:hAnsi="Aptos"/>
          <w:color w:val="000000" w:themeColor="text1"/>
          <w:sz w:val="22"/>
          <w:szCs w:val="22"/>
        </w:rPr>
        <w:fldChar w:fldCharType="begin"/>
      </w:r>
      <w:r w:rsidRPr="006B570F">
        <w:rPr>
          <w:rFonts w:ascii="Aptos" w:hAnsi="Aptos"/>
          <w:color w:val="000000" w:themeColor="text1"/>
          <w:sz w:val="22"/>
          <w:szCs w:val="22"/>
        </w:rPr>
        <w:instrText xml:space="preserve"> ADDIN ZOTERO_ITEM CSL_CITATION {"citationID":"RBNn3OyW","properties":{"formattedCitation":"(11,12)","plainCitation":"(11,12)","noteIndex":0},"citationItems":[{"id":3751,"uris":["http://zotero.org/users/1138203/items/DACHPYQZ"],"itemData":{"id":3751,"type":"webpage","title":"University of California Health","URL":"https://health.universityofcalifornia.edu/","accessed":{"date-parts":[["2024",9,6]]}},"label":"page"},{"id":3749,"uris":["http://zotero.org/users/1138203/items/QITIMIPD"],"itemData":{"id":3749,"type":"webpage","title":"UCH Academic Health Centers | UCOP","URL":"https://www.ucop.edu/uc-health/reports-resources/medical-centers.html","accessed":{"date-parts":[["2024",9,6]]}},"label":"page"}],"schema":"https://github.com/citation-style-language/schema/raw/master/csl-citation.json"} </w:instrText>
      </w:r>
      <w:r w:rsidRPr="006B570F">
        <w:rPr>
          <w:rFonts w:ascii="Aptos" w:hAnsi="Aptos"/>
          <w:color w:val="000000" w:themeColor="text1"/>
          <w:sz w:val="22"/>
          <w:szCs w:val="22"/>
        </w:rPr>
        <w:fldChar w:fldCharType="separate"/>
      </w:r>
      <w:r w:rsidRPr="006B570F">
        <w:rPr>
          <w:rFonts w:ascii="Aptos" w:hAnsi="Aptos"/>
          <w:noProof/>
          <w:color w:val="000000" w:themeColor="text1"/>
          <w:sz w:val="22"/>
          <w:szCs w:val="22"/>
        </w:rPr>
        <w:t>(11,12)</w:t>
      </w:r>
      <w:r w:rsidRPr="006B570F">
        <w:rPr>
          <w:rFonts w:ascii="Aptos" w:hAnsi="Aptos"/>
          <w:color w:val="000000" w:themeColor="text1"/>
          <w:sz w:val="22"/>
          <w:szCs w:val="22"/>
        </w:rPr>
        <w:fldChar w:fldCharType="end"/>
      </w:r>
      <w:r w:rsidRPr="006B570F">
        <w:rPr>
          <w:rFonts w:ascii="Aptos" w:hAnsi="Aptos"/>
          <w:color w:val="000000" w:themeColor="text1"/>
          <w:sz w:val="22"/>
          <w:szCs w:val="22"/>
        </w:rPr>
        <w:t xml:space="preserve">.   The UCHDW comprises data from year 2012 on over eleven million patients seen at a UC Health facility. In 2022, 2.3 million distinct patients had a visit with UC Health approximating 5.9% of the population of California that year </w:t>
      </w:r>
      <w:r w:rsidRPr="006B570F">
        <w:rPr>
          <w:rFonts w:ascii="Aptos" w:hAnsi="Aptos"/>
          <w:color w:val="000000" w:themeColor="text1"/>
          <w:sz w:val="22"/>
          <w:szCs w:val="22"/>
        </w:rPr>
        <w:fldChar w:fldCharType="begin"/>
      </w:r>
      <w:r w:rsidRPr="006B570F">
        <w:rPr>
          <w:rFonts w:ascii="Aptos" w:hAnsi="Aptos"/>
          <w:color w:val="000000" w:themeColor="text1"/>
          <w:sz w:val="22"/>
          <w:szCs w:val="22"/>
        </w:rPr>
        <w:instrText xml:space="preserve"> ADDIN ZOTERO_ITEM CSL_CITATION {"citationID":"KjkNvthS","properties":{"formattedCitation":"(13)","plainCitation":"(13)","noteIndex":0},"citationItems":[{"id":3757,"uris":["http://zotero.org/users/1138203/items/74ICUL3E"],"itemData":{"id":3757,"type":"webpage","abstract":"California Population and Housing Estimates from April 1, 2020 to January 1, 2024.","language":"en-us","title":"California Population and Housing Estimates Dashboard (2020-2024)","URL":"https://gis.data.ca.gov/datasets/cacensus::california-population-and-housing-estimates-dashboard-2020-2024/about","accessed":{"date-parts":[["2024",9,6]]}}}],"schema":"https://github.com/citation-style-language/schema/raw/master/csl-citation.json"} </w:instrText>
      </w:r>
      <w:r w:rsidRPr="006B570F">
        <w:rPr>
          <w:rFonts w:ascii="Aptos" w:hAnsi="Aptos"/>
          <w:color w:val="000000" w:themeColor="text1"/>
          <w:sz w:val="22"/>
          <w:szCs w:val="22"/>
        </w:rPr>
        <w:fldChar w:fldCharType="separate"/>
      </w:r>
      <w:r w:rsidRPr="006B570F">
        <w:rPr>
          <w:rFonts w:ascii="Aptos" w:hAnsi="Aptos"/>
          <w:noProof/>
          <w:color w:val="000000" w:themeColor="text1"/>
          <w:sz w:val="22"/>
          <w:szCs w:val="22"/>
        </w:rPr>
        <w:t>(13)</w:t>
      </w:r>
      <w:r w:rsidRPr="006B570F">
        <w:rPr>
          <w:rFonts w:ascii="Aptos" w:hAnsi="Aptos"/>
          <w:color w:val="000000" w:themeColor="text1"/>
          <w:sz w:val="22"/>
          <w:szCs w:val="22"/>
        </w:rPr>
        <w:fldChar w:fldCharType="end"/>
      </w:r>
      <w:r w:rsidRPr="006B570F">
        <w:rPr>
          <w:rFonts w:ascii="Aptos" w:hAnsi="Aptos"/>
          <w:color w:val="000000" w:themeColor="text1"/>
          <w:sz w:val="22"/>
          <w:szCs w:val="22"/>
        </w:rPr>
        <w:t xml:space="preserve">. This database contains nearly 400 fields across over 30 tables of standardized records for patient diagnoses, lab measurements, drug exposures including prescriptions written and </w:t>
      </w:r>
      <w:r w:rsidRPr="006B570F">
        <w:rPr>
          <w:rFonts w:ascii="Aptos" w:hAnsi="Aptos"/>
          <w:color w:val="000000" w:themeColor="text1"/>
          <w:sz w:val="22"/>
          <w:szCs w:val="22"/>
        </w:rPr>
        <w:lastRenderedPageBreak/>
        <w:t xml:space="preserve">filled, visits, costs and payer, and other patient-reported information, allowing for extensive health characterization of </w:t>
      </w:r>
      <w:proofErr w:type="gramStart"/>
      <w:r w:rsidRPr="006B570F">
        <w:rPr>
          <w:rFonts w:ascii="Aptos" w:hAnsi="Aptos"/>
          <w:color w:val="000000" w:themeColor="text1"/>
          <w:sz w:val="22"/>
          <w:szCs w:val="22"/>
        </w:rPr>
        <w:t>patients(</w:t>
      </w:r>
      <w:proofErr w:type="gramEnd"/>
      <w:r w:rsidRPr="006B570F">
        <w:rPr>
          <w:rFonts w:ascii="Aptos" w:hAnsi="Aptos"/>
          <w:color w:val="000000" w:themeColor="text1"/>
          <w:sz w:val="22"/>
          <w:szCs w:val="22"/>
        </w:rPr>
        <w:t xml:space="preserve">13).   </w:t>
      </w:r>
      <w:r w:rsidRPr="006B570F">
        <w:rPr>
          <w:rFonts w:ascii="Aptos" w:eastAsia="Times New Roman" w:hAnsi="Aptos"/>
          <w:color w:val="000000" w:themeColor="text1"/>
          <w:sz w:val="22"/>
          <w:szCs w:val="22"/>
        </w:rPr>
        <w:t xml:space="preserve">The Observational Medical Outcomes Partnership (OMOP) Common Data Model version 5.3.1 is used for the UCHDW.  Only data mapped to standard terminology is present </w:t>
      </w:r>
      <w:r w:rsidRPr="006B570F">
        <w:rPr>
          <w:rFonts w:ascii="Aptos" w:hAnsi="Aptos"/>
          <w:color w:val="000000" w:themeColor="text1"/>
          <w:sz w:val="22"/>
          <w:szCs w:val="22"/>
        </w:rPr>
        <w:fldChar w:fldCharType="begin"/>
      </w:r>
      <w:r w:rsidRPr="006B570F">
        <w:rPr>
          <w:rFonts w:ascii="Aptos" w:hAnsi="Aptos"/>
          <w:color w:val="000000" w:themeColor="text1"/>
          <w:sz w:val="22"/>
          <w:szCs w:val="22"/>
        </w:rPr>
        <w:instrText xml:space="preserve"> ADDIN ZOTERO_ITEM CSL_CITATION {"citationID":"e85iAJIJ","properties":{"formattedCitation":"(14,15)","plainCitation":"(14,15)","noteIndex":0},"citationItems":[{"id":"6pPUHGdL/h03lOQd9","uris":["http://zotero.org/users/12074730/items/FFWZ3HBW"],"itemData":{"id":244,"type":"webpage","title":"Center for Data-driven Insights and Innovation (CDI2) | UCOP","URL":"https://www.ucop.edu/uc-health/departments/center-for-data-driven-insights-and-innovations-cdi2.html","accessed":{"date-parts":[["2024",8,21]]}},"label":"page"},{"id":"6pPUHGdL/ZQnbsg9S","uris":["http://zotero.org/users/12074730/items/DFIR8DNQ"],"itemData":{"id":248,"type":"webpage","title":"Explore Census Data","URL":"https://data.census.gov/profile/California?g=040XX00US06","accessed":{"date-parts":[["2024",8,21]]}},"label":"page"}],"schema":"https://github.com/citation-style-language/schema/raw/master/csl-citation.json"} </w:instrText>
      </w:r>
      <w:r w:rsidRPr="006B570F">
        <w:rPr>
          <w:rFonts w:ascii="Aptos" w:hAnsi="Aptos"/>
          <w:color w:val="000000" w:themeColor="text1"/>
          <w:sz w:val="22"/>
          <w:szCs w:val="22"/>
        </w:rPr>
        <w:fldChar w:fldCharType="separate"/>
      </w:r>
      <w:r w:rsidRPr="006B570F">
        <w:rPr>
          <w:rFonts w:ascii="Aptos" w:hAnsi="Aptos"/>
          <w:color w:val="000000" w:themeColor="text1"/>
          <w:sz w:val="22"/>
          <w:szCs w:val="22"/>
        </w:rPr>
        <w:t>(14,15)</w:t>
      </w:r>
      <w:r w:rsidRPr="006B570F">
        <w:rPr>
          <w:rFonts w:ascii="Aptos" w:hAnsi="Aptos"/>
          <w:color w:val="000000" w:themeColor="text1"/>
          <w:sz w:val="22"/>
          <w:szCs w:val="22"/>
        </w:rPr>
        <w:fldChar w:fldCharType="end"/>
      </w:r>
      <w:r w:rsidRPr="006B570F">
        <w:rPr>
          <w:rFonts w:ascii="Aptos" w:hAnsi="Aptos"/>
          <w:color w:val="000000" w:themeColor="text1"/>
          <w:sz w:val="22"/>
          <w:szCs w:val="22"/>
        </w:rPr>
        <w:t xml:space="preserve">.  The UCDHW was constructed as a timely, retrospective, de-identified dataset for research purposes.  It is a </w:t>
      </w:r>
      <w:r w:rsidRPr="006B570F">
        <w:rPr>
          <w:rFonts w:ascii="Aptos" w:hAnsi="Aptos"/>
          <w:bCs/>
          <w:color w:val="000000" w:themeColor="text1"/>
          <w:sz w:val="22"/>
          <w:szCs w:val="22"/>
        </w:rPr>
        <w:t>Health Insurance Portability and Accountability Act (HIPAA)</w:t>
      </w:r>
      <w:r w:rsidRPr="006B570F">
        <w:rPr>
          <w:rFonts w:ascii="Aptos" w:hAnsi="Aptos"/>
          <w:b/>
          <w:bCs/>
          <w:color w:val="000000" w:themeColor="text1"/>
          <w:sz w:val="22"/>
          <w:szCs w:val="22"/>
        </w:rPr>
        <w:t xml:space="preserve"> </w:t>
      </w:r>
      <w:r w:rsidRPr="006B570F">
        <w:rPr>
          <w:rFonts w:ascii="Aptos" w:hAnsi="Aptos"/>
          <w:color w:val="000000" w:themeColor="text1"/>
          <w:sz w:val="22"/>
          <w:szCs w:val="22"/>
        </w:rPr>
        <w:t xml:space="preserve">Limited Data Set and was operationalized by UC Health as ‘non-human subjects research’.  </w:t>
      </w:r>
    </w:p>
    <w:p w14:paraId="64CD0D66" w14:textId="77777777" w:rsidR="006B570F" w:rsidRPr="006B570F" w:rsidRDefault="006B570F" w:rsidP="00BB523F">
      <w:pPr>
        <w:spacing w:line="480" w:lineRule="auto"/>
        <w:contextualSpacing/>
        <w:rPr>
          <w:color w:val="000000" w:themeColor="text1"/>
        </w:rPr>
      </w:pPr>
    </w:p>
    <w:sectPr w:rsidR="006B570F" w:rsidRPr="006B5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0F"/>
    <w:rsid w:val="002302A2"/>
    <w:rsid w:val="002C6C57"/>
    <w:rsid w:val="002D1C06"/>
    <w:rsid w:val="00414124"/>
    <w:rsid w:val="005D1FED"/>
    <w:rsid w:val="006B570F"/>
    <w:rsid w:val="00A44EB1"/>
    <w:rsid w:val="00A67E22"/>
    <w:rsid w:val="00B366C2"/>
    <w:rsid w:val="00BB523F"/>
    <w:rsid w:val="00CF21F1"/>
    <w:rsid w:val="00D20E13"/>
    <w:rsid w:val="00D2660D"/>
    <w:rsid w:val="00D83258"/>
    <w:rsid w:val="00F63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C8A72"/>
  <w15:chartTrackingRefBased/>
  <w15:docId w15:val="{E19DD6C8-2A0A-9B40-A6F4-1B6A3091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70F"/>
    <w:pPr>
      <w:spacing w:line="259" w:lineRule="auto"/>
    </w:pPr>
    <w:rPr>
      <w:kern w:val="0"/>
      <w:sz w:val="22"/>
      <w:szCs w:val="22"/>
      <w14:ligatures w14:val="none"/>
    </w:rPr>
  </w:style>
  <w:style w:type="paragraph" w:styleId="Heading1">
    <w:name w:val="heading 1"/>
    <w:basedOn w:val="Normal"/>
    <w:next w:val="Normal"/>
    <w:link w:val="Heading1Char"/>
    <w:uiPriority w:val="9"/>
    <w:qFormat/>
    <w:rsid w:val="006B570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B570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B570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B570F"/>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B570F"/>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B570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B570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B570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B570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7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57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57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7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7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7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7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7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70F"/>
    <w:rPr>
      <w:rFonts w:eastAsiaTheme="majorEastAsia" w:cstheme="majorBidi"/>
      <w:color w:val="272727" w:themeColor="text1" w:themeTint="D8"/>
    </w:rPr>
  </w:style>
  <w:style w:type="paragraph" w:styleId="Title">
    <w:name w:val="Title"/>
    <w:basedOn w:val="Normal"/>
    <w:next w:val="Normal"/>
    <w:link w:val="TitleChar"/>
    <w:uiPriority w:val="10"/>
    <w:qFormat/>
    <w:rsid w:val="006B570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B57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70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B57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70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B570F"/>
    <w:rPr>
      <w:i/>
      <w:iCs/>
      <w:color w:val="404040" w:themeColor="text1" w:themeTint="BF"/>
    </w:rPr>
  </w:style>
  <w:style w:type="paragraph" w:styleId="ListParagraph">
    <w:name w:val="List Paragraph"/>
    <w:basedOn w:val="Normal"/>
    <w:uiPriority w:val="34"/>
    <w:qFormat/>
    <w:rsid w:val="006B570F"/>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B570F"/>
    <w:rPr>
      <w:i/>
      <w:iCs/>
      <w:color w:val="0F4761" w:themeColor="accent1" w:themeShade="BF"/>
    </w:rPr>
  </w:style>
  <w:style w:type="paragraph" w:styleId="IntenseQuote">
    <w:name w:val="Intense Quote"/>
    <w:basedOn w:val="Normal"/>
    <w:next w:val="Normal"/>
    <w:link w:val="IntenseQuoteChar"/>
    <w:uiPriority w:val="30"/>
    <w:qFormat/>
    <w:rsid w:val="006B570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B570F"/>
    <w:rPr>
      <w:i/>
      <w:iCs/>
      <w:color w:val="0F4761" w:themeColor="accent1" w:themeShade="BF"/>
    </w:rPr>
  </w:style>
  <w:style w:type="character" w:styleId="IntenseReference">
    <w:name w:val="Intense Reference"/>
    <w:basedOn w:val="DefaultParagraphFont"/>
    <w:uiPriority w:val="32"/>
    <w:qFormat/>
    <w:rsid w:val="006B570F"/>
    <w:rPr>
      <w:b/>
      <w:bCs/>
      <w:smallCaps/>
      <w:color w:val="0F4761" w:themeColor="accent1" w:themeShade="BF"/>
      <w:spacing w:val="5"/>
    </w:rPr>
  </w:style>
  <w:style w:type="character" w:styleId="CommentReference">
    <w:name w:val="annotation reference"/>
    <w:basedOn w:val="DefaultParagraphFont"/>
    <w:uiPriority w:val="99"/>
    <w:semiHidden/>
    <w:unhideWhenUsed/>
    <w:rsid w:val="006B570F"/>
    <w:rPr>
      <w:sz w:val="16"/>
      <w:szCs w:val="16"/>
    </w:rPr>
  </w:style>
  <w:style w:type="paragraph" w:customStyle="1" w:styleId="Default">
    <w:name w:val="Default"/>
    <w:rsid w:val="006B570F"/>
    <w:pPr>
      <w:autoSpaceDE w:val="0"/>
      <w:autoSpaceDN w:val="0"/>
      <w:adjustRightInd w:val="0"/>
      <w:spacing w:after="0" w:line="240" w:lineRule="auto"/>
    </w:pPr>
    <w:rPr>
      <w:rFonts w:ascii="Arial" w:eastAsia="Calibri"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1173</Words>
  <Characters>6691</Characters>
  <Application>Microsoft Office Word</Application>
  <DocSecurity>0</DocSecurity>
  <Lines>55</Lines>
  <Paragraphs>15</Paragraphs>
  <ScaleCrop>false</ScaleCrop>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Watanabe, Jonathan</dc:creator>
  <cp:keywords/>
  <dc:description/>
  <cp:lastModifiedBy>Watanabe, Jonathan</cp:lastModifiedBy>
  <cp:revision>9</cp:revision>
  <dcterms:created xsi:type="dcterms:W3CDTF">2025-08-13T00:55:00Z</dcterms:created>
  <dcterms:modified xsi:type="dcterms:W3CDTF">2025-08-13T00:58:00Z</dcterms:modified>
</cp:coreProperties>
</file>