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EE1E8" w14:textId="77777777" w:rsidR="00EE6EB9" w:rsidRDefault="00EE6EB9" w:rsidP="00063BD7">
      <w:pPr>
        <w:spacing w:line="480" w:lineRule="auto"/>
        <w:rPr>
          <w:b/>
          <w:bCs/>
        </w:rPr>
      </w:pPr>
      <w:r w:rsidRPr="00063BD7">
        <w:rPr>
          <w:b/>
          <w:bCs/>
        </w:rPr>
        <w:t>Supplemental Material – Table of Contents</w:t>
      </w:r>
    </w:p>
    <w:p w14:paraId="092D7220" w14:textId="65F685DD" w:rsidR="00EE6EB9" w:rsidRDefault="00EE6EB9" w:rsidP="001C6065">
      <w:pPr>
        <w:spacing w:line="480" w:lineRule="auto"/>
      </w:pPr>
      <w:r w:rsidRPr="00063BD7">
        <w:rPr>
          <w:b/>
          <w:bCs/>
        </w:rPr>
        <w:t>Supplemental Table 1.</w:t>
      </w:r>
      <w:r w:rsidRPr="00063BD7">
        <w:t xml:space="preserve"> International Classification of Disease codes used to identify hip fracture</w:t>
      </w:r>
    </w:p>
    <w:p w14:paraId="1421AADE" w14:textId="4FF1E7DA" w:rsidR="001C5E5A" w:rsidRDefault="001C5E5A" w:rsidP="001C6065">
      <w:pPr>
        <w:spacing w:line="480" w:lineRule="auto"/>
      </w:pPr>
      <w:r w:rsidRPr="00063BD7">
        <w:rPr>
          <w:b/>
          <w:bCs/>
        </w:rPr>
        <w:t>Supplemental Figure 1.</w:t>
      </w:r>
      <w:r w:rsidRPr="00063BD7">
        <w:t xml:space="preserve"> Study Design Diagram </w:t>
      </w:r>
    </w:p>
    <w:p w14:paraId="3F7B71EB" w14:textId="6A1002B9" w:rsidR="00EE6EB9" w:rsidRPr="00063BD7" w:rsidRDefault="00EE6EB9" w:rsidP="001C6065">
      <w:pPr>
        <w:spacing w:line="480" w:lineRule="auto"/>
      </w:pPr>
      <w:r w:rsidRPr="00063BD7">
        <w:rPr>
          <w:b/>
          <w:bCs/>
        </w:rPr>
        <w:t>Supplemental Table 2.</w:t>
      </w:r>
      <w:r w:rsidRPr="00063BD7">
        <w:t xml:space="preserve"> </w:t>
      </w:r>
      <w:r w:rsidR="00ED00B7" w:rsidRPr="00063BD7">
        <w:t xml:space="preserve">International Classification of Disease </w:t>
      </w:r>
      <w:r w:rsidRPr="00063BD7">
        <w:t>codes used for outcome assessment</w:t>
      </w:r>
    </w:p>
    <w:p w14:paraId="56B684C1" w14:textId="032DB9C0" w:rsidR="00EE6EB9" w:rsidRPr="00063BD7" w:rsidRDefault="00EE6EB9" w:rsidP="001C6065">
      <w:pPr>
        <w:spacing w:line="480" w:lineRule="auto"/>
      </w:pPr>
      <w:r w:rsidRPr="00063BD7">
        <w:rPr>
          <w:b/>
          <w:bCs/>
        </w:rPr>
        <w:t xml:space="preserve">Supplemental Table </w:t>
      </w:r>
      <w:r w:rsidR="00393AD9">
        <w:rPr>
          <w:b/>
          <w:bCs/>
        </w:rPr>
        <w:t>3</w:t>
      </w:r>
      <w:r w:rsidRPr="00063BD7">
        <w:rPr>
          <w:b/>
          <w:bCs/>
        </w:rPr>
        <w:t>.</w:t>
      </w:r>
      <w:r w:rsidRPr="00063BD7">
        <w:t xml:space="preserve"> Complete Patient Demographics</w:t>
      </w:r>
    </w:p>
    <w:p w14:paraId="2DCDF247" w14:textId="56685D4E" w:rsidR="000A2F3F" w:rsidRDefault="00EE6EB9" w:rsidP="000A2F3F">
      <w:pPr>
        <w:spacing w:line="480" w:lineRule="auto"/>
      </w:pPr>
      <w:r w:rsidRPr="00063BD7">
        <w:rPr>
          <w:b/>
          <w:bCs/>
        </w:rPr>
        <w:t>Supplemental</w:t>
      </w:r>
      <w:r w:rsidR="000A2F3F" w:rsidRPr="00063BD7">
        <w:rPr>
          <w:b/>
          <w:bCs/>
        </w:rPr>
        <w:t xml:space="preserve"> Table </w:t>
      </w:r>
      <w:r w:rsidR="00393AD9">
        <w:rPr>
          <w:b/>
          <w:bCs/>
        </w:rPr>
        <w:t>4</w:t>
      </w:r>
      <w:r w:rsidRPr="00063BD7">
        <w:rPr>
          <w:b/>
          <w:bCs/>
        </w:rPr>
        <w:t>.</w:t>
      </w:r>
      <w:r w:rsidRPr="00063BD7">
        <w:t xml:space="preserve"> Differences in post-fracture mortality between Asian</w:t>
      </w:r>
      <w:r w:rsidR="00CB49E9" w:rsidRPr="00063BD7">
        <w:t>, Black, Hispanic, and Native American individuals</w:t>
      </w:r>
      <w:r w:rsidRPr="00063BD7">
        <w:t xml:space="preserve"> </w:t>
      </w:r>
      <w:r w:rsidR="00CB49E9" w:rsidRPr="00063BD7">
        <w:t>versus</w:t>
      </w:r>
      <w:r w:rsidRPr="00063BD7">
        <w:t xml:space="preserve"> White individuals in strata of demographic, socioeconomic, and clinical risk factors</w:t>
      </w:r>
    </w:p>
    <w:p w14:paraId="51445350" w14:textId="77777777" w:rsidR="00EE6EB9" w:rsidRDefault="00EE6EB9" w:rsidP="00FF7CD1">
      <w:pPr>
        <w:spacing w:line="480" w:lineRule="auto"/>
      </w:pPr>
    </w:p>
    <w:p w14:paraId="5AD4CB09" w14:textId="77777777" w:rsidR="00EE6EB9" w:rsidRDefault="00EE6EB9" w:rsidP="00FF7CD1">
      <w:pPr>
        <w:spacing w:line="480" w:lineRule="auto"/>
      </w:pPr>
    </w:p>
    <w:p w14:paraId="6FB84BBF" w14:textId="77777777" w:rsidR="00B50369" w:rsidRDefault="00B50369" w:rsidP="00FF7CD1">
      <w:pPr>
        <w:spacing w:line="480" w:lineRule="auto"/>
      </w:pPr>
    </w:p>
    <w:p w14:paraId="6A36D3EB" w14:textId="77777777" w:rsidR="00EE6EB9" w:rsidRDefault="00EE6EB9" w:rsidP="00FF7CD1">
      <w:pPr>
        <w:spacing w:line="480" w:lineRule="auto"/>
      </w:pPr>
    </w:p>
    <w:p w14:paraId="4F10A229" w14:textId="77777777" w:rsidR="00EE6EB9" w:rsidRDefault="00EE6EB9" w:rsidP="00FF7CD1">
      <w:pPr>
        <w:spacing w:line="480" w:lineRule="auto"/>
      </w:pPr>
    </w:p>
    <w:p w14:paraId="7C107A1B" w14:textId="77777777" w:rsidR="00EE6EB9" w:rsidRDefault="00EE6EB9" w:rsidP="00FF7CD1">
      <w:pPr>
        <w:spacing w:line="480" w:lineRule="auto"/>
      </w:pPr>
    </w:p>
    <w:p w14:paraId="6E00EBA5" w14:textId="77777777" w:rsidR="00AB739D" w:rsidRDefault="00AB739D" w:rsidP="00FF7CD1">
      <w:pPr>
        <w:spacing w:line="480" w:lineRule="auto"/>
      </w:pPr>
    </w:p>
    <w:p w14:paraId="72F38E40" w14:textId="77777777" w:rsidR="00AB739D" w:rsidRDefault="00AB739D" w:rsidP="00FF7CD1">
      <w:pPr>
        <w:spacing w:line="480" w:lineRule="auto"/>
      </w:pPr>
    </w:p>
    <w:p w14:paraId="0056D829" w14:textId="77777777" w:rsidR="001C6065" w:rsidRDefault="001C6065" w:rsidP="00FF7CD1">
      <w:pPr>
        <w:spacing w:line="480" w:lineRule="auto"/>
      </w:pPr>
    </w:p>
    <w:p w14:paraId="79A926B0" w14:textId="77777777" w:rsidR="00C55DC4" w:rsidRDefault="00C55DC4" w:rsidP="00C55DC4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</w:p>
    <w:p w14:paraId="17E7B09C" w14:textId="77777777" w:rsidR="004C6AEA" w:rsidRDefault="004C6AEA" w:rsidP="00C55DC4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</w:p>
    <w:p w14:paraId="74FECBF7" w14:textId="77777777" w:rsidR="004C6AEA" w:rsidRPr="00C55DC4" w:rsidRDefault="004C6AEA" w:rsidP="00C55DC4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</w:p>
    <w:p w14:paraId="6015E255" w14:textId="28E4ED1F" w:rsidR="00FF7CD1" w:rsidRPr="00FF7CD1" w:rsidRDefault="00FF7CD1" w:rsidP="00FF7CD1">
      <w:pPr>
        <w:spacing w:line="480" w:lineRule="auto"/>
        <w:rPr>
          <w:rFonts w:eastAsia="Arial"/>
        </w:rPr>
      </w:pPr>
      <w:r w:rsidRPr="00FF7CD1">
        <w:rPr>
          <w:rFonts w:eastAsia="Arial"/>
          <w:b/>
          <w:bCs/>
        </w:rPr>
        <w:lastRenderedPageBreak/>
        <w:t xml:space="preserve">Supplemental Table 1. </w:t>
      </w:r>
      <w:r w:rsidRPr="00FF7CD1">
        <w:rPr>
          <w:rFonts w:eastAsia="Arial"/>
          <w:color w:val="000000" w:themeColor="text1"/>
        </w:rPr>
        <w:t xml:space="preserve">International Classification of Disease </w:t>
      </w:r>
      <w:r w:rsidRPr="00FF7CD1">
        <w:rPr>
          <w:rFonts w:eastAsia="Arial"/>
        </w:rPr>
        <w:t>codes used to identify hip fracture</w:t>
      </w:r>
    </w:p>
    <w:tbl>
      <w:tblPr>
        <w:tblW w:w="1062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94"/>
        <w:gridCol w:w="3136"/>
        <w:gridCol w:w="1260"/>
        <w:gridCol w:w="5130"/>
      </w:tblGrid>
      <w:tr w:rsidR="00FF7CD1" w:rsidRPr="00717A5A" w14:paraId="04AA1059" w14:textId="77777777" w:rsidTr="007E1AA1">
        <w:trPr>
          <w:trHeight w:val="144"/>
        </w:trPr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298C8FF" w14:textId="1D358B47" w:rsidR="00FF7CD1" w:rsidRPr="00717A5A" w:rsidRDefault="00FF7CD1" w:rsidP="00752F71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ICD9 D</w:t>
            </w:r>
            <w:r w:rsidR="00AF50C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A63AA9C" w14:textId="77777777" w:rsidR="00FF7CD1" w:rsidRPr="00717A5A" w:rsidRDefault="00FF7CD1" w:rsidP="00752F71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Specific code definitions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C9529EB" w14:textId="17978A8C" w:rsidR="00FF7CD1" w:rsidRPr="00717A5A" w:rsidRDefault="00FF7CD1" w:rsidP="00752F71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ICD10 D</w:t>
            </w:r>
            <w:r w:rsidR="00AF50C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x</w:t>
            </w: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1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175F0F7" w14:textId="77777777" w:rsidR="00FF7CD1" w:rsidRPr="00717A5A" w:rsidRDefault="00FF7CD1" w:rsidP="0032667F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Specific code definitions</w:t>
            </w:r>
          </w:p>
        </w:tc>
      </w:tr>
      <w:tr w:rsidR="00FF7CD1" w:rsidRPr="00717A5A" w14:paraId="52C84894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41C6EE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73314</w:t>
            </w:r>
          </w:p>
        </w:tc>
        <w:tc>
          <w:tcPr>
            <w:tcW w:w="3136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794C75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Pathologic fracture of neck of femur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7726F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S72.001A</w:t>
            </w:r>
          </w:p>
        </w:tc>
        <w:tc>
          <w:tcPr>
            <w:tcW w:w="513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B1E419E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Fracture of unspecified part of neck of right femur, initial encounter for closed fracture</w:t>
            </w:r>
          </w:p>
        </w:tc>
      </w:tr>
      <w:tr w:rsidR="00FF7CD1" w:rsidRPr="00717A5A" w14:paraId="43750F1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52B1B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82000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3A6BE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intracapsular section of neck of femur, unspecified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408B22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S72.002A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9267577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Fracture of unspecified part of neck of left femur, initial encounter for closed fracture</w:t>
            </w:r>
          </w:p>
        </w:tc>
      </w:tr>
      <w:tr w:rsidR="00FF7CD1" w:rsidRPr="00717A5A" w14:paraId="1CE8F89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D12D1C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82001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BC951C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epiphysis (separation) (upper)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162D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S72.009A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02880FB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Fracture of unspecified part of neck of unspecified femur, initial encounter for closed fracture</w:t>
            </w:r>
          </w:p>
        </w:tc>
      </w:tr>
      <w:tr w:rsidR="00FF7CD1" w:rsidRPr="00717A5A" w14:paraId="0C59BB60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5DBA3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82002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7DA71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midcervical section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3D132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S72.009C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F1D2679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Fracture of unspecified part of neck of femur unspecified</w:t>
            </w:r>
          </w:p>
        </w:tc>
      </w:tr>
      <w:tr w:rsidR="00FF7CD1" w:rsidRPr="00717A5A" w14:paraId="77993C0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7611AD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82003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90FA17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base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D73D96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S72.011A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9629FCD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Unspecified intracapsular fracture of right femur, initial encounter for closed fracture</w:t>
            </w:r>
          </w:p>
        </w:tc>
      </w:tr>
      <w:tr w:rsidR="00FF7CD1" w:rsidRPr="00717A5A" w14:paraId="3204ECC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A1FB51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82009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33339B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Other closed transcervical fracture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FB1B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S72.012A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C610B8C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Unspecified intracapsular fracture of left femur, initial encounter for closed fracture</w:t>
            </w:r>
          </w:p>
        </w:tc>
      </w:tr>
      <w:tr w:rsidR="00FF7CD1" w:rsidRPr="00717A5A" w14:paraId="5C7B1A6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D4087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82020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A13C87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trochanteric section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9BFDCF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S72.019A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264B4DC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Unspecified intracapsular fracture of unspecified femur, initial encounter for closed fracture</w:t>
            </w:r>
          </w:p>
        </w:tc>
      </w:tr>
      <w:tr w:rsidR="00FF7CD1" w:rsidRPr="00717A5A" w14:paraId="4AA489AE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11AB6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82021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ABFE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intertrochanteric section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804667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8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 S72.021A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2199637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fracture of epiphysis (separation) (upper) of right femur (initial encounter)</w:t>
            </w:r>
          </w:p>
        </w:tc>
      </w:tr>
      <w:tr w:rsidR="00FF7CD1" w:rsidRPr="00717A5A" w14:paraId="2BC68994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42BFEA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82080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93679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unspecified part of neck of femur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B77DB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9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S72.022A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A71D35D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fracture of epiphysis (separation) (upper) of left femur (initial encounter)</w:t>
            </w:r>
          </w:p>
        </w:tc>
      </w:tr>
      <w:tr w:rsidR="00FF7CD1" w:rsidRPr="00717A5A" w14:paraId="551994C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98B0BA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82100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0D817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Closed fracture of femur, NOS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EC265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10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S72.023A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7E486F1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fracture of epiphysis (separation) (upper) of unspecified femur (initial encounter)</w:t>
            </w:r>
          </w:p>
        </w:tc>
      </w:tr>
      <w:tr w:rsidR="00FF7CD1" w:rsidRPr="00717A5A" w14:paraId="00D97D5B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6C9BB6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9E68A9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22098A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11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S72.024A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AD4CD6B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Nondisplaced fracture of epiphysis (separation) (upper) of right femur (initial encounter)</w:t>
            </w:r>
          </w:p>
        </w:tc>
      </w:tr>
      <w:tr w:rsidR="00FF7CD1" w:rsidRPr="00717A5A" w14:paraId="6C38CBA3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ACCB9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7CA5AE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ECECB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12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 S72.025A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9416126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Nondisplaced fracture of epiphysis (separation) (upper) of left femur (initial encounter)</w:t>
            </w:r>
          </w:p>
        </w:tc>
      </w:tr>
      <w:tr w:rsidR="00FF7CD1" w:rsidRPr="00717A5A" w14:paraId="5CFFF67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E92E7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77333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FB56AC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hyperlink r:id="rId13">
              <w:r w:rsidRPr="00717A5A">
                <w:rPr>
                  <w:rFonts w:ascii="Arial" w:eastAsia="Arial" w:hAnsi="Arial" w:cs="Arial"/>
                  <w:sz w:val="16"/>
                  <w:szCs w:val="16"/>
                </w:rPr>
                <w:t>S72.026A</w:t>
              </w:r>
            </w:hyperlink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838FAF3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 xml:space="preserve"> Nondisplaced fracture of epiphysis (separation) (upper) of unspecified femur (initial encounter)</w:t>
            </w:r>
          </w:p>
        </w:tc>
      </w:tr>
      <w:tr w:rsidR="00FF7CD1" w:rsidRPr="00717A5A" w14:paraId="54802C56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04525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98292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62E49E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BE96979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midcervical fracture of right femur, initial encounter for closed fracture</w:t>
            </w:r>
          </w:p>
        </w:tc>
      </w:tr>
      <w:tr w:rsidR="00FF7CD1" w:rsidRPr="00717A5A" w14:paraId="543C6174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31AFDD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49C36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597ED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662B812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midcervical fracture of left femur, initial encounter for closed fracture</w:t>
            </w:r>
          </w:p>
        </w:tc>
      </w:tr>
      <w:tr w:rsidR="00FF7CD1" w:rsidRPr="00717A5A" w14:paraId="0655ED75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7393F5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FD84D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19C196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4247981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midcervical fracture of unspecified femur, unspecified</w:t>
            </w:r>
          </w:p>
        </w:tc>
      </w:tr>
      <w:tr w:rsidR="00FF7CD1" w:rsidRPr="00717A5A" w14:paraId="3475FA62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35FB2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B005D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9BB5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6A3C97F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Nondisplaced midcervical fracture of right femur, initial encounter for closed fracture</w:t>
            </w:r>
          </w:p>
        </w:tc>
      </w:tr>
      <w:tr w:rsidR="00FF7CD1" w:rsidRPr="00717A5A" w14:paraId="3B841338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3550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09AD8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3132FF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57E5B5E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Nondisplaced midcervical fracture of left femur, initial encounter for closed fracture</w:t>
            </w:r>
          </w:p>
        </w:tc>
      </w:tr>
      <w:tr w:rsidR="00FF7CD1" w:rsidRPr="00717A5A" w14:paraId="4EA178F8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E21EAA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F3900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A754A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S72.036A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6726BE1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Nondisplaced midcervical fracture of unspecified femur, initial encounter for closed fracture</w:t>
            </w:r>
          </w:p>
        </w:tc>
      </w:tr>
      <w:tr w:rsidR="00FF7CD1" w:rsidRPr="00717A5A" w14:paraId="7CD3238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AAA0F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D88D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A72534" w14:textId="77777777" w:rsidR="00FF7CD1" w:rsidRPr="00717A5A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S72.041A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94AFCDA" w14:textId="77777777" w:rsidR="00FF7CD1" w:rsidRPr="00717A5A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717A5A">
              <w:rPr>
                <w:rFonts w:ascii="Arial" w:eastAsia="Arial" w:hAnsi="Arial" w:cs="Arial"/>
                <w:sz w:val="16"/>
                <w:szCs w:val="16"/>
              </w:rPr>
              <w:t>Displaced fracture of base of neck of right femur, initial encounter for closed fracture</w:t>
            </w:r>
          </w:p>
        </w:tc>
      </w:tr>
      <w:tr w:rsidR="00FF7CD1" w:rsidRPr="00C811F1" w14:paraId="285A346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0757F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7BD0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ADAB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S72.042A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5960C1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base of neck of left femur, initial encounter for closed fracture</w:t>
            </w:r>
          </w:p>
        </w:tc>
      </w:tr>
      <w:tr w:rsidR="00FF7CD1" w:rsidRPr="00C811F1" w14:paraId="5FA098D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9A3FA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8750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F8B4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S72.043A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A8FF46B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base of neck of unspecified femur, initial encounter for closed fracture</w:t>
            </w:r>
          </w:p>
        </w:tc>
      </w:tr>
      <w:tr w:rsidR="00FF7CD1" w:rsidRPr="00C811F1" w14:paraId="7E4592D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4667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CC95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B3DE3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S72.044A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E611A9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base of neck of right femur, initial encounter for closed fracture</w:t>
            </w:r>
          </w:p>
        </w:tc>
      </w:tr>
      <w:tr w:rsidR="00FF7CD1" w:rsidRPr="00C811F1" w14:paraId="1D3FC12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1FB56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7EDBC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C327D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S72.045A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BDBE07B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base of neck of left femur, initial encounter for closed fracture</w:t>
            </w:r>
          </w:p>
        </w:tc>
      </w:tr>
      <w:tr w:rsidR="00FF7CD1" w:rsidRPr="00C811F1" w14:paraId="4D8D5D4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E2A3C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2E21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9948E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S72.046A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68F9680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base of neck of unspecified femur, initial encounter for closed fracture</w:t>
            </w:r>
          </w:p>
        </w:tc>
      </w:tr>
      <w:tr w:rsidR="00FF7CD1" w:rsidRPr="00C811F1" w14:paraId="0343FED2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0502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F961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3E242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S72.051A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FFEF68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fracture of head of right femur, initial encounter for closed fracture</w:t>
            </w:r>
          </w:p>
        </w:tc>
      </w:tr>
      <w:tr w:rsidR="00FF7CD1" w:rsidRPr="00C811F1" w14:paraId="4B626E96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93821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F2E1A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C8D6E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S72.052A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AEA58EE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fracture of head of left femur, initial encounter for closed fracture</w:t>
            </w:r>
          </w:p>
        </w:tc>
      </w:tr>
      <w:tr w:rsidR="00FF7CD1" w:rsidRPr="00C811F1" w14:paraId="430DC06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95F5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A4C5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1F7BF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S72.059A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6E4D00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fracture of head of unspecified femur, initial encounter for closed fracture</w:t>
            </w:r>
          </w:p>
        </w:tc>
      </w:tr>
      <w:tr w:rsidR="00FF7CD1" w:rsidRPr="00C811F1" w14:paraId="1F6160F4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9B5F9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AE65A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7F0DB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E3EEEF2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articular fracture of head of right femur, initial encounter for closed fracture</w:t>
            </w:r>
          </w:p>
        </w:tc>
      </w:tr>
      <w:tr w:rsidR="00FF7CD1" w:rsidRPr="00C811F1" w14:paraId="30D591E0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13C7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099A8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7A7CF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4191207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articular fracture of head of left femur, initial encounter for closed fracture</w:t>
            </w:r>
          </w:p>
        </w:tc>
      </w:tr>
      <w:tr w:rsidR="00FF7CD1" w:rsidRPr="00C811F1" w14:paraId="00A7CAE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4A177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7308F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B082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EE48AA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articular fracture of head of unspecified femur, initial encounter for closed fracture</w:t>
            </w:r>
          </w:p>
        </w:tc>
      </w:tr>
      <w:tr w:rsidR="00FF7CD1" w:rsidRPr="00C811F1" w14:paraId="20C91C0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2026D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F941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06D2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F483940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articular fracture of head of right femur, initial encounter for closed fracture</w:t>
            </w:r>
          </w:p>
        </w:tc>
      </w:tr>
      <w:tr w:rsidR="00FF7CD1" w:rsidRPr="00C811F1" w14:paraId="44A816D6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45E35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0029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DFF6E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10EED07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articular fracture of head of left femur, initial encounter for closed fracture</w:t>
            </w:r>
          </w:p>
        </w:tc>
      </w:tr>
      <w:tr w:rsidR="00FF7CD1" w:rsidRPr="00C811F1" w14:paraId="249FFC3B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0DBC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7CE29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0DD82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S72.066A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D294DF2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articular fracture of head of unspecified femur, initial encounter for closed fracture</w:t>
            </w:r>
          </w:p>
        </w:tc>
      </w:tr>
      <w:tr w:rsidR="00FF7CD1" w:rsidRPr="00C811F1" w14:paraId="310C3CC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C299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F37A1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A08D9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S72.091A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664B8A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head and neck of right femur, initial encounter for closed fracture</w:t>
            </w:r>
          </w:p>
        </w:tc>
      </w:tr>
      <w:tr w:rsidR="00FF7CD1" w:rsidRPr="00C811F1" w14:paraId="1C7CBED3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855A6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A7B7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F276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S72.092A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BE6489F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head and neck of left femur, initial encounter for closed fracture</w:t>
            </w:r>
          </w:p>
        </w:tc>
      </w:tr>
      <w:tr w:rsidR="00FF7CD1" w:rsidRPr="00C811F1" w14:paraId="274DC2E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16DE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3360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CC7A0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S72.099A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D72C71F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head and neck of unspecified femur, initial encounter for closed fracture</w:t>
            </w:r>
          </w:p>
        </w:tc>
      </w:tr>
      <w:tr w:rsidR="00FF7CD1" w:rsidRPr="00C811F1" w14:paraId="206479F3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3B258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BB7C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666AB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S72.101A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718E05F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trochanteric fracture of right femur, initial encounter for closed fracture</w:t>
            </w:r>
          </w:p>
        </w:tc>
      </w:tr>
      <w:tr w:rsidR="00FF7CD1" w:rsidRPr="00C811F1" w14:paraId="7FA029D5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7262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6FC64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16E51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S72.102A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45F85E3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trochanteric fracture of left femur, initial encounter for closed fracture</w:t>
            </w:r>
          </w:p>
        </w:tc>
      </w:tr>
      <w:tr w:rsidR="00FF7CD1" w:rsidRPr="00C811F1" w14:paraId="7A8C443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71BE7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4152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CD193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S72.109A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04C4F5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trochanteric fracture of unspecified femur, initial encounter for closed fracture</w:t>
            </w:r>
          </w:p>
        </w:tc>
      </w:tr>
      <w:tr w:rsidR="00FF7CD1" w:rsidRPr="00C811F1" w14:paraId="76D8FA45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2312F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9B146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6A6D5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BF165BD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greater trochanter of right femur, initial encounter for closed fracture</w:t>
            </w:r>
          </w:p>
        </w:tc>
      </w:tr>
      <w:tr w:rsidR="00FF7CD1" w:rsidRPr="00C811F1" w14:paraId="4565D1E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06179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3AC5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B726C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B584BEF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greater trochanter of left femur, initial encounter for closed fracture</w:t>
            </w:r>
          </w:p>
        </w:tc>
      </w:tr>
      <w:tr w:rsidR="00FF7CD1" w:rsidRPr="00C811F1" w14:paraId="4939460C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32B96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00660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564BA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EA0C88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greater trochanter of unspecified femur, initial encounter for closed fracture</w:t>
            </w:r>
          </w:p>
        </w:tc>
      </w:tr>
      <w:tr w:rsidR="00FF7CD1" w:rsidRPr="00C811F1" w14:paraId="4897489E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108E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EADB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5B9A6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04029FA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greater trochanter of right femur, initial encounter for closed fracture</w:t>
            </w:r>
          </w:p>
        </w:tc>
      </w:tr>
      <w:tr w:rsidR="00FF7CD1" w:rsidRPr="00C811F1" w14:paraId="683BB192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C9A55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D919E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C3935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8F8B4C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greater trochanter of left femur, initial encounter for closed fracture</w:t>
            </w:r>
          </w:p>
        </w:tc>
      </w:tr>
      <w:tr w:rsidR="00FF7CD1" w:rsidRPr="00C811F1" w14:paraId="29CE08A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81D3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264F8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C6BC5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S72.116A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C3574C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greater trochanter of unspecified femur, initial encounter for closed fracture</w:t>
            </w:r>
          </w:p>
        </w:tc>
      </w:tr>
      <w:tr w:rsidR="00FF7CD1" w:rsidRPr="00C811F1" w14:paraId="12AC834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2DD89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AD30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DD7F0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E5F8CE1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lesser trochanter of right femur, initial encounter for closed fracture</w:t>
            </w:r>
          </w:p>
        </w:tc>
      </w:tr>
      <w:tr w:rsidR="00FF7CD1" w:rsidRPr="00C811F1" w14:paraId="482C4BC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3632E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4CCE5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5DA5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DE7296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lesser trochanter of left femur, initial encounter for closed fracture</w:t>
            </w:r>
          </w:p>
        </w:tc>
      </w:tr>
      <w:tr w:rsidR="00FF7CD1" w:rsidRPr="00C811F1" w14:paraId="407A393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63F8B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48919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0722C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FCE17F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fracture of lesser trochanter of unspecified femur, initial encounter for closed fracture</w:t>
            </w:r>
          </w:p>
        </w:tc>
      </w:tr>
      <w:tr w:rsidR="00FF7CD1" w:rsidRPr="00C811F1" w14:paraId="60E1E653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2E98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F67A8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7384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7C6CE37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lesser trochanter of right femur, initial encounter for closed fracture</w:t>
            </w:r>
          </w:p>
        </w:tc>
      </w:tr>
      <w:tr w:rsidR="00FF7CD1" w:rsidRPr="00C811F1" w14:paraId="27F535C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DEFE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F8F3B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A99C6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BE2D43E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lesser trochanter of left femur, initial encounter for closed fracture</w:t>
            </w:r>
          </w:p>
        </w:tc>
      </w:tr>
      <w:tr w:rsidR="00FF7CD1" w:rsidRPr="00C811F1" w14:paraId="10AD675C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CD25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BCF15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82C1B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S72.126A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74E44AC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fracture of lesser trochanter of unspecified femur, initial encounter for closed fracture</w:t>
            </w:r>
          </w:p>
        </w:tc>
      </w:tr>
      <w:tr w:rsidR="00FF7CD1" w:rsidRPr="00C811F1" w14:paraId="57413373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62E50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9F92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7B69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D858B6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apophyseal fracture of right femur, initial encounter for closed fracture</w:t>
            </w:r>
          </w:p>
        </w:tc>
      </w:tr>
      <w:tr w:rsidR="00FF7CD1" w:rsidRPr="00C811F1" w14:paraId="18222FF5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5F9E7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5007D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49824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2176FA0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apophyseal fracture of left femur, initial encounter for closed fracture</w:t>
            </w:r>
          </w:p>
        </w:tc>
      </w:tr>
      <w:tr w:rsidR="00FF7CD1" w:rsidRPr="00C811F1" w14:paraId="5AAF3256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9693E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B422B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A38ED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2FAB5380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apophyseal fracture of unspecified femur, initial encounter for closed fracture</w:t>
            </w:r>
          </w:p>
        </w:tc>
      </w:tr>
      <w:tr w:rsidR="00FF7CD1" w:rsidRPr="00C811F1" w14:paraId="0C6B20C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2AE91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3D7ED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6A86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CE79C7C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apophyseal fracture of right femur, initial encounter for closed fracture</w:t>
            </w:r>
          </w:p>
        </w:tc>
      </w:tr>
      <w:tr w:rsidR="00FF7CD1" w:rsidRPr="00C811F1" w14:paraId="525CE18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65E1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3AD3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78ADD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3B1AD95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apophyseal fracture of left femur, initial encounter for closed fracture</w:t>
            </w:r>
          </w:p>
        </w:tc>
      </w:tr>
      <w:tr w:rsidR="00FF7CD1" w:rsidRPr="00C811F1" w14:paraId="3B6EDB6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43EA6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854C4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B791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S72.136A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4F022AA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apophyseal fracture of unspecified femur, initial encounter for closed fracture</w:t>
            </w:r>
          </w:p>
        </w:tc>
      </w:tr>
      <w:tr w:rsidR="00FF7CD1" w:rsidRPr="00C811F1" w14:paraId="5AA0663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E2E96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2049F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1674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DA33E7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intertrochanteric fracture of right femur, initial encounter for closed fracture</w:t>
            </w:r>
          </w:p>
        </w:tc>
      </w:tr>
      <w:tr w:rsidR="00FF7CD1" w:rsidRPr="00C811F1" w14:paraId="14EDC14C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7E705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9DA4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7D9F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9E1C27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intertrochanteric fracture of left femur, initial encounter for closed fracture</w:t>
            </w:r>
          </w:p>
        </w:tc>
      </w:tr>
      <w:tr w:rsidR="00FF7CD1" w:rsidRPr="00C811F1" w14:paraId="7128004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1D3C5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0336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2302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85CF4CD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Displaced intertrochanteric fracture of unspecified femur, initial encounter for closed fracture</w:t>
            </w:r>
          </w:p>
        </w:tc>
      </w:tr>
      <w:tr w:rsidR="00FF7CD1" w:rsidRPr="00C811F1" w14:paraId="7D22DDB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9FE9F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0069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9C8D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S72.144A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54AAEDA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intertrochanteric fracture of right femur, initial encounter for closed fracture</w:t>
            </w:r>
          </w:p>
        </w:tc>
      </w:tr>
      <w:tr w:rsidR="00FF7CD1" w:rsidRPr="00C811F1" w14:paraId="153B0A4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A0FE1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F8F6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CD88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S72.145A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BBB8DC7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intertrochanteric fracture of left femur, initial encounter for closed fracture</w:t>
            </w:r>
          </w:p>
        </w:tc>
      </w:tr>
      <w:tr w:rsidR="00FF7CD1" w:rsidRPr="00C811F1" w14:paraId="7105867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06DAF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A983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E13B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S72.146A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7C7A4AE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Nondisplaced intertrochanteric fracture of unspecified femur, initial encounter for closed fracture</w:t>
            </w:r>
          </w:p>
        </w:tc>
      </w:tr>
      <w:tr w:rsidR="00FF7CD1" w:rsidRPr="00C811F1" w14:paraId="5FB1D59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3981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EE415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E374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S72.8X1A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6AB2B8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right femur, initial encounter for closed fracture</w:t>
            </w:r>
          </w:p>
        </w:tc>
      </w:tr>
      <w:tr w:rsidR="00FF7CD1" w:rsidRPr="00C811F1" w14:paraId="5E571121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5C3C9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CC61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94A4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S72.8X2A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3C2AC42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left femur, initial encounter for closed fracture</w:t>
            </w:r>
          </w:p>
        </w:tc>
      </w:tr>
      <w:tr w:rsidR="00FF7CD1" w:rsidRPr="00C811F1" w14:paraId="0EB80D4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8FED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94A45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1869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S72.8X9A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944C7F6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fracture of unspecified femur, initial encounter for closed fracture</w:t>
            </w:r>
          </w:p>
        </w:tc>
      </w:tr>
      <w:tr w:rsidR="00FF7CD1" w:rsidRPr="00C811F1" w14:paraId="6F799A3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2E9C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FA14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4C0CA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S72.91XA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B8DF19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fracture of right femur, initial encounter for closed fracture</w:t>
            </w:r>
          </w:p>
        </w:tc>
      </w:tr>
      <w:tr w:rsidR="00FF7CD1" w:rsidRPr="00C811F1" w14:paraId="6FA846AF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1E664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46AF7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599B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S72.92XA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5A680CE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fracture of left femur, initial encounter for closed fracture</w:t>
            </w:r>
          </w:p>
        </w:tc>
      </w:tr>
      <w:tr w:rsidR="00FF7CD1" w:rsidRPr="00C811F1" w14:paraId="1E4CA8E0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AC9E56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431F5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15F4C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S79.001A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15BEAD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physeal fracture of upper end of right femur, initial encounter for closed fracture</w:t>
            </w:r>
          </w:p>
        </w:tc>
      </w:tr>
      <w:tr w:rsidR="00FF7CD1" w:rsidRPr="00C811F1" w14:paraId="6305AAB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7556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93CA2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BDFD9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S79.002A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7B5C2FA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physeal fracture of upper end of right femur, initial encounter for closed fracture</w:t>
            </w:r>
          </w:p>
        </w:tc>
      </w:tr>
      <w:tr w:rsidR="00FF7CD1" w:rsidRPr="00C811F1" w14:paraId="6685C335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3FE2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EA3B2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EBC29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S79.009A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6953E59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Unspecified physeal fracture of upper end of left femur, initial encounter for closed fracture</w:t>
            </w:r>
          </w:p>
        </w:tc>
      </w:tr>
      <w:tr w:rsidR="00FF7CD1" w:rsidRPr="00C811F1" w14:paraId="2C576576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EB12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F0A6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3EADB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S79.091A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1C9C1ED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physeal fracture of the right upper end of femur, initial encounter for closed fracture</w:t>
            </w:r>
          </w:p>
        </w:tc>
      </w:tr>
      <w:tr w:rsidR="00FF7CD1" w:rsidRPr="00C811F1" w14:paraId="186D45F4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DC2D6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C73BA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47A6E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S79.092A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1DB62E2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physeal fracture of the right upper end of femur, initial encounter for closed fracture</w:t>
            </w:r>
          </w:p>
        </w:tc>
      </w:tr>
      <w:tr w:rsidR="00FF7CD1" w:rsidRPr="00C811F1" w14:paraId="65A1FC29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2170E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5A19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44FCD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S79.099A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7A5906A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physeal fracture of upper end of unspecified femur, initial encounter for closed fracture</w:t>
            </w:r>
          </w:p>
        </w:tc>
      </w:tr>
      <w:tr w:rsidR="00FF7CD1" w:rsidRPr="00C811F1" w14:paraId="5CA84BAE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539FF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2B9B5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F4558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M80.051A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44827AA8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Age</w:t>
            </w:r>
            <w:r w:rsidRPr="00C811F1">
              <w:rPr>
                <w:rFonts w:ascii="Cambria Math" w:eastAsia="Arial" w:hAnsi="Cambria Math" w:cs="Cambria Math"/>
                <w:sz w:val="16"/>
                <w:szCs w:val="16"/>
              </w:rPr>
              <w:t>‐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related osteoporosis with current pathological fracture, right femur, initial encounter</w:t>
            </w:r>
          </w:p>
        </w:tc>
      </w:tr>
      <w:tr w:rsidR="00FF7CD1" w:rsidRPr="00C811F1" w14:paraId="06BDFFED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C4B72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72A3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3B0C4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M80.052A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665284D0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Age</w:t>
            </w:r>
            <w:r w:rsidRPr="00C811F1">
              <w:rPr>
                <w:rFonts w:ascii="Cambria Math" w:eastAsia="Arial" w:hAnsi="Cambria Math" w:cs="Cambria Math"/>
                <w:sz w:val="16"/>
                <w:szCs w:val="16"/>
              </w:rPr>
              <w:t>‐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related osteoporosis with current pathological fracture, left femur, initial encounter</w:t>
            </w:r>
          </w:p>
        </w:tc>
      </w:tr>
      <w:tr w:rsidR="00FF7CD1" w:rsidRPr="00C811F1" w14:paraId="64291A1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0FCAD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5663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8FD44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M80.059A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9CE8DF7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Age-related osteoporosis with current pathological fracture, unspecified femur, initial encounter for fracture</w:t>
            </w:r>
          </w:p>
        </w:tc>
      </w:tr>
      <w:tr w:rsidR="00FF7CD1" w:rsidRPr="00C811F1" w14:paraId="77FB5AEB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ACAA3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9C805E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F575F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M80.851A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0BC043C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osteoporosis with current pathological fracture, right femur, initial encounter for fracture</w:t>
            </w:r>
          </w:p>
        </w:tc>
      </w:tr>
      <w:tr w:rsidR="00FF7CD1" w:rsidRPr="00C811F1" w14:paraId="057A638C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DBE39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68880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F40EA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M80.852A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778A08A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osteoporosis with current pathological fracture, left femur, initial encounter for fracture</w:t>
            </w:r>
          </w:p>
        </w:tc>
      </w:tr>
      <w:tr w:rsidR="00FF7CD1" w:rsidRPr="00C811F1" w14:paraId="52B12C7B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9933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A10535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51C1DB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M80.859A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5F86D549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Other osteoporosis with current pathological fracture, unspecified femur, initial encounter for fracture</w:t>
            </w:r>
          </w:p>
        </w:tc>
      </w:tr>
      <w:tr w:rsidR="00FF7CD1" w:rsidRPr="00C811F1" w14:paraId="19BE94C7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45827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B6B87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FA77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M84.451A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8575759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Pathological fracture, right femur, initial encounter for fracture</w:t>
            </w:r>
          </w:p>
        </w:tc>
      </w:tr>
      <w:tr w:rsidR="00FF7CD1" w:rsidRPr="00C811F1" w14:paraId="42189EAA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5E468C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C541CD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7A2041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M84.452A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8341BBB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Pathological fracture, left femur, initial encounter for fracture</w:t>
            </w:r>
          </w:p>
        </w:tc>
      </w:tr>
      <w:tr w:rsidR="00FF7CD1" w:rsidRPr="00C811F1" w14:paraId="7140F96C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8BAF6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D505D8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DF9D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M84.453A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3F77C803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Pathological fracture, unspecified femur, initial encounter for fracture</w:t>
            </w:r>
          </w:p>
        </w:tc>
      </w:tr>
      <w:tr w:rsidR="00FF7CD1" w:rsidRPr="00C811F1" w14:paraId="50B78BE0" w14:textId="77777777" w:rsidTr="0032667F">
        <w:trPr>
          <w:trHeight w:val="144"/>
        </w:trPr>
        <w:tc>
          <w:tcPr>
            <w:tcW w:w="10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AD985F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B6354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DE8029" w14:textId="77777777" w:rsidR="00FF7CD1" w:rsidRPr="00C811F1" w:rsidRDefault="00FF7CD1" w:rsidP="00752F71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M84.459A</w:t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noWrap/>
            <w:vAlign w:val="center"/>
            <w:hideMark/>
          </w:tcPr>
          <w:p w14:paraId="07E75514" w14:textId="77777777" w:rsidR="00FF7CD1" w:rsidRPr="00C811F1" w:rsidRDefault="00FF7CD1" w:rsidP="0032667F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Pathological fracture, hip, unspecified, initial encounter for fracture</w:t>
            </w:r>
          </w:p>
        </w:tc>
      </w:tr>
    </w:tbl>
    <w:p w14:paraId="33FE9ADD" w14:textId="7D6FE51C" w:rsidR="00E8673C" w:rsidRDefault="00FF7CD1" w:rsidP="00B64307">
      <w:pPr>
        <w:pStyle w:val="EndNoteBibliography"/>
        <w:spacing w:line="480" w:lineRule="auto"/>
        <w:rPr>
          <w:rFonts w:ascii="Times New Roman" w:eastAsia="Arial" w:hAnsi="Times New Roman" w:cs="Times New Roman"/>
          <w:color w:val="000000" w:themeColor="text1"/>
        </w:rPr>
      </w:pPr>
      <w:r w:rsidRPr="005F50DA">
        <w:rPr>
          <w:rFonts w:ascii="Times New Roman" w:eastAsia="Arial" w:hAnsi="Times New Roman" w:cs="Times New Roman"/>
        </w:rPr>
        <w:t xml:space="preserve">Abbreviations: ICD, </w:t>
      </w:r>
      <w:r w:rsidRPr="005F50DA">
        <w:rPr>
          <w:rFonts w:ascii="Times New Roman" w:eastAsia="Arial" w:hAnsi="Times New Roman" w:cs="Times New Roman"/>
          <w:color w:val="000000" w:themeColor="text1"/>
        </w:rPr>
        <w:t>International Classification of Disease.</w:t>
      </w:r>
      <w:r w:rsidR="00AF50C6">
        <w:rPr>
          <w:rFonts w:ascii="Times New Roman" w:eastAsia="Arial" w:hAnsi="Times New Roman" w:cs="Times New Roman"/>
          <w:color w:val="000000" w:themeColor="text1"/>
        </w:rPr>
        <w:t xml:space="preserve"> Dx, diagnosis. </w:t>
      </w:r>
    </w:p>
    <w:p w14:paraId="1AD2754D" w14:textId="77777777" w:rsidR="001C5E5A" w:rsidRDefault="001C5E5A" w:rsidP="001C5E5A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  <w:r w:rsidRPr="005F50DA">
        <w:rPr>
          <w:rFonts w:ascii="Times New Roman" w:eastAsia="Arial" w:hAnsi="Times New Roman" w:cs="Times New Roman"/>
          <w:b/>
          <w:bCs/>
        </w:rPr>
        <w:t xml:space="preserve">Supplemental Figure 1. </w:t>
      </w:r>
      <w:r w:rsidRPr="005F50DA">
        <w:rPr>
          <w:rFonts w:ascii="Times New Roman" w:eastAsia="Arial" w:hAnsi="Times New Roman" w:cs="Times New Roman"/>
        </w:rPr>
        <w:t>Study Design Diagram</w:t>
      </w:r>
      <w:r>
        <w:rPr>
          <w:rFonts w:ascii="Times New Roman" w:eastAsia="Arial" w:hAnsi="Times New Roman" w:cs="Times New Roman"/>
        </w:rPr>
        <w:t xml:space="preserve">. </w:t>
      </w:r>
    </w:p>
    <w:p w14:paraId="67F1CF03" w14:textId="68B4AE69" w:rsidR="001C5E5A" w:rsidRPr="00CF569B" w:rsidRDefault="001C5E5A" w:rsidP="001C5E5A">
      <w:pPr>
        <w:pStyle w:val="EndNoteBibliography"/>
        <w:spacing w:line="480" w:lineRule="auto"/>
        <w:rPr>
          <w:rFonts w:ascii="Times New Roman" w:eastAsia="Arial" w:hAnsi="Times New Roman" w:cs="Times New Roman"/>
          <w:color w:val="000000" w:themeColor="text1"/>
        </w:rPr>
      </w:pPr>
      <w:r>
        <w:rPr>
          <w:rFonts w:ascii="Times New Roman" w:eastAsia="Arial" w:hAnsi="Times New Roman" w:cs="Times New Roman"/>
          <w:noProof/>
          <w:color w:val="000000" w:themeColor="text1"/>
        </w:rPr>
        <w:drawing>
          <wp:inline distT="0" distB="0" distL="0" distR="0" wp14:anchorId="7693EC33" wp14:editId="73FDBC97">
            <wp:extent cx="6223000" cy="3496448"/>
            <wp:effectExtent l="0" t="0" r="0" b="0"/>
            <wp:docPr id="1913241023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241023" name="Picture 1" descr="A diagram of a diagram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5031" cy="349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FDC87" w14:textId="4A5EE7FF" w:rsidR="00C55DC4" w:rsidRPr="001C5E5A" w:rsidRDefault="001C5E5A" w:rsidP="00B64307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  <w:r w:rsidRPr="007851C1">
        <w:rPr>
          <w:rFonts w:ascii="Arial" w:eastAsia="Arial" w:hAnsi="Arial" w:cs="Arial"/>
          <w:vertAlign w:val="superscript"/>
        </w:rPr>
        <w:lastRenderedPageBreak/>
        <w:t>†</w:t>
      </w:r>
      <w:r>
        <w:rPr>
          <w:rFonts w:ascii="Times New Roman" w:eastAsia="Arial" w:hAnsi="Times New Roman" w:cs="Times New Roman"/>
        </w:rPr>
        <w:t xml:space="preserve">Up to 60-day gaps in medical or pharmacy enrollment allowed. </w:t>
      </w:r>
      <w:r w:rsidRPr="007851C1">
        <w:rPr>
          <w:rFonts w:ascii="Arial" w:eastAsia="Arial" w:hAnsi="Arial" w:cs="Arial"/>
          <w:vertAlign w:val="superscript"/>
        </w:rPr>
        <w:t>††</w:t>
      </w:r>
      <w:r>
        <w:rPr>
          <w:rFonts w:ascii="Times New Roman" w:eastAsia="Arial" w:hAnsi="Times New Roman" w:cs="Times New Roman"/>
        </w:rPr>
        <w:t xml:space="preserve">Baseline conditions included: demographics, cohort entry year, lifestyle, diabetes related complications, combined comorbidity score, frailty, score, general comorbidities, other medications, healthcare utilization. </w:t>
      </w:r>
      <w:r w:rsidRPr="007851C1">
        <w:rPr>
          <w:rFonts w:ascii="Arial" w:eastAsia="Arial" w:hAnsi="Arial" w:cs="Arial"/>
          <w:vertAlign w:val="superscript"/>
        </w:rPr>
        <w:t>‡</w:t>
      </w:r>
      <w:r>
        <w:rPr>
          <w:rFonts w:ascii="Times New Roman" w:eastAsia="Arial" w:hAnsi="Times New Roman" w:cs="Times New Roman"/>
        </w:rPr>
        <w:t>Earliest outcome of interest, disenrollment, or end of study period.</w:t>
      </w:r>
    </w:p>
    <w:p w14:paraId="16492500" w14:textId="77777777" w:rsidR="001C5E5A" w:rsidRDefault="001C5E5A" w:rsidP="00B64307">
      <w:pPr>
        <w:pStyle w:val="EndNoteBibliography"/>
        <w:spacing w:line="480" w:lineRule="auto"/>
        <w:rPr>
          <w:rFonts w:ascii="Times New Roman" w:eastAsia="Arial" w:hAnsi="Times New Roman" w:cs="Times New Roman"/>
          <w:b/>
          <w:bCs/>
        </w:rPr>
      </w:pPr>
    </w:p>
    <w:p w14:paraId="09B6342F" w14:textId="0BF6CDFD" w:rsidR="00B64307" w:rsidRPr="00B64307" w:rsidRDefault="00FF7CD1" w:rsidP="00B64307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  <w:r w:rsidRPr="00B32814">
        <w:rPr>
          <w:rFonts w:ascii="Times New Roman" w:eastAsia="Arial" w:hAnsi="Times New Roman" w:cs="Times New Roman"/>
          <w:b/>
          <w:bCs/>
        </w:rPr>
        <w:t>Supplemental Table 2.</w:t>
      </w:r>
      <w:r w:rsidRPr="005F50DA">
        <w:rPr>
          <w:rFonts w:ascii="Times New Roman" w:eastAsia="Arial" w:hAnsi="Times New Roman" w:cs="Times New Roman"/>
        </w:rPr>
        <w:t xml:space="preserve"> </w:t>
      </w:r>
      <w:r w:rsidR="00ED00B7" w:rsidRPr="00063BD7">
        <w:rPr>
          <w:rFonts w:ascii="Times New Roman" w:hAnsi="Times New Roman" w:cs="Times New Roman"/>
        </w:rPr>
        <w:t>International Classification of Disease codes used for outcome assessment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2070"/>
        <w:gridCol w:w="6930"/>
        <w:gridCol w:w="1980"/>
      </w:tblGrid>
      <w:tr w:rsidR="00FF7CD1" w:rsidRPr="00C811F1" w14:paraId="7DBB9583" w14:textId="77777777" w:rsidTr="007E1AA1">
        <w:tc>
          <w:tcPr>
            <w:tcW w:w="2070" w:type="dxa"/>
            <w:shd w:val="clear" w:color="auto" w:fill="D0CECE" w:themeFill="background2" w:themeFillShade="E6"/>
          </w:tcPr>
          <w:p w14:paraId="5F04B299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Primary outcomes</w:t>
            </w:r>
          </w:p>
        </w:tc>
        <w:tc>
          <w:tcPr>
            <w:tcW w:w="6930" w:type="dxa"/>
            <w:shd w:val="clear" w:color="auto" w:fill="D0CECE" w:themeFill="background2" w:themeFillShade="E6"/>
          </w:tcPr>
          <w:p w14:paraId="52446F79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Definition codes</w:t>
            </w:r>
          </w:p>
        </w:tc>
        <w:tc>
          <w:tcPr>
            <w:tcW w:w="1980" w:type="dxa"/>
            <w:shd w:val="clear" w:color="auto" w:fill="D0CECE" w:themeFill="background2" w:themeFillShade="E6"/>
          </w:tcPr>
          <w:p w14:paraId="26755145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Setting / Position</w:t>
            </w:r>
          </w:p>
        </w:tc>
      </w:tr>
      <w:tr w:rsidR="00FF7CD1" w:rsidRPr="00C811F1" w14:paraId="2A372B8F" w14:textId="77777777" w:rsidTr="00512643">
        <w:tc>
          <w:tcPr>
            <w:tcW w:w="2070" w:type="dxa"/>
          </w:tcPr>
          <w:p w14:paraId="2063AD71" w14:textId="77777777" w:rsidR="00FF7CD1" w:rsidRPr="00C811F1" w:rsidRDefault="00FF7CD1" w:rsidP="00512643">
            <w:pPr>
              <w:tabs>
                <w:tab w:val="right" w:pos="1939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Death</w:t>
            </w:r>
            <w:r w:rsidRPr="00C811F1">
              <w:rPr>
                <w:rFonts w:ascii="Arial" w:hAnsi="Arial" w:cs="Arial"/>
                <w:sz w:val="16"/>
                <w:szCs w:val="16"/>
              </w:rPr>
              <w:tab/>
            </w:r>
          </w:p>
        </w:tc>
        <w:tc>
          <w:tcPr>
            <w:tcW w:w="6930" w:type="dxa"/>
          </w:tcPr>
          <w:p w14:paraId="2B017C6D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Vital status - Date of death</w:t>
            </w:r>
          </w:p>
        </w:tc>
        <w:tc>
          <w:tcPr>
            <w:tcW w:w="1980" w:type="dxa"/>
          </w:tcPr>
          <w:p w14:paraId="730F3A29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Patient attribute</w:t>
            </w:r>
          </w:p>
        </w:tc>
      </w:tr>
      <w:tr w:rsidR="00FF7CD1" w:rsidRPr="00C811F1" w14:paraId="67DC91DB" w14:textId="77777777" w:rsidTr="00512643">
        <w:tc>
          <w:tcPr>
            <w:tcW w:w="2070" w:type="dxa"/>
          </w:tcPr>
          <w:p w14:paraId="218EDFBF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Refractures</w:t>
            </w:r>
          </w:p>
          <w:p w14:paraId="012A7137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6930" w:type="dxa"/>
          </w:tcPr>
          <w:p w14:paraId="544601C1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  <w:u w:val="single"/>
              </w:rPr>
              <w:t>Incident Pelvis fractures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, or</w:t>
            </w:r>
          </w:p>
          <w:p w14:paraId="1CBE1A7D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ICD-9 Dx Codes: 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808.0, 808.1, 808.2, 808.42, 808.44, 808.49, 808.51, 808.52, 808.53, 808.54, 808.8, 808.9, 808.3, 808.4, 808.41, 808.43, 808.5, 808.59. </w:t>
            </w:r>
          </w:p>
          <w:p w14:paraId="440AF66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ICD-10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M84.650A, S32.3xxx, S32.4xxx, S32.5xxx, S32.6xxx, S32.8xxx, S32.9xxx, M84.454A.</w:t>
            </w:r>
          </w:p>
          <w:p w14:paraId="739B310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HCPCS Procedure Code: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27193, 27194, 27218, 27220, 27222, 27226, 27227, G0412, G0413, G0415, 27215, 27216, 27217, 27228, 27254, G0414.</w:t>
            </w:r>
          </w:p>
          <w:p w14:paraId="23B46CBA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BBBE23A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  <w:u w:val="single"/>
              </w:rPr>
              <w:t>Incident Hip and femur fractures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, or</w:t>
            </w:r>
          </w:p>
          <w:p w14:paraId="51E2AFEC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ICD-9 Dx Codes: 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733.14, 820.0, 820.09, 820.1, 820.10, 820.12, 820.19, 820.20, 820.21, 820.3, 820.30, 820.31, 820.8, 821, 821.00, 821.01, 821.10, 821.11, 821.21, 821.29, 821.3, 821.32, 733.15, 820, 820.00, 820.01, 820.02, 820.03, 820.11, 820.13, 820.2, 820.22, 820.32, 820.9, 821.0, 821.20, 821.22, 821.23, 821.30, 821.31, 821.33, 821.39.</w:t>
            </w: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0083DD4F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ICD-10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M80.051A, M80.052A, M80.059A, M80.851A, M80.852A, M80.859A, M84.451A, M84.452A, M84.453A, M84.459A, M84.651A, M84.652A, M84.653A, M84.659A, M84.750A, M84.751A, M84.752A, M84.753A, M84.754A, M84.755A, M84.756A, M84.757A, M84.758A, M84.759A, S72.0xxx, S72.1xxx, S72.2xxx, S72.3xxx, S72.4xxx, S72.8xxx, S72.9xxx,</w:t>
            </w:r>
          </w:p>
          <w:p w14:paraId="5DCDDABE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HCPCS Procedure Code: 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27125, 27130, 27220, 27222, 27226, 27227, 27230, 27238, 27240, 27244, 27248, 27269, 27500, 27506, 27509, 27511, 27513, 27514, 27228, 27232, 27235, 27236, 27245, 27246, 27254, 27267, 27268, 27501, 27502, 27503, 27507, 27508, 27510.</w:t>
            </w: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3D4D89F6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ICD-10 Procedure Code: 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0QH6xxx, 0QH7xxx, 0QH8xxx, 0QH9xxx, 0QHB0xx, 0QHB3xx, 0QHB4xx, 0QHC0xx, 0QHC3xx, 0QHC4xx, 0QR6xxx, 0QR7xxx, 0QS6xxx, 0QS7xxx, 0QS8xxx, 0QS9xxx, 0QSB0xx, 0QSB3xx, 0QSB4xx, 0QSBXxx, 0QSC0xx, 0QSC3xx, 0QSC4xx. </w:t>
            </w:r>
          </w:p>
          <w:p w14:paraId="62B266A0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7117F42B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  <w:u w:val="single"/>
              </w:rPr>
              <w:t>Incident Humerus fractures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, or</w:t>
            </w:r>
          </w:p>
          <w:p w14:paraId="3EFF12FA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ICD-9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812.00, 812.01, 812.03, 812.1, 812.10, 812.12, 812.2, 812.20, 812.21, 812.3, 812.30, 812.4, 812.40, 812.42, 812.50, 812.52, 812.53, 812.59, 733.11, 812.0, 812.02, 812.09, 812.11, 812.13, 812.19, 812.31, 812.41, 812.43, 812.44, 812.49, 812.5, 812.51, 812.54. </w:t>
            </w:r>
          </w:p>
          <w:p w14:paraId="5A87D650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ICD-10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M80.021A, M80.022A, M80.029A, M80.829A, M84.421A, M84.422A, M84.429A, M84.622A, M84.629A,</w:t>
            </w:r>
            <w:r w:rsidRPr="00C811F1">
              <w:rPr>
                <w:rFonts w:ascii="Arial" w:eastAsia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>M80.821A, M80.822A, M84.621A, S42.2xxx, S42.3xxx, S42.4xxx, S42.9xxx.</w:t>
            </w:r>
          </w:p>
          <w:p w14:paraId="28359E92" w14:textId="77777777" w:rsidR="00FF7CD1" w:rsidRPr="00C811F1" w:rsidRDefault="00FF7CD1" w:rsidP="00512643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HCPCS Procedure Codes</w:t>
            </w:r>
            <w:r w:rsidRPr="00C811F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:</w:t>
            </w:r>
            <w:r w:rsidRPr="00C811F1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C811F1">
              <w:rPr>
                <w:rFonts w:ascii="Arial" w:eastAsia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23500, 23600, 23605, 23616, 23630, 23665, 23670, 23675, 23680, 24505, 24515, 24530, 24546, 24560, 24577, 24579, 24586, 23505, 23515, 23615, 23620, 23625, 24500, 24516, 24535, 24538, 24545, 24565, 24566, 24575, 24576, 24582, 24587. </w:t>
            </w:r>
          </w:p>
          <w:p w14:paraId="2C1102E9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  <w:shd w:val="clear" w:color="auto" w:fill="FFFFFF"/>
              </w:rPr>
              <w:t>ICD-10 Procedure Codes:</w:t>
            </w:r>
            <w:r w:rsidRPr="00C811F1">
              <w:rPr>
                <w:rFonts w:ascii="Arial" w:eastAsia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0PHCxxx, 0PHDxxx, 0PHFxxx, 0PHGxxx, 0PSCxxx, 0PSDxxx, 0PSFxxx, 0PSGxxx, 0PBDxxx. </w:t>
            </w:r>
          </w:p>
          <w:p w14:paraId="23A95D2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3670645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  <w:u w:val="single"/>
              </w:rPr>
              <w:t>Incident Radius and Ulna fractures</w:t>
            </w:r>
          </w:p>
          <w:p w14:paraId="126856E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ICD-9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733.12, 813.0, 813.02, 813.03, 813.04, 813.07, 813.1, 813.12, 813.13, 813.17, 813.18, 813.20, 813.22, 813.30, 813.32, 813.4, 813.40, 813.44, 813.50, 813.51, 813.52, 813.54, 813.8, 813.82, 813.00, 813.01, 813.05, 813.06, 813.08, 813.10, 813.11, 813.14, 813.15, 813.16, 813.2, 813.21, 813.23, 813.3, 813.31, 813.33, 813.41, 813.42, 813.43, 813.5, 813.53, 813.80, 813.81, 813.83, 813.9, 813.90, 813.91, 813.92, 813.93. </w:t>
            </w:r>
          </w:p>
          <w:p w14:paraId="47DA29CA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lastRenderedPageBreak/>
              <w:t>ICD-10 Dx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M80.031A, M80.032A, M80.039A, M84.432A, M84.431A, M84.433A, M84.434A, M84.439A, M84.631A, M84.632A, M84.633A, M84.634A, M84.639A, M80.831A, M80.832A M80.839A, S52.0xxx, S52.1xxx, S52.2xxx, S52.3xxx, S52.5xxx, S52.6xxx, S52.9xxx. </w:t>
            </w:r>
          </w:p>
          <w:p w14:paraId="178216BB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HCPCS Procedure Codes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: 24586, 24620, 24650, 24665, 24666, 24675, 24685, 25500, 25505, 25525, 25530, 25535, 25565, 25607, 25651, 25652, 24587, 24635, 24655, 24670, 25515, 25520, 25526, 25545, 25560, 25574, 25575, 25600, 25605, 25606, 25608, 25609, 25611, 25620, 25650. </w:t>
            </w:r>
          </w:p>
          <w:p w14:paraId="74AED06F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ICD-9 Procedure code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: 78.53, 79.12, 79.32, 79.02, 79.22, 79.62. </w:t>
            </w:r>
          </w:p>
          <w:p w14:paraId="717F1D9E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ICD-10 Procedure codes: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0PHHxxx, 0PHJxxx, 0PHKxxx, 0PHLxxx, 0PSHxxx, 0PSJxxx, 0PSKxxx, 0PSLxxx. </w:t>
            </w:r>
          </w:p>
          <w:p w14:paraId="34A03AC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01FC7C7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4E3F2789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3A5117">
              <w:rPr>
                <w:rFonts w:ascii="Arial" w:eastAsia="Arial" w:hAnsi="Arial" w:cs="Arial"/>
                <w:sz w:val="16"/>
                <w:szCs w:val="16"/>
              </w:rPr>
              <w:lastRenderedPageBreak/>
              <w:t>Event combination: *Inpatient_Diagnosis code primary position, or *Inpatient_Diagnosis code secondary position, or *Outpatient_Diagnosis code with overlap procedure code event.</w:t>
            </w:r>
          </w:p>
        </w:tc>
      </w:tr>
      <w:tr w:rsidR="00FF7CD1" w:rsidRPr="00C811F1" w14:paraId="6DF4F022" w14:textId="77777777" w:rsidTr="007E1AA1">
        <w:tc>
          <w:tcPr>
            <w:tcW w:w="2070" w:type="dxa"/>
            <w:shd w:val="clear" w:color="auto" w:fill="D0CECE" w:themeFill="background2" w:themeFillShade="E6"/>
          </w:tcPr>
          <w:p w14:paraId="13D45C4C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Secondary Outcome</w:t>
            </w:r>
          </w:p>
        </w:tc>
        <w:tc>
          <w:tcPr>
            <w:tcW w:w="6930" w:type="dxa"/>
            <w:shd w:val="clear" w:color="auto" w:fill="D0CECE" w:themeFill="background2" w:themeFillShade="E6"/>
          </w:tcPr>
          <w:p w14:paraId="54E58C00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Definition codes</w:t>
            </w:r>
          </w:p>
        </w:tc>
        <w:tc>
          <w:tcPr>
            <w:tcW w:w="1980" w:type="dxa"/>
            <w:shd w:val="clear" w:color="auto" w:fill="D0CECE" w:themeFill="background2" w:themeFillShade="E6"/>
          </w:tcPr>
          <w:p w14:paraId="0538C547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Setting / Position</w:t>
            </w:r>
          </w:p>
        </w:tc>
      </w:tr>
      <w:tr w:rsidR="00FF7CD1" w:rsidRPr="00C811F1" w14:paraId="37FE740A" w14:textId="77777777" w:rsidTr="00512643">
        <w:tc>
          <w:tcPr>
            <w:tcW w:w="2070" w:type="dxa"/>
          </w:tcPr>
          <w:p w14:paraId="68AD4328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Dual-energy x-ray absorptiometry (DXA) bone mineral density test</w:t>
            </w:r>
          </w:p>
        </w:tc>
        <w:tc>
          <w:tcPr>
            <w:tcW w:w="6930" w:type="dxa"/>
          </w:tcPr>
          <w:p w14:paraId="59F64AA5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-9 / ICD-10 Procedure Code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: 88.98, BR07ZZ1, BP49ZZ1, BQ00ZZ1, BP4HZZ1, BP4LZZ1, BP4MZZ1, BP4NZZ1, BP48ZZ1, BP4GZZ1, BQ03ZZ1, BR09ZZ1, BP4PZZ1, BQ01ZZ1, BQ04ZZ1, BR00ZZ1, BR0GZZ1. </w:t>
            </w:r>
          </w:p>
          <w:p w14:paraId="589A721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381871AA" w14:textId="77777777" w:rsidR="00FF7CD1" w:rsidRPr="00C811F1" w:rsidRDefault="00FF7CD1" w:rsidP="00512643">
            <w:pP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HCPCS Procedure Code: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76076, 76977, 76075, 76070, G0130, 0508T, 0554T, 0555T, 0556T, 0557T, 77078, 77079, 77080, 77081, 77083, 77085, 77086, 78350, 78351</w:t>
            </w:r>
          </w:p>
          <w:p w14:paraId="1CCD6A44" w14:textId="77777777" w:rsidR="00FF7CD1" w:rsidRPr="00C811F1" w:rsidRDefault="00FF7CD1" w:rsidP="00512643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</w:tcPr>
          <w:p w14:paraId="0F726E93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Inpatient</w:t>
            </w:r>
          </w:p>
          <w:p w14:paraId="3408B5E6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Outpatient</w:t>
            </w:r>
          </w:p>
          <w:p w14:paraId="4D3710BF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Carrier Claims</w:t>
            </w:r>
          </w:p>
          <w:p w14:paraId="548A4135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56F4759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Any position</w:t>
            </w:r>
          </w:p>
          <w:p w14:paraId="7B4F9B1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FF7CD1" w:rsidRPr="00C811F1" w14:paraId="7E340346" w14:textId="77777777" w:rsidTr="00512643">
        <w:tc>
          <w:tcPr>
            <w:tcW w:w="2070" w:type="dxa"/>
          </w:tcPr>
          <w:p w14:paraId="37B668A5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Osteoporosis medication </w:t>
            </w:r>
          </w:p>
          <w:p w14:paraId="6BD94094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088F6847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(Specific drugs, monoclonal antibody, bisphosphonates, estrogen receptor modulators, PTH analogs, and other medications.) </w:t>
            </w:r>
          </w:p>
        </w:tc>
        <w:tc>
          <w:tcPr>
            <w:tcW w:w="6930" w:type="dxa"/>
          </w:tcPr>
          <w:p w14:paraId="00A01EA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NDC Generic Name: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19C56CC7" w14:textId="77777777" w:rsidR="00FF7CD1" w:rsidRPr="00C811F1" w:rsidRDefault="00FF7CD1" w:rsidP="00FF7CD1">
            <w:pPr>
              <w:pStyle w:val="ListParagraph"/>
              <w:widowControl w:val="0"/>
              <w:numPr>
                <w:ilvl w:val="0"/>
                <w:numId w:val="3"/>
              </w:numPr>
              <w:ind w:firstLine="48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ZOLEDRONIC ACID, </w:t>
            </w:r>
          </w:p>
          <w:p w14:paraId="45EABBED" w14:textId="77777777" w:rsidR="00FF7CD1" w:rsidRPr="00C811F1" w:rsidRDefault="00FF7CD1" w:rsidP="00FF7CD1">
            <w:pPr>
              <w:pStyle w:val="ListParagraph"/>
              <w:widowControl w:val="0"/>
              <w:numPr>
                <w:ilvl w:val="0"/>
                <w:numId w:val="3"/>
              </w:numPr>
              <w:ind w:firstLine="48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ZOLEDRONIC ACID IN MANNITOL AND 0.9 % SODIUM CHLORIDE, </w:t>
            </w:r>
          </w:p>
          <w:p w14:paraId="593849D3" w14:textId="77777777" w:rsidR="00FF7CD1" w:rsidRPr="00C811F1" w:rsidRDefault="00FF7CD1" w:rsidP="00FF7CD1">
            <w:pPr>
              <w:pStyle w:val="ListParagraph"/>
              <w:widowControl w:val="0"/>
              <w:numPr>
                <w:ilvl w:val="0"/>
                <w:numId w:val="3"/>
              </w:numPr>
              <w:ind w:firstLine="48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ZOLEDRONIC ACID IN MANNITOL AND WATER FOR INJECTION, </w:t>
            </w:r>
          </w:p>
          <w:p w14:paraId="5F751A30" w14:textId="77777777" w:rsidR="00FF7CD1" w:rsidRPr="00C811F1" w:rsidRDefault="00FF7CD1" w:rsidP="00FF7CD1">
            <w:pPr>
              <w:pStyle w:val="ListParagraph"/>
              <w:widowControl w:val="0"/>
              <w:numPr>
                <w:ilvl w:val="0"/>
                <w:numId w:val="3"/>
              </w:numPr>
              <w:ind w:firstLine="480"/>
              <w:jc w:val="both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DENOSUMAB</w:t>
            </w:r>
          </w:p>
          <w:p w14:paraId="2A7A8AEA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ALENDRONATE SODIUM</w:t>
            </w:r>
          </w:p>
          <w:p w14:paraId="3A3006EE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ALENDRONATE SODIUM/CHOLECALCIFEROL (VITAMIN D3)</w:t>
            </w:r>
          </w:p>
          <w:p w14:paraId="5F869CB8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IBANDRONATE SODIUM</w:t>
            </w:r>
          </w:p>
          <w:p w14:paraId="4A372AE4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PAMIDRONATE DISODIUM</w:t>
            </w:r>
          </w:p>
          <w:p w14:paraId="417543D2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RISEDRONATE SODIUM</w:t>
            </w:r>
          </w:p>
          <w:p w14:paraId="4AB7A4B5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RISEDRONATE SODIUM/CALCIUM CARBONATE</w:t>
            </w:r>
          </w:p>
          <w:p w14:paraId="0236904B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ZOLEDRONIC ACID</w:t>
            </w:r>
          </w:p>
          <w:p w14:paraId="024A4D3D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ZOLEDRONIC ACID IN MANNITOL AND 0.9 % SODIUM CHLORIDE</w:t>
            </w:r>
          </w:p>
          <w:p w14:paraId="7781D548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ZOLEDRONIC ACID IN MANNITOL AND WATER FOR INJECTION</w:t>
            </w:r>
          </w:p>
          <w:p w14:paraId="4AE01DDE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RALOXIFENE HCL</w:t>
            </w:r>
          </w:p>
          <w:p w14:paraId="12E6A372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ABALOPARATIDE</w:t>
            </w:r>
          </w:p>
          <w:p w14:paraId="3518FF11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TERIPARATIDE</w:t>
            </w:r>
          </w:p>
          <w:p w14:paraId="1AFE00ED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CALCITONIN, SALMON, SYNTHETIC</w:t>
            </w:r>
          </w:p>
          <w:p w14:paraId="1D763E18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ETIDRONATE DISODIUM</w:t>
            </w:r>
          </w:p>
          <w:p w14:paraId="5C38E8D2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ROMOSOZUMAB-AQQG</w:t>
            </w:r>
          </w:p>
          <w:p w14:paraId="0E48B2C8" w14:textId="77777777" w:rsidR="00FF7CD1" w:rsidRPr="00C811F1" w:rsidRDefault="00FF7CD1" w:rsidP="00FF7CD1">
            <w:pPr>
              <w:numPr>
                <w:ilvl w:val="0"/>
                <w:numId w:val="3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TILUDRONATE DISODIUM</w:t>
            </w:r>
          </w:p>
          <w:p w14:paraId="15FF6B1D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NDC Brand Name: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Prolia, Reclast</w:t>
            </w:r>
          </w:p>
          <w:p w14:paraId="02BD03D1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ICD-9 / ICD-10 Dx Codes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: V07.51, Z79.810 </w:t>
            </w:r>
          </w:p>
          <w:p w14:paraId="284818F5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b/>
                <w:bCs/>
                <w:sz w:val="16"/>
                <w:szCs w:val="16"/>
              </w:rPr>
              <w:t>HCPCS Procedure Code:</w:t>
            </w: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 J0897, J1740, J2430, J3489, J3110, J0630, J1436, J3111 </w:t>
            </w:r>
          </w:p>
          <w:p w14:paraId="70F2330A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14:paraId="169CF4C8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Drug</w:t>
            </w:r>
          </w:p>
          <w:p w14:paraId="1E6750B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Outpatient</w:t>
            </w:r>
          </w:p>
          <w:p w14:paraId="7C90F8FC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Carrier Claims</w:t>
            </w:r>
          </w:p>
          <w:p w14:paraId="60ACE0B1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</w:p>
          <w:p w14:paraId="6334DDF6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Any position</w:t>
            </w:r>
          </w:p>
        </w:tc>
      </w:tr>
      <w:tr w:rsidR="00FF7CD1" w:rsidRPr="00C811F1" w14:paraId="0C4E2BA0" w14:textId="77777777" w:rsidTr="00512643">
        <w:tc>
          <w:tcPr>
            <w:tcW w:w="2070" w:type="dxa"/>
          </w:tcPr>
          <w:p w14:paraId="2C6E9DA0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 xml:space="preserve">Low SES: Dual status code (with Medicaid) </w:t>
            </w:r>
          </w:p>
        </w:tc>
        <w:tc>
          <w:tcPr>
            <w:tcW w:w="6930" w:type="dxa"/>
          </w:tcPr>
          <w:p w14:paraId="2AA1CD15" w14:textId="77777777" w:rsidR="00FF7CD1" w:rsidRPr="00C811F1" w:rsidRDefault="00FF7CD1" w:rsidP="00512643">
            <w:pPr>
              <w:pStyle w:val="NormalWeb"/>
              <w:shd w:val="clear" w:color="auto" w:fill="FFFFFF" w:themeFill="background1"/>
              <w:spacing w:before="0" w:beforeAutospacing="0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This measure dichotomizes </w:t>
            </w:r>
            <w:hyperlink r:id="rId15">
              <w:r w:rsidRPr="00C811F1">
                <w:rPr>
                  <w:rStyle w:val="Strong"/>
                  <w:rFonts w:ascii="Arial" w:eastAsia="Arial" w:hAnsi="Arial" w:cs="Arial"/>
                  <w:sz w:val="16"/>
                  <w:szCs w:val="16"/>
                </w:rPr>
                <w:t>Dual Status Code</w:t>
              </w:r>
            </w:hyperlink>
            <w:r w:rsidRPr="00C811F1">
              <w:rPr>
                <w:rFonts w:ascii="Arial" w:eastAsia="Arial" w:hAnsi="Arial" w:cs="Arial"/>
                <w:sz w:val="16"/>
                <w:szCs w:val="16"/>
              </w:rPr>
              <w:t> to be true for the following values:</w:t>
            </w:r>
          </w:p>
          <w:p w14:paraId="1C455CD2" w14:textId="77777777" w:rsidR="00FF7CD1" w:rsidRPr="00C811F1" w:rsidRDefault="00FF7CD1" w:rsidP="00FF7CD1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02 = QMB and full Medicaid coverage, including prescription drugs</w:t>
            </w:r>
          </w:p>
          <w:p w14:paraId="2C06B4FD" w14:textId="77777777" w:rsidR="00FF7CD1" w:rsidRPr="00C811F1" w:rsidRDefault="00FF7CD1" w:rsidP="00FF7CD1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03 = Specified Low-Income Medicare Beneficiary (SLMB)-only</w:t>
            </w:r>
          </w:p>
          <w:p w14:paraId="185A1971" w14:textId="77777777" w:rsidR="00FF7CD1" w:rsidRPr="00C811F1" w:rsidRDefault="00FF7CD1" w:rsidP="00FF7CD1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04 = SLMB and full Medicaid coverage, including prescription drugs</w:t>
            </w:r>
          </w:p>
          <w:p w14:paraId="538EBB1F" w14:textId="77777777" w:rsidR="00FF7CD1" w:rsidRPr="00C811F1" w:rsidRDefault="00FF7CD1" w:rsidP="00FF7CD1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08 = Other dual eligible (not QMB, SLMB, QWDI, or QI) with full Medicaid coverage, including prescription drugs.</w:t>
            </w:r>
          </w:p>
        </w:tc>
        <w:tc>
          <w:tcPr>
            <w:tcW w:w="1980" w:type="dxa"/>
          </w:tcPr>
          <w:p w14:paraId="25AD8182" w14:textId="77777777" w:rsidR="00FF7CD1" w:rsidRPr="00C811F1" w:rsidRDefault="00FF7CD1" w:rsidP="00512643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C811F1">
              <w:rPr>
                <w:rFonts w:ascii="Arial" w:eastAsia="Arial" w:hAnsi="Arial" w:cs="Arial"/>
                <w:sz w:val="16"/>
                <w:szCs w:val="16"/>
              </w:rPr>
              <w:t>Patient Attribute</w:t>
            </w:r>
          </w:p>
        </w:tc>
      </w:tr>
    </w:tbl>
    <w:p w14:paraId="2DEC52F9" w14:textId="77777777" w:rsidR="00FF7CD1" w:rsidRDefault="00FF7CD1" w:rsidP="00FF7CD1">
      <w:pPr>
        <w:pStyle w:val="EndNoteBibliography"/>
        <w:spacing w:line="480" w:lineRule="auto"/>
        <w:rPr>
          <w:rFonts w:ascii="Times New Roman" w:eastAsia="Arial" w:hAnsi="Times New Roman" w:cs="Times New Roman"/>
        </w:rPr>
      </w:pPr>
      <w:r w:rsidRPr="005F50DA">
        <w:rPr>
          <w:rFonts w:ascii="Times New Roman" w:eastAsia="Arial" w:hAnsi="Times New Roman" w:cs="Times New Roman"/>
        </w:rPr>
        <w:t xml:space="preserve">Abbreviations: ICD, </w:t>
      </w:r>
      <w:r w:rsidRPr="005F50DA">
        <w:rPr>
          <w:rFonts w:ascii="Times New Roman" w:eastAsia="Arial" w:hAnsi="Times New Roman" w:cs="Times New Roman"/>
          <w:color w:val="000000" w:themeColor="text1"/>
        </w:rPr>
        <w:t xml:space="preserve">International Classification of Disease; </w:t>
      </w:r>
      <w:r w:rsidRPr="005F50DA">
        <w:rPr>
          <w:rFonts w:ascii="Times New Roman" w:eastAsia="Arial" w:hAnsi="Times New Roman" w:cs="Times New Roman"/>
        </w:rPr>
        <w:t>HCPCS,</w:t>
      </w:r>
      <w:r w:rsidRPr="005F50DA">
        <w:rPr>
          <w:rFonts w:ascii="Times New Roman" w:hAnsi="Times New Roman" w:cs="Times New Roman"/>
        </w:rPr>
        <w:t xml:space="preserve"> </w:t>
      </w:r>
      <w:r w:rsidRPr="005F50DA">
        <w:rPr>
          <w:rFonts w:ascii="Times New Roman" w:eastAsia="Arial" w:hAnsi="Times New Roman" w:cs="Times New Roman"/>
        </w:rPr>
        <w:t>Healthcare Common Procedure Coding System; Dx, diagnosis;</w:t>
      </w:r>
      <w:r w:rsidRPr="005F50DA">
        <w:rPr>
          <w:rFonts w:ascii="Times New Roman" w:hAnsi="Times New Roman" w:cs="Times New Roman"/>
        </w:rPr>
        <w:t xml:space="preserve"> PTH, parathyroid hormone; </w:t>
      </w:r>
      <w:r w:rsidRPr="005F50DA">
        <w:rPr>
          <w:rFonts w:ascii="Times New Roman" w:eastAsia="Arial" w:hAnsi="Times New Roman" w:cs="Times New Roman"/>
        </w:rPr>
        <w:t xml:space="preserve">NDC, National Drug Code; SES, socioeconomic status; QMB, Qualified Medicare Beneficiary; SLMB, Specified </w:t>
      </w:r>
      <w:r w:rsidRPr="005F50DA">
        <w:rPr>
          <w:rFonts w:ascii="Times New Roman" w:eastAsia="Arial" w:hAnsi="Times New Roman" w:cs="Times New Roman"/>
        </w:rPr>
        <w:lastRenderedPageBreak/>
        <w:t>Low-Income Medicare Beneficiary; QWDI, Qualified Disabled Working Individuals; QI, Qualifying Individual.</w:t>
      </w:r>
    </w:p>
    <w:p w14:paraId="321E3F27" w14:textId="77777777" w:rsidR="00E25C39" w:rsidRDefault="00E25C39" w:rsidP="00FF7CD1">
      <w:pPr>
        <w:rPr>
          <w:rFonts w:eastAsia="Arial"/>
          <w:b/>
          <w:bCs/>
          <w:noProof/>
        </w:rPr>
      </w:pPr>
    </w:p>
    <w:p w14:paraId="0809706B" w14:textId="5DF945C0" w:rsidR="00FF7CD1" w:rsidRPr="00FF7CD1" w:rsidRDefault="00FF7CD1" w:rsidP="00FF7CD1">
      <w:pPr>
        <w:rPr>
          <w:rFonts w:ascii="Arial" w:eastAsia="Arial" w:hAnsi="Arial" w:cs="Arial"/>
          <w:b/>
          <w:bCs/>
          <w:noProof/>
          <w:sz w:val="20"/>
          <w:szCs w:val="20"/>
        </w:rPr>
      </w:pPr>
      <w:r w:rsidRPr="0055588B">
        <w:rPr>
          <w:rFonts w:eastAsia="Arial"/>
          <w:b/>
          <w:bCs/>
          <w:noProof/>
        </w:rPr>
        <w:t xml:space="preserve">Supplemental Table </w:t>
      </w:r>
      <w:r w:rsidR="00393AD9">
        <w:rPr>
          <w:rFonts w:eastAsia="Arial"/>
          <w:b/>
          <w:bCs/>
          <w:noProof/>
        </w:rPr>
        <w:t>3</w:t>
      </w:r>
      <w:r w:rsidRPr="0055588B">
        <w:rPr>
          <w:rFonts w:eastAsia="Arial"/>
          <w:b/>
          <w:bCs/>
          <w:noProof/>
        </w:rPr>
        <w:t xml:space="preserve">. </w:t>
      </w:r>
      <w:r w:rsidRPr="0055588B">
        <w:rPr>
          <w:rFonts w:eastAsia="Arial"/>
          <w:noProof/>
        </w:rPr>
        <w:t>Complete Patient Demographics</w:t>
      </w:r>
    </w:p>
    <w:tbl>
      <w:tblPr>
        <w:tblW w:w="11070" w:type="dxa"/>
        <w:tblInd w:w="-8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2"/>
        <w:gridCol w:w="1568"/>
        <w:gridCol w:w="1460"/>
        <w:gridCol w:w="1420"/>
        <w:gridCol w:w="1426"/>
        <w:gridCol w:w="1409"/>
        <w:gridCol w:w="1575"/>
      </w:tblGrid>
      <w:tr w:rsidR="00FF7CD1" w:rsidRPr="00216592" w14:paraId="66C6FC2B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D2A6680" w14:textId="77777777" w:rsidR="00FF7CD1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</w:p>
          <w:p w14:paraId="0EAB2E18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Population Characteristics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814104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All Patients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4C17187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Asian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C2CF39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Black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3893CB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Hispanic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2EA60E5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Native American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493D7B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White</w:t>
            </w:r>
          </w:p>
        </w:tc>
      </w:tr>
      <w:tr w:rsidR="00FF7CD1" w:rsidRPr="00216592" w14:paraId="3066F25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AC4DE0D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Number (%) or Mean (SD)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D87902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159,699 (100%)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4B23D0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3,479 (2.2%)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4DCF29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8,850 (5.5%)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B526C2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4,486 (2.8%)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40C1F4F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1,177 (0.7%)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019FF6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139,098 (87.1%)</w:t>
            </w:r>
          </w:p>
        </w:tc>
      </w:tr>
      <w:tr w:rsidR="00FF7CD1" w:rsidRPr="00216592" w14:paraId="4C8D51E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86D00F2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Age,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8CA4D5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81.8 (8.0)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40594D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83.1 (7.9)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52ACEB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80.9 (8.6)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6495CE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83.2 (8.3)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77E180F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79.0 (7.6)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B6DC0E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81.9 (8.0)</w:t>
            </w:r>
          </w:p>
        </w:tc>
      </w:tr>
      <w:tr w:rsidR="00FF7CD1" w:rsidRPr="00216592" w14:paraId="6B3A43C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48AEBEB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Age categories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08985A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6D8B44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289D20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C4A36B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622204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63C880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FF7CD1" w:rsidRPr="00216592" w14:paraId="6B69EB6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3547636A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66 - 69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EBDBAD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12,691 (7.9%)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FB5A21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217 (6.2%)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6176FD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1,018 (11.5%)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C29989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326 (7.3%)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2D0AA4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160 (13.6%)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A207D0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10,574 (7.6%)</w:t>
            </w:r>
          </w:p>
        </w:tc>
      </w:tr>
      <w:tr w:rsidR="00FF7CD1" w:rsidRPr="00216592" w14:paraId="7CFA166B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5977FE05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70 - 74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B58E38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21,509 (13.5%)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C1E7AF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373 (10.7%)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860B23F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1,357 (15.3%)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0A2E42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508 (11.3%)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41811D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187 (15.9%)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A709B1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18,662 (13.4%)</w:t>
            </w:r>
          </w:p>
        </w:tc>
      </w:tr>
      <w:tr w:rsidR="00FF7CD1" w:rsidRPr="00216592" w14:paraId="60AB6C71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213B0401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75 - 79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0155B0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27,424 (17.2%)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E51EC0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520 (14.9%)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7D83297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1,534 (17.3%)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C199C4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622 (13.9%)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D8E20D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261 (22.2%)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08DF2E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24,057 (17.3%)</w:t>
            </w:r>
          </w:p>
        </w:tc>
      </w:tr>
      <w:tr w:rsidR="00FF7CD1" w:rsidRPr="00216592" w14:paraId="22B5E10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2B6C0890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80 - 84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A9155A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33,357 (20.9%)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48EC8B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724 (20.8%)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4B8174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1,738 (19.6%)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56130F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806 (18.0%)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C9F71F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271 (23.0%)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BE386C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29,288 (21.1%)</w:t>
            </w:r>
          </w:p>
        </w:tc>
      </w:tr>
      <w:tr w:rsidR="00FF7CD1" w:rsidRPr="00216592" w14:paraId="482D8A84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36876D04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≥ 85 yr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46DFC4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64,718 (40.5%)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A73469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1,645 (47.3%)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3680E2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3,203 (36.2%)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9F405A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2,224 (49.6%)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18A7BF7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298 (25.3%)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8C27C7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56,517 (40.6%)</w:t>
            </w:r>
          </w:p>
        </w:tc>
      </w:tr>
      <w:tr w:rsidR="00FF7CD1" w:rsidRPr="00216592" w14:paraId="74C0EDC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627C704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Female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F0AAED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114,067 (71.4%)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7E2EF9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2,552 (73.4%)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80D1F4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6,395 (72.3%)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A76014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3,207 (71.5%)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C1C88E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899 (76.4%)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DBD5DB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99,420 (71.5%)</w:t>
            </w:r>
          </w:p>
        </w:tc>
      </w:tr>
      <w:tr w:rsidR="00FF7CD1" w:rsidRPr="00216592" w14:paraId="557BF1E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86DC867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Geographic region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6ADCF6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4F9FD1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56FBD1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AB6E63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5AB90C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1DEA56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FF7CD1" w:rsidRPr="00216592" w14:paraId="6C9C66A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0EFB0495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Northeast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EEB895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31,295 (19.6%)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CFFC35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646 (18.6%)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AF4BA9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1,333 (15.1%)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9A612B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492 (11.0%)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32989C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23 (2.0%)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B970B6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28,210 (20.3%)</w:t>
            </w:r>
          </w:p>
        </w:tc>
      </w:tr>
      <w:tr w:rsidR="00FF7CD1" w:rsidRPr="00216592" w14:paraId="7D50D4D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471AC30C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South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8B98DF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67,746 (42.4%)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188C23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662 (19.0%)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690286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5,320 (60.1%)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36BB30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2,096 (46.7%)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5BF7CF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374 (31.8%)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E2ADC4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58,610 (42.1%)</w:t>
            </w:r>
          </w:p>
        </w:tc>
      </w:tr>
      <w:tr w:rsidR="00FF7CD1" w:rsidRPr="00216592" w14:paraId="68B6499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21017E71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Midwest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15C7C2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33,922 (21.2%)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413F2D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188 (5.4%)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C57A93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1,575 (17.8%)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A03D35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256 (5.7%)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FD060B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141 (12.0%)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81C174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31,419 (22.6%)</w:t>
            </w:r>
          </w:p>
        </w:tc>
      </w:tr>
      <w:tr w:rsidR="00FF7CD1" w:rsidRPr="00216592" w14:paraId="6212703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34334D93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West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F33E11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26,736 (16.7%)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44DE26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1,983 (57.0%)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AF4519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622 (7.0%)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9EB714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1,642 (36.6%)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864FBF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639 (54.3%)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52330C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20,859 (15.0%)</w:t>
            </w:r>
          </w:p>
        </w:tc>
      </w:tr>
      <w:tr w:rsidR="00FF7CD1" w:rsidRPr="00216592" w14:paraId="22DB75E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868FEC5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Low SES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F02BC4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7,921 (5.0%)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6FD110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89 (2.6%)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5825C4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637 (7.2%)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51A245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273 (6.1%)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6F1320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72 (6.1%)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E197CF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6,745 (4.8%)</w:t>
            </w:r>
          </w:p>
        </w:tc>
      </w:tr>
      <w:tr w:rsidR="00FF7CD1" w:rsidRPr="00216592" w14:paraId="58E3E16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8461F64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Smoking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2F1353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62,942 (39.4%)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5226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643 (18.5%)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4CB2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3,472 (39.2%)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2E1A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1,191 (26.5%)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6890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469 (39.8%)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3731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56,353 (40.5%)</w:t>
            </w:r>
          </w:p>
        </w:tc>
      </w:tr>
      <w:tr w:rsidR="00FF7CD1" w:rsidRPr="00216592" w14:paraId="6AA40E2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94AD2EF" w14:textId="77777777" w:rsidR="00FF7CD1" w:rsidRPr="00216592" w:rsidRDefault="00FF7CD1" w:rsidP="00512643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BMI categories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68ADC3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82FD99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EBB4FF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2F8B0D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9A4315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B05DAB4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FF7CD1" w:rsidRPr="00216592" w14:paraId="33EE7FD7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2BF8AB7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BMI &lt; 25 kg/m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939702F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17,061 (10.7%)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B91B5E2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564 (16.2%)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FFB6DD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1,316 (14.9%)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BB21A5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569 (12.7%)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AAA3747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104 (8.8%)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F17824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14,180 (10.2%)</w:t>
            </w:r>
          </w:p>
        </w:tc>
      </w:tr>
      <w:tr w:rsidR="00FF7CD1" w:rsidRPr="00216592" w14:paraId="6BB8C54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FAB39F7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BMI 25 - 29.9 kg/m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6DB90EC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14,558 (9.1%)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0537F8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254 (7.3%)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E5151E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739 (8.4%)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0C0441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498 (11.1%)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B0013A6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83 (7.1%)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CFE881F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12,733 (9.2%)</w:t>
            </w:r>
          </w:p>
        </w:tc>
      </w:tr>
      <w:tr w:rsidR="00FF7CD1" w:rsidRPr="00216592" w14:paraId="3DC7F51C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A763C72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BMI 30 - 39.9 kg/m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4F9A5A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15,895 (10.0%)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855A38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122 (3.5%)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86F6F67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729 (8.2%)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611717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440 (9.8%)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63B0B7E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108 (9.2%)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234C721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14,253 (10.2%)</w:t>
            </w:r>
          </w:p>
        </w:tc>
      </w:tr>
      <w:tr w:rsidR="00FF7CD1" w:rsidRPr="00216592" w14:paraId="7E6E7E2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B130EE3" w14:textId="77777777" w:rsidR="00FF7CD1" w:rsidRPr="00216592" w:rsidRDefault="00FF7CD1" w:rsidP="00512643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BMI ≥ 40 kg/m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52EF188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9,596 (6.0%)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4F4CACB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57 (1.6%)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E14A629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553 (6.2%)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93759A0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224 (5.0%)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B7603BA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60 (5.1%)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979BDAD" w14:textId="77777777" w:rsidR="00FF7CD1" w:rsidRPr="00216592" w:rsidRDefault="00FF7CD1" w:rsidP="00512643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8,568 (6.2%)</w:t>
            </w:r>
          </w:p>
        </w:tc>
      </w:tr>
      <w:tr w:rsidR="00DA6B38" w:rsidRPr="00216592" w14:paraId="0F4A57DE" w14:textId="77777777" w:rsidTr="000D3EB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</w:tcPr>
          <w:p w14:paraId="53EAB98D" w14:textId="0720C4D0" w:rsidR="00DA6B38" w:rsidRPr="00DA6B38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No information on BMI ; n (%)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</w:tcPr>
          <w:p w14:paraId="6EDD27F8" w14:textId="0F2B0D7F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112,347 (70.3%)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</w:tcPr>
          <w:p w14:paraId="35533574" w14:textId="5785AFDF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2,613 (75.1%)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</w:tcPr>
          <w:p w14:paraId="54366D65" w14:textId="02446FB0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6,037 (68.2%)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</w:tcPr>
          <w:p w14:paraId="470F95C1" w14:textId="27EF528D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3,056 (68.1%)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</w:tcPr>
          <w:p w14:paraId="3BF0F3B1" w14:textId="03D3EF33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868 (73.7%)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</w:tcPr>
          <w:p w14:paraId="25C19A54" w14:textId="7B78176C" w:rsidR="00DA6B38" w:rsidRPr="00DA6B38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DA6B38">
              <w:rPr>
                <w:rFonts w:ascii="Arial" w:hAnsi="Arial" w:cs="Arial"/>
                <w:color w:val="242424"/>
                <w:sz w:val="16"/>
                <w:szCs w:val="16"/>
              </w:rPr>
              <w:t>97,961 (70.4%)</w:t>
            </w:r>
          </w:p>
        </w:tc>
      </w:tr>
      <w:tr w:rsidR="00DA6B38" w:rsidRPr="00216592" w14:paraId="68E23C73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6FEA4BA6" w14:textId="77777777" w:rsidR="00DA6B38" w:rsidRPr="00216592" w:rsidRDefault="00DA6B38" w:rsidP="00DA6B38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Cohort entry year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65030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2411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F8F55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9C5F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CF5D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4F364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DA6B38" w:rsidRPr="00216592" w14:paraId="13D200C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4A35EEE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A052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37,065 (23.2%)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58E9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750 (21.6%)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B879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2,133 (24.1%)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CFB0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1,077 (24.0%)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61EB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252 (21.4%)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54C0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32,385 (23.3%)</w:t>
            </w:r>
          </w:p>
        </w:tc>
      </w:tr>
      <w:tr w:rsidR="00DA6B38" w:rsidRPr="00216592" w14:paraId="5CCA32B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7A73DB14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88ED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35,125 (22.0%)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CC29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702 (20.2%)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3128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1,921 (21.7%)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B54F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906 (20.2%)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71B8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248 (21.1%)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748A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30,834 (22.2%)</w:t>
            </w:r>
          </w:p>
        </w:tc>
      </w:tr>
      <w:tr w:rsidR="00DA6B38" w:rsidRPr="00216592" w14:paraId="4090C70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5409543B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14A1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20,223 (12.7%)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4AC2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426 (12.2%)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D0C7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1,193 (13.5%)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30E5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586 (13.1%)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9D76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160 (13.6%)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A56C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17,562 (12.6%)</w:t>
            </w:r>
          </w:p>
        </w:tc>
      </w:tr>
      <w:tr w:rsidR="00DA6B38" w:rsidRPr="00216592" w14:paraId="7C36260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0D2FEEC6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7E14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17,739 (11.1%)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8F40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406 (11.7%)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63E4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1,044 (11.8%)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F3DA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544 (12.1%)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DC53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113 (9.6%)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32DF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15,312 (11.0%)</w:t>
            </w:r>
          </w:p>
        </w:tc>
      </w:tr>
      <w:tr w:rsidR="00DA6B38" w:rsidRPr="00216592" w14:paraId="2D93C6C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445EDE12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A437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17,243 (10.8%)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AE76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432 (12.4%)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D071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1,013 (11.4%)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66DB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507 (11.3%)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C470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137 (11.6%)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D6B8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14,831 (10.7%)</w:t>
            </w:r>
          </w:p>
        </w:tc>
      </w:tr>
      <w:tr w:rsidR="00DA6B38" w:rsidRPr="00216592" w14:paraId="26B77A2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193EAAE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2019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E054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17,043 (10.7%)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D4D9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410 (11.8%)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6305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817 (9.2%)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9199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481 (10.7%)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7F20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121 (10.3%)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BC7A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14,870 (10.7%)</w:t>
            </w:r>
          </w:p>
        </w:tc>
      </w:tr>
      <w:tr w:rsidR="00DA6B38" w:rsidRPr="00216592" w14:paraId="6DAD7E1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67D7242E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2020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3E10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15,261 (9.6%)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C03F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353 (10.1%)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FCB7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729 (8.2%)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DF77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385 (8.6%)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C4D0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146 (12.4%)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3F57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13,304 (9.6%)</w:t>
            </w:r>
          </w:p>
        </w:tc>
      </w:tr>
      <w:tr w:rsidR="00DA6B38" w:rsidRPr="00216592" w14:paraId="7C87A4D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3CC50A4" w14:textId="77777777" w:rsidR="00DA6B38" w:rsidRPr="00216592" w:rsidRDefault="00DA6B38" w:rsidP="00DA6B38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Comorbidities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03E744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6FF935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5C38E3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A340DF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A081D0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44EC27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DA6B38" w:rsidRPr="00216592" w14:paraId="2983A43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7ACC139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Combined Comorbidity Score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217698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3.4 (3)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73867B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3.0 (3)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9F095A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4.3 (3)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DA9156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3.7 (3)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AA7216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3.5 (3)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8B9587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3.3 (3)</w:t>
            </w:r>
          </w:p>
        </w:tc>
      </w:tr>
      <w:tr w:rsidR="00DA6B38" w:rsidRPr="00216592" w14:paraId="4445EA6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3A3FF42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Diabetic retinopathy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54C2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20,972 (13.1%)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7A74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502 (14.4%)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7FA6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1,221 (13.8%)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CEA3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773 (17.2%)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2732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223 (18.9%)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7C4C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17,828 (12.8%)</w:t>
            </w:r>
          </w:p>
        </w:tc>
      </w:tr>
      <w:tr w:rsidR="00DA6B38" w:rsidRPr="00216592" w14:paraId="3DF8A74A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493F3E66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Diabetic neuropathy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9B0F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43,701 (27.4%)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79CE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795 (22.9%)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AE5D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2,603 (29.4%)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145F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1,513 (33.7%)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6308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341 (29.0%)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FB6E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37,741 (27.1%)</w:t>
            </w:r>
          </w:p>
        </w:tc>
      </w:tr>
      <w:tr w:rsidR="00DA6B38" w:rsidRPr="00216592" w14:paraId="7918B01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0736A6E4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Diabetic nephropathy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D269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37,479 (23.5%)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F07D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1,084 (31.2%)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C7C6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2,864 (32.4%)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E39B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1,386 (30.9%)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8EC5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384 (32.6%)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F645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30,989 (22.3%)</w:t>
            </w:r>
          </w:p>
        </w:tc>
      </w:tr>
      <w:tr w:rsidR="00DA6B38" w:rsidRPr="00216592" w14:paraId="12F3AC3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43298BA6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Diabetic foot ulcer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F38D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15,505 (9.7%)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492A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184 (5.3%)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A145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1,028 (11.6%)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C008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441 (9.8%)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C7B6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136 (11.6%)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7FCA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13,498 (9.7%)</w:t>
            </w:r>
          </w:p>
        </w:tc>
      </w:tr>
      <w:tr w:rsidR="00DA6B38" w:rsidRPr="00216592" w14:paraId="5CCDCD4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292394C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Cognitive impairment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E558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5,782 (3.6%)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301D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82 (2.4%)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A75F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269 (3.0%)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3F6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111 (2.5%)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7349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 (2.5%)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A006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5,189 (3.7%)</w:t>
            </w:r>
          </w:p>
        </w:tc>
      </w:tr>
      <w:tr w:rsidR="00DA6B38" w:rsidRPr="00216592" w14:paraId="4EF6EB86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5E47F0AE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Heart failure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93AA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70,525 (44.2%)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7BBA4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1,324 (38.1%)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757E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4,267 (48.2%)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3B4F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1,936 (43.2%)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1901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485 (41.2%)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0A21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61,510 (44.2%)</w:t>
            </w:r>
          </w:p>
        </w:tc>
      </w:tr>
      <w:tr w:rsidR="00DA6B38" w:rsidRPr="00216592" w14:paraId="08607B5B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71B66318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COPD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493B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52,079 (32.6%)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4BBF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752 (21.6%)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BA16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2,628 (29.7%)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C193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1,330 (29.6%)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FB47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379 (32.2%)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BD5A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46,373 (33.3%)</w:t>
            </w:r>
          </w:p>
        </w:tc>
      </w:tr>
      <w:tr w:rsidR="00DA6B38" w:rsidRPr="00216592" w14:paraId="3537BD8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7869060E" w14:textId="20D44F52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CKD Stages 1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2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1A498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9,777 (6.1%)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3EFC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207 (5.9%)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170A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664 (7.5%)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B1FE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346 (7.7%)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33F4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60 (5.1%)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F4B4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8,336 (6.0%)</w:t>
            </w:r>
          </w:p>
        </w:tc>
      </w:tr>
      <w:tr w:rsidR="00DA6B38" w:rsidRPr="00216592" w14:paraId="43EDDBE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366EE2F9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CKD Stage 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638C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42,988 (26.9%)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C3D3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831 (23.9%)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4956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2,425 (27.4%)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3B1D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1,054 (23.5%)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B15E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294 (25.0%)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4BFC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37,732 (27.1%)</w:t>
            </w:r>
          </w:p>
        </w:tc>
      </w:tr>
      <w:tr w:rsidR="00DA6B38" w:rsidRPr="00216592" w14:paraId="4C22FB1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1719357C" w14:textId="20A0DCA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CKD Stages 4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9B5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16,985 (10.6%)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5CC9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445 (12.8%)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5E71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1,448 (16.4%)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E2B7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575 (12.8%)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6B8E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151 (12.8%)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0E1C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14,033 (10.1%)</w:t>
            </w:r>
          </w:p>
        </w:tc>
      </w:tr>
      <w:tr w:rsidR="00DA6B38" w:rsidRPr="00216592" w14:paraId="1CC6DDC7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75079318" w14:textId="0EBB269A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End-stage 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t>kidney</w:t>
            </w: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disease*  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2F59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11,060 (6.9%)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4245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465 (13.4%)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2842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1,639 (18.5%)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3C91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636 (14.2%)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769B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157 (13.3%)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FD8A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7,839 (5.6%)</w:t>
            </w:r>
          </w:p>
        </w:tc>
      </w:tr>
      <w:tr w:rsidR="00DA6B38" w:rsidRPr="00216592" w14:paraId="64636EB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1436D8D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Osteoporosis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85BE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45,728 (28.6%)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AC3E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1,322 (38.0%)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A289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1,953 (22.1%)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51BF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1,512 (33.7%)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F29D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365 (31.0%)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5567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39,859 (28.7%)</w:t>
            </w:r>
          </w:p>
        </w:tc>
      </w:tr>
      <w:tr w:rsidR="00DA6B38" w:rsidRPr="00216592" w14:paraId="4553FAF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559A7D7A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History of Fractures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C90D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3,861 (2.4%)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DEBB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61 (1.8%)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984C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175 (2.0%)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56CAC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108 (2.4%)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AF5A3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 (2.8%)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4C2D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3,427 (2.5%)</w:t>
            </w:r>
          </w:p>
        </w:tc>
      </w:tr>
      <w:tr w:rsidR="00DA6B38" w:rsidRPr="00216592" w14:paraId="11D7F6B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41D094ED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Alcohol use disorder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E19D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5,490 (3.4%)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253D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60 (1.7%)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6B64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440 (5.0%)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B4F2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125 (2.8%)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78B9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88 (7.5%)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206B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4,682 (3.4%)</w:t>
            </w:r>
          </w:p>
        </w:tc>
      </w:tr>
      <w:tr w:rsidR="00DA6B38" w:rsidRPr="00216592" w14:paraId="27A2A6D6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2521983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Hypertension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92A8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153,070 (95.8%)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07D5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3,354 (96.4%)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6453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8,701 (98.3%)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69D5B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4,376 (97.5%)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9016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1,123 (95.4%)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F6EB0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133,007 (95.6%)</w:t>
            </w:r>
          </w:p>
        </w:tc>
      </w:tr>
      <w:tr w:rsidR="00DA6B38" w:rsidRPr="00216592" w14:paraId="74D0C1AA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25E7240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Myocardial infarction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D000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24,891 (15.6%)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7A35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375 (10.8%)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2891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1,286 (14.5%)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2FA1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501 (11.2%)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06AF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175 (14.9%)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46B2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22,220 (16.0%)</w:t>
            </w:r>
          </w:p>
        </w:tc>
      </w:tr>
      <w:tr w:rsidR="00DA6B38" w:rsidRPr="00216592" w14:paraId="6841C99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07A27DA3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Ischemic stroke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A98D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39,093 (24.5%)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5C2D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807 (23.2%)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0E3C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2,574 (29.1%)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E7D0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982 (21.9 %)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EDFB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234 (19.9%)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A350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33,869 (24.3%)</w:t>
            </w:r>
          </w:p>
        </w:tc>
      </w:tr>
      <w:tr w:rsidR="00DA6B38" w:rsidRPr="00216592" w14:paraId="10F4A15C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3EDFF449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lastRenderedPageBreak/>
              <w:t>Atrial fibrillation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B581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59,152 (37.0%)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FD78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934 (26.8%)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B459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2,371 (26.8%)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9372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1,183 (26.4%)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68F3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280 (23.8%)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110F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53,636 (38.6%)</w:t>
            </w:r>
          </w:p>
        </w:tc>
      </w:tr>
      <w:tr w:rsidR="00DA6B38" w:rsidRPr="00216592" w14:paraId="139BA392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13DF00CB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Hyperlipidemia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E325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131,639 (82.4%)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D9E6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2,928 (84.2%)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C29FD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6,964 (78.7%)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A234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3,647 (81.3%)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8AC3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822 (69.8%)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3AE1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115,062 (82.7%)</w:t>
            </w:r>
          </w:p>
        </w:tc>
      </w:tr>
      <w:tr w:rsidR="00DA6B38" w:rsidRPr="00216592" w14:paraId="7AE58D1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54DED66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Depression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325E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60,781 (38.1%)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0C5A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813 (23.4%)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BC29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2,782 (31.4%)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48DF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1,587 (35.4%)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733A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387 (32.9%)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4FE8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54,435 (39.1%)</w:t>
            </w:r>
          </w:p>
        </w:tc>
      </w:tr>
      <w:tr w:rsidR="00DA6B38" w:rsidRPr="00216592" w14:paraId="03ECB7D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53624B2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Liver Disease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8E50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14,941 (9.4%)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879D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480 (13.8%)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8189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1,161 (13.1%)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3EB4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507 (11.3%)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6439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151 (12.8%)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B92D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12,296 (8.8%)</w:t>
            </w:r>
          </w:p>
        </w:tc>
      </w:tr>
      <w:tr w:rsidR="00DA6B38" w:rsidRPr="00216592" w14:paraId="561045B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2B55915E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Cancer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689F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6,320 (4.0%)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7486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96 (2.8%)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2884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331 (3.7%)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3610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148 (3.3%)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1E948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31 (2.6%)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4B4F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5,610 (4.0%)</w:t>
            </w:r>
          </w:p>
        </w:tc>
      </w:tr>
      <w:tr w:rsidR="00DA6B38" w:rsidRPr="00216592" w14:paraId="52A4D34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202" w:type="dxa"/>
            </w:tcMar>
            <w:vAlign w:val="center"/>
            <w:hideMark/>
          </w:tcPr>
          <w:p w14:paraId="494F8EB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Hyperthyroidism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1F6E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3,533 (2.2%)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9537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100 (2.9%)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3860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282 (3.2%)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A4C5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88 (2.0%)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F27C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 (2.4%)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5E16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2,970 (2.1%)</w:t>
            </w:r>
          </w:p>
        </w:tc>
      </w:tr>
      <w:tr w:rsidR="00DA6B38" w:rsidRPr="00216592" w14:paraId="75D7D13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B3B98" w14:textId="77777777" w:rsidR="00DA6B38" w:rsidRPr="00216592" w:rsidRDefault="00DA6B38" w:rsidP="00DA6B38">
            <w:pPr>
              <w:ind w:left="164"/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Frailty scores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939EB0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DFAE10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C96E5A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3F57FB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C31DBC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FCA7AD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DA6B38" w:rsidRPr="00216592" w14:paraId="5D71D7D5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7381100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&lt; 0.15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0C47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2,494 (1.6%)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E070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97 (2.8%)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0BD2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94 (1.1%)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4AB8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56 (1.2%)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51C4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20 (1.7%)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ABF8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2,148 (1.5%)</w:t>
            </w:r>
          </w:p>
        </w:tc>
      </w:tr>
      <w:tr w:rsidR="00DA6B38" w:rsidRPr="00216592" w14:paraId="5EF6E3D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7371FF03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0.15 - &lt; 0.25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100D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50,667 (31.7%)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AF1F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1,373 (39.5%)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1FFF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2,204 (24.9%)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5F2E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1,207 (26.9%)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44AD5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433 (36.8%)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B7EA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44,432 (31.9%)</w:t>
            </w:r>
          </w:p>
        </w:tc>
      </w:tr>
      <w:tr w:rsidR="00DA6B38" w:rsidRPr="00216592" w14:paraId="560C589A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4090D0FB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0.25 - &lt; 0.35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E076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68,625 (43.0%)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EA23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1,399 (40.2%)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1900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3,876 (43.8%)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F9FB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1,886 (42.0%)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FA97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486 (41.3%)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42C1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59,941 (43.1%)</w:t>
            </w:r>
          </w:p>
        </w:tc>
      </w:tr>
      <w:tr w:rsidR="00DA6B38" w:rsidRPr="00216592" w14:paraId="7DA84B7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32AFFBAA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 xml:space="preserve"> ≥ 0.35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67BE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37,913 (23.7%)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D24C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610 (17.5%)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83BB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2,676 (30.2%)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86E8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1,337 (29.8%)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59CC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238 (20.2%)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BF5F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32,577 (23.4%)</w:t>
            </w:r>
          </w:p>
        </w:tc>
      </w:tr>
      <w:tr w:rsidR="00DA6B38" w:rsidRPr="00216592" w14:paraId="6CD046EB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C62FCCD" w14:textId="77777777" w:rsidR="00DA6B38" w:rsidRPr="00216592" w:rsidRDefault="00DA6B38" w:rsidP="00DA6B38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Health system utilization (prior 365 days)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C891AB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2D2BAF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95A8EF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22A498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B52BC2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009A37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DA6B38" w:rsidRPr="00216592" w14:paraId="1D338B7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D3DA4E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DXA testing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0EBEB6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9,992 (6.3%)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5B21B0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233 (6.7%)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CC3516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356 (4.0%)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C17AEC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300 (6.7%)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39986A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53 (4.5%)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3D0680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8,883 (6.4%)</w:t>
            </w:r>
          </w:p>
        </w:tc>
      </w:tr>
      <w:tr w:rsidR="00DA6B38" w:rsidRPr="00216592" w14:paraId="56B57F44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D7A339D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Emergency department visit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AF0A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2.30 (3.76)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E9EE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1.62 (2.84)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360F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2.97 (4.43)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B6AB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2.42 (3.42)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92AB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3.17 (6.30)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9B36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2.27 (3.72)</w:t>
            </w:r>
          </w:p>
        </w:tc>
      </w:tr>
      <w:tr w:rsidR="00DA6B38" w:rsidRPr="00216592" w14:paraId="24A8B147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BE03ABC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Number of hospitalizations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9E86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0.88 (1.50)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5BAC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0.75 (1.38)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ADB0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1.17 (1.84)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07B2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0.95 (1.59)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0323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1.02 (1.61)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33860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0.86 (1.47)</w:t>
            </w:r>
          </w:p>
        </w:tc>
      </w:tr>
      <w:tr w:rsidR="00DA6B38" w:rsidRPr="00216592" w14:paraId="7E5A6DD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6A5C44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Internist outpatient visit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6C98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125,704 (78.7%)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4EA62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2,902 (83.4%)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8D2A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6,504 (73.5%)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70CA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3,464 (77.2%)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3CC8A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906 (77.0%)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B20E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109,844 (79.0%)</w:t>
            </w:r>
          </w:p>
        </w:tc>
      </w:tr>
      <w:tr w:rsidR="00DA6B38" w:rsidRPr="00216592" w14:paraId="459FCE33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E350A8D" w14:textId="77777777" w:rsidR="00DA6B38" w:rsidRPr="00216592" w:rsidRDefault="00DA6B38" w:rsidP="00DA6B38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Falls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2B2A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39,856 (25.0%)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EC1B5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630 (18.1%)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0AED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2,046 (23.1%)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F713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1,003 (22.4%)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6933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369 (31.4%)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B393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35,250 (25.3%)</w:t>
            </w:r>
          </w:p>
        </w:tc>
      </w:tr>
      <w:tr w:rsidR="00DA6B38" w:rsidRPr="00216592" w14:paraId="2B8579C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1EB649BB" w14:textId="77777777" w:rsidR="00DA6B38" w:rsidRPr="00216592" w:rsidRDefault="00DA6B38" w:rsidP="00DA6B38">
            <w:pPr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b/>
                <w:bCs/>
                <w:noProof/>
                <w:sz w:val="16"/>
                <w:szCs w:val="16"/>
              </w:rPr>
              <w:t>Medications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2373E2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2C59743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ECBD4A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CA98B0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F47FB6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783EF7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</w:p>
        </w:tc>
      </w:tr>
      <w:tr w:rsidR="00DA6B38" w:rsidRPr="00216592" w14:paraId="780B0A9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3A9E6658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Number of unique generic medications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9C912A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13.5 (7.0)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1DCDAC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13.8 (7.8)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0C286F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13.0 (6.9)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71BFCCA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14.5 (7.6)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61AFB4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13.5 (7.5)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427DB0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13.5 (6.9)</w:t>
            </w:r>
          </w:p>
        </w:tc>
      </w:tr>
      <w:tr w:rsidR="00DA6B38" w:rsidRPr="00216592" w14:paraId="62521E8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AA120C9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Number of brand medications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39D3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2.20 (2.15)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2BA1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2.97 (2.90)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9FB4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2.26 (2.16)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943A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2.61 (2.47)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69B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2.33 (2.21)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55315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2.16 (2.11)</w:t>
            </w:r>
          </w:p>
        </w:tc>
      </w:tr>
      <w:tr w:rsidR="00DA6B38" w:rsidRPr="00216592" w14:paraId="640633B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95" w:type="dxa"/>
            </w:tcMar>
            <w:vAlign w:val="center"/>
            <w:hideMark/>
          </w:tcPr>
          <w:p w14:paraId="036B32E3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Insulin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428BE74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35,712 (22.4%)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C33C30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714 (20.5%)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38CE3E5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2,319 (26.2%)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5B3A2BB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1,297 (28.9%)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61AB76A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400 (34.0%)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95" w:type="dxa"/>
              <w:bottom w:w="0" w:type="dxa"/>
              <w:right w:w="195" w:type="dxa"/>
            </w:tcMar>
            <w:vAlign w:val="center"/>
            <w:hideMark/>
          </w:tcPr>
          <w:p w14:paraId="09F3AB7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30,357 (21.8%)</w:t>
            </w:r>
          </w:p>
        </w:tc>
      </w:tr>
      <w:tr w:rsidR="00DA6B38" w:rsidRPr="00216592" w14:paraId="1839B25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4473CFA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SGLT-2 inhibitors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12BD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1,736 (1.1%)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2B43C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69 (2.0%)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3E20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58 (0.7%)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27A3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66 (1.5%)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648E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 (0.5%)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761A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1,486 (1.1%)</w:t>
            </w:r>
          </w:p>
        </w:tc>
      </w:tr>
      <w:tr w:rsidR="00DA6B38" w:rsidRPr="00216592" w14:paraId="6529A331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787C4ED5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Thiazolidinediones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9324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5,563 (3.5%)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B5D4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223 (6.4%)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58A0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286 (3.2%)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D6C0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236 (5.3%)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67D4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61 (5.2%)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09E6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4,634 (3.3%)</w:t>
            </w:r>
          </w:p>
        </w:tc>
      </w:tr>
      <w:tr w:rsidR="00DA6B38" w:rsidRPr="00216592" w14:paraId="3240A97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5CFC0AB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Osteoporosis medications**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3F0A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15,069 (9.4%)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3751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741 (21.3%)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0691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508 (5.7%)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D9BB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592 (13.2%)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B599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116 (9.9%)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9438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12,784 (9.2%)</w:t>
            </w:r>
          </w:p>
        </w:tc>
      </w:tr>
      <w:tr w:rsidR="00DA6B38" w:rsidRPr="00216592" w14:paraId="341DD82C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75B2647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Oral Corticosteroids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51D71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33,368 (20.9%)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76DC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524 (15.1%)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AB96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1,474 (16.7%)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70C3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690 (15.4%)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C808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227 (19.3%)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CBAF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30,041 (21.6%)</w:t>
            </w:r>
          </w:p>
        </w:tc>
      </w:tr>
      <w:tr w:rsidR="00DA6B38" w:rsidRPr="00216592" w14:paraId="61153C5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</w:tcPr>
          <w:p w14:paraId="70831347" w14:textId="4666B783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Proton pump inhibitors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7787C" w14:textId="6D9AF4C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62,089 (38.9%)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62A41" w14:textId="6CAD6E7A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1,529 (43.9%)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FC72C" w14:textId="547425A5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3,300 (37.3%)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8A85E" w14:textId="06D5175E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2,031 (45.3%)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FFFA2" w14:textId="37EE1E42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418 (35.5%)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DEA965" w14:textId="450B8ACA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53,800 (38.7%)</w:t>
            </w:r>
          </w:p>
        </w:tc>
      </w:tr>
      <w:tr w:rsidR="00DA6B38" w:rsidRPr="00216592" w14:paraId="7262CDEF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639489B2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Antidepressants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36D5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44,603 (27.9%)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7AB1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480 (13.8%)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B08B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1,559 (17.6%)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B18D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1,087 (24.2%)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74FCA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250 (21.2%)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E230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40,668 (29.2%)</w:t>
            </w:r>
          </w:p>
        </w:tc>
      </w:tr>
      <w:tr w:rsidR="00DA6B38" w:rsidRPr="00216592" w14:paraId="567D4B19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53833678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Anxiolytics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D821E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16,260 (10.2%)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5A1A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433 (12.4%)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734B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717 (8.1%)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F5C4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460 (10.3%)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2ED6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96 (8.2%)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B30D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14,280 (10.3%)</w:t>
            </w:r>
          </w:p>
        </w:tc>
      </w:tr>
      <w:tr w:rsidR="00DA6B38" w:rsidRPr="00216592" w14:paraId="0A1E999D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1FB6D141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Benzodiazepines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8675EB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38,730 (24.3%)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680E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518 (14.9%)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BF12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1,491 (16.8%)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FAA8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1,180 (26.3%)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DE7D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184 (15.6%)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3108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34,920 (25.1%)</w:t>
            </w:r>
          </w:p>
        </w:tc>
      </w:tr>
      <w:tr w:rsidR="00DA6B38" w:rsidRPr="00216592" w14:paraId="7E756283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</w:tcPr>
          <w:p w14:paraId="14A81B3C" w14:textId="435A2436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Antiarrhythmics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993A" w14:textId="742BF7F5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10,127 (6.3%)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8040A" w14:textId="55D46671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183 (5.3%)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EFAF6D" w14:textId="506AE161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385 (4.4%)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9C07D" w14:textId="2F552865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185 (4.1%)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A57B8" w14:textId="70FB8294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41 (3.5%)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425A7" w14:textId="7BCD6A70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9,199 (6.6%)</w:t>
            </w:r>
          </w:p>
        </w:tc>
      </w:tr>
      <w:tr w:rsidR="00DA6B38" w:rsidRPr="00216592" w14:paraId="0A3286CC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52F7E2D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Beta blockers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644E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87,802 (55.0%)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DE98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1,769 (50.8%)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4757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4,850 (54.8%)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B7B0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2,273 (50.7%)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4A72E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532 (45.2%)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637A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77,029 (55.4%)</w:t>
            </w:r>
          </w:p>
        </w:tc>
      </w:tr>
      <w:tr w:rsidR="00DA6B38" w:rsidRPr="00216592" w14:paraId="07A5D73A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4F69F442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Calcium channel blockers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C720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61,505 (38.5%)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E44A9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1,744 (50.1%)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CFF5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4,680 (52.9%)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D188F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1,904 (42.4%)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3D8E6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400 (34.0%)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4DD2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51,707 (37.2%)</w:t>
            </w:r>
          </w:p>
        </w:tc>
      </w:tr>
      <w:tr w:rsidR="00DA6B38" w:rsidRPr="00216592" w14:paraId="70C1FB3E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</w:tcPr>
          <w:p w14:paraId="37AEB56F" w14:textId="1FD40214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ACE inhibitors and ARBs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32ACE" w14:textId="2360749C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91,811 (57.5%)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E059E" w14:textId="4666591E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2,221 (63.8%)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A3DA4" w14:textId="5F75A292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5,087 (57.5%)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B7BBD" w14:textId="3EEAB09A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2,824 (63.0%)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570696" w14:textId="4C85DD8F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735 (62.4%)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464F5" w14:textId="46919A14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79,371 (57.1%)</w:t>
            </w:r>
          </w:p>
        </w:tc>
      </w:tr>
      <w:tr w:rsidR="00DA6B38" w:rsidRPr="00216592" w14:paraId="240CDEB8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003E7150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Gabapentinoids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DC81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32,951 (20.6%)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27692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686 (19.7%)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BA14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1,847 (20.9%)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6B2EC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1,028 (22.9%)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B064A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290 (24.6%)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D16B4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28,631 (20.6%)</w:t>
            </w:r>
          </w:p>
        </w:tc>
      </w:tr>
      <w:tr w:rsidR="00DA6B38" w:rsidRPr="00216592" w14:paraId="39886310" w14:textId="77777777" w:rsidTr="00107286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202" w:type="dxa"/>
              <w:bottom w:w="0" w:type="dxa"/>
              <w:right w:w="15" w:type="dxa"/>
            </w:tcMar>
            <w:vAlign w:val="center"/>
            <w:hideMark/>
          </w:tcPr>
          <w:p w14:paraId="1CC8FEE7" w14:textId="77777777" w:rsidR="00DA6B38" w:rsidRPr="00216592" w:rsidRDefault="00DA6B38" w:rsidP="00DA6B38">
            <w:pPr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Opioids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7B763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71,854 (45.0%)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33825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1,087 (31.2%)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D9B7D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4,035 (45.6%)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2DF27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1,897 (42.3%)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7C5B8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627 (53.3%)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8E290" w14:textId="77777777" w:rsidR="00DA6B38" w:rsidRPr="00216592" w:rsidRDefault="00DA6B38" w:rsidP="00DA6B38">
            <w:pPr>
              <w:jc w:val="center"/>
              <w:rPr>
                <w:rFonts w:ascii="Arial" w:eastAsia="Arial" w:hAnsi="Arial" w:cs="Arial"/>
                <w:noProof/>
                <w:sz w:val="16"/>
                <w:szCs w:val="16"/>
              </w:rPr>
            </w:pPr>
            <w:r w:rsidRPr="00216592">
              <w:rPr>
                <w:rFonts w:ascii="Arial" w:eastAsia="Arial" w:hAnsi="Arial" w:cs="Arial"/>
                <w:noProof/>
                <w:sz w:val="16"/>
                <w:szCs w:val="16"/>
              </w:rPr>
              <w:t>63,302 (45.5%)</w:t>
            </w:r>
          </w:p>
        </w:tc>
      </w:tr>
    </w:tbl>
    <w:p w14:paraId="171BC692" w14:textId="5593275E" w:rsidR="00FF7CD1" w:rsidRPr="0055588B" w:rsidRDefault="00FF7CD1" w:rsidP="00FF7CD1">
      <w:pPr>
        <w:spacing w:line="480" w:lineRule="auto"/>
        <w:rPr>
          <w:rFonts w:eastAsia="Arial"/>
        </w:rPr>
      </w:pPr>
      <w:r w:rsidRPr="0055588B">
        <w:rPr>
          <w:rFonts w:eastAsia="Arial"/>
        </w:rPr>
        <w:t>Abbreviations: SES, socioeconomic status; BMI, body mass index (calculated as weight in kilograms divided by height in meters squared); COPD, chronic obstructive pulmonary disease; CKD, chronic kidney disease; DXA, dual-energy X-ray absorptiometry; SGLT-2, Sodium-Glucose Cotransporter 2; ACE, angiotensin-converting enzyme; ARB, angiotensin receptor blockers.</w:t>
      </w:r>
      <w:r w:rsidR="00D905CE">
        <w:rPr>
          <w:rFonts w:eastAsia="Arial"/>
        </w:rPr>
        <w:t xml:space="preserve"> </w:t>
      </w:r>
      <w:r w:rsidRPr="0055588B">
        <w:rPr>
          <w:rFonts w:eastAsia="Arial"/>
        </w:rPr>
        <w:t>* Includes dialysis, ** Excludes calcium and vitamin D.</w:t>
      </w:r>
    </w:p>
    <w:p w14:paraId="1F9D7D1F" w14:textId="77777777" w:rsidR="00FF7CD1" w:rsidRDefault="00FF7CD1" w:rsidP="00FF7CD1">
      <w:pPr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77D5DCEF" w14:textId="77777777" w:rsidR="00FF7CD1" w:rsidRDefault="00FF7CD1" w:rsidP="00FF7CD1">
      <w:pPr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0985E71B" w14:textId="77777777" w:rsidR="00875A73" w:rsidRDefault="00875A73" w:rsidP="00FF7CD1">
      <w:pPr>
        <w:rPr>
          <w:rFonts w:ascii="Arial" w:eastAsia="Arial" w:hAnsi="Arial" w:cs="Arial"/>
          <w:b/>
          <w:bCs/>
          <w:noProof/>
          <w:sz w:val="20"/>
          <w:szCs w:val="20"/>
        </w:rPr>
      </w:pPr>
    </w:p>
    <w:p w14:paraId="6BF98779" w14:textId="77777777" w:rsidR="00875A73" w:rsidRDefault="00875A73" w:rsidP="00FF7CD1">
      <w:pPr>
        <w:rPr>
          <w:rFonts w:ascii="Arial" w:eastAsia="Arial" w:hAnsi="Arial" w:cs="Arial"/>
          <w:b/>
          <w:bCs/>
          <w:noProof/>
          <w:sz w:val="20"/>
          <w:szCs w:val="20"/>
        </w:rPr>
        <w:sectPr w:rsidR="00875A73" w:rsidSect="00E21D6F">
          <w:headerReference w:type="even" r:id="rId16"/>
          <w:headerReference w:type="default" r:id="rId17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30711A9" w14:textId="2437A972" w:rsidR="00BD1F51" w:rsidRPr="000D64AD" w:rsidRDefault="000D64AD" w:rsidP="000D64AD">
      <w:pPr>
        <w:spacing w:line="480" w:lineRule="auto"/>
        <w:rPr>
          <w:rFonts w:eastAsia="Arial"/>
        </w:rPr>
      </w:pPr>
      <w:r w:rsidRPr="003C14B8">
        <w:rPr>
          <w:rFonts w:eastAsia="Arial"/>
          <w:b/>
          <w:bCs/>
        </w:rPr>
        <w:lastRenderedPageBreak/>
        <w:t xml:space="preserve">Supplemental Table </w:t>
      </w:r>
      <w:r>
        <w:rPr>
          <w:rFonts w:eastAsia="Arial"/>
          <w:b/>
          <w:bCs/>
        </w:rPr>
        <w:t>4</w:t>
      </w:r>
      <w:r w:rsidRPr="003C14B8">
        <w:rPr>
          <w:rFonts w:eastAsia="Arial"/>
          <w:b/>
          <w:bCs/>
        </w:rPr>
        <w:t>.</w:t>
      </w:r>
      <w:r w:rsidRPr="003C14B8">
        <w:rPr>
          <w:rFonts w:eastAsia="Arial"/>
        </w:rPr>
        <w:t xml:space="preserve"> </w:t>
      </w:r>
      <w:r w:rsidR="004C6AEA">
        <w:rPr>
          <w:rFonts w:eastAsia="Arial"/>
        </w:rPr>
        <w:t>Hazard ratio</w:t>
      </w:r>
      <w:r w:rsidR="004C6AEA" w:rsidRPr="003C14B8">
        <w:rPr>
          <w:rFonts w:eastAsia="Arial"/>
        </w:rPr>
        <w:t xml:space="preserve"> </w:t>
      </w:r>
      <w:r w:rsidR="004C6AEA">
        <w:rPr>
          <w:rFonts w:eastAsia="Arial"/>
        </w:rPr>
        <w:t>for</w:t>
      </w:r>
      <w:r w:rsidR="004C6AEA" w:rsidRPr="003C14B8">
        <w:rPr>
          <w:rFonts w:eastAsia="Arial"/>
        </w:rPr>
        <w:t xml:space="preserve"> </w:t>
      </w:r>
      <w:r w:rsidRPr="003C14B8">
        <w:rPr>
          <w:rFonts w:eastAsia="Arial"/>
        </w:rPr>
        <w:t>post-fracture mortality between Asian</w:t>
      </w:r>
      <w:r w:rsidRPr="000846E7">
        <w:rPr>
          <w:rFonts w:eastAsia="Arial"/>
        </w:rPr>
        <w:t xml:space="preserve">, </w:t>
      </w:r>
      <w:r w:rsidRPr="003C14B8">
        <w:rPr>
          <w:rFonts w:eastAsia="Arial"/>
        </w:rPr>
        <w:t>Black, Hispanic, and Native American versus White individuals in strata of demographic, socioeconomic, and clinical risk factors</w:t>
      </w:r>
      <w:r w:rsidRPr="00CB49E9">
        <w:rPr>
          <w:rFonts w:eastAsia="Arial"/>
        </w:rPr>
        <w:t xml:space="preserve"> with overall interaction p-value for each variable or variable category. </w:t>
      </w:r>
    </w:p>
    <w:tbl>
      <w:tblPr>
        <w:tblW w:w="10260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97"/>
        <w:gridCol w:w="1674"/>
        <w:gridCol w:w="1674"/>
        <w:gridCol w:w="1674"/>
        <w:gridCol w:w="1674"/>
        <w:gridCol w:w="787"/>
        <w:gridCol w:w="1080"/>
      </w:tblGrid>
      <w:tr w:rsidR="003A725E" w:rsidRPr="003A725E" w14:paraId="3386234C" w14:textId="77777777" w:rsidTr="00DF7381">
        <w:trPr>
          <w:trHeight w:val="373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6F168" w14:textId="77777777" w:rsidR="003A725E" w:rsidRPr="004C6AEA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 xml:space="preserve">Variable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15C4D" w14:textId="219E6D19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Asian</w:t>
            </w:r>
          </w:p>
          <w:p w14:paraId="6BF81006" w14:textId="13ECA719" w:rsidR="004C6AEA" w:rsidRPr="004C6AEA" w:rsidRDefault="004C6AEA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0D3EBF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7064B" w14:textId="77777777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Black</w:t>
            </w:r>
          </w:p>
          <w:p w14:paraId="268BAFF1" w14:textId="12FD7724" w:rsidR="004C6AEA" w:rsidRPr="004C6AEA" w:rsidRDefault="004C6AEA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0D3EBF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1CE13" w14:textId="77777777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Hispanic</w:t>
            </w:r>
          </w:p>
          <w:p w14:paraId="57E96A78" w14:textId="62DB9A0C" w:rsidR="004C6AEA" w:rsidRPr="004C6AEA" w:rsidRDefault="004C6AEA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0D3EBF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3327E" w14:textId="77777777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Native</w:t>
            </w:r>
          </w:p>
          <w:p w14:paraId="30A66718" w14:textId="5C122550" w:rsidR="004C6AEA" w:rsidRPr="004C6AEA" w:rsidRDefault="004C6AEA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0D3EBF">
              <w:rPr>
                <w:rFonts w:ascii="Arial" w:hAnsi="Arial" w:cs="Arial"/>
                <w:b/>
                <w:bCs/>
                <w:sz w:val="20"/>
                <w:szCs w:val="20"/>
              </w:rPr>
              <w:t>HR (95% CI)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DD3F7" w14:textId="77777777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White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0CECE" w:themeFill="background2" w:themeFillShade="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9992D" w14:textId="77777777" w:rsidR="003A725E" w:rsidRPr="004C6AEA" w:rsidRDefault="003A725E" w:rsidP="003A725E">
            <w:pPr>
              <w:jc w:val="center"/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4C6AEA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Overall Interaction p-value*</w:t>
            </w:r>
          </w:p>
        </w:tc>
      </w:tr>
      <w:tr w:rsidR="003A725E" w:rsidRPr="003A725E" w14:paraId="06CB69C0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4ED2E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Overall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BDDF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0.78 (0.73-0.83)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042C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1.26 (1.22-1.31)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E762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0.91 (0.86-0.96)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88AD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1.06 (0.96-1.18)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43D6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1500C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5FEABD01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498AE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Age, yr.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2324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0FE8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073C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7709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81BA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A206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761C4BC1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1AD40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66 – 69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03A9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1.19 (0.90-1.57)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420C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1.42 (1.25-1.61)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B14A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1.14 (0.91-1.45)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3ABF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1.28 (0.93-1.77)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850F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7A6F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5E0FD549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33402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70 – 74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F052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0.83 (0.65-1.05)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637A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1.43 (1.29-1.58)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21D9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1.00 (0.83-1.21)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629D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1.14 (0.85-1.54)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6FB38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667F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2DB05F82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627D7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75 – 79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3202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0.87 (0.72-1.05)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6133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1.41 (1.28-1.54)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D3B0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0.94 (0.80-1.12)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DEE4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1.17 (0.93-1.47)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B143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3C74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2CB43BF4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CD5F7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80 – 84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9597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0.70 (0.59-0.82)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A2A4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1.30 (1.20-1.41)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4F64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0.99 (0.86-1.13)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7FD3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1.03 (0.82-1.29)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B275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1ED9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45AF42EF" w14:textId="77777777" w:rsidTr="00DF7381">
        <w:trPr>
          <w:trHeight w:val="77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CDCC7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≥ 85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E8FA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0.76 (0.70-0.83)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A50A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1.14 (1.08-1.20)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45BE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0.85 (0.79-0.92)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376BB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0.97 (0.80-1.17)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D070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286E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43ED5D30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7A902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Sex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B97E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0560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06EA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2EF0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926C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1797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0.062</w:t>
            </w:r>
          </w:p>
        </w:tc>
      </w:tr>
      <w:tr w:rsidR="003A725E" w:rsidRPr="003A725E" w14:paraId="59E6F6FF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CD28F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Male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C65C7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0.83 (0.74-0.93)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5202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1.18 (1.11-1.26)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EA45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0.95 (0.86-1.04)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2D42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0.97 (0.79-1.19)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29BE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32FA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5DA9867F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E87BB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Female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9C46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0.76 (0.70-0.82)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0C1D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1.30 (1.24-1.36)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8485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0.89 (0.83-0.95)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B19A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1.11 (0.98-1.25)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3E76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1E63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45FAE5DF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9B105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Geographic Region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8E27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493F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C84E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3718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7193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E3BD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0.038</w:t>
            </w:r>
          </w:p>
        </w:tc>
      </w:tr>
      <w:tr w:rsidR="003A725E" w:rsidRPr="003A725E" w14:paraId="20512E5F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18762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Northeast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C39F9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0.85 (0.73-0.99)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ED17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1.38 (1.25-1.51)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6284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0.93 (0.79-1.11)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5180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1.51 (0.78-2.91)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74FE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C24EA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70162766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CBF16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Midwest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BA14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0.83 (0.71-0.96)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963AE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1.21 (1.16-1.27)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E157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0.93 (0.85-1.00)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A71D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1.07 (0.89-1.29)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EF9E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541B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79CD3559" w14:textId="77777777" w:rsidTr="00DF7381">
        <w:trPr>
          <w:trHeight w:val="234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256D0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South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92CA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1.27 (1.00-1.61)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1BF6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1.24 (1.14-1.35)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8C4F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0.96 (0.77-1.20)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9C6F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1.15 (0.85-1.56)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3069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318BC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050EACA7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49D87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West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C2A2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0.75 (0.68-0.83)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AA39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1.24 (1.08-1.42)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1B36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0.88 (0.80-0.97)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BC24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1.06 (0.91-1.23)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89AB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473E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356882AB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22656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Low SES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5766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0.65 (0.43-0.99)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C1A0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1.00 (0.88-1.14)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178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0.65 (0.52-0.82)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9E30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0.78 (0.51-1.19)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81C0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7014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670D6DDB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69A25B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Smoking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6346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0.86 (0.75-0.99)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9642B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1.18 (1.11-1.25)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A4FC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0.89 (0.80-0.99)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280E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1.10 (0.93-1.29)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7AC9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6580D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0.026</w:t>
            </w:r>
          </w:p>
        </w:tc>
      </w:tr>
      <w:tr w:rsidR="003A725E" w:rsidRPr="003A725E" w14:paraId="3AE82D9E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C6705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Frailty Score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8D2F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2A87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4FF5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4BC5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9581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5ADC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0.022</w:t>
            </w:r>
          </w:p>
        </w:tc>
      </w:tr>
      <w:tr w:rsidR="003A725E" w:rsidRPr="003A725E" w14:paraId="33B75792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AD226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&lt;0.15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CEE2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0.82 (0.33-2.01)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8E27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2.26 (1.14-4.46)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51E6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1.07 (0.39-2.91)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1C95E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1.58 (0.22-11.4)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FD78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CEFC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58EE738D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7514F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0.15 – &lt;0.25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7124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0.94 (0.83-1.08)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5DC3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1.30 (1.18-1.43)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D94A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0.98 (0.85-1.13)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BA0E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1.38 (1.11-1.71)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7C10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471C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7C7BE8B9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3DD56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0.25 – &lt;0.35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F026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0.79 (0.72-0.87)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C4BA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1.18 (1.12-1.25)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E8FB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0.80 (0.73-0.87)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C681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1.05 (0.90-1.23)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317FC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F340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6AC61F55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C0EE6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≥ 0.35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F4539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0.86 (0.76-0.98)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8818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1.09 (1.02-1.15)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D190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0.85 (0.78-0.92)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6730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1.04 (0.86-1.27)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841B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EDA3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0DA2B8E4" w14:textId="77777777" w:rsidTr="00DF7381">
        <w:trPr>
          <w:trHeight w:val="99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CF84A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Comorbidities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E04D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BF99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378F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4646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CF15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2ED9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</w:p>
        </w:tc>
      </w:tr>
      <w:tr w:rsidR="003A725E" w:rsidRPr="003A725E" w14:paraId="201D5647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BCB49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Heart Failure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27BC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0.90 (0.83-0.99)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E4178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1.13 (1.08-1.19)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673E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0.92 (0.85-0.98)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915B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1.02 (0.88-1.18)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2310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F611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0A84E79D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8392E0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COPD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664E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0.78 (0.69-0.89)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8ECD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1.16 (1.09-1.23)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2303E4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0.80 (0.73-0.88)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9318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0.99 (0.83-1.18)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E9B07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E4D3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4157D3D7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62118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CKD Stage 3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204BE5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0.83 (0.74-0.94)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C502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1.14 (1.07-1.21)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6CD33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0.96 (0.86-1.06)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EF00E1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0.98 (0.80-1.19)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177CD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DD8E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0.008</w:t>
            </w:r>
          </w:p>
        </w:tc>
      </w:tr>
      <w:tr w:rsidR="003A725E" w:rsidRPr="003A725E" w14:paraId="6C5DFE39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6AD7B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 xml:space="preserve">CKD Stage 4-5 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A216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0.89 (0.77-1.03)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F239B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1.01 (0.93-1.09)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85F94E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0.92 (0.81-1.04)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9F2E3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0.90 (0.69-1.16)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7C83A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94A2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1B2E26E3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EC4EB" w14:textId="77777777" w:rsidR="003A725E" w:rsidRPr="003A725E" w:rsidRDefault="003A725E" w:rsidP="003A725E">
            <w:pPr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ESKD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5611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0.82 (0.71-0.94)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A4A4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0.97 (0.90-1.05)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F817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0.78 (0.69-0.88)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6BAF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0.75 (0.58-0.98)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FCF4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FEC08F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&lt;0.001</w:t>
            </w:r>
          </w:p>
        </w:tc>
      </w:tr>
      <w:tr w:rsidR="003A725E" w:rsidRPr="003A725E" w14:paraId="1C81FA69" w14:textId="77777777" w:rsidTr="00DF7381">
        <w:trPr>
          <w:trHeight w:val="332"/>
        </w:trPr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68C89" w14:textId="77777777" w:rsidR="003A725E" w:rsidRPr="003A725E" w:rsidRDefault="003A725E" w:rsidP="003A725E">
            <w:pPr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b/>
                <w:bCs/>
                <w:noProof/>
                <w:sz w:val="20"/>
                <w:szCs w:val="20"/>
              </w:rPr>
              <w:t>Insulin user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A34D8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0.87 (0.76-1.00)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A0A79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1.15 (1.07-1.23)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0B326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0.85 (0.77-0.94)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5A7EC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0.87 (0.73-1.05)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7F0E2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REF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B0FA60" w14:textId="77777777" w:rsidR="003A725E" w:rsidRPr="003A725E" w:rsidRDefault="003A725E" w:rsidP="00EF37AA">
            <w:pPr>
              <w:jc w:val="center"/>
              <w:rPr>
                <w:rFonts w:ascii="Arial" w:eastAsia="Arial" w:hAnsi="Arial" w:cs="Arial"/>
                <w:noProof/>
                <w:sz w:val="20"/>
                <w:szCs w:val="20"/>
              </w:rPr>
            </w:pPr>
            <w:r w:rsidRPr="003A725E">
              <w:rPr>
                <w:rFonts w:ascii="Arial" w:eastAsia="Arial" w:hAnsi="Arial" w:cs="Arial"/>
                <w:noProof/>
                <w:sz w:val="20"/>
                <w:szCs w:val="20"/>
              </w:rPr>
              <w:t>0.005</w:t>
            </w:r>
          </w:p>
        </w:tc>
      </w:tr>
    </w:tbl>
    <w:p w14:paraId="0D487C8F" w14:textId="2A737836" w:rsidR="000D64AD" w:rsidRDefault="000D64AD" w:rsidP="00331A95">
      <w:pPr>
        <w:spacing w:line="480" w:lineRule="auto"/>
        <w:rPr>
          <w:rFonts w:eastAsia="Arial"/>
        </w:rPr>
      </w:pPr>
      <w:r w:rsidRPr="003C14B8">
        <w:rPr>
          <w:rFonts w:eastAsia="Arial"/>
        </w:rPr>
        <w:lastRenderedPageBreak/>
        <w:t xml:space="preserve">Abbreviations: yr, year; SES, socioeconomic status; BMI, body mass index; COPD, chronic obstructive pulmonary disease; CKD, chronic kidney disease; </w:t>
      </w:r>
      <w:r w:rsidR="00BD75CC">
        <w:rPr>
          <w:rFonts w:eastAsia="Arial"/>
        </w:rPr>
        <w:t>ESKD</w:t>
      </w:r>
      <w:r w:rsidRPr="003C14B8">
        <w:rPr>
          <w:rFonts w:eastAsia="Arial"/>
        </w:rPr>
        <w:t>, end-stage</w:t>
      </w:r>
      <w:r w:rsidRPr="0055588B">
        <w:rPr>
          <w:rFonts w:eastAsia="Arial"/>
        </w:rPr>
        <w:t xml:space="preserve"> </w:t>
      </w:r>
      <w:r w:rsidR="00BD75CC">
        <w:rPr>
          <w:rFonts w:eastAsia="Arial"/>
        </w:rPr>
        <w:t>kidney</w:t>
      </w:r>
      <w:r w:rsidRPr="0055588B">
        <w:rPr>
          <w:rFonts w:eastAsia="Arial"/>
        </w:rPr>
        <w:t xml:space="preserve"> disease. *Age-stratified analysis adjusted for sex only, **Sex-stratified analysis adjusted for age only; other analyses adjusted for both sex and age</w:t>
      </w:r>
      <w:r>
        <w:rPr>
          <w:rFonts w:eastAsia="Arial"/>
        </w:rPr>
        <w:t>.</w:t>
      </w:r>
    </w:p>
    <w:p w14:paraId="064DC56F" w14:textId="77777777" w:rsidR="001D13F4" w:rsidRPr="008561E0" w:rsidRDefault="001D13F4" w:rsidP="00331A95">
      <w:pPr>
        <w:spacing w:line="480" w:lineRule="auto"/>
        <w:rPr>
          <w:rFonts w:eastAsia="Arial"/>
        </w:rPr>
      </w:pPr>
    </w:p>
    <w:sectPr w:rsidR="001D13F4" w:rsidRPr="008561E0" w:rsidSect="00DF7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E31B" w14:textId="77777777" w:rsidR="003B0BDF" w:rsidRDefault="003B0BDF" w:rsidP="00FF7CD1">
      <w:r>
        <w:separator/>
      </w:r>
    </w:p>
  </w:endnote>
  <w:endnote w:type="continuationSeparator" w:id="0">
    <w:p w14:paraId="3CED930F" w14:textId="77777777" w:rsidR="003B0BDF" w:rsidRDefault="003B0BDF" w:rsidP="00FF7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45383" w14:textId="77777777" w:rsidR="003B0BDF" w:rsidRDefault="003B0BDF" w:rsidP="00FF7CD1">
      <w:r>
        <w:separator/>
      </w:r>
    </w:p>
  </w:footnote>
  <w:footnote w:type="continuationSeparator" w:id="0">
    <w:p w14:paraId="79BCC941" w14:textId="77777777" w:rsidR="003B0BDF" w:rsidRDefault="003B0BDF" w:rsidP="00FF7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25906526"/>
      <w:docPartObj>
        <w:docPartGallery w:val="Page Numbers (Top of Page)"/>
        <w:docPartUnique/>
      </w:docPartObj>
    </w:sdtPr>
    <w:sdtContent>
      <w:p w14:paraId="72DD55B0" w14:textId="6033822E" w:rsidR="004E6E4E" w:rsidRDefault="004E6E4E" w:rsidP="0051264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42E70">
          <w:rPr>
            <w:rStyle w:val="PageNumber"/>
            <w:noProof/>
          </w:rPr>
          <w:t>17</w:t>
        </w:r>
        <w:r>
          <w:rPr>
            <w:rStyle w:val="PageNumber"/>
          </w:rPr>
          <w:fldChar w:fldCharType="end"/>
        </w:r>
      </w:p>
    </w:sdtContent>
  </w:sdt>
  <w:p w14:paraId="2A3EFF88" w14:textId="77777777" w:rsidR="004E6E4E" w:rsidRDefault="004E6E4E" w:rsidP="004E6E4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9428786"/>
      <w:docPartObj>
        <w:docPartGallery w:val="Page Numbers (Top of Page)"/>
        <w:docPartUnique/>
      </w:docPartObj>
    </w:sdtPr>
    <w:sdtContent>
      <w:p w14:paraId="13619652" w14:textId="1609FCCC" w:rsidR="004E6E4E" w:rsidRDefault="004E6E4E" w:rsidP="00512643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1D23D82" w14:textId="77777777" w:rsidR="004E6E4E" w:rsidRDefault="004E6E4E" w:rsidP="004E6E4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B19"/>
    <w:multiLevelType w:val="hybridMultilevel"/>
    <w:tmpl w:val="769A5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66969"/>
    <w:multiLevelType w:val="hybridMultilevel"/>
    <w:tmpl w:val="8180A076"/>
    <w:lvl w:ilvl="0" w:tplc="78E439C0">
      <w:start w:val="1"/>
      <w:numFmt w:val="decimal"/>
      <w:lvlText w:val="%1."/>
      <w:lvlJc w:val="left"/>
      <w:pPr>
        <w:ind w:left="1020" w:hanging="360"/>
      </w:pPr>
    </w:lvl>
    <w:lvl w:ilvl="1" w:tplc="F0FED356">
      <w:start w:val="1"/>
      <w:numFmt w:val="decimal"/>
      <w:lvlText w:val="%2."/>
      <w:lvlJc w:val="left"/>
      <w:pPr>
        <w:ind w:left="1020" w:hanging="360"/>
      </w:pPr>
    </w:lvl>
    <w:lvl w:ilvl="2" w:tplc="018E1FEE">
      <w:start w:val="1"/>
      <w:numFmt w:val="decimal"/>
      <w:lvlText w:val="%3."/>
      <w:lvlJc w:val="left"/>
      <w:pPr>
        <w:ind w:left="1020" w:hanging="360"/>
      </w:pPr>
    </w:lvl>
    <w:lvl w:ilvl="3" w:tplc="57223C66">
      <w:start w:val="1"/>
      <w:numFmt w:val="decimal"/>
      <w:lvlText w:val="%4."/>
      <w:lvlJc w:val="left"/>
      <w:pPr>
        <w:ind w:left="1020" w:hanging="360"/>
      </w:pPr>
    </w:lvl>
    <w:lvl w:ilvl="4" w:tplc="84726F06">
      <w:start w:val="1"/>
      <w:numFmt w:val="decimal"/>
      <w:lvlText w:val="%5."/>
      <w:lvlJc w:val="left"/>
      <w:pPr>
        <w:ind w:left="1020" w:hanging="360"/>
      </w:pPr>
    </w:lvl>
    <w:lvl w:ilvl="5" w:tplc="B3041002">
      <w:start w:val="1"/>
      <w:numFmt w:val="decimal"/>
      <w:lvlText w:val="%6."/>
      <w:lvlJc w:val="left"/>
      <w:pPr>
        <w:ind w:left="1020" w:hanging="360"/>
      </w:pPr>
    </w:lvl>
    <w:lvl w:ilvl="6" w:tplc="916C7116">
      <w:start w:val="1"/>
      <w:numFmt w:val="decimal"/>
      <w:lvlText w:val="%7."/>
      <w:lvlJc w:val="left"/>
      <w:pPr>
        <w:ind w:left="1020" w:hanging="360"/>
      </w:pPr>
    </w:lvl>
    <w:lvl w:ilvl="7" w:tplc="FCF00796">
      <w:start w:val="1"/>
      <w:numFmt w:val="decimal"/>
      <w:lvlText w:val="%8."/>
      <w:lvlJc w:val="left"/>
      <w:pPr>
        <w:ind w:left="1020" w:hanging="360"/>
      </w:pPr>
    </w:lvl>
    <w:lvl w:ilvl="8" w:tplc="73C6EFEE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EC5468B"/>
    <w:multiLevelType w:val="hybridMultilevel"/>
    <w:tmpl w:val="1E32A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84356"/>
    <w:multiLevelType w:val="multilevel"/>
    <w:tmpl w:val="F8E4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E80638"/>
    <w:multiLevelType w:val="hybridMultilevel"/>
    <w:tmpl w:val="685864FE"/>
    <w:lvl w:ilvl="0" w:tplc="F2A08420">
      <w:start w:val="1"/>
      <w:numFmt w:val="decimal"/>
      <w:lvlText w:val="%1."/>
      <w:lvlJc w:val="left"/>
      <w:pPr>
        <w:ind w:left="1020" w:hanging="360"/>
      </w:pPr>
    </w:lvl>
    <w:lvl w:ilvl="1" w:tplc="69C08B38">
      <w:start w:val="1"/>
      <w:numFmt w:val="decimal"/>
      <w:lvlText w:val="%2."/>
      <w:lvlJc w:val="left"/>
      <w:pPr>
        <w:ind w:left="1020" w:hanging="360"/>
      </w:pPr>
    </w:lvl>
    <w:lvl w:ilvl="2" w:tplc="768C32CE">
      <w:start w:val="1"/>
      <w:numFmt w:val="decimal"/>
      <w:lvlText w:val="%3."/>
      <w:lvlJc w:val="left"/>
      <w:pPr>
        <w:ind w:left="1020" w:hanging="360"/>
      </w:pPr>
    </w:lvl>
    <w:lvl w:ilvl="3" w:tplc="6E867E36">
      <w:start w:val="1"/>
      <w:numFmt w:val="decimal"/>
      <w:lvlText w:val="%4."/>
      <w:lvlJc w:val="left"/>
      <w:pPr>
        <w:ind w:left="1020" w:hanging="360"/>
      </w:pPr>
    </w:lvl>
    <w:lvl w:ilvl="4" w:tplc="8272F842">
      <w:start w:val="1"/>
      <w:numFmt w:val="decimal"/>
      <w:lvlText w:val="%5."/>
      <w:lvlJc w:val="left"/>
      <w:pPr>
        <w:ind w:left="1020" w:hanging="360"/>
      </w:pPr>
    </w:lvl>
    <w:lvl w:ilvl="5" w:tplc="A5262240">
      <w:start w:val="1"/>
      <w:numFmt w:val="decimal"/>
      <w:lvlText w:val="%6."/>
      <w:lvlJc w:val="left"/>
      <w:pPr>
        <w:ind w:left="1020" w:hanging="360"/>
      </w:pPr>
    </w:lvl>
    <w:lvl w:ilvl="6" w:tplc="4FDE920A">
      <w:start w:val="1"/>
      <w:numFmt w:val="decimal"/>
      <w:lvlText w:val="%7."/>
      <w:lvlJc w:val="left"/>
      <w:pPr>
        <w:ind w:left="1020" w:hanging="360"/>
      </w:pPr>
    </w:lvl>
    <w:lvl w:ilvl="7" w:tplc="1D549B14">
      <w:start w:val="1"/>
      <w:numFmt w:val="decimal"/>
      <w:lvlText w:val="%8."/>
      <w:lvlJc w:val="left"/>
      <w:pPr>
        <w:ind w:left="1020" w:hanging="360"/>
      </w:pPr>
    </w:lvl>
    <w:lvl w:ilvl="8" w:tplc="E45C3D5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3F4F6A4C"/>
    <w:multiLevelType w:val="hybridMultilevel"/>
    <w:tmpl w:val="511CF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05F81"/>
    <w:multiLevelType w:val="hybridMultilevel"/>
    <w:tmpl w:val="37006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F58F4"/>
    <w:multiLevelType w:val="hybridMultilevel"/>
    <w:tmpl w:val="83722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D210D"/>
    <w:multiLevelType w:val="hybridMultilevel"/>
    <w:tmpl w:val="1F4AD1B4"/>
    <w:lvl w:ilvl="0" w:tplc="B032FBF2">
      <w:start w:val="5"/>
      <w:numFmt w:val="bullet"/>
      <w:lvlText w:val="-"/>
      <w:lvlJc w:val="left"/>
      <w:pPr>
        <w:ind w:left="400" w:hanging="360"/>
      </w:pPr>
      <w:rPr>
        <w:rFonts w:ascii="Calibri" w:eastAsiaTheme="minorEastAsia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9" w15:restartNumberingAfterBreak="0">
    <w:nsid w:val="67087598"/>
    <w:multiLevelType w:val="hybridMultilevel"/>
    <w:tmpl w:val="21A86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93EF9"/>
    <w:multiLevelType w:val="hybridMultilevel"/>
    <w:tmpl w:val="1170358A"/>
    <w:lvl w:ilvl="0" w:tplc="576E821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DB066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B6EBC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2DE4E7E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30C1A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10CEF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E06542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EC052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4656A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B8B807"/>
    <w:multiLevelType w:val="hybridMultilevel"/>
    <w:tmpl w:val="82F67C5E"/>
    <w:lvl w:ilvl="0" w:tplc="8424DA0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6DEC8270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9B126B2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7EA602DA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DCC868C2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458C5F10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BBA29BC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8216F130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7A245624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1BC0F2D"/>
    <w:multiLevelType w:val="hybridMultilevel"/>
    <w:tmpl w:val="EE781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5670D"/>
    <w:multiLevelType w:val="hybridMultilevel"/>
    <w:tmpl w:val="75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E4FC5"/>
    <w:multiLevelType w:val="hybridMultilevel"/>
    <w:tmpl w:val="E9B69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952A9"/>
    <w:multiLevelType w:val="hybridMultilevel"/>
    <w:tmpl w:val="A7C0E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538770">
    <w:abstractNumId w:val="11"/>
  </w:num>
  <w:num w:numId="2" w16cid:durableId="704019308">
    <w:abstractNumId w:val="10"/>
  </w:num>
  <w:num w:numId="3" w16cid:durableId="1129475756">
    <w:abstractNumId w:val="6"/>
  </w:num>
  <w:num w:numId="4" w16cid:durableId="2024360885">
    <w:abstractNumId w:val="3"/>
  </w:num>
  <w:num w:numId="5" w16cid:durableId="657197736">
    <w:abstractNumId w:val="0"/>
  </w:num>
  <w:num w:numId="6" w16cid:durableId="1370298452">
    <w:abstractNumId w:val="14"/>
  </w:num>
  <w:num w:numId="7" w16cid:durableId="1379815675">
    <w:abstractNumId w:val="12"/>
  </w:num>
  <w:num w:numId="8" w16cid:durableId="303045818">
    <w:abstractNumId w:val="7"/>
  </w:num>
  <w:num w:numId="9" w16cid:durableId="1990818935">
    <w:abstractNumId w:val="5"/>
  </w:num>
  <w:num w:numId="10" w16cid:durableId="684671709">
    <w:abstractNumId w:val="9"/>
  </w:num>
  <w:num w:numId="11" w16cid:durableId="339427401">
    <w:abstractNumId w:val="15"/>
  </w:num>
  <w:num w:numId="12" w16cid:durableId="767502702">
    <w:abstractNumId w:val="2"/>
  </w:num>
  <w:num w:numId="13" w16cid:durableId="60712962">
    <w:abstractNumId w:val="8"/>
  </w:num>
  <w:num w:numId="14" w16cid:durableId="250506330">
    <w:abstractNumId w:val="1"/>
  </w:num>
  <w:num w:numId="15" w16cid:durableId="1612008758">
    <w:abstractNumId w:val="4"/>
  </w:num>
  <w:num w:numId="16" w16cid:durableId="11875943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CD1"/>
    <w:rsid w:val="00002372"/>
    <w:rsid w:val="000053E5"/>
    <w:rsid w:val="0002489A"/>
    <w:rsid w:val="00024DD4"/>
    <w:rsid w:val="00032EB2"/>
    <w:rsid w:val="0003347D"/>
    <w:rsid w:val="00043ED1"/>
    <w:rsid w:val="00063BD7"/>
    <w:rsid w:val="00063F6C"/>
    <w:rsid w:val="00066524"/>
    <w:rsid w:val="00080844"/>
    <w:rsid w:val="000810B5"/>
    <w:rsid w:val="00092617"/>
    <w:rsid w:val="000A2F3F"/>
    <w:rsid w:val="000C7196"/>
    <w:rsid w:val="000D1F67"/>
    <w:rsid w:val="000D3EBF"/>
    <w:rsid w:val="000D64AD"/>
    <w:rsid w:val="000F2BA5"/>
    <w:rsid w:val="000F5E93"/>
    <w:rsid w:val="00101BA4"/>
    <w:rsid w:val="00107286"/>
    <w:rsid w:val="00115F09"/>
    <w:rsid w:val="001538E7"/>
    <w:rsid w:val="001817F5"/>
    <w:rsid w:val="0019390A"/>
    <w:rsid w:val="00197C56"/>
    <w:rsid w:val="001C5E5A"/>
    <w:rsid w:val="001C6065"/>
    <w:rsid w:val="001C623F"/>
    <w:rsid w:val="001D13F4"/>
    <w:rsid w:val="001D326F"/>
    <w:rsid w:val="001E0766"/>
    <w:rsid w:val="001E79BB"/>
    <w:rsid w:val="00221F2C"/>
    <w:rsid w:val="00226400"/>
    <w:rsid w:val="002427C4"/>
    <w:rsid w:val="0025351E"/>
    <w:rsid w:val="00262AAA"/>
    <w:rsid w:val="002678EF"/>
    <w:rsid w:val="00275A34"/>
    <w:rsid w:val="002A0723"/>
    <w:rsid w:val="002A640B"/>
    <w:rsid w:val="002C271E"/>
    <w:rsid w:val="002E4C83"/>
    <w:rsid w:val="00310A36"/>
    <w:rsid w:val="00314DFD"/>
    <w:rsid w:val="00316A81"/>
    <w:rsid w:val="0032667F"/>
    <w:rsid w:val="00331A95"/>
    <w:rsid w:val="00393AD9"/>
    <w:rsid w:val="003948E1"/>
    <w:rsid w:val="003A725E"/>
    <w:rsid w:val="003B0BDF"/>
    <w:rsid w:val="003B7608"/>
    <w:rsid w:val="003C14B8"/>
    <w:rsid w:val="004252BB"/>
    <w:rsid w:val="00430E45"/>
    <w:rsid w:val="0045482C"/>
    <w:rsid w:val="004C6AEA"/>
    <w:rsid w:val="004E6E4E"/>
    <w:rsid w:val="004F7F5F"/>
    <w:rsid w:val="0050197B"/>
    <w:rsid w:val="005107CF"/>
    <w:rsid w:val="00512643"/>
    <w:rsid w:val="00515408"/>
    <w:rsid w:val="005179E3"/>
    <w:rsid w:val="00531A9E"/>
    <w:rsid w:val="00531E47"/>
    <w:rsid w:val="00555386"/>
    <w:rsid w:val="005718E7"/>
    <w:rsid w:val="00576944"/>
    <w:rsid w:val="005D58C6"/>
    <w:rsid w:val="005D7B1C"/>
    <w:rsid w:val="00611C18"/>
    <w:rsid w:val="00653528"/>
    <w:rsid w:val="006630E3"/>
    <w:rsid w:val="006A331B"/>
    <w:rsid w:val="006A6F6D"/>
    <w:rsid w:val="006B79FA"/>
    <w:rsid w:val="006C5AA0"/>
    <w:rsid w:val="006C6CB8"/>
    <w:rsid w:val="006E157E"/>
    <w:rsid w:val="006E274B"/>
    <w:rsid w:val="006E5496"/>
    <w:rsid w:val="007033A5"/>
    <w:rsid w:val="007176E8"/>
    <w:rsid w:val="00752F71"/>
    <w:rsid w:val="00775A63"/>
    <w:rsid w:val="007801FB"/>
    <w:rsid w:val="007851C1"/>
    <w:rsid w:val="007A4381"/>
    <w:rsid w:val="007B2CFF"/>
    <w:rsid w:val="007E1AA1"/>
    <w:rsid w:val="007E4AD3"/>
    <w:rsid w:val="0080313C"/>
    <w:rsid w:val="00826CAA"/>
    <w:rsid w:val="00827BA1"/>
    <w:rsid w:val="008333DE"/>
    <w:rsid w:val="008561E0"/>
    <w:rsid w:val="0086564B"/>
    <w:rsid w:val="00875A73"/>
    <w:rsid w:val="00894EAC"/>
    <w:rsid w:val="008B36AD"/>
    <w:rsid w:val="008B7D24"/>
    <w:rsid w:val="008E4721"/>
    <w:rsid w:val="008F0B79"/>
    <w:rsid w:val="0091338A"/>
    <w:rsid w:val="00935855"/>
    <w:rsid w:val="00941B24"/>
    <w:rsid w:val="0095403F"/>
    <w:rsid w:val="009623E3"/>
    <w:rsid w:val="00964CD6"/>
    <w:rsid w:val="00967F3D"/>
    <w:rsid w:val="00971EF8"/>
    <w:rsid w:val="00996EB2"/>
    <w:rsid w:val="009B0CC9"/>
    <w:rsid w:val="009B2FD4"/>
    <w:rsid w:val="009B3679"/>
    <w:rsid w:val="009D01EE"/>
    <w:rsid w:val="009D5A10"/>
    <w:rsid w:val="009E19A6"/>
    <w:rsid w:val="00A04119"/>
    <w:rsid w:val="00A05047"/>
    <w:rsid w:val="00A06CFE"/>
    <w:rsid w:val="00A111F1"/>
    <w:rsid w:val="00A70FE1"/>
    <w:rsid w:val="00AA4A81"/>
    <w:rsid w:val="00AB739D"/>
    <w:rsid w:val="00AD3C68"/>
    <w:rsid w:val="00AF1239"/>
    <w:rsid w:val="00AF2466"/>
    <w:rsid w:val="00AF50C6"/>
    <w:rsid w:val="00AF71A2"/>
    <w:rsid w:val="00B14D94"/>
    <w:rsid w:val="00B16840"/>
    <w:rsid w:val="00B32814"/>
    <w:rsid w:val="00B335F1"/>
    <w:rsid w:val="00B50369"/>
    <w:rsid w:val="00B64307"/>
    <w:rsid w:val="00B64B2C"/>
    <w:rsid w:val="00B7171D"/>
    <w:rsid w:val="00B75876"/>
    <w:rsid w:val="00B93D0F"/>
    <w:rsid w:val="00B95A59"/>
    <w:rsid w:val="00BA5E83"/>
    <w:rsid w:val="00BB5B5C"/>
    <w:rsid w:val="00BC147E"/>
    <w:rsid w:val="00BD1F51"/>
    <w:rsid w:val="00BD75CC"/>
    <w:rsid w:val="00C0453B"/>
    <w:rsid w:val="00C339A3"/>
    <w:rsid w:val="00C37596"/>
    <w:rsid w:val="00C446C3"/>
    <w:rsid w:val="00C55DC4"/>
    <w:rsid w:val="00CB49E9"/>
    <w:rsid w:val="00CF569B"/>
    <w:rsid w:val="00D10EE7"/>
    <w:rsid w:val="00D35A00"/>
    <w:rsid w:val="00D4183F"/>
    <w:rsid w:val="00D65CEF"/>
    <w:rsid w:val="00D73EC9"/>
    <w:rsid w:val="00D76869"/>
    <w:rsid w:val="00D905CE"/>
    <w:rsid w:val="00D92DEE"/>
    <w:rsid w:val="00DA02D2"/>
    <w:rsid w:val="00DA6B38"/>
    <w:rsid w:val="00DB72EA"/>
    <w:rsid w:val="00DF7381"/>
    <w:rsid w:val="00E21D6F"/>
    <w:rsid w:val="00E23CE3"/>
    <w:rsid w:val="00E25C39"/>
    <w:rsid w:val="00E42E70"/>
    <w:rsid w:val="00E45E75"/>
    <w:rsid w:val="00E5027C"/>
    <w:rsid w:val="00E7681A"/>
    <w:rsid w:val="00E8673C"/>
    <w:rsid w:val="00E86906"/>
    <w:rsid w:val="00E929CD"/>
    <w:rsid w:val="00EB0253"/>
    <w:rsid w:val="00EC30FF"/>
    <w:rsid w:val="00ED00B7"/>
    <w:rsid w:val="00EE1A6F"/>
    <w:rsid w:val="00EE6BBE"/>
    <w:rsid w:val="00EE6EB9"/>
    <w:rsid w:val="00EF37AA"/>
    <w:rsid w:val="00EF43F2"/>
    <w:rsid w:val="00F14D17"/>
    <w:rsid w:val="00F21D87"/>
    <w:rsid w:val="00F4652E"/>
    <w:rsid w:val="00F764ED"/>
    <w:rsid w:val="00F84A4E"/>
    <w:rsid w:val="00FB7FB4"/>
    <w:rsid w:val="00FC3CAC"/>
    <w:rsid w:val="00FC4D02"/>
    <w:rsid w:val="00FD5AA8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54775"/>
  <w15:chartTrackingRefBased/>
  <w15:docId w15:val="{E480FF98-F356-5745-A94F-3F77C437A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3F4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7CD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7C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7CD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CD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CD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CD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CD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CD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CD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F7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F7C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C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C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C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7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CD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7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CD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7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CD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7C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C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CD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F7CD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F7CD1"/>
    <w:rPr>
      <w:b/>
      <w:bCs/>
    </w:rPr>
  </w:style>
  <w:style w:type="paragraph" w:customStyle="1" w:styleId="Default">
    <w:name w:val="Default"/>
    <w:rsid w:val="00FF7C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customStyle="1" w:styleId="EndNoteBibliography">
    <w:name w:val="EndNote Bibliography"/>
    <w:basedOn w:val="Normal"/>
    <w:link w:val="EndNoteBibliographyChar"/>
    <w:rsid w:val="00FF7CD1"/>
    <w:rPr>
      <w:rFonts w:ascii="Calibri" w:eastAsiaTheme="minorEastAsia" w:hAnsi="Calibri" w:cs="Calibri"/>
      <w:kern w:val="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FF7CD1"/>
    <w:rPr>
      <w:rFonts w:ascii="Calibri" w:eastAsiaTheme="minorEastAsia" w:hAnsi="Calibri" w:cs="Calibri"/>
    </w:rPr>
  </w:style>
  <w:style w:type="paragraph" w:customStyle="1" w:styleId="paragraph">
    <w:name w:val="paragraph"/>
    <w:basedOn w:val="Normal"/>
    <w:link w:val="paragraphChar"/>
    <w:rsid w:val="00FF7CD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F7CD1"/>
  </w:style>
  <w:style w:type="character" w:customStyle="1" w:styleId="eop">
    <w:name w:val="eop"/>
    <w:basedOn w:val="DefaultParagraphFont"/>
    <w:rsid w:val="00FF7CD1"/>
  </w:style>
  <w:style w:type="character" w:customStyle="1" w:styleId="scxw183263549">
    <w:name w:val="scxw183263549"/>
    <w:basedOn w:val="DefaultParagraphFont"/>
    <w:rsid w:val="00FF7CD1"/>
  </w:style>
  <w:style w:type="character" w:styleId="Hyperlink">
    <w:name w:val="Hyperlink"/>
    <w:basedOn w:val="DefaultParagraphFont"/>
    <w:uiPriority w:val="99"/>
    <w:unhideWhenUsed/>
    <w:rsid w:val="00FF7CD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7CD1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FF7CD1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FF7CD1"/>
    <w:pPr>
      <w:widowControl w:val="0"/>
      <w:jc w:val="center"/>
    </w:pPr>
    <w:rPr>
      <w:rFonts w:ascii="Calibri" w:eastAsiaTheme="minorEastAsia" w:hAnsi="Calibri" w:cs="Calibri"/>
      <w:noProof/>
      <w:lang w:eastAsia="zh-CN"/>
    </w:rPr>
  </w:style>
  <w:style w:type="character" w:customStyle="1" w:styleId="paragraphChar">
    <w:name w:val="paragraph Char"/>
    <w:basedOn w:val="DefaultParagraphFont"/>
    <w:link w:val="paragraph"/>
    <w:rsid w:val="00FF7CD1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EndNoteBibliographyTitleChar">
    <w:name w:val="EndNote Bibliography Title Char"/>
    <w:basedOn w:val="paragraphChar"/>
    <w:link w:val="EndNoteBibliographyTitle"/>
    <w:rsid w:val="00FF7CD1"/>
    <w:rPr>
      <w:rFonts w:ascii="Calibri" w:eastAsiaTheme="minorEastAsia" w:hAnsi="Calibri" w:cs="Calibri"/>
      <w:noProof/>
      <w:kern w:val="0"/>
      <w:lang w:eastAsia="zh-CN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F7CD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FF7CD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FF7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F7CD1"/>
    <w:pPr>
      <w:widowControl w:val="0"/>
      <w:spacing w:after="200"/>
      <w:jc w:val="both"/>
    </w:pPr>
    <w:rPr>
      <w:rFonts w:asciiTheme="minorHAnsi" w:eastAsiaTheme="minorEastAsia" w:hAnsiTheme="minorHAnsi" w:cstheme="minorBidi"/>
      <w:b/>
      <w:bCs/>
      <w:color w:val="4472C4" w:themeColor="accent1"/>
      <w:kern w:val="2"/>
      <w:sz w:val="18"/>
      <w:szCs w:val="18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FF7C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7CD1"/>
    <w:pPr>
      <w:widowControl w:val="0"/>
      <w:jc w:val="both"/>
    </w:pPr>
    <w:rPr>
      <w:rFonts w:asciiTheme="minorHAnsi" w:eastAsiaTheme="minorEastAsia" w:hAnsiTheme="minorHAnsi" w:cstheme="minorBidi"/>
      <w:kern w:val="2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CD1"/>
    <w:rPr>
      <w:rFonts w:eastAsiaTheme="minorEastAsia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CD1"/>
    <w:rPr>
      <w:rFonts w:eastAsiaTheme="minorEastAsia"/>
      <w:b/>
      <w:bCs/>
      <w:sz w:val="20"/>
      <w:szCs w:val="20"/>
      <w:lang w:eastAsia="zh-CN"/>
      <w14:ligatures w14:val="none"/>
    </w:rPr>
  </w:style>
  <w:style w:type="paragraph" w:styleId="Revision">
    <w:name w:val="Revision"/>
    <w:hidden/>
    <w:uiPriority w:val="99"/>
    <w:semiHidden/>
    <w:rsid w:val="00FF7CD1"/>
    <w:pPr>
      <w:spacing w:after="0" w:line="240" w:lineRule="auto"/>
    </w:pPr>
    <w:rPr>
      <w:rFonts w:eastAsiaTheme="minorEastAsia"/>
      <w:lang w:eastAsia="zh-CN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F7CD1"/>
    <w:rPr>
      <w:rFonts w:asciiTheme="minorHAnsi" w:eastAsiaTheme="minorEastAsia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7CD1"/>
    <w:rPr>
      <w:rFonts w:eastAsiaTheme="minorEastAsia"/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FF7CD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F7CD1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F7CD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F7CD1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F7CD1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F7CD1"/>
    <w:rPr>
      <w:rFonts w:eastAsiaTheme="minorEastAsia"/>
      <w:kern w:val="0"/>
      <w14:ligatures w14:val="none"/>
    </w:rPr>
  </w:style>
  <w:style w:type="paragraph" w:customStyle="1" w:styleId="whitespace-normal">
    <w:name w:val="whitespace-normal"/>
    <w:basedOn w:val="Normal"/>
    <w:rsid w:val="00FF7CD1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FF7CD1"/>
  </w:style>
  <w:style w:type="paragraph" w:customStyle="1" w:styleId="H2">
    <w:name w:val="H2"/>
    <w:basedOn w:val="NormalWeb"/>
    <w:rsid w:val="00FF7CD1"/>
    <w:pPr>
      <w:tabs>
        <w:tab w:val="num" w:pos="1320"/>
      </w:tabs>
      <w:spacing w:before="120" w:beforeAutospacing="0" w:after="40" w:afterAutospacing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d10data.com/ICD10CM/Codes/S00-T88/S70-S79/S72/S72.0-/S72.021A" TargetMode="External"/><Relationship Id="rId13" Type="http://schemas.openxmlformats.org/officeDocument/2006/relationships/hyperlink" Target="https://www.icd10data.com/ICD10CM/Codes/S00-T88/S70-S79/S72/S72.0-/S72.026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cd10data.com/ICD10CM/Codes/S00-T88/S70-S79/S72/S72.0-/S72.025A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cd10data.com/ICD10CM/Codes/S00-T88/S70-S79/S72/S72.0-/S72.024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wh-dope.aetion.com/measures/details/47448/0/0/basics" TargetMode="External"/><Relationship Id="rId10" Type="http://schemas.openxmlformats.org/officeDocument/2006/relationships/hyperlink" Target="https://www.icd10data.com/ICD10CM/Codes/S00-T88/S70-S79/S72/S72.0-/S72.023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icd10data.com/ICD10CM/Codes/S00-T88/S70-S79/S72/S72.0-/S72.022A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E1E6B1-13C6-4F4D-BAF8-EB72B08ED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3839</Words>
  <Characters>24228</Characters>
  <Application>Microsoft Office Word</Application>
  <DocSecurity>0</DocSecurity>
  <Lines>1615</Lines>
  <Paragraphs>1169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Okazaki, Keity M.,MD</dc:creator>
  <cp:keywords/>
  <dc:description/>
  <cp:lastModifiedBy>Okazaki, Keity M.,MD</cp:lastModifiedBy>
  <cp:revision>7</cp:revision>
  <dcterms:created xsi:type="dcterms:W3CDTF">2026-03-17T16:36:00Z</dcterms:created>
  <dcterms:modified xsi:type="dcterms:W3CDTF">2026-04-15T17:09:00Z</dcterms:modified>
</cp:coreProperties>
</file>