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0DE2E" w14:textId="5EE263EC" w:rsidR="00183245" w:rsidRDefault="000C17C6" w:rsidP="000C17C6">
      <w:pPr>
        <w:jc w:val="center"/>
        <w:rPr>
          <w:b/>
          <w:bCs/>
        </w:rPr>
      </w:pPr>
      <w:r w:rsidRPr="000C17C6">
        <w:rPr>
          <w:b/>
          <w:bCs/>
        </w:rPr>
        <w:t>Supplemental Appendix</w:t>
      </w:r>
    </w:p>
    <w:p w14:paraId="709D14A9" w14:textId="77777777" w:rsidR="00D428F6" w:rsidRDefault="00D428F6" w:rsidP="000C17C6">
      <w:pPr>
        <w:jc w:val="center"/>
        <w:rPr>
          <w:b/>
          <w:bCs/>
        </w:rPr>
      </w:pPr>
    </w:p>
    <w:p w14:paraId="77ED9527" w14:textId="77777777" w:rsidR="00D428F6" w:rsidRPr="000C17C6" w:rsidRDefault="00D428F6" w:rsidP="000C17C6">
      <w:pPr>
        <w:jc w:val="center"/>
        <w:rPr>
          <w:b/>
          <w:bCs/>
        </w:rPr>
      </w:pPr>
    </w:p>
    <w:p w14:paraId="32208BB8" w14:textId="389F838C" w:rsidR="000C17C6" w:rsidRPr="000C17C6" w:rsidRDefault="000C17C6"/>
    <w:p w14:paraId="4D6311BF" w14:textId="1E5425F3" w:rsidR="000C17C6" w:rsidRDefault="000C17C6">
      <w:r w:rsidRPr="000C17C6">
        <w:rPr>
          <w:u w:val="single"/>
        </w:rPr>
        <w:t>Table 1:</w:t>
      </w:r>
      <w:r>
        <w:t xml:space="preserve"> </w:t>
      </w:r>
      <w:r w:rsidRPr="000C17C6">
        <w:t xml:space="preserve">International Classification of Disease-10 codes to identify opioid use disorder </w:t>
      </w:r>
    </w:p>
    <w:p w14:paraId="4033021F" w14:textId="77777777" w:rsidR="00D428F6" w:rsidRPr="000C17C6" w:rsidRDefault="00D428F6"/>
    <w:p w14:paraId="20808C13" w14:textId="1D40A4EF" w:rsidR="000C17C6" w:rsidRDefault="000C17C6">
      <w:r w:rsidRPr="000C17C6">
        <w:rPr>
          <w:u w:val="single"/>
        </w:rPr>
        <w:t>Figure 1:</w:t>
      </w:r>
      <w:r>
        <w:t xml:space="preserve"> </w:t>
      </w:r>
      <w:r w:rsidRPr="000C17C6">
        <w:t xml:space="preserve">Unadjusted trends in number of emergency department visits and discharges before medically advised </w:t>
      </w:r>
    </w:p>
    <w:p w14:paraId="14CFCE85" w14:textId="77777777" w:rsidR="00D428F6" w:rsidRPr="000C17C6" w:rsidRDefault="00D428F6"/>
    <w:p w14:paraId="00CF0767" w14:textId="4566532C" w:rsidR="000C17C6" w:rsidRDefault="000C17C6">
      <w:r w:rsidRPr="000C17C6">
        <w:rPr>
          <w:u w:val="single"/>
        </w:rPr>
        <w:t>Figure 2:</w:t>
      </w:r>
      <w:r>
        <w:t xml:space="preserve"> </w:t>
      </w:r>
      <w:r w:rsidRPr="000C17C6">
        <w:t xml:space="preserve">Trends in outcomes adjusted for seasonality </w:t>
      </w:r>
    </w:p>
    <w:p w14:paraId="49EB7BF7" w14:textId="77777777" w:rsidR="00D428F6" w:rsidRPr="000C17C6" w:rsidRDefault="00D428F6"/>
    <w:p w14:paraId="2EA9CEA5" w14:textId="3F528F0C" w:rsidR="000C17C6" w:rsidRDefault="000C17C6">
      <w:r w:rsidRPr="000C17C6">
        <w:rPr>
          <w:u w:val="single"/>
        </w:rPr>
        <w:t>Table 2:</w:t>
      </w:r>
      <w:r>
        <w:t xml:space="preserve"> </w:t>
      </w:r>
      <w:r w:rsidRPr="000C17C6">
        <w:t xml:space="preserve">Sensitivity analysis with exclusion of a comparison hospital </w:t>
      </w:r>
    </w:p>
    <w:p w14:paraId="0B843CE5" w14:textId="77777777" w:rsidR="00D428F6" w:rsidRPr="000C17C6" w:rsidRDefault="00D428F6"/>
    <w:p w14:paraId="3C5702FC" w14:textId="5BE10BA2" w:rsidR="000C17C6" w:rsidRPr="000C17C6" w:rsidRDefault="000C17C6">
      <w:r w:rsidRPr="000C17C6">
        <w:rPr>
          <w:u w:val="single"/>
        </w:rPr>
        <w:t>Table 3:</w:t>
      </w:r>
      <w:r>
        <w:t xml:space="preserve"> </w:t>
      </w:r>
      <w:r w:rsidRPr="000C17C6">
        <w:t xml:space="preserve">Sensitivity analysis with exclusion of March-December 2020 </w:t>
      </w:r>
      <w:r w:rsidR="00F90565">
        <w:t>for COVID-19 pandemic</w:t>
      </w:r>
    </w:p>
    <w:p w14:paraId="602735E0" w14:textId="77777777" w:rsidR="000C17C6" w:rsidRPr="000C17C6" w:rsidRDefault="000C17C6"/>
    <w:p w14:paraId="5C8976F5" w14:textId="77777777" w:rsidR="000C17C6" w:rsidRDefault="000C17C6"/>
    <w:p w14:paraId="2C3F975A" w14:textId="1E9E1B0F" w:rsidR="00953095" w:rsidRDefault="00953095">
      <w:r>
        <w:br w:type="page"/>
      </w:r>
    </w:p>
    <w:p w14:paraId="72DA1E8F" w14:textId="52737131" w:rsidR="2CD6D48D" w:rsidRDefault="2CD6D48D" w:rsidP="2CD6D48D">
      <w:pPr>
        <w:rPr>
          <w:b/>
          <w:bCs/>
        </w:rPr>
      </w:pPr>
      <w:r w:rsidRPr="2CD6D48D">
        <w:rPr>
          <w:b/>
          <w:bCs/>
        </w:rPr>
        <w:lastRenderedPageBreak/>
        <w:t xml:space="preserve">Table 1: International Classification of Disease-10 codes to identify opioid-related disorders </w:t>
      </w:r>
    </w:p>
    <w:p w14:paraId="684416B6" w14:textId="2EB4AA8D" w:rsidR="2CD6D48D" w:rsidRDefault="2CD6D48D" w:rsidP="2CD6D48D">
      <w:pPr>
        <w:rPr>
          <w:b/>
          <w:bCs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3107"/>
        <w:gridCol w:w="2534"/>
        <w:gridCol w:w="7132"/>
      </w:tblGrid>
      <w:tr w:rsidR="2E637729" w14:paraId="73B5F29B" w14:textId="77777777" w:rsidTr="2CD6D48D">
        <w:trPr>
          <w:trHeight w:val="300"/>
        </w:trPr>
        <w:tc>
          <w:tcPr>
            <w:tcW w:w="310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5280C6D" w14:textId="4095BD1A" w:rsidR="2E637729" w:rsidRDefault="2E637729" w:rsidP="2E637729">
            <w:pPr>
              <w:jc w:val="center"/>
            </w:pPr>
            <w:r w:rsidRPr="2E637729">
              <w:rPr>
                <w:b/>
                <w:bCs/>
              </w:rPr>
              <w:t>Category</w:t>
            </w:r>
          </w:p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C56E0A2" w14:textId="77CD8744" w:rsidR="2E637729" w:rsidRDefault="2E637729" w:rsidP="2E637729">
            <w:pPr>
              <w:jc w:val="center"/>
            </w:pPr>
            <w:r w:rsidRPr="2E637729">
              <w:rPr>
                <w:b/>
                <w:bCs/>
              </w:rPr>
              <w:t>ICD-10 Codes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E5C2796" w14:textId="5A009752" w:rsidR="2E637729" w:rsidRDefault="2E637729" w:rsidP="2E637729">
            <w:pPr>
              <w:jc w:val="center"/>
            </w:pPr>
            <w:r w:rsidRPr="2E637729">
              <w:rPr>
                <w:b/>
                <w:bCs/>
              </w:rPr>
              <w:t>Description</w:t>
            </w:r>
          </w:p>
        </w:tc>
      </w:tr>
      <w:tr w:rsidR="2E637729" w14:paraId="3835911C" w14:textId="77777777" w:rsidTr="2CD6D48D">
        <w:trPr>
          <w:trHeight w:val="300"/>
        </w:trPr>
        <w:tc>
          <w:tcPr>
            <w:tcW w:w="3107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207A404" w14:textId="6F5BB4A3" w:rsidR="2E637729" w:rsidRDefault="2E637729" w:rsidP="2E637729">
            <w:r w:rsidRPr="2E637729">
              <w:rPr>
                <w:b/>
                <w:bCs/>
              </w:rPr>
              <w:t>Opioid Poisoning/Overdose</w:t>
            </w:r>
          </w:p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107921" w14:textId="7700F812" w:rsidR="2E637729" w:rsidRDefault="2E637729" w:rsidP="2E637729">
            <w:r>
              <w:t>T40.0X*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DDE7018" w14:textId="716C7E19" w:rsidR="2E637729" w:rsidRDefault="2E637729" w:rsidP="2E637729">
            <w:r>
              <w:t>Poisoning by opium</w:t>
            </w:r>
          </w:p>
        </w:tc>
      </w:tr>
      <w:tr w:rsidR="2E637729" w14:paraId="7E7D4FFE" w14:textId="77777777" w:rsidTr="2CD6D48D">
        <w:trPr>
          <w:trHeight w:val="300"/>
        </w:trPr>
        <w:tc>
          <w:tcPr>
            <w:tcW w:w="310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6EDE84C" w14:textId="38CEA3DF" w:rsidR="2E637729" w:rsidRDefault="2E637729"/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A1A9C3E" w14:textId="079D6870" w:rsidR="2E637729" w:rsidRDefault="2E637729" w:rsidP="2E637729">
            <w:r>
              <w:t>T40.1X*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B4D8A77" w14:textId="1A46364A" w:rsidR="2E637729" w:rsidRDefault="2E637729" w:rsidP="2E637729">
            <w:r>
              <w:t>Poisoning by heroin</w:t>
            </w:r>
          </w:p>
        </w:tc>
      </w:tr>
      <w:tr w:rsidR="2E637729" w14:paraId="53CD2A99" w14:textId="77777777" w:rsidTr="2CD6D48D">
        <w:trPr>
          <w:trHeight w:val="300"/>
        </w:trPr>
        <w:tc>
          <w:tcPr>
            <w:tcW w:w="310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0DF539C" w14:textId="038AEC85" w:rsidR="2E637729" w:rsidRDefault="2E637729"/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E9A0B82" w14:textId="61DF0E76" w:rsidR="2E637729" w:rsidRDefault="2E637729" w:rsidP="2E637729">
            <w:r>
              <w:t>T40.2X*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0006B40" w14:textId="42CBB69A" w:rsidR="2E637729" w:rsidRDefault="2E637729" w:rsidP="2E637729">
            <w:r>
              <w:t>Poisoning by other opioids (e.g., morphine, codeine)</w:t>
            </w:r>
          </w:p>
        </w:tc>
      </w:tr>
      <w:tr w:rsidR="2E637729" w14:paraId="53B2B8E9" w14:textId="77777777" w:rsidTr="2CD6D48D">
        <w:trPr>
          <w:trHeight w:val="300"/>
        </w:trPr>
        <w:tc>
          <w:tcPr>
            <w:tcW w:w="310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9900953" w14:textId="28E1EC4B" w:rsidR="2E637729" w:rsidRDefault="2E637729"/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7EEB549" w14:textId="1CA72DED" w:rsidR="2E637729" w:rsidRDefault="2E637729" w:rsidP="2E637729">
            <w:r>
              <w:t>T40.3X*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0D6F14B" w14:textId="056613DE" w:rsidR="2E637729" w:rsidRDefault="2E637729" w:rsidP="2E637729">
            <w:r>
              <w:t>Poisoning by methadone</w:t>
            </w:r>
          </w:p>
        </w:tc>
      </w:tr>
      <w:tr w:rsidR="2E637729" w14:paraId="6CC0044E" w14:textId="77777777" w:rsidTr="2CD6D48D">
        <w:trPr>
          <w:trHeight w:val="300"/>
        </w:trPr>
        <w:tc>
          <w:tcPr>
            <w:tcW w:w="310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807CB5F" w14:textId="42BD91FE" w:rsidR="2E637729" w:rsidRDefault="2E637729"/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CEBF757" w14:textId="08622C23" w:rsidR="2E637729" w:rsidRDefault="5FC828CC" w:rsidP="2E637729">
            <w:r>
              <w:t>T40.4*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BE7405B" w14:textId="5FC2683B" w:rsidR="2E637729" w:rsidRDefault="2E637729" w:rsidP="2E637729">
            <w:r>
              <w:t>Poisoning by synthetic narcotics (e.g., fentanyl, tramadol)</w:t>
            </w:r>
          </w:p>
        </w:tc>
      </w:tr>
      <w:tr w:rsidR="2E637729" w14:paraId="3D42FD65" w14:textId="77777777" w:rsidTr="2CD6D48D">
        <w:trPr>
          <w:trHeight w:val="300"/>
        </w:trPr>
        <w:tc>
          <w:tcPr>
            <w:tcW w:w="3107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A890B87" w14:textId="7E129574" w:rsidR="2E637729" w:rsidRDefault="2E637729"/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062ED29" w14:textId="516F1C61" w:rsidR="2E637729" w:rsidRDefault="5FC828CC" w:rsidP="2E637729">
            <w:r>
              <w:t>T40.6*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C2E60C2" w14:textId="6CA4060F" w:rsidR="2E637729" w:rsidRDefault="2E637729" w:rsidP="2E637729">
            <w:r>
              <w:t>Poisoning by other/unspecified narcotics</w:t>
            </w:r>
          </w:p>
        </w:tc>
      </w:tr>
      <w:tr w:rsidR="2E637729" w14:paraId="627C243F" w14:textId="77777777" w:rsidTr="2CD6D48D">
        <w:trPr>
          <w:trHeight w:val="300"/>
        </w:trPr>
        <w:tc>
          <w:tcPr>
            <w:tcW w:w="3107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CD99F4E" w14:textId="0187BFB8" w:rsidR="2E637729" w:rsidRDefault="5FC828CC" w:rsidP="2E637729">
            <w:r w:rsidRPr="5FC828CC">
              <w:rPr>
                <w:b/>
                <w:bCs/>
              </w:rPr>
              <w:t>Opioid-Related Disorders</w:t>
            </w:r>
          </w:p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22AC087" w14:textId="2D9CD210" w:rsidR="2E637729" w:rsidRDefault="2E637729" w:rsidP="2E637729">
            <w:r>
              <w:t>F11.1*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5058532" w14:textId="6B8A92D7" w:rsidR="2E637729" w:rsidRDefault="2E637729" w:rsidP="2E637729">
            <w:r>
              <w:t>Opioid abuse (with/without complications)</w:t>
            </w:r>
          </w:p>
        </w:tc>
      </w:tr>
      <w:tr w:rsidR="2E637729" w14:paraId="12BC5AB6" w14:textId="77777777" w:rsidTr="2CD6D48D">
        <w:trPr>
          <w:trHeight w:val="300"/>
        </w:trPr>
        <w:tc>
          <w:tcPr>
            <w:tcW w:w="310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F1CAB76" w14:textId="466C30D0" w:rsidR="2E637729" w:rsidRDefault="2E637729"/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C50455" w14:textId="7C338001" w:rsidR="2E637729" w:rsidRDefault="2E637729" w:rsidP="2E637729">
            <w:r>
              <w:t>F11.2*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03446B" w14:textId="3213DEFC" w:rsidR="2E637729" w:rsidRDefault="2E637729" w:rsidP="2E637729">
            <w:r>
              <w:t>Opioid dependence (with/without complications)</w:t>
            </w:r>
          </w:p>
        </w:tc>
      </w:tr>
      <w:tr w:rsidR="2E637729" w14:paraId="50BA74A4" w14:textId="77777777" w:rsidTr="2CD6D48D">
        <w:trPr>
          <w:trHeight w:val="300"/>
        </w:trPr>
        <w:tc>
          <w:tcPr>
            <w:tcW w:w="3107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F0F2B6F" w14:textId="2A75D659" w:rsidR="2E637729" w:rsidRDefault="2E637729"/>
        </w:tc>
        <w:tc>
          <w:tcPr>
            <w:tcW w:w="25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9BF69D2" w14:textId="7FD2D425" w:rsidR="2E637729" w:rsidRDefault="2E637729" w:rsidP="2E637729">
            <w:r>
              <w:t>F11.9*</w:t>
            </w:r>
          </w:p>
        </w:tc>
        <w:tc>
          <w:tcPr>
            <w:tcW w:w="713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9CB3F51" w14:textId="3966F10F" w:rsidR="2E637729" w:rsidRDefault="2E637729" w:rsidP="2E637729">
            <w:r>
              <w:t>Opioid use, unspecified (with/without complications)</w:t>
            </w:r>
          </w:p>
        </w:tc>
      </w:tr>
      <w:tr w:rsidR="2E637729" w14:paraId="5AFC47A1" w14:textId="77777777" w:rsidTr="2CD6D48D">
        <w:trPr>
          <w:trHeight w:val="300"/>
        </w:trPr>
        <w:tc>
          <w:tcPr>
            <w:tcW w:w="3107" w:type="dxa"/>
            <w:tcBorders>
              <w:top w:val="single" w:sz="12" w:space="0" w:color="000000" w:themeColor="text1"/>
            </w:tcBorders>
            <w:vAlign w:val="center"/>
          </w:tcPr>
          <w:p w14:paraId="35243806" w14:textId="37748CF1" w:rsidR="2E637729" w:rsidRDefault="2E637729"/>
        </w:tc>
        <w:tc>
          <w:tcPr>
            <w:tcW w:w="2534" w:type="dxa"/>
            <w:tcBorders>
              <w:top w:val="single" w:sz="12" w:space="0" w:color="000000" w:themeColor="text1"/>
            </w:tcBorders>
            <w:vAlign w:val="center"/>
          </w:tcPr>
          <w:p w14:paraId="433C05B0" w14:textId="3F93863C" w:rsidR="2E637729" w:rsidRDefault="2E637729" w:rsidP="2E637729"/>
        </w:tc>
        <w:tc>
          <w:tcPr>
            <w:tcW w:w="7132" w:type="dxa"/>
            <w:tcBorders>
              <w:top w:val="single" w:sz="12" w:space="0" w:color="000000" w:themeColor="text1"/>
            </w:tcBorders>
            <w:vAlign w:val="center"/>
          </w:tcPr>
          <w:p w14:paraId="1FCB06B1" w14:textId="318BC3EF" w:rsidR="2E637729" w:rsidRDefault="2E637729" w:rsidP="2E637729"/>
        </w:tc>
      </w:tr>
    </w:tbl>
    <w:p w14:paraId="5D610049" w14:textId="5A39BC10" w:rsidR="00953095" w:rsidRDefault="00953095"/>
    <w:p w14:paraId="6C1A181B" w14:textId="401BA7D7" w:rsidR="00953095" w:rsidRDefault="00953095">
      <w:r>
        <w:br w:type="page"/>
      </w:r>
    </w:p>
    <w:p w14:paraId="10840550" w14:textId="074BF962" w:rsidR="00953095" w:rsidRDefault="00953095" w:rsidP="00953095">
      <w:pPr>
        <w:rPr>
          <w:b/>
          <w:bCs/>
        </w:rPr>
      </w:pPr>
      <w:r w:rsidRPr="00953095">
        <w:rPr>
          <w:b/>
          <w:bCs/>
        </w:rPr>
        <w:lastRenderedPageBreak/>
        <w:t xml:space="preserve">Figure 1: Unadjusted trends in number of emergency department visits </w:t>
      </w:r>
      <w:r>
        <w:rPr>
          <w:b/>
          <w:bCs/>
        </w:rPr>
        <w:t xml:space="preserve">within 6 months of discharge </w:t>
      </w:r>
      <w:r w:rsidRPr="00953095">
        <w:rPr>
          <w:b/>
          <w:bCs/>
        </w:rPr>
        <w:t xml:space="preserve">and discharges before medically advised </w:t>
      </w:r>
    </w:p>
    <w:p w14:paraId="1642A781" w14:textId="77777777" w:rsidR="00D428F6" w:rsidRDefault="00D428F6" w:rsidP="00953095">
      <w:pPr>
        <w:rPr>
          <w:b/>
          <w:bCs/>
        </w:rPr>
      </w:pPr>
    </w:p>
    <w:p w14:paraId="36CE7085" w14:textId="4D999CAA" w:rsidR="00953095" w:rsidRPr="00BC62C7" w:rsidRDefault="00BC62C7" w:rsidP="00BC62C7">
      <w:pPr>
        <w:jc w:val="center"/>
        <w:rPr>
          <w:b/>
          <w:bCs/>
        </w:rPr>
      </w:pPr>
      <w:r>
        <w:rPr>
          <w:noProof/>
          <w:sz w:val="16"/>
          <w:szCs w:val="16"/>
          <w14:ligatures w14:val="standardContextual"/>
        </w:rPr>
        <w:drawing>
          <wp:inline distT="0" distB="0" distL="0" distR="0" wp14:anchorId="55EF8844" wp14:editId="638C1F1A">
            <wp:extent cx="6972300" cy="4648200"/>
            <wp:effectExtent l="0" t="0" r="0" b="0"/>
            <wp:docPr id="534067416" name="Picture 1" descr="A graph of a graph of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067416" name="Picture 1" descr="A graph of a graph of a number of peopl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0333" cy="465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4A97F" w14:textId="7144659D" w:rsidR="00953095" w:rsidRDefault="00D428F6">
      <w:r>
        <w:t>Notes: Individuals in the comparison group include patients with an ICD-10 diagnosis corresponding to opioid use disorder who were a</w:t>
      </w:r>
      <w:r w:rsidRPr="00C77858">
        <w:t xml:space="preserve">dmitted to </w:t>
      </w:r>
      <w:r>
        <w:t xml:space="preserve">the three </w:t>
      </w:r>
      <w:r w:rsidRPr="00C77858">
        <w:t xml:space="preserve">hospitals </w:t>
      </w:r>
      <w:r>
        <w:t xml:space="preserve">in the health system </w:t>
      </w:r>
      <w:r w:rsidRPr="00C77858">
        <w:t xml:space="preserve">that did not implement an </w:t>
      </w:r>
      <w:r>
        <w:t xml:space="preserve">addiction consult service at any point during the study period. Individuals in the treatment group reflected patients </w:t>
      </w:r>
      <w:r w:rsidRPr="00C77858">
        <w:t xml:space="preserve">with </w:t>
      </w:r>
      <w:r>
        <w:t xml:space="preserve">opioid use disorder </w:t>
      </w:r>
      <w:r w:rsidRPr="00C77858">
        <w:t xml:space="preserve">treated at the hospital that implemented an </w:t>
      </w:r>
      <w:r>
        <w:t>addiction consult service at any point during the study period</w:t>
      </w:r>
      <w:r w:rsidRPr="00C77858">
        <w:t>.</w:t>
      </w:r>
      <w:r w:rsidR="00953095">
        <w:br w:type="page"/>
      </w:r>
    </w:p>
    <w:p w14:paraId="3621A27B" w14:textId="3ACFA68C" w:rsidR="00953095" w:rsidRPr="00953095" w:rsidRDefault="00953095" w:rsidP="00953095">
      <w:pPr>
        <w:rPr>
          <w:b/>
          <w:bCs/>
        </w:rPr>
      </w:pPr>
      <w:r w:rsidRPr="00953095">
        <w:rPr>
          <w:b/>
          <w:bCs/>
        </w:rPr>
        <w:lastRenderedPageBreak/>
        <w:t xml:space="preserve">Figure 2: Trends in outcomes adjusted for </w:t>
      </w:r>
      <w:r w:rsidR="00A323D8">
        <w:rPr>
          <w:b/>
          <w:bCs/>
        </w:rPr>
        <w:t xml:space="preserve">covariates </w:t>
      </w:r>
      <w:r w:rsidRPr="00953095">
        <w:rPr>
          <w:b/>
          <w:bCs/>
        </w:rPr>
        <w:t xml:space="preserve"> </w:t>
      </w:r>
    </w:p>
    <w:p w14:paraId="320CF50C" w14:textId="77777777" w:rsidR="00953095" w:rsidRDefault="00953095"/>
    <w:p w14:paraId="496A6BCE" w14:textId="394BA441" w:rsidR="00953095" w:rsidRDefault="001A0241">
      <w:r>
        <w:rPr>
          <w:noProof/>
          <w:sz w:val="16"/>
          <w:szCs w:val="16"/>
          <w14:ligatures w14:val="standardContextual"/>
        </w:rPr>
        <w:drawing>
          <wp:inline distT="0" distB="0" distL="0" distR="0" wp14:anchorId="25E92A7B" wp14:editId="1D0A826F">
            <wp:extent cx="8229600" cy="4114800"/>
            <wp:effectExtent l="0" t="0" r="0" b="0"/>
            <wp:docPr id="1472674329" name="Picture 2" descr="A group of graphs showing the results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674329" name="Picture 2" descr="A group of graphs showing the results of a graph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6A047" w14:textId="77777777" w:rsidR="00953095" w:rsidRDefault="00953095"/>
    <w:p w14:paraId="2F6C45E8" w14:textId="77777777" w:rsidR="00953095" w:rsidRDefault="00953095"/>
    <w:p w14:paraId="2FB44D3E" w14:textId="483BC58C" w:rsidR="00953095" w:rsidRDefault="00D428F6">
      <w:r>
        <w:t>Notes: Individuals in the comparison group include patients with an ICD-10 diagnosis corresponding to opioid use disorder who were a</w:t>
      </w:r>
      <w:r w:rsidRPr="00C77858">
        <w:t xml:space="preserve">dmitted to </w:t>
      </w:r>
      <w:r>
        <w:t xml:space="preserve">the three </w:t>
      </w:r>
      <w:r w:rsidRPr="00C77858">
        <w:t xml:space="preserve">hospitals </w:t>
      </w:r>
      <w:r>
        <w:t xml:space="preserve">in the health system </w:t>
      </w:r>
      <w:r w:rsidRPr="00C77858">
        <w:t xml:space="preserve">that did not implement an </w:t>
      </w:r>
      <w:r>
        <w:t xml:space="preserve">addiction consult service at any point during the study period. Individuals in the treatment group reflected patients </w:t>
      </w:r>
      <w:r w:rsidRPr="00C77858">
        <w:t xml:space="preserve">with </w:t>
      </w:r>
      <w:r>
        <w:t xml:space="preserve">opioid use disorder </w:t>
      </w:r>
      <w:r w:rsidRPr="00C77858">
        <w:t xml:space="preserve">treated at the hospital that implemented an </w:t>
      </w:r>
      <w:r>
        <w:t>addiction consult service at any point during the study period</w:t>
      </w:r>
      <w:r w:rsidRPr="00C77858">
        <w:t>.</w:t>
      </w:r>
      <w:r>
        <w:t xml:space="preserve"> MOUD=medication for opioid use disorder. </w:t>
      </w:r>
    </w:p>
    <w:p w14:paraId="3BF657DA" w14:textId="74951445" w:rsidR="00953095" w:rsidRDefault="00953095">
      <w:r>
        <w:br w:type="page"/>
      </w:r>
    </w:p>
    <w:p w14:paraId="6A19682E" w14:textId="77777777" w:rsidR="00953095" w:rsidRPr="00D428F6" w:rsidRDefault="00953095" w:rsidP="00953095">
      <w:pPr>
        <w:rPr>
          <w:b/>
          <w:bCs/>
        </w:rPr>
      </w:pPr>
      <w:r w:rsidRPr="00D428F6">
        <w:rPr>
          <w:b/>
          <w:bCs/>
        </w:rPr>
        <w:lastRenderedPageBreak/>
        <w:t xml:space="preserve">Table 2: Sensitivity analysis with exclusion of a comparison hospital </w:t>
      </w:r>
    </w:p>
    <w:p w14:paraId="6D04560C" w14:textId="7C7EDDFA" w:rsidR="00F90565" w:rsidRDefault="00F90565">
      <w:pPr>
        <w:spacing w:after="160" w:line="278" w:lineRule="auto"/>
      </w:pPr>
    </w:p>
    <w:tbl>
      <w:tblPr>
        <w:tblStyle w:val="TableGrid"/>
        <w:tblW w:w="9135" w:type="dxa"/>
        <w:tblLook w:val="04A0" w:firstRow="1" w:lastRow="0" w:firstColumn="1" w:lastColumn="0" w:noHBand="0" w:noVBand="1"/>
      </w:tblPr>
      <w:tblGrid>
        <w:gridCol w:w="5935"/>
        <w:gridCol w:w="1620"/>
        <w:gridCol w:w="1580"/>
      </w:tblGrid>
      <w:tr w:rsidR="00F90565" w:rsidRPr="00E24D09" w14:paraId="4915A753" w14:textId="77777777" w:rsidTr="00C77858">
        <w:trPr>
          <w:trHeight w:val="332"/>
        </w:trPr>
        <w:tc>
          <w:tcPr>
            <w:tcW w:w="5935" w:type="dxa"/>
            <w:noWrap/>
            <w:hideMark/>
          </w:tcPr>
          <w:p w14:paraId="5A65EE9D" w14:textId="77777777" w:rsidR="00F90565" w:rsidRPr="00F22E1B" w:rsidRDefault="00F90565" w:rsidP="00C77858">
            <w:pPr>
              <w:spacing w:line="360" w:lineRule="auto"/>
            </w:pPr>
            <w:r w:rsidRPr="00F22E1B">
              <w:t> </w:t>
            </w:r>
          </w:p>
        </w:tc>
        <w:tc>
          <w:tcPr>
            <w:tcW w:w="1620" w:type="dxa"/>
            <w:noWrap/>
            <w:hideMark/>
          </w:tcPr>
          <w:p w14:paraId="137FEF27" w14:textId="77777777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 xml:space="preserve">Unadjusted </w:t>
            </w:r>
          </w:p>
        </w:tc>
        <w:tc>
          <w:tcPr>
            <w:tcW w:w="1580" w:type="dxa"/>
            <w:noWrap/>
            <w:hideMark/>
          </w:tcPr>
          <w:p w14:paraId="2E067726" w14:textId="77777777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 xml:space="preserve">Adjusted </w:t>
            </w:r>
          </w:p>
        </w:tc>
      </w:tr>
      <w:tr w:rsidR="00F90565" w:rsidRPr="00E24D09" w14:paraId="40EE0A16" w14:textId="77777777" w:rsidTr="00C77858">
        <w:trPr>
          <w:trHeight w:val="637"/>
        </w:trPr>
        <w:tc>
          <w:tcPr>
            <w:tcW w:w="5935" w:type="dxa"/>
            <w:shd w:val="clear" w:color="auto" w:fill="D1D1D1" w:themeFill="background2" w:themeFillShade="E6"/>
            <w:noWrap/>
            <w:hideMark/>
          </w:tcPr>
          <w:p w14:paraId="5EC0EFAB" w14:textId="77777777" w:rsidR="00F90565" w:rsidRPr="00E24D09" w:rsidRDefault="00F90565" w:rsidP="00C77858">
            <w:pPr>
              <w:spacing w:line="360" w:lineRule="auto"/>
            </w:pPr>
            <w:r w:rsidRPr="00F22E1B">
              <w:t>Readmission</w:t>
            </w:r>
            <w:r w:rsidRPr="00E24D09">
              <w:t xml:space="preserve"> within 30 days of discharge</w:t>
            </w:r>
          </w:p>
          <w:p w14:paraId="2AB76F21" w14:textId="77777777" w:rsidR="00F90565" w:rsidRPr="00F22E1B" w:rsidRDefault="00F90565" w:rsidP="00C77858">
            <w:pPr>
              <w:spacing w:line="360" w:lineRule="auto"/>
            </w:pPr>
            <w:r w:rsidRPr="00E24D09">
              <w:t>(percentage points)</w:t>
            </w:r>
          </w:p>
        </w:tc>
        <w:tc>
          <w:tcPr>
            <w:tcW w:w="1620" w:type="dxa"/>
            <w:shd w:val="clear" w:color="auto" w:fill="D1D1D1" w:themeFill="background2" w:themeFillShade="E6"/>
            <w:hideMark/>
          </w:tcPr>
          <w:p w14:paraId="5A2F1011" w14:textId="6D67B468" w:rsidR="00F90565" w:rsidRPr="00E24D09" w:rsidRDefault="00F90565" w:rsidP="00C77858">
            <w:pPr>
              <w:spacing w:line="360" w:lineRule="auto"/>
              <w:jc w:val="center"/>
            </w:pPr>
            <w:r w:rsidRPr="00F22E1B">
              <w:t>-0.0</w:t>
            </w:r>
            <w:r>
              <w:t>2</w:t>
            </w:r>
          </w:p>
          <w:p w14:paraId="5A88362A" w14:textId="7048E0AA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>[-0.0</w:t>
            </w:r>
            <w:r>
              <w:t>7</w:t>
            </w:r>
            <w:r w:rsidRPr="00F22E1B">
              <w:t>,0.03]</w:t>
            </w:r>
          </w:p>
        </w:tc>
        <w:tc>
          <w:tcPr>
            <w:tcW w:w="1580" w:type="dxa"/>
            <w:shd w:val="clear" w:color="auto" w:fill="D1D1D1" w:themeFill="background2" w:themeFillShade="E6"/>
            <w:hideMark/>
          </w:tcPr>
          <w:p w14:paraId="3692C8DE" w14:textId="6453BD02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-0.01</w:t>
            </w:r>
          </w:p>
          <w:p w14:paraId="3830BDCC" w14:textId="7EC7347B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[-0.0</w:t>
            </w:r>
            <w:r>
              <w:rPr>
                <w:color w:val="000000"/>
              </w:rPr>
              <w:t>5</w:t>
            </w:r>
            <w:r w:rsidRPr="00F22E1B">
              <w:rPr>
                <w:color w:val="000000"/>
              </w:rPr>
              <w:t>,0.04]</w:t>
            </w:r>
          </w:p>
        </w:tc>
      </w:tr>
      <w:tr w:rsidR="00F90565" w:rsidRPr="00E24D09" w14:paraId="6EA339C2" w14:textId="77777777" w:rsidTr="00C77858">
        <w:trPr>
          <w:trHeight w:val="611"/>
        </w:trPr>
        <w:tc>
          <w:tcPr>
            <w:tcW w:w="5935" w:type="dxa"/>
            <w:noWrap/>
            <w:hideMark/>
          </w:tcPr>
          <w:p w14:paraId="0705B2B5" w14:textId="77777777" w:rsidR="00F90565" w:rsidRPr="00E24D09" w:rsidRDefault="00F90565" w:rsidP="00C77858">
            <w:pPr>
              <w:spacing w:line="360" w:lineRule="auto"/>
            </w:pPr>
            <w:r w:rsidRPr="00F22E1B">
              <w:t>L</w:t>
            </w:r>
            <w:r w:rsidRPr="00E24D09">
              <w:t xml:space="preserve">ength of stay </w:t>
            </w:r>
          </w:p>
          <w:p w14:paraId="00A56C86" w14:textId="77777777" w:rsidR="00F90565" w:rsidRPr="00F22E1B" w:rsidRDefault="00F90565" w:rsidP="00C77858">
            <w:pPr>
              <w:spacing w:line="360" w:lineRule="auto"/>
            </w:pPr>
            <w:r w:rsidRPr="00E24D09">
              <w:t>(days)</w:t>
            </w:r>
          </w:p>
        </w:tc>
        <w:tc>
          <w:tcPr>
            <w:tcW w:w="1620" w:type="dxa"/>
            <w:hideMark/>
          </w:tcPr>
          <w:p w14:paraId="65410EF1" w14:textId="4EFAF846" w:rsidR="00F90565" w:rsidRPr="00E24D09" w:rsidRDefault="00F90565" w:rsidP="00C77858">
            <w:pPr>
              <w:spacing w:line="360" w:lineRule="auto"/>
              <w:jc w:val="center"/>
            </w:pPr>
            <w:r w:rsidRPr="00F22E1B">
              <w:t>0.</w:t>
            </w:r>
            <w:r>
              <w:t>24</w:t>
            </w:r>
          </w:p>
          <w:p w14:paraId="0BE73196" w14:textId="619D9874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>[-0.</w:t>
            </w:r>
            <w:r>
              <w:t>65</w:t>
            </w:r>
            <w:r w:rsidRPr="00F22E1B">
              <w:t>,1.</w:t>
            </w:r>
            <w:r>
              <w:t>12</w:t>
            </w:r>
            <w:r w:rsidRPr="00F22E1B">
              <w:t>]</w:t>
            </w:r>
          </w:p>
        </w:tc>
        <w:tc>
          <w:tcPr>
            <w:tcW w:w="1580" w:type="dxa"/>
            <w:hideMark/>
          </w:tcPr>
          <w:p w14:paraId="3F65F400" w14:textId="40454E1A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</w:t>
            </w:r>
            <w:r>
              <w:rPr>
                <w:color w:val="000000"/>
              </w:rPr>
              <w:t>25</w:t>
            </w:r>
          </w:p>
          <w:p w14:paraId="454E79CB" w14:textId="69FEBFB3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</w:t>
            </w:r>
            <w:r>
              <w:rPr>
                <w:color w:val="000000"/>
              </w:rPr>
              <w:t>60</w:t>
            </w:r>
            <w:r w:rsidRPr="00F22E1B">
              <w:rPr>
                <w:color w:val="000000"/>
              </w:rPr>
              <w:t>,1.</w:t>
            </w:r>
            <w:r>
              <w:rPr>
                <w:color w:val="000000"/>
              </w:rPr>
              <w:t>10</w:t>
            </w:r>
            <w:r w:rsidRPr="00F22E1B">
              <w:rPr>
                <w:color w:val="000000"/>
              </w:rPr>
              <w:t>]</w:t>
            </w:r>
          </w:p>
        </w:tc>
      </w:tr>
      <w:tr w:rsidR="00F90565" w:rsidRPr="00E24D09" w14:paraId="2C221A8A" w14:textId="77777777" w:rsidTr="00C77858">
        <w:trPr>
          <w:trHeight w:val="620"/>
        </w:trPr>
        <w:tc>
          <w:tcPr>
            <w:tcW w:w="5935" w:type="dxa"/>
            <w:shd w:val="clear" w:color="auto" w:fill="D1D1D1" w:themeFill="background2" w:themeFillShade="E6"/>
            <w:noWrap/>
            <w:hideMark/>
          </w:tcPr>
          <w:p w14:paraId="06EBBF97" w14:textId="77777777" w:rsidR="00F90565" w:rsidRPr="00E24D09" w:rsidRDefault="00F90565" w:rsidP="00C77858">
            <w:pPr>
              <w:spacing w:line="360" w:lineRule="auto"/>
            </w:pPr>
            <w:r w:rsidRPr="00F22E1B">
              <w:t>MOUD receipt</w:t>
            </w:r>
          </w:p>
          <w:p w14:paraId="1D21BDED" w14:textId="77777777" w:rsidR="00F90565" w:rsidRPr="00F22E1B" w:rsidRDefault="00F90565" w:rsidP="00C77858">
            <w:pPr>
              <w:spacing w:line="360" w:lineRule="auto"/>
            </w:pPr>
            <w:r w:rsidRPr="00E24D09">
              <w:t>(percentage points)</w:t>
            </w:r>
          </w:p>
        </w:tc>
        <w:tc>
          <w:tcPr>
            <w:tcW w:w="1620" w:type="dxa"/>
            <w:shd w:val="clear" w:color="auto" w:fill="D1D1D1" w:themeFill="background2" w:themeFillShade="E6"/>
            <w:hideMark/>
          </w:tcPr>
          <w:p w14:paraId="327FFE2C" w14:textId="2CC9DF6C" w:rsidR="00F90565" w:rsidRPr="00E24D09" w:rsidRDefault="00F90565" w:rsidP="00C77858">
            <w:pPr>
              <w:spacing w:line="360" w:lineRule="auto"/>
              <w:jc w:val="center"/>
            </w:pPr>
            <w:r w:rsidRPr="00F22E1B">
              <w:t>0.0</w:t>
            </w:r>
            <w:r>
              <w:t>8</w:t>
            </w:r>
            <w:r w:rsidRPr="00F22E1B">
              <w:rPr>
                <w:vertAlign w:val="superscript"/>
              </w:rPr>
              <w:t>*</w:t>
            </w:r>
          </w:p>
          <w:p w14:paraId="7346A5FD" w14:textId="326B5B37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>[0.0</w:t>
            </w:r>
            <w:r>
              <w:t>2</w:t>
            </w:r>
            <w:r w:rsidRPr="00F22E1B">
              <w:t>,0.1</w:t>
            </w:r>
            <w:r>
              <w:t>4</w:t>
            </w:r>
            <w:r w:rsidRPr="00F22E1B">
              <w:t>]</w:t>
            </w:r>
          </w:p>
        </w:tc>
        <w:tc>
          <w:tcPr>
            <w:tcW w:w="1580" w:type="dxa"/>
            <w:shd w:val="clear" w:color="auto" w:fill="D1D1D1" w:themeFill="background2" w:themeFillShade="E6"/>
            <w:hideMark/>
          </w:tcPr>
          <w:p w14:paraId="785ACA1A" w14:textId="4465E58A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0.0</w:t>
            </w:r>
            <w:r>
              <w:rPr>
                <w:color w:val="000000"/>
              </w:rPr>
              <w:t>5*</w:t>
            </w:r>
          </w:p>
          <w:p w14:paraId="4E083690" w14:textId="0852391E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</w:t>
            </w:r>
            <w:r>
              <w:rPr>
                <w:color w:val="000000"/>
              </w:rPr>
              <w:t>0.00</w:t>
            </w:r>
            <w:r w:rsidRPr="00F22E1B">
              <w:rPr>
                <w:color w:val="000000"/>
              </w:rPr>
              <w:t>,0.</w:t>
            </w:r>
            <w:r>
              <w:rPr>
                <w:color w:val="000000"/>
              </w:rPr>
              <w:t>10</w:t>
            </w:r>
            <w:r w:rsidRPr="00F22E1B">
              <w:rPr>
                <w:color w:val="000000"/>
              </w:rPr>
              <w:t>]</w:t>
            </w:r>
          </w:p>
        </w:tc>
      </w:tr>
      <w:tr w:rsidR="00F90565" w:rsidRPr="00E24D09" w14:paraId="18BCE6D8" w14:textId="77777777" w:rsidTr="00C77858">
        <w:trPr>
          <w:trHeight w:val="611"/>
        </w:trPr>
        <w:tc>
          <w:tcPr>
            <w:tcW w:w="5935" w:type="dxa"/>
            <w:hideMark/>
          </w:tcPr>
          <w:p w14:paraId="3360ED03" w14:textId="77777777" w:rsidR="00F90565" w:rsidRPr="00E24D09" w:rsidRDefault="00F90565" w:rsidP="00C77858">
            <w:pPr>
              <w:spacing w:line="360" w:lineRule="auto"/>
            </w:pPr>
            <w:r w:rsidRPr="00F22E1B">
              <w:t xml:space="preserve">Discharge on </w:t>
            </w:r>
            <w:r w:rsidRPr="00E24D09">
              <w:t>therapeutic</w:t>
            </w:r>
            <w:r w:rsidRPr="00F22E1B">
              <w:t xml:space="preserve"> MOUD</w:t>
            </w:r>
          </w:p>
          <w:p w14:paraId="28714D81" w14:textId="77777777" w:rsidR="00F90565" w:rsidRPr="00F22E1B" w:rsidRDefault="00F90565" w:rsidP="00C77858">
            <w:pPr>
              <w:spacing w:line="360" w:lineRule="auto"/>
            </w:pPr>
            <w:r w:rsidRPr="00E24D09">
              <w:t>(percentage points)</w:t>
            </w:r>
          </w:p>
        </w:tc>
        <w:tc>
          <w:tcPr>
            <w:tcW w:w="1620" w:type="dxa"/>
            <w:hideMark/>
          </w:tcPr>
          <w:p w14:paraId="1DB7174C" w14:textId="5D5E5990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</w:t>
            </w:r>
            <w:r>
              <w:rPr>
                <w:color w:val="000000"/>
              </w:rPr>
              <w:t>12</w:t>
            </w:r>
            <w:r w:rsidRPr="00F22E1B">
              <w:rPr>
                <w:color w:val="000000"/>
                <w:vertAlign w:val="superscript"/>
              </w:rPr>
              <w:t>***</w:t>
            </w:r>
          </w:p>
          <w:p w14:paraId="14057263" w14:textId="1E08B9A1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[0.0</w:t>
            </w:r>
            <w:r>
              <w:rPr>
                <w:color w:val="000000"/>
              </w:rPr>
              <w:t>8</w:t>
            </w:r>
            <w:r w:rsidRPr="00F22E1B">
              <w:rPr>
                <w:color w:val="000000"/>
              </w:rPr>
              <w:t>,0.1</w:t>
            </w:r>
            <w:r>
              <w:rPr>
                <w:color w:val="000000"/>
              </w:rPr>
              <w:t>6</w:t>
            </w:r>
            <w:r w:rsidRPr="00F22E1B">
              <w:rPr>
                <w:color w:val="000000"/>
              </w:rPr>
              <w:t>]</w:t>
            </w:r>
          </w:p>
        </w:tc>
        <w:tc>
          <w:tcPr>
            <w:tcW w:w="1580" w:type="dxa"/>
            <w:hideMark/>
          </w:tcPr>
          <w:p w14:paraId="30020726" w14:textId="7F9317C9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</w:t>
            </w:r>
            <w:r>
              <w:rPr>
                <w:color w:val="000000"/>
              </w:rPr>
              <w:t>10</w:t>
            </w:r>
            <w:r w:rsidRPr="00F22E1B">
              <w:rPr>
                <w:color w:val="000000"/>
                <w:vertAlign w:val="superscript"/>
              </w:rPr>
              <w:t>***</w:t>
            </w:r>
          </w:p>
          <w:p w14:paraId="58D905B5" w14:textId="735454D9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[0.0</w:t>
            </w:r>
            <w:r>
              <w:rPr>
                <w:color w:val="000000"/>
              </w:rPr>
              <w:t>6</w:t>
            </w:r>
            <w:r w:rsidRPr="00F22E1B">
              <w:rPr>
                <w:color w:val="000000"/>
              </w:rPr>
              <w:t>,0.1</w:t>
            </w:r>
            <w:r>
              <w:rPr>
                <w:color w:val="000000"/>
              </w:rPr>
              <w:t>4</w:t>
            </w:r>
            <w:r w:rsidRPr="00F22E1B">
              <w:rPr>
                <w:color w:val="000000"/>
              </w:rPr>
              <w:t>]</w:t>
            </w:r>
          </w:p>
        </w:tc>
      </w:tr>
      <w:tr w:rsidR="00F90565" w:rsidRPr="00E24D09" w14:paraId="52075BE2" w14:textId="77777777" w:rsidTr="00C77858">
        <w:trPr>
          <w:trHeight w:val="620"/>
        </w:trPr>
        <w:tc>
          <w:tcPr>
            <w:tcW w:w="5935" w:type="dxa"/>
            <w:shd w:val="clear" w:color="auto" w:fill="D1D1D1" w:themeFill="background2" w:themeFillShade="E6"/>
            <w:noWrap/>
            <w:hideMark/>
          </w:tcPr>
          <w:p w14:paraId="21F0AA23" w14:textId="77777777" w:rsidR="00F90565" w:rsidRPr="00E24D09" w:rsidRDefault="00F90565" w:rsidP="00C77858">
            <w:pPr>
              <w:spacing w:line="360" w:lineRule="auto"/>
            </w:pPr>
            <w:r w:rsidRPr="00E24D09">
              <w:t>D</w:t>
            </w:r>
            <w:r w:rsidRPr="00F22E1B">
              <w:t>ischarge</w:t>
            </w:r>
            <w:r w:rsidRPr="00E24D09">
              <w:t xml:space="preserve"> before medically advised</w:t>
            </w:r>
          </w:p>
          <w:p w14:paraId="28BBC700" w14:textId="77777777" w:rsidR="00F90565" w:rsidRPr="00F22E1B" w:rsidRDefault="00F90565" w:rsidP="00C77858">
            <w:pPr>
              <w:spacing w:line="360" w:lineRule="auto"/>
            </w:pPr>
            <w:r w:rsidRPr="00E24D09">
              <w:t>(percentage points)</w:t>
            </w:r>
          </w:p>
        </w:tc>
        <w:tc>
          <w:tcPr>
            <w:tcW w:w="1620" w:type="dxa"/>
            <w:shd w:val="clear" w:color="auto" w:fill="D1D1D1" w:themeFill="background2" w:themeFillShade="E6"/>
            <w:hideMark/>
          </w:tcPr>
          <w:p w14:paraId="46CE0D03" w14:textId="08FF9A3D" w:rsidR="00F90565" w:rsidRPr="00E24D09" w:rsidRDefault="00F90565" w:rsidP="00C77858">
            <w:pPr>
              <w:spacing w:line="360" w:lineRule="auto"/>
              <w:jc w:val="center"/>
            </w:pPr>
            <w:r w:rsidRPr="00F22E1B">
              <w:t>0</w:t>
            </w:r>
            <w:r>
              <w:t>.01</w:t>
            </w:r>
          </w:p>
          <w:p w14:paraId="69D606E7" w14:textId="6B2AA74A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>[-0.0</w:t>
            </w:r>
            <w:r>
              <w:t>3</w:t>
            </w:r>
            <w:r w:rsidRPr="00F22E1B">
              <w:t>,0.0</w:t>
            </w:r>
            <w:r>
              <w:t>6</w:t>
            </w:r>
            <w:r w:rsidRPr="00F22E1B">
              <w:t>]</w:t>
            </w:r>
          </w:p>
        </w:tc>
        <w:tc>
          <w:tcPr>
            <w:tcW w:w="1580" w:type="dxa"/>
            <w:shd w:val="clear" w:color="auto" w:fill="D1D1D1" w:themeFill="background2" w:themeFillShade="E6"/>
            <w:hideMark/>
          </w:tcPr>
          <w:p w14:paraId="52D3AB73" w14:textId="250F1AF3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14:paraId="1D654B52" w14:textId="5105A69F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[-0.0</w:t>
            </w:r>
            <w:r>
              <w:rPr>
                <w:color w:val="000000"/>
              </w:rPr>
              <w:t>4</w:t>
            </w:r>
            <w:r w:rsidRPr="00F22E1B">
              <w:rPr>
                <w:color w:val="000000"/>
              </w:rPr>
              <w:t>,0.0</w:t>
            </w:r>
            <w:r>
              <w:rPr>
                <w:color w:val="000000"/>
              </w:rPr>
              <w:t>4</w:t>
            </w:r>
            <w:r w:rsidRPr="00F22E1B">
              <w:rPr>
                <w:color w:val="000000"/>
              </w:rPr>
              <w:t>]</w:t>
            </w:r>
          </w:p>
        </w:tc>
      </w:tr>
      <w:tr w:rsidR="00F90565" w:rsidRPr="00E24D09" w14:paraId="189BDFC7" w14:textId="77777777" w:rsidTr="00C77858">
        <w:trPr>
          <w:trHeight w:val="670"/>
        </w:trPr>
        <w:tc>
          <w:tcPr>
            <w:tcW w:w="5935" w:type="dxa"/>
            <w:noWrap/>
            <w:hideMark/>
          </w:tcPr>
          <w:p w14:paraId="7F5CD7CC" w14:textId="01D1C160" w:rsidR="00F90565" w:rsidRPr="00E24D09" w:rsidRDefault="00F90565" w:rsidP="00C77858">
            <w:pPr>
              <w:spacing w:line="360" w:lineRule="auto"/>
            </w:pPr>
            <w:r w:rsidRPr="00F22E1B">
              <w:t>E</w:t>
            </w:r>
            <w:r w:rsidRPr="00E24D09">
              <w:t>mergency department</w:t>
            </w:r>
            <w:r w:rsidRPr="00F22E1B">
              <w:t xml:space="preserve"> visit</w:t>
            </w:r>
            <w:r>
              <w:t xml:space="preserve"> </w:t>
            </w:r>
            <w:r w:rsidRPr="00E24D09">
              <w:t>within 6 months of discharge</w:t>
            </w:r>
          </w:p>
          <w:p w14:paraId="27CFA020" w14:textId="77777777" w:rsidR="00F90565" w:rsidRPr="00F22E1B" w:rsidRDefault="00F90565" w:rsidP="00C77858">
            <w:pPr>
              <w:spacing w:line="360" w:lineRule="auto"/>
            </w:pPr>
            <w:r w:rsidRPr="00E24D09">
              <w:t>(visits)</w:t>
            </w:r>
          </w:p>
        </w:tc>
        <w:tc>
          <w:tcPr>
            <w:tcW w:w="1620" w:type="dxa"/>
            <w:hideMark/>
          </w:tcPr>
          <w:p w14:paraId="633EBE92" w14:textId="77777777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0.02</w:t>
            </w:r>
          </w:p>
          <w:p w14:paraId="7921C3CC" w14:textId="0B1100E8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[-0.03,0.0</w:t>
            </w:r>
            <w:r>
              <w:rPr>
                <w:color w:val="000000"/>
              </w:rPr>
              <w:t>7</w:t>
            </w:r>
            <w:r w:rsidRPr="00F22E1B">
              <w:rPr>
                <w:color w:val="000000"/>
              </w:rPr>
              <w:t>]</w:t>
            </w:r>
          </w:p>
        </w:tc>
        <w:tc>
          <w:tcPr>
            <w:tcW w:w="1580" w:type="dxa"/>
            <w:hideMark/>
          </w:tcPr>
          <w:p w14:paraId="1F61645E" w14:textId="77777777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0.03</w:t>
            </w:r>
          </w:p>
          <w:p w14:paraId="76543C57" w14:textId="77777777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[-0.01,0.08]</w:t>
            </w:r>
          </w:p>
        </w:tc>
      </w:tr>
    </w:tbl>
    <w:p w14:paraId="53CAB5D4" w14:textId="024A073D" w:rsidR="00953095" w:rsidRDefault="00953095">
      <w:pPr>
        <w:spacing w:after="160" w:line="278" w:lineRule="auto"/>
      </w:pPr>
    </w:p>
    <w:p w14:paraId="2D2E01A9" w14:textId="49D116A6" w:rsidR="00F90565" w:rsidRDefault="00F90565" w:rsidP="00F90565">
      <w:r>
        <w:t xml:space="preserve">Notes: This table depicts regression estimates that correspond to differential </w:t>
      </w:r>
      <w:r w:rsidRPr="00C77858">
        <w:t>changes in outcomes between patients with OUD admitted to the hospital with an ACS (“treat</w:t>
      </w:r>
      <w:r>
        <w:t>ment</w:t>
      </w:r>
      <w:r w:rsidRPr="00C77858">
        <w:t xml:space="preserve">”) </w:t>
      </w:r>
      <w:r>
        <w:t>relative to</w:t>
      </w:r>
      <w:r w:rsidRPr="00C77858">
        <w:t xml:space="preserve"> patients with OUD admitted to the other hospitals without ACS (“comparison”),</w:t>
      </w:r>
      <w:r>
        <w:t xml:space="preserve"> </w:t>
      </w:r>
      <w:r w:rsidRPr="00C77858">
        <w:t>before and after the ACS was implemented in July 2023</w:t>
      </w:r>
      <w:r>
        <w:t>. All models include hospital- and year-fixed effects. A</w:t>
      </w:r>
      <w:r w:rsidRPr="00C77858">
        <w:t xml:space="preserve">djusted models </w:t>
      </w:r>
      <w:r>
        <w:t xml:space="preserve">additionally </w:t>
      </w:r>
      <w:r w:rsidRPr="00C77858">
        <w:t>controlled for age, sex, race, insurance type, Charlson Comorbidity Index score, and the presence of serious injection-related infections</w:t>
      </w:r>
      <w:r>
        <w:t xml:space="preserve">. 95% confidence intervals are presented in brackets. </w:t>
      </w:r>
    </w:p>
    <w:p w14:paraId="5902709B" w14:textId="3E044748" w:rsidR="00F90565" w:rsidRDefault="35ACB164" w:rsidP="00F90565">
      <w:r>
        <w:t>*p-value&lt;0.05</w:t>
      </w:r>
    </w:p>
    <w:p w14:paraId="4DA6DDB3" w14:textId="6CF56402" w:rsidR="00F90565" w:rsidRPr="00E24D09" w:rsidRDefault="00F90565" w:rsidP="00F90565">
      <w:r>
        <w:t>*</w:t>
      </w:r>
      <w:r w:rsidR="001A0241">
        <w:t>**</w:t>
      </w:r>
      <w:r>
        <w:t>p-value&lt;0.001</w:t>
      </w:r>
    </w:p>
    <w:p w14:paraId="0D811C79" w14:textId="77777777" w:rsidR="00F90565" w:rsidRDefault="00F90565">
      <w:pPr>
        <w:spacing w:after="160" w:line="278" w:lineRule="auto"/>
      </w:pPr>
    </w:p>
    <w:p w14:paraId="130B1B6A" w14:textId="1BE6C255" w:rsidR="00953095" w:rsidRPr="00953095" w:rsidRDefault="00953095" w:rsidP="00953095">
      <w:pPr>
        <w:rPr>
          <w:b/>
          <w:bCs/>
        </w:rPr>
      </w:pPr>
      <w:r w:rsidRPr="00953095">
        <w:rPr>
          <w:b/>
          <w:bCs/>
        </w:rPr>
        <w:lastRenderedPageBreak/>
        <w:t xml:space="preserve">Table 3: Sensitivity analysis with exclusion of March-December 2020 </w:t>
      </w:r>
      <w:r w:rsidR="00F90565">
        <w:rPr>
          <w:b/>
          <w:bCs/>
        </w:rPr>
        <w:t>for COVID-19 pandemic</w:t>
      </w:r>
    </w:p>
    <w:p w14:paraId="17FBF696" w14:textId="77777777" w:rsidR="00953095" w:rsidRDefault="00953095"/>
    <w:p w14:paraId="7CBB5B10" w14:textId="77777777" w:rsidR="00953095" w:rsidRDefault="00953095"/>
    <w:tbl>
      <w:tblPr>
        <w:tblStyle w:val="TableGrid"/>
        <w:tblW w:w="9135" w:type="dxa"/>
        <w:tblLook w:val="04A0" w:firstRow="1" w:lastRow="0" w:firstColumn="1" w:lastColumn="0" w:noHBand="0" w:noVBand="1"/>
      </w:tblPr>
      <w:tblGrid>
        <w:gridCol w:w="5935"/>
        <w:gridCol w:w="1620"/>
        <w:gridCol w:w="1580"/>
      </w:tblGrid>
      <w:tr w:rsidR="00F90565" w:rsidRPr="00E24D09" w14:paraId="27FB09A5" w14:textId="77777777" w:rsidTr="00C77858">
        <w:trPr>
          <w:trHeight w:val="332"/>
        </w:trPr>
        <w:tc>
          <w:tcPr>
            <w:tcW w:w="5935" w:type="dxa"/>
            <w:noWrap/>
            <w:hideMark/>
          </w:tcPr>
          <w:p w14:paraId="08487FA4" w14:textId="77777777" w:rsidR="00F90565" w:rsidRPr="00F22E1B" w:rsidRDefault="00F90565" w:rsidP="00C77858">
            <w:pPr>
              <w:spacing w:line="360" w:lineRule="auto"/>
            </w:pPr>
            <w:r w:rsidRPr="00F22E1B">
              <w:t> </w:t>
            </w:r>
          </w:p>
        </w:tc>
        <w:tc>
          <w:tcPr>
            <w:tcW w:w="1620" w:type="dxa"/>
            <w:noWrap/>
            <w:hideMark/>
          </w:tcPr>
          <w:p w14:paraId="6055609C" w14:textId="77777777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 xml:space="preserve">Unadjusted </w:t>
            </w:r>
          </w:p>
        </w:tc>
        <w:tc>
          <w:tcPr>
            <w:tcW w:w="1580" w:type="dxa"/>
            <w:noWrap/>
            <w:hideMark/>
          </w:tcPr>
          <w:p w14:paraId="46683D0E" w14:textId="77777777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 xml:space="preserve">Adjusted </w:t>
            </w:r>
          </w:p>
        </w:tc>
      </w:tr>
      <w:tr w:rsidR="00F90565" w:rsidRPr="00E24D09" w14:paraId="7FB6C9AE" w14:textId="77777777" w:rsidTr="00C77858">
        <w:trPr>
          <w:trHeight w:val="637"/>
        </w:trPr>
        <w:tc>
          <w:tcPr>
            <w:tcW w:w="5935" w:type="dxa"/>
            <w:shd w:val="clear" w:color="auto" w:fill="D1D1D1" w:themeFill="background2" w:themeFillShade="E6"/>
            <w:noWrap/>
            <w:hideMark/>
          </w:tcPr>
          <w:p w14:paraId="64ADC453" w14:textId="77777777" w:rsidR="00F90565" w:rsidRPr="00E24D09" w:rsidRDefault="00F90565" w:rsidP="00C77858">
            <w:pPr>
              <w:spacing w:line="360" w:lineRule="auto"/>
            </w:pPr>
            <w:r w:rsidRPr="00F22E1B">
              <w:t>Readmission</w:t>
            </w:r>
            <w:r w:rsidRPr="00E24D09">
              <w:t xml:space="preserve"> within 30 days of discharge</w:t>
            </w:r>
          </w:p>
          <w:p w14:paraId="795185A2" w14:textId="77777777" w:rsidR="00F90565" w:rsidRPr="00F22E1B" w:rsidRDefault="00F90565" w:rsidP="00C77858">
            <w:pPr>
              <w:spacing w:line="360" w:lineRule="auto"/>
            </w:pPr>
            <w:r w:rsidRPr="00E24D09">
              <w:t>(percentage points)</w:t>
            </w:r>
          </w:p>
        </w:tc>
        <w:tc>
          <w:tcPr>
            <w:tcW w:w="1620" w:type="dxa"/>
            <w:shd w:val="clear" w:color="auto" w:fill="D1D1D1" w:themeFill="background2" w:themeFillShade="E6"/>
            <w:hideMark/>
          </w:tcPr>
          <w:p w14:paraId="47807DC1" w14:textId="3A4BFFDF" w:rsidR="00F90565" w:rsidRPr="00E24D09" w:rsidRDefault="00F90565" w:rsidP="00C77858">
            <w:pPr>
              <w:spacing w:line="360" w:lineRule="auto"/>
              <w:jc w:val="center"/>
            </w:pPr>
            <w:r w:rsidRPr="00F22E1B">
              <w:t>-0.0</w:t>
            </w:r>
            <w:r>
              <w:t>1</w:t>
            </w:r>
          </w:p>
          <w:p w14:paraId="27653027" w14:textId="7C69B7B3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>[-0.0</w:t>
            </w:r>
            <w:r>
              <w:t>5</w:t>
            </w:r>
            <w:r w:rsidRPr="00F22E1B">
              <w:t>,0.03]</w:t>
            </w:r>
          </w:p>
        </w:tc>
        <w:tc>
          <w:tcPr>
            <w:tcW w:w="1580" w:type="dxa"/>
            <w:shd w:val="clear" w:color="auto" w:fill="D1D1D1" w:themeFill="background2" w:themeFillShade="E6"/>
            <w:hideMark/>
          </w:tcPr>
          <w:p w14:paraId="6FF5163E" w14:textId="23743C35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14:paraId="28632CB4" w14:textId="6D7B3D00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[-0.0</w:t>
            </w:r>
            <w:r>
              <w:rPr>
                <w:color w:val="000000"/>
              </w:rPr>
              <w:t>4</w:t>
            </w:r>
            <w:r w:rsidRPr="00F22E1B">
              <w:rPr>
                <w:color w:val="000000"/>
              </w:rPr>
              <w:t>,0.04]</w:t>
            </w:r>
          </w:p>
        </w:tc>
      </w:tr>
      <w:tr w:rsidR="00F90565" w:rsidRPr="00E24D09" w14:paraId="1BDA65F0" w14:textId="77777777" w:rsidTr="00C77858">
        <w:trPr>
          <w:trHeight w:val="611"/>
        </w:trPr>
        <w:tc>
          <w:tcPr>
            <w:tcW w:w="5935" w:type="dxa"/>
            <w:noWrap/>
            <w:hideMark/>
          </w:tcPr>
          <w:p w14:paraId="226425AD" w14:textId="77777777" w:rsidR="00F90565" w:rsidRPr="00E24D09" w:rsidRDefault="00F90565" w:rsidP="00C77858">
            <w:pPr>
              <w:spacing w:line="360" w:lineRule="auto"/>
            </w:pPr>
            <w:r w:rsidRPr="00F22E1B">
              <w:t>L</w:t>
            </w:r>
            <w:r w:rsidRPr="00E24D09">
              <w:t xml:space="preserve">ength of stay </w:t>
            </w:r>
          </w:p>
          <w:p w14:paraId="77063549" w14:textId="77777777" w:rsidR="00F90565" w:rsidRPr="00F22E1B" w:rsidRDefault="00F90565" w:rsidP="00C77858">
            <w:pPr>
              <w:spacing w:line="360" w:lineRule="auto"/>
            </w:pPr>
            <w:r w:rsidRPr="00E24D09">
              <w:t>(days)</w:t>
            </w:r>
          </w:p>
        </w:tc>
        <w:tc>
          <w:tcPr>
            <w:tcW w:w="1620" w:type="dxa"/>
            <w:hideMark/>
          </w:tcPr>
          <w:p w14:paraId="443730BF" w14:textId="3CAD7E58" w:rsidR="00F90565" w:rsidRPr="00E24D09" w:rsidRDefault="00F90565" w:rsidP="00C77858">
            <w:pPr>
              <w:spacing w:line="360" w:lineRule="auto"/>
              <w:jc w:val="center"/>
            </w:pPr>
            <w:r w:rsidRPr="00F22E1B">
              <w:t>0.</w:t>
            </w:r>
            <w:r>
              <w:t>33</w:t>
            </w:r>
          </w:p>
          <w:p w14:paraId="1455F990" w14:textId="76049E4F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>[-0.</w:t>
            </w:r>
            <w:r>
              <w:t>58</w:t>
            </w:r>
            <w:r w:rsidRPr="00F22E1B">
              <w:t>,1.</w:t>
            </w:r>
            <w:r>
              <w:t>23</w:t>
            </w:r>
            <w:r w:rsidRPr="00F22E1B">
              <w:t>]</w:t>
            </w:r>
          </w:p>
        </w:tc>
        <w:tc>
          <w:tcPr>
            <w:tcW w:w="1580" w:type="dxa"/>
            <w:hideMark/>
          </w:tcPr>
          <w:p w14:paraId="4153CB8D" w14:textId="6367A71F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</w:t>
            </w:r>
            <w:r>
              <w:rPr>
                <w:color w:val="000000"/>
              </w:rPr>
              <w:t>30</w:t>
            </w:r>
          </w:p>
          <w:p w14:paraId="46B4A994" w14:textId="1B309AC6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</w:t>
            </w:r>
            <w:r>
              <w:rPr>
                <w:color w:val="000000"/>
              </w:rPr>
              <w:t>57</w:t>
            </w:r>
            <w:r w:rsidRPr="00F22E1B">
              <w:rPr>
                <w:color w:val="000000"/>
              </w:rPr>
              <w:t>,1.</w:t>
            </w:r>
            <w:r>
              <w:rPr>
                <w:color w:val="000000"/>
              </w:rPr>
              <w:t>17</w:t>
            </w:r>
            <w:r w:rsidRPr="00F22E1B">
              <w:rPr>
                <w:color w:val="000000"/>
              </w:rPr>
              <w:t>]</w:t>
            </w:r>
          </w:p>
        </w:tc>
      </w:tr>
      <w:tr w:rsidR="00F90565" w:rsidRPr="00E24D09" w14:paraId="126BCCF8" w14:textId="77777777" w:rsidTr="00C77858">
        <w:trPr>
          <w:trHeight w:val="620"/>
        </w:trPr>
        <w:tc>
          <w:tcPr>
            <w:tcW w:w="5935" w:type="dxa"/>
            <w:shd w:val="clear" w:color="auto" w:fill="D1D1D1" w:themeFill="background2" w:themeFillShade="E6"/>
            <w:noWrap/>
            <w:hideMark/>
          </w:tcPr>
          <w:p w14:paraId="2485737E" w14:textId="77777777" w:rsidR="00F90565" w:rsidRPr="00E24D09" w:rsidRDefault="00F90565" w:rsidP="00C77858">
            <w:pPr>
              <w:spacing w:line="360" w:lineRule="auto"/>
            </w:pPr>
            <w:r w:rsidRPr="00F22E1B">
              <w:t>MOUD receipt</w:t>
            </w:r>
          </w:p>
          <w:p w14:paraId="2EAC714E" w14:textId="77777777" w:rsidR="00F90565" w:rsidRPr="00F22E1B" w:rsidRDefault="00F90565" w:rsidP="00C77858">
            <w:pPr>
              <w:spacing w:line="360" w:lineRule="auto"/>
            </w:pPr>
            <w:r w:rsidRPr="00E24D09">
              <w:t>(percentage points)</w:t>
            </w:r>
          </w:p>
        </w:tc>
        <w:tc>
          <w:tcPr>
            <w:tcW w:w="1620" w:type="dxa"/>
            <w:shd w:val="clear" w:color="auto" w:fill="D1D1D1" w:themeFill="background2" w:themeFillShade="E6"/>
            <w:hideMark/>
          </w:tcPr>
          <w:p w14:paraId="28839095" w14:textId="7F47DEA3" w:rsidR="00F90565" w:rsidRPr="00E24D09" w:rsidRDefault="00F90565" w:rsidP="00C77858">
            <w:pPr>
              <w:spacing w:line="360" w:lineRule="auto"/>
              <w:jc w:val="center"/>
            </w:pPr>
            <w:r w:rsidRPr="00F22E1B">
              <w:t>0.</w:t>
            </w:r>
            <w:r>
              <w:t>05*</w:t>
            </w:r>
          </w:p>
          <w:p w14:paraId="5A4E7666" w14:textId="0C32EE84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>[0.0</w:t>
            </w:r>
            <w:r>
              <w:t>0</w:t>
            </w:r>
            <w:r w:rsidRPr="00F22E1B">
              <w:t>,0.1</w:t>
            </w:r>
            <w:r>
              <w:t>2</w:t>
            </w:r>
            <w:r w:rsidRPr="00F22E1B">
              <w:t>]</w:t>
            </w:r>
          </w:p>
        </w:tc>
        <w:tc>
          <w:tcPr>
            <w:tcW w:w="1580" w:type="dxa"/>
            <w:shd w:val="clear" w:color="auto" w:fill="D1D1D1" w:themeFill="background2" w:themeFillShade="E6"/>
            <w:hideMark/>
          </w:tcPr>
          <w:p w14:paraId="0F2111D5" w14:textId="2A9F41E8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</w:t>
            </w:r>
            <w:r>
              <w:rPr>
                <w:color w:val="000000"/>
              </w:rPr>
              <w:t>03</w:t>
            </w:r>
          </w:p>
          <w:p w14:paraId="02B5C5A4" w14:textId="394481B4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</w:t>
            </w:r>
            <w:r>
              <w:rPr>
                <w:color w:val="000000"/>
              </w:rPr>
              <w:t>-0.01</w:t>
            </w:r>
            <w:r w:rsidRPr="00F22E1B">
              <w:rPr>
                <w:color w:val="000000"/>
              </w:rPr>
              <w:t>,0.</w:t>
            </w:r>
            <w:r>
              <w:rPr>
                <w:color w:val="000000"/>
              </w:rPr>
              <w:t>07</w:t>
            </w:r>
            <w:r w:rsidRPr="00F22E1B">
              <w:rPr>
                <w:color w:val="000000"/>
              </w:rPr>
              <w:t>]</w:t>
            </w:r>
          </w:p>
        </w:tc>
      </w:tr>
      <w:tr w:rsidR="00F90565" w:rsidRPr="00E24D09" w14:paraId="57077C36" w14:textId="77777777" w:rsidTr="00C77858">
        <w:trPr>
          <w:trHeight w:val="611"/>
        </w:trPr>
        <w:tc>
          <w:tcPr>
            <w:tcW w:w="5935" w:type="dxa"/>
            <w:hideMark/>
          </w:tcPr>
          <w:p w14:paraId="4CA2F5E6" w14:textId="77777777" w:rsidR="00F90565" w:rsidRPr="00E24D09" w:rsidRDefault="00F90565" w:rsidP="00C77858">
            <w:pPr>
              <w:spacing w:line="360" w:lineRule="auto"/>
            </w:pPr>
            <w:r w:rsidRPr="00F22E1B">
              <w:t xml:space="preserve">Discharge on </w:t>
            </w:r>
            <w:r w:rsidRPr="00E24D09">
              <w:t>therapeutic</w:t>
            </w:r>
            <w:r w:rsidRPr="00F22E1B">
              <w:t xml:space="preserve"> MOUD</w:t>
            </w:r>
          </w:p>
          <w:p w14:paraId="22C0650E" w14:textId="77777777" w:rsidR="00F90565" w:rsidRPr="00F22E1B" w:rsidRDefault="00F90565" w:rsidP="00C77858">
            <w:pPr>
              <w:spacing w:line="360" w:lineRule="auto"/>
            </w:pPr>
            <w:r w:rsidRPr="00E24D09">
              <w:t>(percentage points)</w:t>
            </w:r>
          </w:p>
        </w:tc>
        <w:tc>
          <w:tcPr>
            <w:tcW w:w="1620" w:type="dxa"/>
            <w:hideMark/>
          </w:tcPr>
          <w:p w14:paraId="49F17E29" w14:textId="5495252D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</w:t>
            </w:r>
            <w:r>
              <w:rPr>
                <w:color w:val="000000"/>
              </w:rPr>
              <w:t>09</w:t>
            </w:r>
            <w:r w:rsidRPr="00F22E1B">
              <w:rPr>
                <w:color w:val="000000"/>
                <w:vertAlign w:val="superscript"/>
              </w:rPr>
              <w:t>***</w:t>
            </w:r>
          </w:p>
          <w:p w14:paraId="5081CDF3" w14:textId="58C96DF6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[0.0</w:t>
            </w:r>
            <w:r>
              <w:rPr>
                <w:color w:val="000000"/>
              </w:rPr>
              <w:t>5</w:t>
            </w:r>
            <w:r w:rsidRPr="00F22E1B">
              <w:rPr>
                <w:color w:val="000000"/>
              </w:rPr>
              <w:t>,0.1</w:t>
            </w:r>
            <w:r>
              <w:rPr>
                <w:color w:val="000000"/>
              </w:rPr>
              <w:t>4</w:t>
            </w:r>
            <w:r w:rsidRPr="00F22E1B">
              <w:rPr>
                <w:color w:val="000000"/>
              </w:rPr>
              <w:t>]</w:t>
            </w:r>
          </w:p>
        </w:tc>
        <w:tc>
          <w:tcPr>
            <w:tcW w:w="1580" w:type="dxa"/>
            <w:hideMark/>
          </w:tcPr>
          <w:p w14:paraId="1EC6C210" w14:textId="38BD11DA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</w:t>
            </w:r>
            <w:r>
              <w:rPr>
                <w:color w:val="000000"/>
              </w:rPr>
              <w:t>08</w:t>
            </w:r>
            <w:r w:rsidRPr="00F22E1B">
              <w:rPr>
                <w:color w:val="000000"/>
                <w:vertAlign w:val="superscript"/>
              </w:rPr>
              <w:t>***</w:t>
            </w:r>
          </w:p>
          <w:p w14:paraId="4A0FB109" w14:textId="165ABE9C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[0.0</w:t>
            </w:r>
            <w:r>
              <w:rPr>
                <w:color w:val="000000"/>
              </w:rPr>
              <w:t>4</w:t>
            </w:r>
            <w:r w:rsidRPr="00F22E1B">
              <w:rPr>
                <w:color w:val="000000"/>
              </w:rPr>
              <w:t>,0.1</w:t>
            </w:r>
            <w:r>
              <w:rPr>
                <w:color w:val="000000"/>
              </w:rPr>
              <w:t>2</w:t>
            </w:r>
            <w:r w:rsidRPr="00F22E1B">
              <w:rPr>
                <w:color w:val="000000"/>
              </w:rPr>
              <w:t>]</w:t>
            </w:r>
          </w:p>
        </w:tc>
      </w:tr>
      <w:tr w:rsidR="00F90565" w:rsidRPr="00E24D09" w14:paraId="18E733C7" w14:textId="77777777" w:rsidTr="00C77858">
        <w:trPr>
          <w:trHeight w:val="620"/>
        </w:trPr>
        <w:tc>
          <w:tcPr>
            <w:tcW w:w="5935" w:type="dxa"/>
            <w:shd w:val="clear" w:color="auto" w:fill="D1D1D1" w:themeFill="background2" w:themeFillShade="E6"/>
            <w:noWrap/>
            <w:hideMark/>
          </w:tcPr>
          <w:p w14:paraId="55350A91" w14:textId="77777777" w:rsidR="00F90565" w:rsidRPr="00E24D09" w:rsidRDefault="00F90565" w:rsidP="00C77858">
            <w:pPr>
              <w:spacing w:line="360" w:lineRule="auto"/>
            </w:pPr>
            <w:r w:rsidRPr="00E24D09">
              <w:t>D</w:t>
            </w:r>
            <w:r w:rsidRPr="00F22E1B">
              <w:t>ischarge</w:t>
            </w:r>
            <w:r w:rsidRPr="00E24D09">
              <w:t xml:space="preserve"> before medically advised</w:t>
            </w:r>
          </w:p>
          <w:p w14:paraId="6EE34C8B" w14:textId="77777777" w:rsidR="00F90565" w:rsidRPr="00F22E1B" w:rsidRDefault="00F90565" w:rsidP="00C77858">
            <w:pPr>
              <w:spacing w:line="360" w:lineRule="auto"/>
            </w:pPr>
            <w:r w:rsidRPr="00E24D09">
              <w:t>(percentage points)</w:t>
            </w:r>
          </w:p>
        </w:tc>
        <w:tc>
          <w:tcPr>
            <w:tcW w:w="1620" w:type="dxa"/>
            <w:shd w:val="clear" w:color="auto" w:fill="D1D1D1" w:themeFill="background2" w:themeFillShade="E6"/>
            <w:hideMark/>
          </w:tcPr>
          <w:p w14:paraId="20FC519B" w14:textId="008507F3" w:rsidR="00F90565" w:rsidRPr="00E24D09" w:rsidRDefault="00F90565" w:rsidP="00C77858">
            <w:pPr>
              <w:spacing w:line="360" w:lineRule="auto"/>
              <w:jc w:val="center"/>
            </w:pPr>
            <w:r w:rsidRPr="00F22E1B">
              <w:t>0</w:t>
            </w:r>
          </w:p>
          <w:p w14:paraId="0AD36A5F" w14:textId="17D3F330" w:rsidR="00F90565" w:rsidRPr="00F22E1B" w:rsidRDefault="00F90565" w:rsidP="00C77858">
            <w:pPr>
              <w:spacing w:line="360" w:lineRule="auto"/>
              <w:jc w:val="center"/>
            </w:pPr>
            <w:r w:rsidRPr="00F22E1B">
              <w:t>[-0.0</w:t>
            </w:r>
            <w:r>
              <w:t>4</w:t>
            </w:r>
            <w:r w:rsidRPr="00F22E1B">
              <w:t>,0.0</w:t>
            </w:r>
            <w:r>
              <w:t>4</w:t>
            </w:r>
            <w:r w:rsidRPr="00F22E1B">
              <w:t>]</w:t>
            </w:r>
          </w:p>
        </w:tc>
        <w:tc>
          <w:tcPr>
            <w:tcW w:w="1580" w:type="dxa"/>
            <w:shd w:val="clear" w:color="auto" w:fill="D1D1D1" w:themeFill="background2" w:themeFillShade="E6"/>
            <w:hideMark/>
          </w:tcPr>
          <w:p w14:paraId="6BA487CA" w14:textId="6B15CB04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-0.01</w:t>
            </w:r>
          </w:p>
          <w:p w14:paraId="21FA42F3" w14:textId="609DDCDF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[-0.0</w:t>
            </w:r>
            <w:r>
              <w:rPr>
                <w:color w:val="000000"/>
              </w:rPr>
              <w:t>5</w:t>
            </w:r>
            <w:r w:rsidRPr="00F22E1B">
              <w:rPr>
                <w:color w:val="000000"/>
              </w:rPr>
              <w:t>,0.0</w:t>
            </w:r>
            <w:r>
              <w:rPr>
                <w:color w:val="000000"/>
              </w:rPr>
              <w:t>3</w:t>
            </w:r>
            <w:r w:rsidRPr="00F22E1B">
              <w:rPr>
                <w:color w:val="000000"/>
              </w:rPr>
              <w:t>]</w:t>
            </w:r>
          </w:p>
        </w:tc>
      </w:tr>
      <w:tr w:rsidR="00F90565" w:rsidRPr="00E24D09" w14:paraId="2E4127D9" w14:textId="77777777" w:rsidTr="00C77858">
        <w:trPr>
          <w:trHeight w:val="670"/>
        </w:trPr>
        <w:tc>
          <w:tcPr>
            <w:tcW w:w="5935" w:type="dxa"/>
            <w:noWrap/>
            <w:hideMark/>
          </w:tcPr>
          <w:p w14:paraId="78BA286A" w14:textId="77777777" w:rsidR="00F90565" w:rsidRPr="00E24D09" w:rsidRDefault="00F90565" w:rsidP="00C77858">
            <w:pPr>
              <w:spacing w:line="360" w:lineRule="auto"/>
            </w:pPr>
            <w:r w:rsidRPr="00F22E1B">
              <w:t>E</w:t>
            </w:r>
            <w:r w:rsidRPr="00E24D09">
              <w:t>mergency department</w:t>
            </w:r>
            <w:r w:rsidRPr="00F22E1B">
              <w:t xml:space="preserve"> visit</w:t>
            </w:r>
            <w:r>
              <w:t xml:space="preserve"> </w:t>
            </w:r>
            <w:r w:rsidRPr="00E24D09">
              <w:t>within 6 months of discharge</w:t>
            </w:r>
          </w:p>
          <w:p w14:paraId="18AD6385" w14:textId="77777777" w:rsidR="00F90565" w:rsidRPr="00F22E1B" w:rsidRDefault="00F90565" w:rsidP="00C77858">
            <w:pPr>
              <w:spacing w:line="360" w:lineRule="auto"/>
            </w:pPr>
            <w:r w:rsidRPr="00E24D09">
              <w:t>(visits)</w:t>
            </w:r>
          </w:p>
        </w:tc>
        <w:tc>
          <w:tcPr>
            <w:tcW w:w="1620" w:type="dxa"/>
            <w:hideMark/>
          </w:tcPr>
          <w:p w14:paraId="4ECFA647" w14:textId="77777777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0.02</w:t>
            </w:r>
          </w:p>
          <w:p w14:paraId="0F2ADE25" w14:textId="653E03AF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[-0.03,0.0</w:t>
            </w:r>
            <w:r>
              <w:rPr>
                <w:color w:val="000000"/>
              </w:rPr>
              <w:t>6</w:t>
            </w:r>
            <w:r w:rsidRPr="00F22E1B">
              <w:rPr>
                <w:color w:val="000000"/>
              </w:rPr>
              <w:t>]</w:t>
            </w:r>
          </w:p>
        </w:tc>
        <w:tc>
          <w:tcPr>
            <w:tcW w:w="1580" w:type="dxa"/>
            <w:hideMark/>
          </w:tcPr>
          <w:p w14:paraId="7A98D794" w14:textId="77777777" w:rsidR="00F90565" w:rsidRPr="00E24D09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0.03</w:t>
            </w:r>
          </w:p>
          <w:p w14:paraId="54933410" w14:textId="4A1BBE41" w:rsidR="00F90565" w:rsidRPr="00F22E1B" w:rsidRDefault="00F90565" w:rsidP="00C77858">
            <w:pPr>
              <w:spacing w:line="360" w:lineRule="auto"/>
              <w:jc w:val="center"/>
              <w:rPr>
                <w:color w:val="000000"/>
              </w:rPr>
            </w:pPr>
            <w:r w:rsidRPr="00F22E1B">
              <w:rPr>
                <w:color w:val="000000"/>
              </w:rPr>
              <w:t>[-0.01,0.0</w:t>
            </w:r>
            <w:r>
              <w:rPr>
                <w:color w:val="000000"/>
              </w:rPr>
              <w:t>7</w:t>
            </w:r>
            <w:r w:rsidRPr="00F22E1B">
              <w:rPr>
                <w:color w:val="000000"/>
              </w:rPr>
              <w:t>]</w:t>
            </w:r>
          </w:p>
        </w:tc>
      </w:tr>
    </w:tbl>
    <w:p w14:paraId="6B8FD76E" w14:textId="77777777" w:rsidR="00F90565" w:rsidRDefault="00F90565"/>
    <w:p w14:paraId="736CA002" w14:textId="77777777" w:rsidR="00F90565" w:rsidRDefault="00F90565" w:rsidP="00F90565">
      <w:r>
        <w:t xml:space="preserve">Notes: This table depicts regression estimates that correspond to differential </w:t>
      </w:r>
      <w:r w:rsidRPr="00C77858">
        <w:t>changes in outcomes between patients with OUD admitted to the hospital with an ACS (“treat</w:t>
      </w:r>
      <w:r>
        <w:t>ment</w:t>
      </w:r>
      <w:r w:rsidRPr="00C77858">
        <w:t xml:space="preserve">”) </w:t>
      </w:r>
      <w:r>
        <w:t>relative to</w:t>
      </w:r>
      <w:r w:rsidRPr="00C77858">
        <w:t xml:space="preserve"> patients with OUD admitted to the other hospitals without ACS (“comparison”),</w:t>
      </w:r>
      <w:r>
        <w:t xml:space="preserve"> </w:t>
      </w:r>
      <w:r w:rsidRPr="00C77858">
        <w:t>before and after the ACS was implemented in July 2023</w:t>
      </w:r>
      <w:r>
        <w:t>. All models include hospital- and year-fixed effects. A</w:t>
      </w:r>
      <w:r w:rsidRPr="00C77858">
        <w:t xml:space="preserve">djusted models </w:t>
      </w:r>
      <w:r>
        <w:t xml:space="preserve">additionally </w:t>
      </w:r>
      <w:r w:rsidRPr="00C77858">
        <w:t>controlled for age, sex, race, insurance type, Charlson Comorbidity Index score, and the presence of serious injection-related infections</w:t>
      </w:r>
      <w:r>
        <w:t xml:space="preserve">. 95% confidence intervals are presented in brackets. </w:t>
      </w:r>
    </w:p>
    <w:p w14:paraId="29435388" w14:textId="77777777" w:rsidR="00F90565" w:rsidRDefault="00F90565" w:rsidP="00F90565">
      <w:r>
        <w:t>*p-value&lt;0.05</w:t>
      </w:r>
    </w:p>
    <w:p w14:paraId="16E843FA" w14:textId="741053B3" w:rsidR="00F90565" w:rsidRPr="00E24D09" w:rsidRDefault="00F90565" w:rsidP="00F90565">
      <w:r>
        <w:t>*</w:t>
      </w:r>
      <w:r w:rsidR="008F20D5">
        <w:t>**</w:t>
      </w:r>
      <w:r>
        <w:t>p-value&lt;0.001</w:t>
      </w:r>
    </w:p>
    <w:p w14:paraId="1ABA2D68" w14:textId="77777777" w:rsidR="00F90565" w:rsidRPr="000C17C6" w:rsidRDefault="00F90565"/>
    <w:sectPr w:rsidR="00F90565" w:rsidRPr="000C17C6" w:rsidSect="00D428F6">
      <w:pgSz w:w="15840" w:h="1222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7C6"/>
    <w:rsid w:val="000A0FD6"/>
    <w:rsid w:val="000C17C6"/>
    <w:rsid w:val="00183245"/>
    <w:rsid w:val="00187CE5"/>
    <w:rsid w:val="001A0241"/>
    <w:rsid w:val="003F7014"/>
    <w:rsid w:val="00650A05"/>
    <w:rsid w:val="006831A5"/>
    <w:rsid w:val="008F20D5"/>
    <w:rsid w:val="00953095"/>
    <w:rsid w:val="009A6136"/>
    <w:rsid w:val="009E2B1B"/>
    <w:rsid w:val="00A323D8"/>
    <w:rsid w:val="00B11145"/>
    <w:rsid w:val="00B37D85"/>
    <w:rsid w:val="00BC62C7"/>
    <w:rsid w:val="00D428F6"/>
    <w:rsid w:val="00F90565"/>
    <w:rsid w:val="28ECCD7D"/>
    <w:rsid w:val="2CD6D48D"/>
    <w:rsid w:val="2E637729"/>
    <w:rsid w:val="35ACB164"/>
    <w:rsid w:val="5FC828CC"/>
    <w:rsid w:val="744FB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E096"/>
  <w15:chartTrackingRefBased/>
  <w15:docId w15:val="{6C9BBD12-A569-1D46-A4DB-B686E64E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09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1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7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7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7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7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7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7C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428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28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28F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8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8F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F90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Chatterjee, Paula</dc:creator>
  <cp:keywords/>
  <dc:description/>
  <cp:lastModifiedBy>Lowenstein, Margaret</cp:lastModifiedBy>
  <cp:revision>2</cp:revision>
  <dcterms:created xsi:type="dcterms:W3CDTF">2025-10-22T19:24:00Z</dcterms:created>
  <dcterms:modified xsi:type="dcterms:W3CDTF">2025-10-22T19:24:00Z</dcterms:modified>
</cp:coreProperties>
</file>