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1AE87">
      <w:pPr>
        <w:widowControl/>
        <w:jc w:val="center"/>
        <w:rPr>
          <w:rFonts w:cs="Times New Roman"/>
          <w:color w:val="C00000"/>
          <w:sz w:val="28"/>
          <w:szCs w:val="28"/>
        </w:rPr>
      </w:pPr>
      <w:r>
        <w:rPr>
          <w:rFonts w:ascii="Times New Roman" w:hAnsi="Times New Roman" w:eastAsia="宋体" w:cs="Times New Roman"/>
          <w:b/>
          <w:bCs/>
          <w:color w:val="000000"/>
          <w:kern w:val="0"/>
          <w:sz w:val="28"/>
          <w:szCs w:val="28"/>
          <w:lang w:bidi="ar"/>
        </w:rPr>
        <w:t>Supplementary Materials</w:t>
      </w:r>
    </w:p>
    <w:p w14:paraId="22FD2EE0">
      <w:pPr>
        <w:pStyle w:val="8"/>
        <w:spacing w:after="0"/>
        <w:rPr>
          <w:rFonts w:eastAsia="宋体" w:cs="Times New Roman"/>
          <w:color w:val="C00000"/>
          <w:sz w:val="21"/>
          <w:szCs w:val="21"/>
        </w:rPr>
      </w:pPr>
    </w:p>
    <w:p w14:paraId="49681891">
      <w:pPr>
        <w:pStyle w:val="8"/>
        <w:spacing w:after="0"/>
        <w:rPr>
          <w:rFonts w:cs="Times New Roman" w:eastAsiaTheme="minorEastAsia"/>
          <w:color w:val="C00000"/>
          <w:kern w:val="2"/>
          <w:sz w:val="21"/>
          <w:szCs w:val="21"/>
        </w:rPr>
      </w:pPr>
    </w:p>
    <w:p w14:paraId="348AA7EB">
      <w:pPr>
        <w:pStyle w:val="8"/>
        <w:spacing w:after="0"/>
        <w:jc w:val="center"/>
        <w:rPr>
          <w:rFonts w:cs="Times New Roman"/>
          <w:sz w:val="21"/>
          <w:szCs w:val="21"/>
        </w:rPr>
      </w:pPr>
      <w:r>
        <w:rPr>
          <w:rFonts w:hint="eastAsia" w:cs="Times New Roman" w:eastAsiaTheme="minorEastAsia"/>
          <w:color w:val="C00000"/>
          <w:kern w:val="2"/>
          <w:sz w:val="21"/>
          <w:szCs w:val="21"/>
        </w:rPr>
        <w:drawing>
          <wp:inline distT="0" distB="0" distL="114300" distR="114300">
            <wp:extent cx="5760085" cy="3757295"/>
            <wp:effectExtent l="0" t="0" r="5715" b="1905"/>
            <wp:docPr id="51" name="图片 51" descr="Figure S1.drawi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Figure S1.drawio_01"/>
                    <pic:cNvPicPr>
                      <a:picLocks noChangeAspect="1"/>
                    </pic:cNvPicPr>
                  </pic:nvPicPr>
                  <pic:blipFill>
                    <a:blip r:embed="rId5"/>
                    <a:srcRect t="1052" r="26423" b="65037"/>
                    <a:stretch>
                      <a:fillRect/>
                    </a:stretch>
                  </pic:blipFill>
                  <pic:spPr>
                    <a:xfrm>
                      <a:off x="0" y="0"/>
                      <a:ext cx="5760085" cy="3757295"/>
                    </a:xfrm>
                    <a:prstGeom prst="rect">
                      <a:avLst/>
                    </a:prstGeom>
                  </pic:spPr>
                </pic:pic>
              </a:graphicData>
            </a:graphic>
          </wp:inline>
        </w:drawing>
      </w:r>
    </w:p>
    <w:p w14:paraId="25AD6F53">
      <w:pPr>
        <w:pStyle w:val="8"/>
        <w:spacing w:after="0" w:line="240" w:lineRule="auto"/>
        <w:rPr>
          <w:rFonts w:eastAsia="DengXian" w:cs="Times New Roman"/>
          <w:b w:val="0"/>
          <w:bCs w:val="0"/>
          <w:sz w:val="21"/>
          <w:szCs w:val="21"/>
        </w:rPr>
      </w:pPr>
      <w:r>
        <w:rPr>
          <w:rFonts w:eastAsia="DengXian" w:cs="Times New Roman"/>
          <w:sz w:val="21"/>
          <w:szCs w:val="21"/>
        </w:rPr>
        <w:t>Figure S</w:t>
      </w:r>
      <w:r>
        <w:rPr>
          <w:rFonts w:hint="eastAsia" w:eastAsia="DengXian" w:cs="Times New Roman"/>
          <w:sz w:val="21"/>
          <w:szCs w:val="21"/>
        </w:rPr>
        <w:t>1.</w:t>
      </w:r>
      <w:r>
        <w:rPr>
          <w:rFonts w:eastAsia="DengXian" w:cs="Times New Roman"/>
          <w:sz w:val="21"/>
          <w:szCs w:val="21"/>
        </w:rPr>
        <w:t xml:space="preserve"> </w:t>
      </w:r>
      <w:r>
        <w:rPr>
          <w:rFonts w:eastAsia="DengXian" w:cs="Times New Roman"/>
          <w:b w:val="0"/>
          <w:bCs w:val="0"/>
          <w:sz w:val="21"/>
          <w:szCs w:val="21"/>
        </w:rPr>
        <w:t>Flowchart for the study sample. China Health and Retirement Longitudinal Study (CHARLS), 2020, the latest wave.</w:t>
      </w:r>
    </w:p>
    <w:p w14:paraId="07158F0E"/>
    <w:p w14:paraId="21A7FB20">
      <w:pP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br w:type="page"/>
      </w:r>
    </w:p>
    <w:p w14:paraId="7725AADD">
      <w:pPr>
        <w:widowControl/>
        <w:spacing w:line="360" w:lineRule="auto"/>
        <w:jc w:val="left"/>
        <w:rPr>
          <w:rFonts w:ascii="Times New Roman" w:hAnsi="Times New Roman" w:eastAsia="DengXian" w:cs="Times New Roman"/>
          <w:kern w:val="28"/>
          <w:sz w:val="24"/>
        </w:rPr>
      </w:pPr>
      <w:r>
        <w:rPr>
          <w:rFonts w:hint="eastAsia" w:ascii="Times New Roman" w:hAnsi="Times New Roman" w:eastAsia="宋体" w:cs="Times New Roman"/>
          <w:b/>
          <w:bCs/>
          <w:color w:val="000000"/>
          <w:kern w:val="0"/>
          <w:sz w:val="24"/>
          <w:lang w:bidi="ar"/>
        </w:rPr>
        <w:t xml:space="preserve">Method S1. </w:t>
      </w:r>
      <w:r>
        <w:rPr>
          <w:rFonts w:ascii="Times New Roman" w:hAnsi="Times New Roman" w:eastAsia="DengXian" w:cs="Times New Roman"/>
          <w:kern w:val="28"/>
          <w:sz w:val="24"/>
        </w:rPr>
        <w:t>Source cohort and eligibility</w:t>
      </w:r>
    </w:p>
    <w:p w14:paraId="5852EA33">
      <w:pPr>
        <w:pStyle w:val="9"/>
        <w:widowControl/>
        <w:spacing w:beforeAutospacing="0" w:afterAutospacing="0" w:line="360" w:lineRule="auto"/>
        <w:jc w:val="both"/>
        <w:rPr>
          <w:rFonts w:ascii="Times New Roman" w:hAnsi="Times New Roman" w:eastAsia="DengXian"/>
          <w:kern w:val="28"/>
        </w:rPr>
      </w:pPr>
      <w:r>
        <w:rPr>
          <w:rFonts w:ascii="Times New Roman" w:hAnsi="Times New Roman" w:eastAsia="DengXian"/>
          <w:kern w:val="28"/>
        </w:rPr>
        <w:t>This study used data from the China Health and Retirement Longitudinal Study (CHARLS)</w:t>
      </w:r>
      <w:r>
        <w:rPr>
          <w:rFonts w:hint="eastAsia" w:ascii="Times New Roman" w:hAnsi="Times New Roman" w:eastAsia="DengXian"/>
          <w:kern w:val="28"/>
        </w:rPr>
        <w:t xml:space="preserve"> </w:t>
      </w:r>
      <w:r>
        <w:rPr>
          <w:rFonts w:ascii="Times New Roman" w:hAnsi="Times New Roman"/>
          <w:lang w:bidi="ar"/>
        </w:rPr>
        <w:fldChar w:fldCharType="begin">
          <w:fldData xml:space="preserve">PEVuZE5vdGU+PENpdGU+PEF1dGhvcj5aaGFvPC9BdXRob3I+PFllYXI+MjAxNDwvWWVhcj48UmVj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</w:fldData>
        </w:fldChar>
      </w:r>
      <w:r>
        <w:rPr>
          <w:rFonts w:hint="eastAsia" w:ascii="Times New Roman" w:hAnsi="Times New Roman"/>
          <w:lang w:bidi="ar"/>
        </w:rPr>
        <w:instrText xml:space="preserve"> ADDIN EN.CITE </w:instrText>
      </w:r>
      <w:r>
        <w:rPr>
          <w:rFonts w:hint="eastAsia" w:ascii="Times New Roman" w:hAnsi="Times New Roman"/>
          <w:lang w:bidi="ar"/>
        </w:rPr>
        <w:fldChar w:fldCharType="begin">
          <w:fldData xml:space="preserve">PEVuZE5vdGU+PENpdGU+PEF1dGhvcj5aaGFvPC9BdXRob3I+PFllYXI+MjAxNDwvWWVhcj48UmVj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</w:fldData>
        </w:fldChar>
      </w:r>
      <w:r>
        <w:rPr>
          <w:rFonts w:hint="eastAsia" w:ascii="Times New Roman" w:hAnsi="Times New Roman"/>
          <w:lang w:bidi="ar"/>
        </w:rPr>
        <w:instrText xml:space="preserve"> ADDIN EN.CITE.DATA </w:instrText>
      </w:r>
      <w:r>
        <w:rPr>
          <w:rFonts w:ascii="Times New Roman" w:hAnsi="Times New Roman"/>
          <w:lang w:bidi="ar"/>
        </w:rPr>
        <w:fldChar w:fldCharType="separate"/>
      </w:r>
      <w:r>
        <w:rPr>
          <w:rFonts w:hint="eastAsia" w:ascii="Times New Roman" w:hAnsi="Times New Roman"/>
          <w:lang w:bidi="ar"/>
        </w:rPr>
        <w:fldChar w:fldCharType="end"/>
      </w:r>
      <w:r>
        <w:rPr>
          <w:rFonts w:ascii="Times New Roman" w:hAnsi="Times New Roman"/>
          <w:lang w:bidi="ar"/>
        </w:rPr>
        <w:fldChar w:fldCharType="separate"/>
      </w:r>
      <w:r>
        <w:rPr>
          <w:rFonts w:hint="eastAsia" w:ascii="Times New Roman" w:hAnsi="Times New Roman"/>
          <w:lang w:bidi="ar"/>
        </w:rPr>
        <w:t>[1]</w:t>
      </w:r>
      <w:r>
        <w:rPr>
          <w:rFonts w:ascii="Times New Roman" w:hAnsi="Times New Roman"/>
          <w:lang w:bidi="ar"/>
        </w:rPr>
        <w:fldChar w:fldCharType="end"/>
      </w:r>
      <w:r>
        <w:rPr>
          <w:rFonts w:ascii="Times New Roman" w:hAnsi="Times New Roman" w:eastAsia="DengXian"/>
          <w:kern w:val="28"/>
        </w:rPr>
        <w:t xml:space="preserve">, a nationally representative longitudinal survey designed to examine the social, economic, and health conditions of middle-aged and older adults in China. </w:t>
      </w:r>
    </w:p>
    <w:p w14:paraId="2EA67AB3">
      <w:pPr>
        <w:pStyle w:val="9"/>
        <w:widowControl/>
        <w:spacing w:beforeAutospacing="0" w:afterAutospacing="0" w:line="360" w:lineRule="auto"/>
        <w:jc w:val="both"/>
        <w:rPr>
          <w:rFonts w:ascii="Times New Roman" w:hAnsi="Times New Roman" w:eastAsia="DengXian"/>
          <w:kern w:val="28"/>
        </w:rPr>
      </w:pPr>
    </w:p>
    <w:p w14:paraId="5D615B46">
      <w:pPr>
        <w:pStyle w:val="9"/>
        <w:widowControl/>
        <w:spacing w:beforeAutospacing="0" w:afterAutospacing="0" w:line="360" w:lineRule="auto"/>
        <w:jc w:val="both"/>
        <w:rPr>
          <w:rFonts w:ascii="Times New Roman" w:hAnsi="Times New Roman" w:eastAsia="DengXian"/>
          <w:kern w:val="28"/>
        </w:rPr>
      </w:pPr>
      <w:r>
        <w:rPr>
          <w:rFonts w:ascii="Times New Roman" w:hAnsi="Times New Roman" w:eastAsia="DengXian"/>
          <w:kern w:val="28"/>
        </w:rPr>
        <w:t>CHARLS targets community-dwelling Chinese adults aged 45 years or older and their spouses. Institutionalized populations were not included in the sampling frame. The baseline national survey was conducted in 2011</w:t>
      </w:r>
      <w:r>
        <w:rPr>
          <w:rFonts w:hint="eastAsia" w:ascii="Times New Roman" w:hAnsi="Times New Roman" w:eastAsia="DengXian"/>
          <w:kern w:val="28"/>
        </w:rPr>
        <w:t>-</w:t>
      </w:r>
      <w:r>
        <w:rPr>
          <w:rFonts w:ascii="Times New Roman" w:hAnsi="Times New Roman" w:eastAsia="DengXian"/>
          <w:kern w:val="28"/>
        </w:rPr>
        <w:t>2012</w:t>
      </w:r>
      <w:r>
        <w:rPr>
          <w:rFonts w:hint="eastAsia" w:ascii="Times New Roman" w:hAnsi="Times New Roman" w:eastAsia="DengXian"/>
          <w:kern w:val="28"/>
        </w:rPr>
        <w:t xml:space="preserve"> (Wave 1)</w:t>
      </w:r>
      <w:r>
        <w:rPr>
          <w:rFonts w:ascii="Times New Roman" w:hAnsi="Times New Roman" w:eastAsia="DengXian"/>
          <w:kern w:val="28"/>
        </w:rPr>
        <w:t xml:space="preserve"> using a </w:t>
      </w:r>
      <w:r>
        <w:rPr>
          <w:rFonts w:hint="eastAsia" w:ascii="Times New Roman" w:hAnsi="Times New Roman" w:eastAsia="DengXian"/>
          <w:kern w:val="28"/>
        </w:rPr>
        <w:t>multi</w:t>
      </w:r>
      <w:r>
        <w:rPr>
          <w:rFonts w:ascii="Times New Roman" w:hAnsi="Times New Roman" w:eastAsia="DengXian"/>
          <w:kern w:val="28"/>
        </w:rPr>
        <w:t>stage,</w:t>
      </w:r>
      <w:r>
        <w:rPr>
          <w:rFonts w:hint="eastAsia" w:ascii="Times New Roman" w:hAnsi="Times New Roman" w:eastAsia="DengXian"/>
          <w:kern w:val="28"/>
        </w:rPr>
        <w:t xml:space="preserve"> stratified, </w:t>
      </w:r>
      <w:r>
        <w:rPr>
          <w:rFonts w:ascii="Times New Roman" w:hAnsi="Times New Roman" w:eastAsia="DengXian"/>
          <w:kern w:val="28"/>
        </w:rPr>
        <w:t>probability-proportional-to-size sampling design and covered 150 county-level units a</w:t>
      </w:r>
      <w:r>
        <w:rPr>
          <w:rFonts w:hint="eastAsia" w:ascii="Times New Roman" w:hAnsi="Times New Roman" w:eastAsia="DengXian"/>
          <w:kern w:val="28"/>
        </w:rPr>
        <w:t>n</w:t>
      </w:r>
      <w:r>
        <w:rPr>
          <w:rFonts w:ascii="Times New Roman" w:hAnsi="Times New Roman" w:eastAsia="DengXian"/>
          <w:kern w:val="28"/>
        </w:rPr>
        <w:t xml:space="preserve">d 450 village- or urban community-level primary sampling units across 28 provinces in China, excluding Tibet. The baseline sample included 17,708 respondents from 10,257 households. </w:t>
      </w:r>
    </w:p>
    <w:p w14:paraId="375676C6">
      <w:pPr>
        <w:pStyle w:val="9"/>
        <w:widowControl/>
        <w:spacing w:beforeAutospacing="0" w:afterAutospacing="0" w:line="360" w:lineRule="auto"/>
        <w:jc w:val="both"/>
        <w:rPr>
          <w:rFonts w:ascii="Times New Roman" w:hAnsi="Times New Roman" w:eastAsia="DengXian"/>
          <w:kern w:val="28"/>
        </w:rPr>
      </w:pPr>
    </w:p>
    <w:p w14:paraId="53A9A059">
      <w:pPr>
        <w:spacing w:line="360" w:lineRule="auto"/>
        <w:rPr>
          <w:rFonts w:ascii="Times New Roman" w:hAnsi="Times New Roman" w:eastAsia="DengXian"/>
          <w:kern w:val="28"/>
          <w:sz w:val="24"/>
        </w:rPr>
      </w:pPr>
      <w:r>
        <w:rPr>
          <w:rFonts w:ascii="Times New Roman" w:hAnsi="Times New Roman" w:eastAsia="DengXian"/>
          <w:kern w:val="28"/>
          <w:sz w:val="24"/>
        </w:rPr>
        <w:t>CHARLS follows respondents through face-to-face interviews at approximately 2-year intervals. After the baseline survey, follow-up waves were conducted in 2013</w:t>
      </w:r>
      <w:r>
        <w:rPr>
          <w:rFonts w:hint="eastAsia" w:ascii="Times New Roman" w:hAnsi="Times New Roman" w:eastAsia="DengXian"/>
          <w:kern w:val="28"/>
          <w:sz w:val="24"/>
        </w:rPr>
        <w:t xml:space="preserve"> (Wave 2)</w:t>
      </w:r>
      <w:r>
        <w:rPr>
          <w:rFonts w:ascii="Times New Roman" w:hAnsi="Times New Roman" w:eastAsia="DengXian"/>
          <w:kern w:val="28"/>
          <w:sz w:val="24"/>
        </w:rPr>
        <w:t>, 2015</w:t>
      </w:r>
      <w:r>
        <w:rPr>
          <w:rFonts w:hint="eastAsia" w:ascii="Times New Roman" w:hAnsi="Times New Roman" w:eastAsia="DengXian"/>
          <w:kern w:val="28"/>
          <w:sz w:val="24"/>
        </w:rPr>
        <w:t xml:space="preserve"> (Wave 3)</w:t>
      </w:r>
      <w:r>
        <w:rPr>
          <w:rFonts w:ascii="Times New Roman" w:hAnsi="Times New Roman" w:eastAsia="DengXian"/>
          <w:kern w:val="28"/>
          <w:sz w:val="24"/>
        </w:rPr>
        <w:t>, 2018</w:t>
      </w:r>
      <w:r>
        <w:rPr>
          <w:rFonts w:hint="eastAsia" w:ascii="Times New Roman" w:hAnsi="Times New Roman" w:eastAsia="DengXian"/>
          <w:kern w:val="28"/>
          <w:sz w:val="24"/>
        </w:rPr>
        <w:t xml:space="preserve"> (Wave 4)</w:t>
      </w:r>
      <w:r>
        <w:rPr>
          <w:rFonts w:ascii="Times New Roman" w:hAnsi="Times New Roman" w:eastAsia="DengXian"/>
          <w:kern w:val="28"/>
          <w:sz w:val="24"/>
        </w:rPr>
        <w:t>, and 2020</w:t>
      </w:r>
      <w:r>
        <w:rPr>
          <w:rFonts w:hint="eastAsia" w:ascii="Times New Roman" w:hAnsi="Times New Roman" w:eastAsia="DengXian"/>
          <w:kern w:val="28"/>
          <w:sz w:val="24"/>
        </w:rPr>
        <w:t xml:space="preserve"> (Wave 5) </w:t>
      </w:r>
      <w:r>
        <w:rPr>
          <w:rFonts w:ascii="Times New Roman" w:hAnsi="Times New Roman" w:cs="Times New Roman"/>
          <w:kern w:val="0"/>
          <w:sz w:val="24"/>
          <w:lang w:bidi="ar"/>
        </w:rPr>
        <w:fldChar w:fldCharType="begin"/>
      </w:r>
      <w:r>
        <w:rPr>
          <w:rFonts w:hint="eastAsia" w:ascii="Times New Roman" w:hAnsi="Times New Roman" w:cs="Times New Roman"/>
          <w:kern w:val="0"/>
          <w:sz w:val="24"/>
          <w:lang w:bidi="ar"/>
        </w:rPr>
        <w:instrText xml:space="preserve"> ADDIN EN.CITE &lt;EndNote&gt;&lt;Cite&gt;&lt;Author&gt;Zhao&lt;/Author&gt;&lt;Year&gt;2023.&lt;/Year&gt;&lt;RecNum&gt;1616&lt;/RecNum&gt;&lt;DisplayText&gt;[2]&lt;/DisplayText&gt;&lt;record&gt;&lt;rec-number&gt;1616&lt;/rec-number&gt;&lt;foreign-keys&gt;&lt;key app="EN" db-id="raez002xkxzpfme20z4px9rqve22zp5wpvap" timestamp="1777031677"&gt;1616&lt;/key&gt;&lt;/foreign-keys&gt;&lt;ref-type name="Journal Article"&gt;17&lt;/ref-type&gt;&lt;contributors&gt;&lt;authors&gt;&lt;author&gt;Zhao, Y.&lt;/author&gt;&lt;author&gt;Chen, X.&lt;/author&gt;&lt;author&gt;Wang, Y.&lt;/author&gt;&lt;author&gt;Meng, Q.&lt;/author&gt;&lt;author&gt;Bo, H.&lt;/author&gt;&lt;author&gt;Chen, C.&lt;/author&gt;&lt;author&gt;Chen, Y.&lt;/author&gt;&lt;author&gt;Gong, J.&lt;/author&gt;&lt;author&gt;Jia, Y.&lt;/author&gt;&lt;author&gt;Wang, G.&lt;/author&gt;&lt;author&gt;Wu, X.&lt;/author&gt;&lt;author&gt;Yan, L.&lt;/author&gt;&lt;author&gt;Yang, P.&lt;/author&gt;&lt;author&gt;Zhou, H.&lt;/author&gt;&lt;/authors&gt;&lt;/contributors&gt;&lt;titles&gt;&lt;title&gt;China Health and Retirement Longitudinal Study Wave 5 (2020) User Guide&lt;/title&gt;&lt;secondary-title&gt;National School of Development, Peking University&lt;/secondary-title&gt;&lt;/titles&gt;&lt;periodical&gt;&lt;full-title&gt;National School of Development, Peking University&lt;/full-title&gt;&lt;/periodical&gt;&lt;dates&gt;&lt;year&gt;2023.&lt;/year&gt;&lt;/dates&gt;&lt;urls&gt;&lt;/urls&gt;&lt;/record&gt;&lt;/Cite&gt;&lt;/EndNote&gt;</w:instrText>
      </w:r>
      <w:r>
        <w:rPr>
          <w:rFonts w:ascii="Times New Roman" w:hAnsi="Times New Roman" w:cs="Times New Roman"/>
          <w:kern w:val="0"/>
          <w:sz w:val="24"/>
          <w:lang w:bidi="ar"/>
        </w:rPr>
        <w:fldChar w:fldCharType="separate"/>
      </w:r>
      <w:r>
        <w:rPr>
          <w:rFonts w:hint="eastAsia" w:ascii="Times New Roman" w:hAnsi="Times New Roman" w:cs="Times New Roman"/>
          <w:kern w:val="0"/>
          <w:sz w:val="24"/>
          <w:lang w:bidi="ar"/>
        </w:rPr>
        <w:t>[2]</w:t>
      </w:r>
      <w:r>
        <w:rPr>
          <w:rFonts w:ascii="Times New Roman" w:hAnsi="Times New Roman" w:cs="Times New Roman"/>
          <w:kern w:val="0"/>
          <w:sz w:val="24"/>
          <w:lang w:bidi="ar"/>
        </w:rPr>
        <w:fldChar w:fldCharType="end"/>
      </w:r>
      <w:r>
        <w:rPr>
          <w:rFonts w:ascii="Times New Roman" w:hAnsi="Times New Roman" w:eastAsia="DengXian"/>
          <w:kern w:val="28"/>
          <w:sz w:val="24"/>
        </w:rPr>
        <w:t xml:space="preserve">. The survey collects a wide range of information, including demographic characteristics, socioeconomic conditions, health status, health behaviors, physical functioning, and health care utilization. </w:t>
      </w:r>
    </w:p>
    <w:p w14:paraId="57576EB7">
      <w:pPr>
        <w:pStyle w:val="9"/>
        <w:widowControl/>
        <w:spacing w:beforeAutospacing="0" w:afterAutospacing="0" w:line="360" w:lineRule="auto"/>
        <w:jc w:val="both"/>
        <w:rPr>
          <w:rFonts w:ascii="Times New Roman" w:hAnsi="Times New Roman"/>
          <w:lang w:bidi="ar"/>
        </w:rPr>
      </w:pPr>
    </w:p>
    <w:p w14:paraId="77D438E2">
      <w:pPr>
        <w:pStyle w:val="9"/>
        <w:widowControl/>
        <w:spacing w:beforeAutospacing="0" w:afterAutospacing="0" w:line="360" w:lineRule="auto"/>
        <w:jc w:val="both"/>
        <w:rPr>
          <w:rFonts w:ascii="Times New Roman" w:hAnsi="Times New Roman" w:eastAsia="DengXian"/>
          <w:kern w:val="28"/>
        </w:rPr>
      </w:pPr>
      <w:r>
        <w:rPr>
          <w:rFonts w:ascii="Times New Roman" w:hAnsi="Times New Roman"/>
          <w:lang w:bidi="ar"/>
        </w:rPr>
        <w:t>CHARLS was approved by the institutional review board at Peking University (IRB00001052-11015),</w:t>
      </w:r>
      <w:r>
        <w:rPr>
          <w:rFonts w:ascii="Times New Roman" w:hAnsi="Times New Roman" w:eastAsia="DengXian"/>
          <w:kern w:val="28"/>
        </w:rPr>
        <w:t xml:space="preserve"> and all participants provided written informed consent before participation.</w:t>
      </w:r>
    </w:p>
    <w:p w14:paraId="240E38E2">
      <w:pPr>
        <w:widowControl/>
        <w:spacing w:line="360" w:lineRule="auto"/>
        <w:jc w:val="left"/>
        <w:rPr>
          <w:rFonts w:ascii="Times New Roman" w:hAnsi="Times New Roman" w:eastAsia="DengXian" w:cs="Times New Roman"/>
          <w:kern w:val="28"/>
          <w:szCs w:val="21"/>
        </w:rPr>
      </w:pPr>
    </w:p>
    <w:p w14:paraId="3877E3D4">
      <w:pPr>
        <w:widowControl/>
        <w:jc w:val="left"/>
        <w:rPr>
          <w:rFonts w:ascii="Times New Roman" w:hAnsi="Times New Roman" w:eastAsia="宋体" w:cs="Times New Roman"/>
          <w:b/>
          <w:bCs/>
          <w:color w:val="000000"/>
          <w:kern w:val="0"/>
          <w:szCs w:val="21"/>
          <w:lang w:bidi="ar"/>
        </w:rPr>
      </w:pPr>
    </w:p>
    <w:p w14:paraId="645909DC">
      <w:pPr>
        <w:widowControl/>
        <w:jc w:val="left"/>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br w:type="page"/>
      </w:r>
    </w:p>
    <w:p w14:paraId="48B8D04D">
      <w:pPr>
        <w:widowControl/>
        <w:jc w:val="left"/>
        <w:rPr>
          <w:rFonts w:ascii="Times New Roman" w:hAnsi="Times New Roman" w:eastAsia="宋体" w:cs="Times New Roman"/>
          <w:color w:val="000000"/>
          <w:kern w:val="0"/>
          <w:szCs w:val="21"/>
          <w:lang w:bidi="ar"/>
        </w:rPr>
      </w:pPr>
      <w:r>
        <w:rPr>
          <w:rFonts w:ascii="Times New Roman" w:hAnsi="Times New Roman" w:eastAsia="宋体" w:cs="Times New Roman"/>
          <w:b/>
          <w:bCs/>
          <w:color w:val="000000"/>
          <w:kern w:val="0"/>
          <w:szCs w:val="21"/>
          <w:lang w:bidi="ar"/>
        </w:rPr>
        <w:t>Table S1.</w:t>
      </w:r>
      <w:r>
        <w:rPr>
          <w:rFonts w:ascii="Times New Roman" w:hAnsi="Times New Roman" w:eastAsia="宋体" w:cs="Times New Roman"/>
          <w:color w:val="000000"/>
          <w:kern w:val="0"/>
          <w:szCs w:val="21"/>
          <w:lang w:bidi="ar"/>
        </w:rPr>
        <w:t xml:space="preserve"> Assessment of SDoH in CHARLS.</w:t>
      </w:r>
    </w:p>
    <w:tbl>
      <w:tblPr>
        <w:tblStyle w:val="12"/>
        <w:tblW w:w="5388" w:type="pct"/>
        <w:tblInd w:w="-4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9"/>
        <w:gridCol w:w="1835"/>
        <w:gridCol w:w="5529"/>
        <w:gridCol w:w="2648"/>
      </w:tblGrid>
      <w:tr w14:paraId="53261064">
        <w:trPr>
          <w:trHeight w:val="113" w:hRule="atLeast"/>
        </w:trPr>
        <w:tc>
          <w:tcPr>
            <w:tcW w:w="651" w:type="pct"/>
          </w:tcPr>
          <w:p w14:paraId="1C18F443">
            <w:pPr>
              <w:widowControl/>
              <w:spacing w:line="260" w:lineRule="exact"/>
              <w:jc w:val="left"/>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Domain</w:t>
            </w:r>
          </w:p>
        </w:tc>
        <w:tc>
          <w:tcPr>
            <w:tcW w:w="797" w:type="pct"/>
          </w:tcPr>
          <w:p w14:paraId="1B31950F">
            <w:pPr>
              <w:widowControl/>
              <w:spacing w:line="260" w:lineRule="exact"/>
              <w:jc w:val="left"/>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Subdomain</w:t>
            </w:r>
          </w:p>
        </w:tc>
        <w:tc>
          <w:tcPr>
            <w:tcW w:w="2401" w:type="pct"/>
          </w:tcPr>
          <w:p w14:paraId="1F1F02E6">
            <w:pPr>
              <w:widowControl/>
              <w:spacing w:line="260" w:lineRule="exact"/>
              <w:jc w:val="left"/>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Descriptions</w:t>
            </w:r>
          </w:p>
        </w:tc>
        <w:tc>
          <w:tcPr>
            <w:tcW w:w="1150" w:type="pct"/>
          </w:tcPr>
          <w:p w14:paraId="52F84860">
            <w:pPr>
              <w:widowControl/>
              <w:spacing w:line="260" w:lineRule="exact"/>
              <w:jc w:val="left"/>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Categories and Coding</w:t>
            </w:r>
          </w:p>
        </w:tc>
      </w:tr>
      <w:tr w14:paraId="7709143F">
        <w:trPr>
          <w:trHeight w:val="113" w:hRule="atLeast"/>
        </w:trPr>
        <w:tc>
          <w:tcPr>
            <w:tcW w:w="651" w:type="pct"/>
            <w:vMerge w:val="restart"/>
          </w:tcPr>
          <w:p w14:paraId="58380FA4">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Economic Stability</w:t>
            </w:r>
          </w:p>
        </w:tc>
        <w:tc>
          <w:tcPr>
            <w:tcW w:w="797" w:type="pct"/>
          </w:tcPr>
          <w:p w14:paraId="0F9692B3">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Employment </w:t>
            </w:r>
            <w:r>
              <w:rPr>
                <w:rFonts w:hint="eastAsia" w:ascii="Times New Roman" w:hAnsi="Times New Roman" w:eastAsia="宋体" w:cs="Times New Roman"/>
                <w:color w:val="000000"/>
                <w:kern w:val="0"/>
                <w:szCs w:val="21"/>
                <w:lang w:bidi="ar"/>
              </w:rPr>
              <w:t>status</w:t>
            </w:r>
          </w:p>
        </w:tc>
        <w:tc>
          <w:tcPr>
            <w:tcW w:w="2401" w:type="pct"/>
          </w:tcPr>
          <w:p w14:paraId="2570AB40">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The type of work the participants had done</w:t>
            </w:r>
            <w:r>
              <w:rPr>
                <w:rFonts w:hint="eastAsia" w:ascii="Times New Roman" w:hAnsi="Times New Roman" w:eastAsia="宋体" w:cs="Times New Roman"/>
                <w:color w:val="000000"/>
                <w:kern w:val="0"/>
                <w:szCs w:val="21"/>
                <w:lang w:bidi="ar"/>
              </w:rPr>
              <w:t xml:space="preserve"> in the past year</w:t>
            </w:r>
            <w:r>
              <w:rPr>
                <w:rFonts w:ascii="Times New Roman" w:hAnsi="Times New Roman" w:eastAsia="宋体" w:cs="Times New Roman"/>
                <w:color w:val="000000"/>
                <w:kern w:val="0"/>
                <w:szCs w:val="21"/>
                <w:lang w:bidi="ar"/>
              </w:rPr>
              <w:t>.</w:t>
            </w:r>
          </w:p>
        </w:tc>
        <w:tc>
          <w:tcPr>
            <w:tcW w:w="1150" w:type="pct"/>
          </w:tcPr>
          <w:p w14:paraId="26BD4E2D">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 xml:space="preserve">: </w:t>
            </w:r>
            <w:r>
              <w:rPr>
                <w:rFonts w:ascii="Times New Roman" w:hAnsi="Times New Roman" w:eastAsia="宋体" w:cs="Times New Roman"/>
                <w:kern w:val="0"/>
                <w:sz w:val="21"/>
                <w:szCs w:val="21"/>
                <w:lang w:bidi="ar"/>
              </w:rPr>
              <w:t>Employed in the agricultural sector</w:t>
            </w:r>
          </w:p>
          <w:p w14:paraId="40DCE016">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 xml:space="preserve">: </w:t>
            </w:r>
            <w:r>
              <w:rPr>
                <w:rFonts w:ascii="Times New Roman" w:hAnsi="Times New Roman" w:eastAsia="宋体" w:cs="Times New Roman"/>
                <w:kern w:val="0"/>
                <w:sz w:val="21"/>
                <w:szCs w:val="21"/>
                <w:lang w:bidi="ar"/>
              </w:rPr>
              <w:t xml:space="preserve">Employed in the </w:t>
            </w:r>
            <w:r>
              <w:rPr>
                <w:rFonts w:hint="default" w:ascii="Times New Roman" w:hAnsi="Times New Roman" w:eastAsia="宋体" w:cs="Times New Roman"/>
                <w:kern w:val="0"/>
                <w:sz w:val="21"/>
                <w:szCs w:val="21"/>
                <w:lang w:val="en-US" w:bidi="ar"/>
              </w:rPr>
              <w:t>non-</w:t>
            </w:r>
            <w:r>
              <w:rPr>
                <w:rFonts w:ascii="Times New Roman" w:hAnsi="Times New Roman" w:eastAsia="宋体" w:cs="Times New Roman"/>
                <w:kern w:val="0"/>
                <w:sz w:val="21"/>
                <w:szCs w:val="21"/>
                <w:lang w:bidi="ar"/>
              </w:rPr>
              <w:t>agricultural sector</w:t>
            </w:r>
          </w:p>
          <w:p w14:paraId="7E5ABB45">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3: </w:t>
            </w:r>
            <w:r>
              <w:rPr>
                <w:rFonts w:hint="eastAsia" w:ascii="Times New Roman" w:hAnsi="Times New Roman" w:eastAsia="宋体" w:cs="Times New Roman"/>
                <w:color w:val="000000"/>
                <w:kern w:val="0"/>
                <w:szCs w:val="21"/>
                <w:lang w:bidi="ar"/>
              </w:rPr>
              <w:t>Not employed/retired</w:t>
            </w:r>
          </w:p>
        </w:tc>
      </w:tr>
      <w:tr w14:paraId="29313FD1">
        <w:trPr>
          <w:trHeight w:val="113" w:hRule="atLeast"/>
        </w:trPr>
        <w:tc>
          <w:tcPr>
            <w:tcW w:w="651" w:type="pct"/>
            <w:vMerge w:val="continue"/>
          </w:tcPr>
          <w:p w14:paraId="1E29D550">
            <w:pPr>
              <w:widowControl/>
              <w:spacing w:line="260" w:lineRule="exact"/>
              <w:jc w:val="center"/>
              <w:rPr>
                <w:rFonts w:ascii="Times New Roman" w:hAnsi="Times New Roman" w:cs="Times New Roman"/>
                <w:szCs w:val="21"/>
              </w:rPr>
            </w:pPr>
          </w:p>
        </w:tc>
        <w:tc>
          <w:tcPr>
            <w:tcW w:w="797" w:type="pct"/>
          </w:tcPr>
          <w:p w14:paraId="14032749">
            <w:pPr>
              <w:widowControl/>
              <w:spacing w:line="260" w:lineRule="exact"/>
              <w:jc w:val="left"/>
              <w:rPr>
                <w:rFonts w:ascii="Times New Roman" w:hAnsi="Times New Roman" w:cs="Times New Roman"/>
                <w:szCs w:val="21"/>
              </w:rPr>
            </w:pPr>
            <w:r>
              <w:rPr>
                <w:rFonts w:ascii="Times New Roman" w:hAnsi="Times New Roman" w:eastAsia="宋体" w:cs="Times New Roman"/>
                <w:color w:val="000000"/>
                <w:kern w:val="0"/>
                <w:szCs w:val="21"/>
                <w:lang w:bidi="ar"/>
              </w:rPr>
              <w:t>Per capita household income</w:t>
            </w:r>
            <w:r>
              <w:rPr>
                <w:rFonts w:hint="eastAsia" w:ascii="Times New Roman" w:hAnsi="Times New Roman" w:eastAsia="宋体" w:cs="Times New Roman"/>
                <w:kern w:val="0"/>
                <w:szCs w:val="21"/>
                <w:vertAlign w:val="superscript"/>
                <w:lang w:bidi="ar"/>
              </w:rPr>
              <w:t>a</w:t>
            </w:r>
          </w:p>
        </w:tc>
        <w:tc>
          <w:tcPr>
            <w:tcW w:w="2401" w:type="pct"/>
          </w:tcPr>
          <w:p w14:paraId="3864A168">
            <w:pPr>
              <w:widowControl/>
              <w:spacing w:line="260" w:lineRule="exact"/>
              <w:jc w:val="left"/>
              <w:rPr>
                <w:rFonts w:ascii="Times New Roman" w:hAnsi="Times New Roman" w:eastAsia="宋体" w:cs="Times New Roman"/>
                <w:b/>
                <w:bCs/>
                <w:color w:val="000000"/>
                <w:kern w:val="0"/>
                <w:szCs w:val="21"/>
                <w:lang w:bidi="ar"/>
              </w:rPr>
            </w:pPr>
            <w:r>
              <w:rPr>
                <w:rFonts w:hint="eastAsia" w:ascii="Times New Roman" w:hAnsi="Times New Roman" w:eastAsia="宋体" w:cs="Times New Roman"/>
                <w:color w:val="000000"/>
                <w:kern w:val="0"/>
                <w:szCs w:val="21"/>
                <w:lang w:bidi="ar"/>
              </w:rPr>
              <w:t>The annual household income per household member. Household income includes earning income, capital income, pension income, and government transfers.</w:t>
            </w:r>
          </w:p>
        </w:tc>
        <w:tc>
          <w:tcPr>
            <w:tcW w:w="1150" w:type="pct"/>
          </w:tcPr>
          <w:p w14:paraId="63B6B7B9">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tc>
      </w:tr>
      <w:tr w14:paraId="22F13A65">
        <w:trPr>
          <w:trHeight w:val="850" w:hRule="exact"/>
        </w:trPr>
        <w:tc>
          <w:tcPr>
            <w:tcW w:w="651" w:type="pct"/>
            <w:vMerge w:val="continue"/>
          </w:tcPr>
          <w:p w14:paraId="159F9E03">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49316E60">
            <w:pPr>
              <w:widowControl/>
              <w:snapToGrid w:val="0"/>
              <w:spacing w:line="260" w:lineRule="exact"/>
              <w:jc w:val="left"/>
              <w:rPr>
                <w:rFonts w:ascii="Times New Roman" w:hAnsi="Times New Roman" w:eastAsia="宋体" w:cs="Times New Roman"/>
                <w:color w:val="C00000"/>
                <w:kern w:val="0"/>
                <w:szCs w:val="21"/>
                <w:lang w:bidi="ar"/>
              </w:rPr>
            </w:pPr>
            <w:r>
              <w:rPr>
                <w:rFonts w:ascii="Times New Roman" w:hAnsi="Times New Roman" w:eastAsia="宋体" w:cs="Times New Roman"/>
                <w:color w:val="000000"/>
                <w:kern w:val="0"/>
                <w:szCs w:val="21"/>
                <w:lang w:bidi="ar"/>
              </w:rPr>
              <w:t>Per capita household consumption</w:t>
            </w:r>
            <w:r>
              <w:rPr>
                <w:rFonts w:hint="eastAsia" w:ascii="Times New Roman" w:hAnsi="Times New Roman" w:eastAsia="宋体" w:cs="Times New Roman"/>
                <w:kern w:val="0"/>
                <w:szCs w:val="21"/>
                <w:vertAlign w:val="superscript"/>
                <w:lang w:bidi="ar"/>
              </w:rPr>
              <w:t>a</w:t>
            </w:r>
          </w:p>
          <w:p w14:paraId="5B51A22D">
            <w:pPr>
              <w:widowControl/>
              <w:snapToGrid w:val="0"/>
              <w:spacing w:line="260" w:lineRule="exact"/>
              <w:jc w:val="left"/>
              <w:rPr>
                <w:rFonts w:ascii="Times New Roman" w:hAnsi="Times New Roman" w:eastAsia="宋体" w:cs="Times New Roman"/>
                <w:color w:val="000000"/>
                <w:kern w:val="0"/>
                <w:szCs w:val="21"/>
                <w:lang w:bidi="ar"/>
              </w:rPr>
            </w:pPr>
          </w:p>
        </w:tc>
        <w:tc>
          <w:tcPr>
            <w:tcW w:w="2401" w:type="pct"/>
          </w:tcPr>
          <w:p w14:paraId="5CC1D271">
            <w:pPr>
              <w:widowControl/>
              <w:snapToGrid w:val="0"/>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annual household consumption per household member. Household consumption includes food, and non-food consumption.</w:t>
            </w:r>
          </w:p>
        </w:tc>
        <w:tc>
          <w:tcPr>
            <w:tcW w:w="1150" w:type="pct"/>
          </w:tcPr>
          <w:p w14:paraId="037B60C9">
            <w:pPr>
              <w:widowControl/>
              <w:snapToGrid w:val="0"/>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tc>
      </w:tr>
      <w:tr w14:paraId="7411FABF">
        <w:trPr>
          <w:trHeight w:val="113" w:hRule="atLeast"/>
        </w:trPr>
        <w:tc>
          <w:tcPr>
            <w:tcW w:w="651" w:type="pct"/>
          </w:tcPr>
          <w:p w14:paraId="2658C45F">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Education Access and Quality</w:t>
            </w:r>
          </w:p>
        </w:tc>
        <w:tc>
          <w:tcPr>
            <w:tcW w:w="797" w:type="pct"/>
          </w:tcPr>
          <w:p w14:paraId="0AE61787">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Education level</w:t>
            </w:r>
          </w:p>
        </w:tc>
        <w:tc>
          <w:tcPr>
            <w:tcW w:w="2401" w:type="pct"/>
          </w:tcPr>
          <w:p w14:paraId="0D6C7DCE">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w:t>
            </w:r>
            <w:r>
              <w:rPr>
                <w:rFonts w:ascii="Times New Roman" w:hAnsi="Times New Roman" w:eastAsia="宋体" w:cs="Times New Roman"/>
                <w:color w:val="000000"/>
                <w:kern w:val="0"/>
                <w:szCs w:val="21"/>
                <w:lang w:bidi="ar"/>
              </w:rPr>
              <w:t xml:space="preserve">he </w:t>
            </w:r>
            <w:r>
              <w:rPr>
                <w:rFonts w:ascii="Times New Roman" w:hAnsi="Times New Roman" w:eastAsia="宋体" w:cs="Times New Roman"/>
                <w:color w:val="000000"/>
                <w:kern w:val="0"/>
                <w:szCs w:val="21"/>
                <w:lang w:val="de-DE" w:bidi="ar"/>
              </w:rPr>
              <w:t>highest level of education</w:t>
            </w:r>
            <w:r>
              <w:rPr>
                <w:rFonts w:hint="eastAsia" w:ascii="Times New Roman" w:hAnsi="Times New Roman" w:eastAsia="宋体" w:cs="Times New Roman"/>
                <w:color w:val="000000"/>
                <w:kern w:val="0"/>
                <w:szCs w:val="21"/>
                <w:lang w:bidi="ar"/>
              </w:rPr>
              <w:t xml:space="preserve"> participants </w:t>
            </w:r>
            <w:r>
              <w:rPr>
                <w:rFonts w:ascii="Times New Roman" w:hAnsi="Times New Roman" w:eastAsia="宋体" w:cs="Times New Roman"/>
                <w:color w:val="000000"/>
                <w:kern w:val="0"/>
                <w:szCs w:val="21"/>
                <w:lang w:val="de-DE" w:bidi="ar"/>
              </w:rPr>
              <w:t>have attained</w:t>
            </w:r>
            <w:r>
              <w:rPr>
                <w:rFonts w:hint="eastAsia" w:ascii="Times New Roman" w:hAnsi="Times New Roman" w:eastAsia="宋体" w:cs="Times New Roman"/>
                <w:color w:val="000000"/>
                <w:kern w:val="0"/>
                <w:szCs w:val="21"/>
                <w:lang w:bidi="ar"/>
              </w:rPr>
              <w:t>.</w:t>
            </w:r>
          </w:p>
        </w:tc>
        <w:tc>
          <w:tcPr>
            <w:tcW w:w="1150" w:type="pct"/>
            <w:shd w:val="clear" w:color="auto" w:fill="FFFFFF"/>
          </w:tcPr>
          <w:p w14:paraId="327EC82E">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 No formal education</w:t>
            </w:r>
          </w:p>
          <w:p w14:paraId="2516B2E4">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2: Primary school</w:t>
            </w:r>
          </w:p>
          <w:p w14:paraId="75A9CC78">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3: Middle school</w:t>
            </w:r>
          </w:p>
          <w:p w14:paraId="50B0CA02">
            <w:pPr>
              <w:widowControl/>
              <w:spacing w:line="260" w:lineRule="exact"/>
              <w:jc w:val="left"/>
              <w:rPr>
                <w:rFonts w:ascii="Times New Roman" w:hAnsi="Times New Roman" w:cs="Times New Roman"/>
                <w:szCs w:val="21"/>
                <w:lang w:bidi="ar"/>
              </w:rPr>
            </w:pPr>
            <w:r>
              <w:rPr>
                <w:rFonts w:ascii="Times New Roman" w:hAnsi="Times New Roman" w:eastAsia="宋体" w:cs="Times New Roman"/>
                <w:kern w:val="0"/>
                <w:szCs w:val="21"/>
                <w:lang w:bidi="ar"/>
              </w:rPr>
              <w:t>4: Secondary vocatio</w:t>
            </w:r>
            <w:r>
              <w:rPr>
                <w:rFonts w:ascii="Times New Roman" w:hAnsi="Times New Roman" w:eastAsia="宋体" w:cs="Times New Roman"/>
                <w:color w:val="000000"/>
                <w:kern w:val="0"/>
                <w:szCs w:val="21"/>
                <w:lang w:bidi="ar"/>
              </w:rPr>
              <w:t>nal school and above</w:t>
            </w:r>
          </w:p>
        </w:tc>
      </w:tr>
      <w:tr w14:paraId="55B75FBB">
        <w:trPr>
          <w:trHeight w:val="850" w:hRule="exact"/>
        </w:trPr>
        <w:tc>
          <w:tcPr>
            <w:tcW w:w="651" w:type="pct"/>
            <w:vMerge w:val="restart"/>
          </w:tcPr>
          <w:p w14:paraId="6958D6AB">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Healthcare Access and Quality</w:t>
            </w:r>
          </w:p>
        </w:tc>
        <w:tc>
          <w:tcPr>
            <w:tcW w:w="797" w:type="pct"/>
          </w:tcPr>
          <w:p w14:paraId="2F3CA1A4">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Health insurance</w:t>
            </w:r>
          </w:p>
        </w:tc>
        <w:tc>
          <w:tcPr>
            <w:tcW w:w="2401" w:type="pct"/>
          </w:tcPr>
          <w:p w14:paraId="06678CDD">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type of health insurance or healthcare plan participants have.</w:t>
            </w:r>
          </w:p>
        </w:tc>
        <w:tc>
          <w:tcPr>
            <w:tcW w:w="1150" w:type="pct"/>
            <w:shd w:val="clear" w:color="auto" w:fill="FFFFFF"/>
          </w:tcPr>
          <w:p w14:paraId="63951F97">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 Uninsured</w:t>
            </w:r>
          </w:p>
          <w:p w14:paraId="7C58E690">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 Private</w:t>
            </w:r>
          </w:p>
          <w:p w14:paraId="58A3F2D3">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 Public or government</w:t>
            </w:r>
          </w:p>
          <w:p w14:paraId="5DACD37F">
            <w:pPr>
              <w:widowControl/>
              <w:spacing w:line="260" w:lineRule="exact"/>
              <w:jc w:val="left"/>
              <w:rPr>
                <w:rFonts w:ascii="Times New Roman" w:hAnsi="Times New Roman" w:eastAsia="宋体" w:cs="Times New Roman"/>
                <w:color w:val="000000"/>
                <w:kern w:val="0"/>
                <w:szCs w:val="21"/>
                <w:lang w:bidi="ar"/>
              </w:rPr>
            </w:pPr>
          </w:p>
        </w:tc>
      </w:tr>
      <w:tr w14:paraId="51B2C99B">
        <w:trPr>
          <w:trHeight w:val="587" w:hRule="exact"/>
        </w:trPr>
        <w:tc>
          <w:tcPr>
            <w:tcW w:w="651" w:type="pct"/>
            <w:vMerge w:val="continue"/>
          </w:tcPr>
          <w:p w14:paraId="7F8ADCCB">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23D12458">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Access to healthcare</w:t>
            </w:r>
          </w:p>
        </w:tc>
        <w:tc>
          <w:tcPr>
            <w:tcW w:w="2401" w:type="pct"/>
          </w:tcPr>
          <w:p w14:paraId="048DE66D">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Participants</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access to healthcare in the past year.</w:t>
            </w:r>
          </w:p>
        </w:tc>
        <w:tc>
          <w:tcPr>
            <w:tcW w:w="1150" w:type="pct"/>
            <w:shd w:val="clear" w:color="auto" w:fill="FFFFFF"/>
          </w:tcPr>
          <w:p w14:paraId="335BB143">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 Inaccessible</w:t>
            </w:r>
          </w:p>
          <w:p w14:paraId="20B02A57">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 Accessible</w:t>
            </w:r>
          </w:p>
          <w:p w14:paraId="3455BBDF">
            <w:pPr>
              <w:widowControl/>
              <w:spacing w:line="260" w:lineRule="exact"/>
              <w:jc w:val="left"/>
              <w:rPr>
                <w:rFonts w:ascii="Times New Roman" w:hAnsi="Times New Roman" w:eastAsia="宋体" w:cs="Times New Roman"/>
                <w:color w:val="000000"/>
                <w:kern w:val="0"/>
                <w:szCs w:val="21"/>
                <w:lang w:bidi="ar"/>
              </w:rPr>
            </w:pPr>
          </w:p>
        </w:tc>
      </w:tr>
      <w:tr w14:paraId="018F5424">
        <w:trPr>
          <w:trHeight w:val="113" w:hRule="atLeast"/>
        </w:trPr>
        <w:tc>
          <w:tcPr>
            <w:tcW w:w="651" w:type="pct"/>
            <w:vMerge w:val="continue"/>
          </w:tcPr>
          <w:p w14:paraId="6AC7DCDE">
            <w:pPr>
              <w:widowControl/>
              <w:spacing w:line="260" w:lineRule="exact"/>
              <w:jc w:val="left"/>
              <w:rPr>
                <w:rFonts w:ascii="Times New Roman" w:hAnsi="Times New Roman" w:eastAsia="宋体" w:cs="Times New Roman"/>
                <w:color w:val="000000" w:themeColor="text1"/>
                <w:kern w:val="0"/>
                <w:szCs w:val="21"/>
                <w:lang w:bidi="ar"/>
                <w14:textFill>
                  <w14:solidFill>
                    <w14:schemeClr w14:val="tx1"/>
                  </w14:solidFill>
                </w14:textFill>
              </w:rPr>
            </w:pPr>
          </w:p>
        </w:tc>
        <w:tc>
          <w:tcPr>
            <w:tcW w:w="797" w:type="pct"/>
          </w:tcPr>
          <w:p w14:paraId="2086052E">
            <w:pPr>
              <w:widowControl/>
              <w:spacing w:line="260" w:lineRule="exact"/>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Per capita number of health institutions</w:t>
            </w:r>
          </w:p>
        </w:tc>
        <w:tc>
          <w:tcPr>
            <w:tcW w:w="2401" w:type="pct"/>
          </w:tcPr>
          <w:p w14:paraId="15B356CB">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number of health institutions per capita in participant's residence. H</w:t>
            </w:r>
            <w:r>
              <w:rPr>
                <w:rFonts w:ascii="Times New Roman" w:hAnsi="Times New Roman" w:eastAsia="宋体" w:cs="Times New Roman"/>
                <w:color w:val="000000"/>
                <w:kern w:val="0"/>
                <w:szCs w:val="21"/>
                <w:lang w:bidi="ar"/>
              </w:rPr>
              <w:t>ealth institutions refer to the total count of various types of hospitals, primary healthcare facilities, and specialized public health institutions.</w:t>
            </w:r>
          </w:p>
        </w:tc>
        <w:tc>
          <w:tcPr>
            <w:tcW w:w="1150" w:type="pct"/>
            <w:shd w:val="clear" w:color="auto" w:fill="FFFFFF"/>
          </w:tcPr>
          <w:p w14:paraId="10758EE4">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tc>
      </w:tr>
      <w:tr w14:paraId="13BC47DD">
        <w:trPr>
          <w:trHeight w:val="113" w:hRule="atLeast"/>
        </w:trPr>
        <w:tc>
          <w:tcPr>
            <w:tcW w:w="651" w:type="pct"/>
            <w:vMerge w:val="restart"/>
          </w:tcPr>
          <w:p w14:paraId="785F33D9">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Neighborhood and </w:t>
            </w:r>
          </w:p>
          <w:p w14:paraId="616D33CB">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Built Environment</w:t>
            </w:r>
          </w:p>
        </w:tc>
        <w:tc>
          <w:tcPr>
            <w:tcW w:w="797" w:type="pct"/>
          </w:tcPr>
          <w:p w14:paraId="06126B06">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Residence</w:t>
            </w:r>
          </w:p>
        </w:tc>
        <w:tc>
          <w:tcPr>
            <w:tcW w:w="2401" w:type="pct"/>
          </w:tcPr>
          <w:p w14:paraId="7DF70399">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area where participants live.</w:t>
            </w:r>
          </w:p>
        </w:tc>
        <w:tc>
          <w:tcPr>
            <w:tcW w:w="1150" w:type="pct"/>
            <w:shd w:val="clear" w:color="auto" w:fill="FFFFFF"/>
          </w:tcPr>
          <w:p w14:paraId="24543F60">
            <w:pPr>
              <w:pStyle w:val="5"/>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 Rural</w:t>
            </w:r>
          </w:p>
          <w:p w14:paraId="6BCB2ACA">
            <w:pPr>
              <w:pStyle w:val="5"/>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 Peri-urban</w:t>
            </w:r>
          </w:p>
          <w:p w14:paraId="33A60E7C">
            <w:pPr>
              <w:pStyle w:val="5"/>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 Urban</w:t>
            </w:r>
          </w:p>
        </w:tc>
      </w:tr>
      <w:tr w14:paraId="75AFD228">
        <w:trPr>
          <w:trHeight w:val="644" w:hRule="exact"/>
        </w:trPr>
        <w:tc>
          <w:tcPr>
            <w:tcW w:w="651" w:type="pct"/>
            <w:vMerge w:val="continue"/>
          </w:tcPr>
          <w:p w14:paraId="600A6208">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13579671">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Accommodation stability</w:t>
            </w:r>
          </w:p>
        </w:tc>
        <w:tc>
          <w:tcPr>
            <w:tcW w:w="2401" w:type="pct"/>
          </w:tcPr>
          <w:p w14:paraId="0267066E">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Whether participants own or rent their accommodation.</w:t>
            </w:r>
          </w:p>
        </w:tc>
        <w:tc>
          <w:tcPr>
            <w:tcW w:w="1150" w:type="pct"/>
            <w:shd w:val="clear" w:color="auto" w:fill="FFFFFF"/>
          </w:tcPr>
          <w:p w14:paraId="1F1AFD3C">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 Rent or other arrangement</w:t>
            </w:r>
          </w:p>
          <w:p w14:paraId="14B5AFA8">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 Own home</w:t>
            </w:r>
          </w:p>
          <w:p w14:paraId="0F6C2755">
            <w:pPr>
              <w:widowControl/>
              <w:spacing w:line="260" w:lineRule="exact"/>
              <w:jc w:val="left"/>
              <w:rPr>
                <w:rFonts w:ascii="Times New Roman" w:hAnsi="Times New Roman" w:eastAsia="宋体" w:cs="Times New Roman"/>
                <w:color w:val="000000"/>
                <w:kern w:val="0"/>
                <w:szCs w:val="21"/>
                <w:lang w:bidi="ar"/>
              </w:rPr>
            </w:pPr>
          </w:p>
        </w:tc>
      </w:tr>
      <w:tr w14:paraId="7D36CE5D">
        <w:trPr>
          <w:trHeight w:val="90" w:hRule="atLeast"/>
        </w:trPr>
        <w:tc>
          <w:tcPr>
            <w:tcW w:w="651" w:type="pct"/>
            <w:vMerge w:val="continue"/>
          </w:tcPr>
          <w:p w14:paraId="7C2BB7D8">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11CA850B">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Per capita housing area</w:t>
            </w:r>
            <w:r>
              <w:rPr>
                <w:rFonts w:hint="eastAsia" w:ascii="Times New Roman" w:hAnsi="Times New Roman" w:eastAsia="宋体" w:cs="Times New Roman"/>
                <w:kern w:val="0"/>
                <w:szCs w:val="21"/>
                <w:vertAlign w:val="superscript"/>
                <w:lang w:bidi="ar"/>
              </w:rPr>
              <w:t>a</w:t>
            </w:r>
          </w:p>
        </w:tc>
        <w:tc>
          <w:tcPr>
            <w:tcW w:w="2401" w:type="pct"/>
          </w:tcPr>
          <w:p w14:paraId="35F58E2B">
            <w:pPr>
              <w:widowControl/>
              <w:spacing w:line="260" w:lineRule="exact"/>
              <w:rPr>
                <w:rFonts w:ascii="Times New Roman" w:hAnsi="Times New Roman" w:eastAsia="宋体" w:cs="Times New Roman"/>
                <w:color w:val="000000"/>
                <w:kern w:val="0"/>
                <w:szCs w:val="21"/>
                <w:lang w:bidi="ar"/>
              </w:rPr>
            </w:pPr>
            <w:r>
              <w:rPr>
                <w:rFonts w:hint="eastAsia" w:ascii="Times New Roman" w:hAnsi="Times New Roman" w:eastAsia="宋体" w:cs="Times New Roman"/>
                <w:kern w:val="0"/>
                <w:szCs w:val="21"/>
                <w:lang w:bidi="ar"/>
              </w:rPr>
              <w:t>The construction area of the residence per household member.</w:t>
            </w:r>
          </w:p>
        </w:tc>
        <w:tc>
          <w:tcPr>
            <w:tcW w:w="1150" w:type="pct"/>
            <w:shd w:val="clear" w:color="auto" w:fill="FFFFFF"/>
          </w:tcPr>
          <w:p w14:paraId="40EA2529">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tc>
      </w:tr>
      <w:tr w14:paraId="7C686325">
        <w:trPr>
          <w:trHeight w:val="1185" w:hRule="atLeast"/>
        </w:trPr>
        <w:tc>
          <w:tcPr>
            <w:tcW w:w="651" w:type="pct"/>
            <w:vMerge w:val="continue"/>
          </w:tcPr>
          <w:p w14:paraId="4DCEF385">
            <w:pPr>
              <w:widowControl/>
              <w:spacing w:line="260" w:lineRule="exact"/>
              <w:jc w:val="left"/>
              <w:rPr>
                <w:rFonts w:ascii="Times New Roman" w:hAnsi="Times New Roman" w:eastAsia="宋体" w:cs="Times New Roman"/>
                <w:kern w:val="0"/>
                <w:szCs w:val="21"/>
                <w:lang w:bidi="ar"/>
              </w:rPr>
            </w:pPr>
          </w:p>
        </w:tc>
        <w:tc>
          <w:tcPr>
            <w:tcW w:w="797" w:type="pct"/>
          </w:tcPr>
          <w:p w14:paraId="4E9E8B15">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kern w:val="0"/>
                <w:szCs w:val="21"/>
                <w:lang w:bidi="ar"/>
              </w:rPr>
              <w:t>Housing quality</w:t>
            </w:r>
            <w:r>
              <w:rPr>
                <w:rFonts w:hint="eastAsia" w:ascii="Times New Roman" w:hAnsi="Times New Roman" w:eastAsia="宋体" w:cs="Times New Roman"/>
                <w:kern w:val="0"/>
                <w:szCs w:val="21"/>
                <w:vertAlign w:val="superscript"/>
                <w:lang w:bidi="ar"/>
              </w:rPr>
              <w:t>a</w:t>
            </w:r>
          </w:p>
        </w:tc>
        <w:tc>
          <w:tcPr>
            <w:tcW w:w="2401" w:type="pct"/>
          </w:tcPr>
          <w:p w14:paraId="5326AA3D">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A composite score of housing conditions </w:t>
            </w:r>
            <w:r>
              <w:rPr>
                <w:rFonts w:hint="eastAsia" w:ascii="Times New Roman" w:hAnsi="Times New Roman" w:eastAsia="宋体" w:cs="Times New Roman"/>
                <w:color w:val="000000"/>
                <w:kern w:val="0"/>
                <w:szCs w:val="21"/>
                <w:lang w:bidi="ar"/>
              </w:rPr>
              <w:fldChar w:fldCharType="begin">
                <w:fldData xml:space="preserve">PEVuZE5vdGU+PENpdGU+PEF1dGhvcj5ZYW5nPC9BdXRob3I+PFllYXI+MjAyMzwvWWVhcj48UmVj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</w:fldData>
              </w:fldChar>
            </w:r>
            <w:r>
              <w:rPr>
                <w:rFonts w:hint="eastAsia" w:ascii="Times New Roman" w:hAnsi="Times New Roman" w:eastAsia="宋体" w:cs="Times New Roman"/>
                <w:color w:val="000000"/>
                <w:kern w:val="0"/>
                <w:szCs w:val="21"/>
                <w:lang w:bidi="ar"/>
              </w:rPr>
              <w:instrText xml:space="preserve"> ADDIN EN.CITE </w:instrText>
            </w:r>
            <w:r>
              <w:rPr>
                <w:rFonts w:hint="eastAsia" w:ascii="Times New Roman" w:hAnsi="Times New Roman" w:eastAsia="宋体" w:cs="Times New Roman"/>
                <w:color w:val="000000"/>
                <w:kern w:val="0"/>
                <w:szCs w:val="21"/>
                <w:lang w:bidi="ar"/>
              </w:rPr>
              <w:fldChar w:fldCharType="begin">
                <w:fldData xml:space="preserve">PEVuZE5vdGU+PENpdGU+PEF1dGhvcj5ZYW5nPC9BdXRob3I+PFllYXI+MjAyMzwvWWVhcj48UmVj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</w:fldData>
              </w:fldChar>
            </w:r>
            <w:r>
              <w:rPr>
                <w:rFonts w:hint="eastAsia" w:ascii="Times New Roman" w:hAnsi="Times New Roman" w:eastAsia="宋体" w:cs="Times New Roman"/>
                <w:color w:val="000000"/>
                <w:kern w:val="0"/>
                <w:szCs w:val="21"/>
                <w:lang w:bidi="ar"/>
              </w:rPr>
              <w:instrText xml:space="preserve"> ADDIN EN.CITE.DATA </w:instrText>
            </w:r>
            <w:r>
              <w:rPr>
                <w:rFonts w:ascii="Times New Roman" w:hAnsi="Times New Roman" w:eastAsia="宋体" w:cs="Times New Roman"/>
                <w:color w:val="000000"/>
                <w:kern w:val="0"/>
                <w:szCs w:val="21"/>
                <w:lang w:bidi="ar"/>
              </w:rPr>
              <w:fldChar w:fldCharType="separate"/>
            </w:r>
            <w:r>
              <w:rPr>
                <w:rFonts w:hint="eastAsia" w:ascii="Times New Roman" w:hAnsi="Times New Roman" w:eastAsia="宋体" w:cs="Times New Roman"/>
                <w:color w:val="000000"/>
                <w:kern w:val="0"/>
                <w:szCs w:val="21"/>
                <w:lang w:bidi="ar"/>
              </w:rPr>
              <w:fldChar w:fldCharType="end"/>
            </w:r>
            <w:r>
              <w:rPr>
                <w:rFonts w:hint="eastAsia" w:ascii="Times New Roman" w:hAnsi="Times New Roman" w:eastAsia="宋体" w:cs="Times New Roman"/>
                <w:color w:val="000000"/>
                <w:kern w:val="0"/>
                <w:szCs w:val="21"/>
                <w:lang w:bidi="ar"/>
              </w:rPr>
              <w:fldChar w:fldCharType="separate"/>
            </w:r>
            <w:r>
              <w:rPr>
                <w:rFonts w:hint="eastAsia" w:ascii="Times New Roman" w:hAnsi="Times New Roman" w:eastAsia="宋体" w:cs="Times New Roman"/>
                <w:color w:val="000000"/>
                <w:kern w:val="0"/>
                <w:szCs w:val="21"/>
                <w:lang w:bidi="ar"/>
              </w:rPr>
              <w:t>[3]</w:t>
            </w:r>
            <w:r>
              <w:rPr>
                <w:rFonts w:hint="eastAsia" w:ascii="Times New Roman" w:hAnsi="Times New Roman" w:eastAsia="宋体" w:cs="Times New Roman"/>
                <w:color w:val="000000"/>
                <w:kern w:val="0"/>
                <w:szCs w:val="21"/>
                <w:lang w:bidi="ar"/>
              </w:rPr>
              <w:fldChar w:fldCharType="end"/>
            </w:r>
            <w:r>
              <w:rPr>
                <w:rFonts w:hint="eastAsia" w:ascii="Times New Roman" w:hAnsi="Times New Roman" w:eastAsia="宋体" w:cs="Times New Roman"/>
                <w:color w:val="000000"/>
                <w:kern w:val="0"/>
                <w:szCs w:val="21"/>
                <w:lang w:bidi="ar"/>
              </w:rPr>
              <w:t>, including type of accommodation, barrier-free facilities, electricity, water, gas supply, and room temperature. Higher scores indicate better quality.</w:t>
            </w:r>
          </w:p>
        </w:tc>
        <w:tc>
          <w:tcPr>
            <w:tcW w:w="1150" w:type="pct"/>
            <w:shd w:val="clear" w:color="auto" w:fill="FFFFFF"/>
          </w:tcPr>
          <w:p w14:paraId="1871B244">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p w14:paraId="077366E6">
            <w:pPr>
              <w:widowControl/>
              <w:spacing w:line="260" w:lineRule="exact"/>
              <w:jc w:val="left"/>
              <w:rPr>
                <w:rFonts w:ascii="Times New Roman" w:hAnsi="Times New Roman" w:eastAsia="宋体" w:cs="Times New Roman"/>
                <w:kern w:val="0"/>
                <w:szCs w:val="21"/>
                <w:lang w:bidi="ar"/>
              </w:rPr>
            </w:pPr>
          </w:p>
          <w:p w14:paraId="084686DB">
            <w:pPr>
              <w:widowControl/>
              <w:spacing w:line="260" w:lineRule="exact"/>
              <w:jc w:val="left"/>
              <w:rPr>
                <w:rFonts w:ascii="Times New Roman" w:hAnsi="Times New Roman" w:eastAsia="Segoe UI" w:cs="Times New Roman"/>
                <w:szCs w:val="21"/>
                <w:shd w:val="clear" w:color="auto" w:fill="FFFFFF"/>
              </w:rPr>
            </w:pPr>
          </w:p>
        </w:tc>
      </w:tr>
      <w:tr w14:paraId="76481108">
        <w:trPr>
          <w:trHeight w:val="600" w:hRule="atLeast"/>
        </w:trPr>
        <w:tc>
          <w:tcPr>
            <w:tcW w:w="651" w:type="pct"/>
            <w:vMerge w:val="continue"/>
          </w:tcPr>
          <w:p w14:paraId="2414DED9">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6C9282E3">
            <w:pPr>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Air quality (AQI)</w:t>
            </w:r>
          </w:p>
        </w:tc>
        <w:tc>
          <w:tcPr>
            <w:tcW w:w="2401" w:type="pct"/>
          </w:tcPr>
          <w:p w14:paraId="68FBC0B1">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annual average Air Quality Index (AQI)</w:t>
            </w: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at the city level. Higher values indicate more severe air pollution.</w:t>
            </w:r>
          </w:p>
        </w:tc>
        <w:tc>
          <w:tcPr>
            <w:tcW w:w="1150" w:type="pct"/>
            <w:shd w:val="clear" w:color="auto" w:fill="FFFFFF"/>
          </w:tcPr>
          <w:p w14:paraId="2CF08786">
            <w:pPr>
              <w:widowControl/>
              <w:spacing w:line="260" w:lineRule="exact"/>
              <w:rPr>
                <w:rFonts w:ascii="Times New Roman" w:hAnsi="Times New Roman" w:cs="Times New Roman"/>
                <w:szCs w:val="21"/>
                <w:lang w:bidi="ar"/>
              </w:rPr>
            </w:pPr>
            <w:r>
              <w:rPr>
                <w:rFonts w:ascii="Times New Roman" w:hAnsi="Times New Roman" w:eastAsia="宋体" w:cs="Times New Roman"/>
                <w:color w:val="000000"/>
                <w:kern w:val="0"/>
                <w:szCs w:val="21"/>
                <w:lang w:bidi="ar"/>
              </w:rPr>
              <w:t>Continuous variable</w:t>
            </w:r>
          </w:p>
        </w:tc>
      </w:tr>
      <w:tr w14:paraId="04130DD9">
        <w:trPr>
          <w:trHeight w:val="588" w:hRule="atLeast"/>
        </w:trPr>
        <w:tc>
          <w:tcPr>
            <w:tcW w:w="651" w:type="pct"/>
            <w:vMerge w:val="continue"/>
          </w:tcPr>
          <w:p w14:paraId="730A8F66">
            <w:pPr>
              <w:widowControl/>
              <w:spacing w:line="260" w:lineRule="exact"/>
              <w:jc w:val="left"/>
              <w:rPr>
                <w:rFonts w:ascii="Times New Roman" w:hAnsi="Times New Roman" w:eastAsia="宋体" w:cs="Times New Roman"/>
                <w:color w:val="000000"/>
                <w:kern w:val="0"/>
                <w:szCs w:val="21"/>
                <w:lang w:bidi="ar"/>
              </w:rPr>
            </w:pPr>
          </w:p>
        </w:tc>
        <w:tc>
          <w:tcPr>
            <w:tcW w:w="797" w:type="pct"/>
          </w:tcPr>
          <w:p w14:paraId="228EF22E">
            <w:pPr>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N</w:t>
            </w:r>
            <w:r>
              <w:rPr>
                <w:rFonts w:ascii="Times New Roman" w:hAnsi="Times New Roman" w:eastAsia="宋体" w:cs="Times New Roman"/>
                <w:color w:val="000000"/>
                <w:kern w:val="0"/>
                <w:szCs w:val="21"/>
                <w:lang w:bidi="ar"/>
              </w:rPr>
              <w:t>oise level</w:t>
            </w:r>
            <w:r>
              <w:rPr>
                <w:rFonts w:hint="eastAsia" w:ascii="Times New Roman" w:hAnsi="Times New Roman" w:eastAsia="宋体" w:cs="Times New Roman"/>
                <w:color w:val="000000"/>
                <w:kern w:val="0"/>
                <w:szCs w:val="21"/>
                <w:lang w:bidi="ar"/>
              </w:rPr>
              <w:t xml:space="preserve"> (Leq, dB(A))</w:t>
            </w:r>
          </w:p>
        </w:tc>
        <w:tc>
          <w:tcPr>
            <w:tcW w:w="2401" w:type="pct"/>
          </w:tcPr>
          <w:p w14:paraId="7D9F2AF1">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The area noise level at the participant's residence. Higher values indicate higher noise levels.</w:t>
            </w:r>
          </w:p>
        </w:tc>
        <w:tc>
          <w:tcPr>
            <w:tcW w:w="1150" w:type="pct"/>
            <w:shd w:val="clear" w:color="auto" w:fill="FFFFFF"/>
          </w:tcPr>
          <w:p w14:paraId="7C4A73B6">
            <w:pPr>
              <w:spacing w:line="260" w:lineRule="exact"/>
              <w:rPr>
                <w:rFonts w:ascii="Times New Roman" w:hAnsi="Times New Roman" w:cs="Times New Roman"/>
                <w:szCs w:val="21"/>
              </w:rPr>
            </w:pPr>
            <w:r>
              <w:rPr>
                <w:rFonts w:ascii="Times New Roman" w:hAnsi="Times New Roman" w:eastAsia="宋体" w:cs="Times New Roman"/>
                <w:color w:val="000000"/>
                <w:kern w:val="0"/>
                <w:szCs w:val="21"/>
                <w:lang w:bidi="ar"/>
              </w:rPr>
              <w:t>Continuous variable</w:t>
            </w:r>
          </w:p>
        </w:tc>
      </w:tr>
      <w:tr w14:paraId="23059E4C">
        <w:trPr>
          <w:trHeight w:val="600" w:hRule="atLeast"/>
        </w:trPr>
        <w:tc>
          <w:tcPr>
            <w:tcW w:w="651" w:type="pct"/>
            <w:vMerge w:val="continue"/>
          </w:tcPr>
          <w:p w14:paraId="639F7724">
            <w:pPr>
              <w:widowControl/>
              <w:spacing w:line="260" w:lineRule="exact"/>
              <w:jc w:val="left"/>
              <w:rPr>
                <w:rFonts w:ascii="Times New Roman" w:hAnsi="Times New Roman" w:eastAsia="宋体" w:cs="Times New Roman"/>
                <w:color w:val="000000" w:themeColor="text1"/>
                <w:kern w:val="0"/>
                <w:szCs w:val="21"/>
                <w:lang w:bidi="ar"/>
                <w14:textFill>
                  <w14:solidFill>
                    <w14:schemeClr w14:val="tx1"/>
                  </w14:solidFill>
                </w14:textFill>
              </w:rPr>
            </w:pPr>
          </w:p>
        </w:tc>
        <w:tc>
          <w:tcPr>
            <w:tcW w:w="797" w:type="pct"/>
          </w:tcPr>
          <w:p w14:paraId="75740E0D">
            <w:pPr>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themeColor="text1"/>
                <w:kern w:val="0"/>
                <w:szCs w:val="21"/>
                <w:lang w:bidi="ar"/>
                <w14:textFill>
                  <w14:solidFill>
                    <w14:schemeClr w14:val="tx1"/>
                  </w14:solidFill>
                </w14:textFill>
              </w:rPr>
              <w:t>Extreme climate</w:t>
            </w:r>
            <w:r>
              <w:rPr>
                <w:rStyle w:val="17"/>
                <w:rFonts w:hint="eastAsia"/>
                <w:sz w:val="21"/>
                <w:szCs w:val="21"/>
              </w:rPr>
              <w:t xml:space="preserve"> </w:t>
            </w:r>
            <w:r>
              <w:rPr>
                <w:rFonts w:ascii="Times New Roman" w:hAnsi="Times New Roman" w:eastAsia="宋体" w:cs="Times New Roman"/>
                <w:color w:val="000000" w:themeColor="text1"/>
                <w:kern w:val="0"/>
                <w:szCs w:val="21"/>
                <w:lang w:bidi="ar"/>
                <w14:textFill>
                  <w14:solidFill>
                    <w14:schemeClr w14:val="tx1"/>
                  </w14:solidFill>
                </w14:textFill>
              </w:rPr>
              <w:t>(CPRI)</w:t>
            </w:r>
          </w:p>
        </w:tc>
        <w:tc>
          <w:tcPr>
            <w:tcW w:w="2401" w:type="pct"/>
          </w:tcPr>
          <w:p w14:paraId="7C0870E4">
            <w:pPr>
              <w:widowControl/>
              <w:spacing w:line="260" w:lineRule="exact"/>
              <w:jc w:val="left"/>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The Climate Physical Risk Index (CPRI) representing extreme climate risk </w:t>
            </w:r>
            <w:r>
              <w:rPr>
                <w:rFonts w:hint="eastAsia" w:ascii="Times New Roman" w:hAnsi="Times New Roman" w:eastAsia="宋体" w:cs="Times New Roman"/>
                <w:color w:val="000000"/>
                <w:kern w:val="0"/>
                <w:szCs w:val="21"/>
                <w:lang w:bidi="ar"/>
              </w:rPr>
              <w:fldChar w:fldCharType="begin"/>
            </w:r>
            <w:r>
              <w:rPr>
                <w:rFonts w:hint="eastAsia" w:ascii="Times New Roman" w:hAnsi="Times New Roman" w:eastAsia="宋体" w:cs="Times New Roman"/>
                <w:color w:val="000000"/>
                <w:kern w:val="0"/>
                <w:szCs w:val="21"/>
                <w:lang w:bidi="ar"/>
              </w:rPr>
              <w:instrText xml:space="preserve"> ADDIN EN.CITE &lt;EndNote&gt;&lt;Cite&gt;&lt;Author&gt;Guo&lt;/Author&gt;&lt;Year&gt;2024&lt;/Year&gt;&lt;RecNum&gt;1431&lt;/RecNum&gt;&lt;DisplayText&gt;[4]&lt;/DisplayText&gt;&lt;record&gt;&lt;rec-number&gt;1431&lt;/rec-number&gt;&lt;foreign-keys&gt;&lt;key app="EN" db-id="raez002xkxzpfme20z4px9rqve22zp5wpvap" timestamp="1751385974"&gt;1431&lt;/key&gt;&lt;/foreign-keys&gt;&lt;ref-type name="Journal Article"&gt;17&lt;/ref-type&gt;&lt;contributors&gt;&lt;authors&gt;&lt;author&gt;Guo, K.&lt;/author&gt;&lt;author&gt;Ji, Q.&lt;/author&gt;&lt;author&gt;Zhang, D.&lt;/author&gt;&lt;/authors&gt;&lt;/contributors&gt;&lt;auth-address&gt;School of Economics and Management, University of Chinese Academy of Sciences, Beijing 100190, China.&amp;#xD;Research Center on Fictitious Economy &amp;amp; Data Science, Chinese Academy of Sciences, Beijing 100190, China.&amp;#xD;Institutes of Science and Development, Chinese Academy of Sciences, Beijing 100190, China.&amp;#xD;School of Public Policy and Management, University of Chinese Academy of Sciences, Beijing 100049, China.&amp;#xD;Research Institute of Economics and Management, Southwestern University of Finance and Economics, Sichuan 611130, China.&lt;/auth-address&gt;&lt;titles&gt;&lt;title&gt;A dataset to measure global climate physical risk&lt;/title&gt;&lt;secondary-title&gt;Data Brief&lt;/secondary-title&gt;&lt;/titles&gt;&lt;periodical&gt;&lt;full-title&gt;Data Brief&lt;/full-title&gt;&lt;/periodical&gt;&lt;pages&gt;110502&lt;/pages&gt;&lt;volume&gt;54&lt;/volume&gt;&lt;edition&gt;20240504&lt;/edition&gt;&lt;keywords&gt;&lt;keyword&gt;Climate risk&lt;/keyword&gt;&lt;keyword&gt;Extreme drought&lt;/keyword&gt;&lt;keyword&gt;Extreme rainfall&lt;/keyword&gt;&lt;keyword&gt;Extreme temperature&lt;/keyword&gt;&lt;/keywords&gt;&lt;dates&gt;&lt;year&gt;2024&lt;/year&gt;&lt;pub-dates&gt;&lt;date&gt;Jun&lt;/date&gt;&lt;/pub-dates&gt;&lt;/dates&gt;&lt;isbn&gt;2352-3409 (Electronic)&amp;#xD;2352-3409 (Linking)&lt;/isbn&gt;&lt;accession-num&gt;38774240&lt;/accession-num&gt;&lt;urls&gt;&lt;related-urls&gt;&lt;url&gt;https://www.ncbi.nlm.nih.gov/pubmed/38774240&lt;/url&gt;&lt;/related-urls&gt;&lt;/urls&gt;&lt;custom2&gt;PMC11106815&lt;/custom2&gt;&lt;electronic-resource-num&gt;10.1016/j.dib.2024.110502&lt;/electronic-resource-num&gt;&lt;remote-database-name&gt;PubMed-not-MEDLINE&lt;/remote-database-name&gt;&lt;remote-database-provider&gt;NLM&lt;/remote-database-provider&gt;&lt;/record&gt;&lt;/Cite&gt;&lt;/EndNote&gt;</w:instrText>
            </w:r>
            <w:r>
              <w:rPr>
                <w:rFonts w:hint="eastAsia" w:ascii="Times New Roman" w:hAnsi="Times New Roman" w:eastAsia="宋体" w:cs="Times New Roman"/>
                <w:color w:val="000000"/>
                <w:kern w:val="0"/>
                <w:szCs w:val="21"/>
                <w:lang w:bidi="ar"/>
              </w:rPr>
              <w:fldChar w:fldCharType="separate"/>
            </w:r>
            <w:r>
              <w:rPr>
                <w:rFonts w:hint="eastAsia" w:ascii="Times New Roman" w:hAnsi="Times New Roman" w:eastAsia="宋体" w:cs="Times New Roman"/>
                <w:color w:val="000000"/>
                <w:kern w:val="0"/>
                <w:szCs w:val="21"/>
                <w:lang w:bidi="ar"/>
              </w:rPr>
              <w:t>[4]</w:t>
            </w:r>
            <w:r>
              <w:rPr>
                <w:rFonts w:hint="eastAsia" w:ascii="Times New Roman" w:hAnsi="Times New Roman" w:eastAsia="宋体" w:cs="Times New Roman"/>
                <w:color w:val="000000"/>
                <w:kern w:val="0"/>
                <w:szCs w:val="21"/>
                <w:lang w:bidi="ar"/>
              </w:rPr>
              <w:fldChar w:fldCharType="end"/>
            </w:r>
            <w:r>
              <w:rPr>
                <w:rFonts w:hint="eastAsia" w:ascii="Times New Roman" w:hAnsi="Times New Roman" w:eastAsia="宋体" w:cs="Times New Roman"/>
                <w:color w:val="000000"/>
                <w:kern w:val="0"/>
                <w:szCs w:val="21"/>
                <w:lang w:bidi="ar"/>
              </w:rPr>
              <w:t>. Higher values indicate greater risk.</w:t>
            </w:r>
          </w:p>
        </w:tc>
        <w:tc>
          <w:tcPr>
            <w:tcW w:w="1150" w:type="pct"/>
            <w:shd w:val="clear" w:color="auto" w:fill="FFFFFF"/>
          </w:tcPr>
          <w:p w14:paraId="26B19F2F">
            <w:pPr>
              <w:widowControl/>
              <w:spacing w:line="260" w:lineRule="exact"/>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Continuous variable</w:t>
            </w:r>
          </w:p>
        </w:tc>
      </w:tr>
      <w:tr w14:paraId="2B8AD13F">
        <w:trPr>
          <w:trHeight w:val="113" w:hRule="atLeast"/>
        </w:trPr>
        <w:tc>
          <w:tcPr>
            <w:tcW w:w="651" w:type="pct"/>
            <w:vMerge w:val="restart"/>
          </w:tcPr>
          <w:p w14:paraId="2985F7D4">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 xml:space="preserve">Social and Community </w:t>
            </w:r>
          </w:p>
          <w:p w14:paraId="58230C38">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Context</w:t>
            </w:r>
          </w:p>
        </w:tc>
        <w:tc>
          <w:tcPr>
            <w:tcW w:w="797" w:type="pct"/>
          </w:tcPr>
          <w:p w14:paraId="5E63D329">
            <w:pPr>
              <w:widowControl/>
              <w:spacing w:line="260" w:lineRule="exact"/>
              <w:jc w:val="left"/>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Marriage</w:t>
            </w:r>
          </w:p>
        </w:tc>
        <w:tc>
          <w:tcPr>
            <w:tcW w:w="2401" w:type="pct"/>
          </w:tcPr>
          <w:p w14:paraId="212205EE">
            <w:pPr>
              <w:widowControl/>
              <w:spacing w:line="260" w:lineRule="exact"/>
              <w:jc w:val="left"/>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The current marital status of participants.</w:t>
            </w:r>
          </w:p>
        </w:tc>
        <w:tc>
          <w:tcPr>
            <w:tcW w:w="1150" w:type="pct"/>
            <w:shd w:val="clear" w:color="auto" w:fill="FFFFFF"/>
          </w:tcPr>
          <w:p w14:paraId="48A11A55">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 Unmarried, separated, divorced and widowed</w:t>
            </w:r>
          </w:p>
          <w:p w14:paraId="5CF6E029">
            <w:pPr>
              <w:widowControl/>
              <w:spacing w:line="260" w:lineRule="exact"/>
              <w:jc w:val="left"/>
              <w:rPr>
                <w:rFonts w:ascii="Times New Roman" w:hAnsi="Times New Roman" w:cs="Times New Roman"/>
                <w:szCs w:val="21"/>
                <w:lang w:bidi="ar"/>
              </w:rPr>
            </w:pPr>
            <w:r>
              <w:rPr>
                <w:rFonts w:ascii="Times New Roman" w:hAnsi="Times New Roman" w:eastAsia="宋体" w:cs="Times New Roman"/>
                <w:kern w:val="0"/>
                <w:szCs w:val="21"/>
                <w:lang w:bidi="ar"/>
              </w:rPr>
              <w:t>2: Married or cohabiting</w:t>
            </w:r>
          </w:p>
        </w:tc>
      </w:tr>
      <w:tr w14:paraId="34C7F6E7">
        <w:trPr>
          <w:trHeight w:val="113" w:hRule="atLeast"/>
        </w:trPr>
        <w:tc>
          <w:tcPr>
            <w:tcW w:w="651" w:type="pct"/>
            <w:vMerge w:val="continue"/>
          </w:tcPr>
          <w:p w14:paraId="3A0B9807">
            <w:pPr>
              <w:widowControl/>
              <w:spacing w:line="260" w:lineRule="exact"/>
              <w:jc w:val="left"/>
              <w:rPr>
                <w:rFonts w:ascii="Times New Roman" w:hAnsi="Times New Roman" w:eastAsia="宋体" w:cs="Times New Roman"/>
                <w:kern w:val="0"/>
                <w:szCs w:val="21"/>
                <w:lang w:bidi="ar"/>
              </w:rPr>
            </w:pPr>
          </w:p>
        </w:tc>
        <w:tc>
          <w:tcPr>
            <w:tcW w:w="797" w:type="pct"/>
          </w:tcPr>
          <w:p w14:paraId="603FA8A4">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Living alone</w:t>
            </w:r>
          </w:p>
        </w:tc>
        <w:tc>
          <w:tcPr>
            <w:tcW w:w="2401" w:type="pct"/>
          </w:tcPr>
          <w:p w14:paraId="22EEC0BD">
            <w:pPr>
              <w:widowControl/>
              <w:spacing w:line="260" w:lineRule="exact"/>
              <w:jc w:val="left"/>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Whether participants live alone.</w:t>
            </w:r>
          </w:p>
        </w:tc>
        <w:tc>
          <w:tcPr>
            <w:tcW w:w="1150" w:type="pct"/>
            <w:shd w:val="clear" w:color="auto" w:fill="FFFFFF"/>
          </w:tcPr>
          <w:p w14:paraId="4FDC008F">
            <w:pPr>
              <w:spacing w:line="260" w:lineRule="exact"/>
              <w:rPr>
                <w:rFonts w:ascii="Times New Roman" w:hAnsi="Times New Roman" w:cs="Times New Roman"/>
                <w:szCs w:val="21"/>
                <w:lang w:bidi="ar"/>
              </w:rPr>
            </w:pPr>
            <w:r>
              <w:rPr>
                <w:rFonts w:ascii="Times New Roman" w:hAnsi="Times New Roman" w:cs="Times New Roman"/>
                <w:szCs w:val="21"/>
                <w:lang w:bidi="ar"/>
              </w:rPr>
              <w:t>1: Yes</w:t>
            </w:r>
          </w:p>
          <w:p w14:paraId="0BFF3B97">
            <w:pPr>
              <w:spacing w:line="260" w:lineRule="exact"/>
              <w:rPr>
                <w:rFonts w:ascii="Times New Roman" w:hAnsi="Times New Roman" w:cs="Times New Roman"/>
                <w:szCs w:val="21"/>
                <w:lang w:bidi="ar"/>
              </w:rPr>
            </w:pPr>
            <w:r>
              <w:rPr>
                <w:rFonts w:hint="eastAsia" w:ascii="Times New Roman" w:hAnsi="Times New Roman" w:cs="Times New Roman"/>
                <w:szCs w:val="21"/>
                <w:lang w:bidi="ar"/>
              </w:rPr>
              <w:t>2</w:t>
            </w:r>
            <w:r>
              <w:rPr>
                <w:rFonts w:ascii="Times New Roman" w:hAnsi="Times New Roman" w:cs="Times New Roman"/>
                <w:szCs w:val="21"/>
                <w:lang w:bidi="ar"/>
              </w:rPr>
              <w:t>: No</w:t>
            </w:r>
          </w:p>
        </w:tc>
      </w:tr>
      <w:tr w14:paraId="6450D589">
        <w:trPr>
          <w:trHeight w:val="533" w:hRule="atLeast"/>
        </w:trPr>
        <w:tc>
          <w:tcPr>
            <w:tcW w:w="651" w:type="pct"/>
            <w:vMerge w:val="continue"/>
          </w:tcPr>
          <w:p w14:paraId="0C473C4D">
            <w:pPr>
              <w:widowControl/>
              <w:spacing w:line="260" w:lineRule="exact"/>
              <w:jc w:val="left"/>
              <w:rPr>
                <w:rFonts w:ascii="Times New Roman" w:hAnsi="Times New Roman" w:eastAsia="宋体" w:cs="Times New Roman"/>
                <w:kern w:val="0"/>
                <w:szCs w:val="21"/>
                <w:lang w:bidi="ar"/>
              </w:rPr>
            </w:pPr>
          </w:p>
        </w:tc>
        <w:tc>
          <w:tcPr>
            <w:tcW w:w="797" w:type="pct"/>
          </w:tcPr>
          <w:p w14:paraId="7D9AC7BD">
            <w:pPr>
              <w:widowControl/>
              <w:spacing w:line="260" w:lineRule="exact"/>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 xml:space="preserve">Social </w:t>
            </w:r>
            <w:r>
              <w:rPr>
                <w:rFonts w:hint="eastAsia" w:ascii="Times New Roman" w:hAnsi="Times New Roman" w:eastAsia="宋体" w:cs="Times New Roman"/>
                <w:kern w:val="0"/>
                <w:szCs w:val="21"/>
                <w:lang w:bidi="ar"/>
              </w:rPr>
              <w:t>participation</w:t>
            </w:r>
            <w:r>
              <w:rPr>
                <w:rFonts w:hint="eastAsia" w:ascii="Times New Roman" w:hAnsi="Times New Roman" w:eastAsia="宋体" w:cs="Times New Roman"/>
                <w:kern w:val="0"/>
                <w:szCs w:val="21"/>
                <w:vertAlign w:val="superscript"/>
                <w:lang w:bidi="ar"/>
              </w:rPr>
              <w:t>a</w:t>
            </w:r>
          </w:p>
        </w:tc>
        <w:tc>
          <w:tcPr>
            <w:tcW w:w="2401" w:type="pct"/>
          </w:tcPr>
          <w:p w14:paraId="6D9198F7">
            <w:pPr>
              <w:widowControl/>
              <w:spacing w:line="260" w:lineRule="exact"/>
              <w:jc w:val="left"/>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The level of participants</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 xml:space="preserve"> participation in social activities, such as interacting with friends, playing mahjong, chess, or cards, attending sports or social clubs, engaging in volunteer or community organizations, and attending educational or training courses.</w:t>
            </w:r>
          </w:p>
        </w:tc>
        <w:tc>
          <w:tcPr>
            <w:tcW w:w="1150" w:type="pct"/>
            <w:shd w:val="clear" w:color="auto" w:fill="FFFFFF"/>
          </w:tcPr>
          <w:p w14:paraId="441837D5">
            <w:pPr>
              <w:spacing w:line="260" w:lineRule="exact"/>
              <w:rPr>
                <w:rFonts w:ascii="Times New Roman" w:hAnsi="Times New Roman" w:cs="Times New Roman"/>
                <w:szCs w:val="21"/>
                <w:lang w:bidi="ar"/>
              </w:rPr>
            </w:pPr>
            <w:r>
              <w:rPr>
                <w:rFonts w:ascii="Times New Roman" w:hAnsi="Times New Roman" w:cs="Times New Roman"/>
                <w:szCs w:val="21"/>
                <w:lang w:bidi="ar"/>
              </w:rPr>
              <w:t xml:space="preserve">1: </w:t>
            </w:r>
            <w:r>
              <w:rPr>
                <w:rFonts w:hint="eastAsia" w:ascii="Times New Roman" w:hAnsi="Times New Roman" w:cs="Times New Roman"/>
                <w:szCs w:val="21"/>
                <w:lang w:bidi="ar"/>
              </w:rPr>
              <w:t>Low</w:t>
            </w:r>
            <w:r>
              <w:rPr>
                <w:rFonts w:ascii="Times New Roman" w:hAnsi="Times New Roman" w:cs="Times New Roman"/>
                <w:szCs w:val="21"/>
                <w:lang w:bidi="ar"/>
              </w:rPr>
              <w:t xml:space="preserve"> social </w:t>
            </w:r>
            <w:r>
              <w:rPr>
                <w:rFonts w:hint="eastAsia" w:ascii="Times New Roman" w:hAnsi="Times New Roman" w:cs="Times New Roman"/>
                <w:szCs w:val="21"/>
                <w:lang w:bidi="ar"/>
              </w:rPr>
              <w:t>participation</w:t>
            </w:r>
          </w:p>
          <w:p w14:paraId="5D628877">
            <w:pPr>
              <w:spacing w:line="260" w:lineRule="exact"/>
              <w:rPr>
                <w:rFonts w:ascii="Times New Roman" w:hAnsi="Times New Roman" w:cs="Times New Roman"/>
                <w:szCs w:val="21"/>
                <w:lang w:bidi="ar"/>
              </w:rPr>
            </w:pPr>
            <w:r>
              <w:rPr>
                <w:rFonts w:ascii="Times New Roman" w:hAnsi="Times New Roman" w:cs="Times New Roman"/>
                <w:szCs w:val="21"/>
                <w:lang w:bidi="ar"/>
              </w:rPr>
              <w:t>2:</w:t>
            </w:r>
            <w:r>
              <w:rPr>
                <w:rFonts w:hint="eastAsia" w:ascii="Times New Roman" w:hAnsi="Times New Roman" w:cs="Times New Roman"/>
                <w:szCs w:val="21"/>
                <w:lang w:bidi="ar"/>
              </w:rPr>
              <w:t xml:space="preserve"> High </w:t>
            </w:r>
            <w:r>
              <w:rPr>
                <w:rFonts w:ascii="Times New Roman" w:hAnsi="Times New Roman" w:cs="Times New Roman"/>
                <w:szCs w:val="21"/>
                <w:lang w:bidi="ar"/>
              </w:rPr>
              <w:t xml:space="preserve">social </w:t>
            </w:r>
            <w:r>
              <w:rPr>
                <w:rFonts w:hint="eastAsia" w:ascii="Times New Roman" w:hAnsi="Times New Roman" w:cs="Times New Roman"/>
                <w:szCs w:val="21"/>
                <w:lang w:bidi="ar"/>
              </w:rPr>
              <w:t>participation</w:t>
            </w:r>
          </w:p>
        </w:tc>
      </w:tr>
    </w:tbl>
    <w:p w14:paraId="7CA0EB0F">
      <w:pPr>
        <w:numPr>
          <w:ilvl w:val="255"/>
          <w:numId w:val="0"/>
        </w:numPr>
        <w:spacing w:line="200" w:lineRule="exact"/>
        <w:rPr>
          <w:rFonts w:ascii="Times New Roman Italic" w:hAnsi="Times New Roman Italic" w:cs="Times New Roman Italic"/>
          <w:i/>
          <w:iCs/>
          <w:szCs w:val="21"/>
          <w:lang w:bidi="ar"/>
        </w:rPr>
      </w:pPr>
      <w:r>
        <w:rPr>
          <w:rFonts w:ascii="Times New Roman Italic" w:hAnsi="Times New Roman Italic" w:cs="Times New Roman Italic"/>
          <w:i/>
          <w:iCs/>
          <w:szCs w:val="21"/>
          <w:lang w:bidi="ar"/>
        </w:rPr>
        <w:t>Note: a. Variables were imputed using multiple imputation.</w:t>
      </w:r>
    </w:p>
    <w:p w14:paraId="2E0080B3">
      <w:pPr>
        <w:numPr>
          <w:ilvl w:val="255"/>
          <w:numId w:val="0"/>
        </w:numPr>
        <w:rPr>
          <w:rFonts w:ascii="Times New Roman" w:hAnsi="Times New Roman" w:eastAsia="DengXian" w:cs="Times New Roman"/>
          <w:b/>
          <w:color w:val="000000"/>
          <w:szCs w:val="21"/>
        </w:rPr>
      </w:pPr>
      <w:r>
        <w:rPr>
          <w:rFonts w:ascii="Times New Roman" w:hAnsi="Times New Roman" w:eastAsia="DengXian" w:cs="Times New Roman"/>
          <w:b/>
          <w:color w:val="000000"/>
          <w:szCs w:val="21"/>
        </w:rPr>
        <w:br w:type="page"/>
      </w:r>
    </w:p>
    <w:p w14:paraId="128879BD">
      <w:pPr>
        <w:numPr>
          <w:ilvl w:val="255"/>
          <w:numId w:val="0"/>
        </w:numPr>
        <w:spacing w:line="200" w:lineRule="exact"/>
        <w:rPr>
          <w:rFonts w:ascii="Times New Roman" w:hAnsi="Times New Roman" w:eastAsia="DengXian" w:cs="Times New Roman"/>
          <w:strike/>
          <w:color w:val="000000"/>
          <w:kern w:val="0"/>
          <w:szCs w:val="21"/>
          <w:lang w:bidi="ar"/>
        </w:rPr>
      </w:pPr>
      <w:r>
        <w:rPr>
          <w:rFonts w:ascii="Times New Roman" w:hAnsi="Times New Roman" w:eastAsia="DengXian" w:cs="Times New Roman"/>
          <w:b/>
          <w:color w:val="000000"/>
          <w:szCs w:val="21"/>
        </w:rPr>
        <w:t xml:space="preserve">Table S2. </w:t>
      </w:r>
      <w:r>
        <w:rPr>
          <w:rFonts w:ascii="Times New Roman" w:hAnsi="Times New Roman" w:eastAsia="DengXian" w:cs="Times New Roman"/>
          <w:color w:val="000000"/>
          <w:szCs w:val="21"/>
        </w:rPr>
        <w:t>The 30 items used to construct the FI</w:t>
      </w:r>
      <w:r>
        <w:rPr>
          <w:rStyle w:val="17"/>
          <w:rFonts w:hint="eastAsia"/>
          <w:sz w:val="21"/>
          <w:szCs w:val="21"/>
        </w:rPr>
        <w:t xml:space="preserve"> </w:t>
      </w:r>
      <w:r>
        <w:rPr>
          <w:rFonts w:hint="eastAsia" w:ascii="Times New Roman" w:hAnsi="Times New Roman" w:eastAsia="宋体"/>
          <w:color w:val="000000"/>
          <w:shd w:val="clear" w:color="auto" w:fill="FFFFFF"/>
          <w:lang w:bidi="ar"/>
        </w:rPr>
        <w:fldChar w:fldCharType="begin">
          <w:fldData xml:space="preserve">PEVuZE5vdGU+PENpdGU+PEF1dGhvcj5TZWFybGU8L0F1dGhvcj48WWVhcj4yMDA4PC9ZZWFyPjxS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</w:fldData>
        </w:fldChar>
      </w:r>
      <w:r>
        <w:rPr>
          <w:rFonts w:hint="eastAsia" w:ascii="Times New Roman" w:hAnsi="Times New Roman" w:eastAsia="宋体"/>
          <w:color w:val="000000"/>
          <w:shd w:val="clear" w:color="auto" w:fill="FFFFFF"/>
          <w:lang w:bidi="ar"/>
        </w:rPr>
        <w:instrText xml:space="preserve"> ADDIN EN.CITE </w:instrText>
      </w:r>
      <w:r>
        <w:rPr>
          <w:rFonts w:hint="eastAsia" w:ascii="Times New Roman" w:hAnsi="Times New Roman" w:eastAsia="宋体"/>
          <w:color w:val="000000"/>
          <w:shd w:val="clear" w:color="auto" w:fill="FFFFFF"/>
          <w:lang w:bidi="ar"/>
        </w:rPr>
        <w:fldChar w:fldCharType="begin">
          <w:fldData xml:space="preserve">PEVuZE5vdGU+PENpdGU+PEF1dGhvcj5TZWFybGU8L0F1dGhvcj48WWVhcj4yMDA4PC9ZZWFyPjxS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</w:fldData>
        </w:fldChar>
      </w:r>
      <w:r>
        <w:rPr>
          <w:rFonts w:hint="eastAsia" w:ascii="Times New Roman" w:hAnsi="Times New Roman" w:eastAsia="宋体"/>
          <w:color w:val="000000"/>
          <w:shd w:val="clear" w:color="auto" w:fill="FFFFFF"/>
          <w:lang w:bidi="ar"/>
        </w:rPr>
        <w:instrText xml:space="preserve"> ADDIN EN.CITE.DATA </w:instrText>
      </w:r>
      <w:r>
        <w:rPr>
          <w:rFonts w:ascii="Times New Roman" w:hAnsi="Times New Roman" w:eastAsia="宋体"/>
          <w:color w:val="000000"/>
          <w:shd w:val="clear" w:color="auto" w:fill="FFFFFF"/>
          <w:lang w:bidi="ar"/>
        </w:rPr>
        <w:fldChar w:fldCharType="separate"/>
      </w:r>
      <w:r>
        <w:rPr>
          <w:rFonts w:hint="eastAsia" w:ascii="Times New Roman" w:hAnsi="Times New Roman" w:eastAsia="宋体"/>
          <w:color w:val="000000"/>
          <w:shd w:val="clear" w:color="auto" w:fill="FFFFFF"/>
          <w:lang w:bidi="ar"/>
        </w:rPr>
        <w:fldChar w:fldCharType="end"/>
      </w:r>
      <w:r>
        <w:rPr>
          <w:rFonts w:hint="eastAsia" w:ascii="Times New Roman" w:hAnsi="Times New Roman" w:eastAsia="宋体"/>
          <w:color w:val="000000"/>
          <w:shd w:val="clear" w:color="auto" w:fill="FFFFFF"/>
          <w:lang w:bidi="ar"/>
        </w:rPr>
        <w:fldChar w:fldCharType="separate"/>
      </w:r>
      <w:r>
        <w:rPr>
          <w:rFonts w:hint="eastAsia" w:ascii="Times New Roman" w:hAnsi="Times New Roman" w:eastAsia="宋体"/>
          <w:color w:val="000000"/>
          <w:shd w:val="clear" w:color="auto" w:fill="FFFFFF"/>
          <w:lang w:bidi="ar"/>
        </w:rPr>
        <w:t>[5-12]</w:t>
      </w:r>
      <w:r>
        <w:rPr>
          <w:rFonts w:hint="eastAsia" w:ascii="Times New Roman" w:hAnsi="Times New Roman" w:eastAsia="宋体"/>
          <w:color w:val="000000"/>
          <w:shd w:val="clear" w:color="auto" w:fill="FFFFFF"/>
          <w:lang w:bidi="ar"/>
        </w:rPr>
        <w:fldChar w:fldCharType="end"/>
      </w:r>
      <w:r>
        <w:rPr>
          <w:rFonts w:ascii="Times New Roman" w:hAnsi="Times New Roman" w:eastAsia="DengXian" w:cs="Times New Roman"/>
          <w:color w:val="000000"/>
          <w:szCs w:val="21"/>
        </w:rPr>
        <w:t>.</w:t>
      </w:r>
    </w:p>
    <w:tbl>
      <w:tblPr>
        <w:tblStyle w:val="12"/>
        <w:tblW w:w="5309" w:type="pct"/>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606"/>
        <w:gridCol w:w="4378"/>
        <w:gridCol w:w="2157"/>
        <w:gridCol w:w="1465"/>
        <w:gridCol w:w="1346"/>
      </w:tblGrid>
      <w:tr w14:paraId="0D6FA1F8">
        <w:trPr>
          <w:trHeight w:val="362" w:hRule="atLeast"/>
        </w:trPr>
        <w:tc>
          <w:tcPr>
            <w:tcW w:w="613" w:type="pct"/>
            <w:vAlign w:val="center"/>
          </w:tcPr>
          <w:p w14:paraId="18B2F4C5">
            <w:pPr>
              <w:autoSpaceDE w:val="0"/>
              <w:autoSpaceDN w:val="0"/>
              <w:adjustRightInd w:val="0"/>
              <w:jc w:val="center"/>
              <w:rPr>
                <w:rFonts w:ascii="Times New Roman" w:hAnsi="Times New Roman" w:cs="Times New Roman"/>
                <w:b/>
                <w:bCs/>
                <w:kern w:val="0"/>
                <w:szCs w:val="21"/>
              </w:rPr>
            </w:pPr>
            <w:r>
              <w:rPr>
                <w:rFonts w:ascii="Times New Roman" w:hAnsi="Times New Roman" w:cs="Times New Roman"/>
                <w:b/>
                <w:bCs/>
                <w:kern w:val="0"/>
                <w:szCs w:val="21"/>
              </w:rPr>
              <w:t>Domain</w:t>
            </w:r>
          </w:p>
        </w:tc>
        <w:tc>
          <w:tcPr>
            <w:tcW w:w="267" w:type="pct"/>
            <w:vAlign w:val="center"/>
          </w:tcPr>
          <w:p w14:paraId="2464EA62">
            <w:pPr>
              <w:autoSpaceDE w:val="0"/>
              <w:autoSpaceDN w:val="0"/>
              <w:adjustRightInd w:val="0"/>
              <w:jc w:val="center"/>
              <w:rPr>
                <w:rFonts w:ascii="Times New Roman" w:hAnsi="Times New Roman" w:cs="Times New Roman"/>
                <w:b/>
                <w:bCs/>
                <w:kern w:val="0"/>
                <w:szCs w:val="21"/>
              </w:rPr>
            </w:pPr>
            <w:r>
              <w:rPr>
                <w:rFonts w:ascii="Times New Roman" w:hAnsi="Times New Roman" w:cs="Times New Roman"/>
                <w:b/>
                <w:bCs/>
                <w:kern w:val="0"/>
                <w:szCs w:val="21"/>
              </w:rPr>
              <w:t>No</w:t>
            </w:r>
          </w:p>
        </w:tc>
        <w:tc>
          <w:tcPr>
            <w:tcW w:w="1930" w:type="pct"/>
            <w:vAlign w:val="center"/>
          </w:tcPr>
          <w:p w14:paraId="4E8069A6">
            <w:pPr>
              <w:autoSpaceDE w:val="0"/>
              <w:autoSpaceDN w:val="0"/>
              <w:adjustRightInd w:val="0"/>
              <w:jc w:val="center"/>
              <w:rPr>
                <w:rFonts w:ascii="Times New Roman" w:hAnsi="Times New Roman" w:cs="Times New Roman"/>
                <w:b/>
                <w:bCs/>
                <w:kern w:val="0"/>
                <w:szCs w:val="21"/>
              </w:rPr>
            </w:pPr>
            <w:r>
              <w:rPr>
                <w:rFonts w:ascii="Times New Roman" w:hAnsi="Times New Roman" w:cs="Times New Roman"/>
                <w:b/>
                <w:bCs/>
                <w:kern w:val="0"/>
                <w:szCs w:val="21"/>
              </w:rPr>
              <w:t>Description of the items (CHARLS)</w:t>
            </w:r>
          </w:p>
        </w:tc>
        <w:tc>
          <w:tcPr>
            <w:tcW w:w="951" w:type="pct"/>
            <w:vAlign w:val="center"/>
          </w:tcPr>
          <w:p w14:paraId="2F61DA0D">
            <w:pPr>
              <w:autoSpaceDE w:val="0"/>
              <w:autoSpaceDN w:val="0"/>
              <w:adjustRightInd w:val="0"/>
              <w:jc w:val="center"/>
              <w:rPr>
                <w:rFonts w:ascii="Times New Roman" w:hAnsi="Times New Roman" w:cs="Times New Roman"/>
                <w:b/>
                <w:bCs/>
                <w:kern w:val="0"/>
                <w:szCs w:val="21"/>
              </w:rPr>
            </w:pPr>
            <w:r>
              <w:rPr>
                <w:rFonts w:ascii="Times New Roman" w:hAnsi="Times New Roman" w:cs="Times New Roman"/>
                <w:b/>
                <w:bCs/>
                <w:kern w:val="0"/>
                <w:szCs w:val="21"/>
              </w:rPr>
              <w:t>Cut-off value</w:t>
            </w:r>
          </w:p>
        </w:tc>
        <w:tc>
          <w:tcPr>
            <w:tcW w:w="1462" w:type="dxa"/>
            <w:vAlign w:val="center"/>
          </w:tcPr>
          <w:p w14:paraId="30236E5B">
            <w:pPr>
              <w:autoSpaceDE w:val="0"/>
              <w:autoSpaceDN w:val="0"/>
              <w:adjustRightInd w:val="0"/>
              <w:jc w:val="center"/>
              <w:rPr>
                <w:rFonts w:ascii="Times New Roman" w:hAnsi="Times New Roman" w:cs="Times New Roman"/>
                <w:b/>
                <w:bCs/>
                <w:kern w:val="0"/>
                <w:szCs w:val="21"/>
              </w:rPr>
            </w:pPr>
            <w:r>
              <w:rPr>
                <w:rFonts w:hint="eastAsia" w:ascii="Times New Roman" w:hAnsi="Times New Roman" w:cs="Times New Roman"/>
                <w:b/>
                <w:bCs/>
                <w:kern w:val="0"/>
                <w:szCs w:val="21"/>
              </w:rPr>
              <w:t>O</w:t>
            </w:r>
            <w:r>
              <w:rPr>
                <w:rFonts w:ascii="Times New Roman" w:hAnsi="Times New Roman" w:cs="Times New Roman"/>
                <w:b/>
                <w:bCs/>
                <w:kern w:val="0"/>
                <w:szCs w:val="21"/>
              </w:rPr>
              <w:t>bserved d</w:t>
            </w:r>
            <w:r>
              <w:rPr>
                <w:rFonts w:hint="eastAsia" w:ascii="Times New Roman" w:hAnsi="Times New Roman" w:cs="Times New Roman"/>
                <w:b/>
                <w:bCs/>
                <w:kern w:val="0"/>
                <w:szCs w:val="21"/>
              </w:rPr>
              <w:t>eficit present</w:t>
            </w:r>
            <w:r>
              <w:rPr>
                <w:rFonts w:ascii="Times New Roman" w:hAnsi="Times New Roman" w:cs="Times New Roman"/>
                <w:b/>
                <w:bCs/>
                <w:kern w:val="0"/>
                <w:szCs w:val="21"/>
              </w:rPr>
              <w:t xml:space="preserve">, n/N </w:t>
            </w:r>
            <w:r>
              <w:rPr>
                <w:rFonts w:hint="eastAsia" w:ascii="Times New Roman" w:hAnsi="Times New Roman" w:cs="Times New Roman"/>
                <w:b/>
                <w:bCs/>
                <w:kern w:val="0"/>
                <w:szCs w:val="21"/>
              </w:rPr>
              <w:t>(%)</w:t>
            </w:r>
            <w:r>
              <w:rPr>
                <w:rFonts w:ascii="Times New Roman" w:hAnsi="Times New Roman" w:cs="Times New Roman"/>
                <w:b/>
                <w:bCs/>
                <w:kern w:val="0"/>
                <w:szCs w:val="21"/>
                <w:vertAlign w:val="superscript"/>
              </w:rPr>
              <w:t>f</w:t>
            </w:r>
          </w:p>
        </w:tc>
        <w:tc>
          <w:tcPr>
            <w:tcW w:w="1344" w:type="dxa"/>
            <w:vAlign w:val="center"/>
          </w:tcPr>
          <w:p w14:paraId="6A9C0D51">
            <w:pPr>
              <w:autoSpaceDE w:val="0"/>
              <w:autoSpaceDN w:val="0"/>
              <w:adjustRightInd w:val="0"/>
              <w:jc w:val="center"/>
              <w:rPr>
                <w:rFonts w:ascii="Times New Roman" w:hAnsi="Times New Roman" w:cs="Times New Roman"/>
                <w:b/>
                <w:bCs/>
                <w:kern w:val="0"/>
                <w:szCs w:val="21"/>
              </w:rPr>
            </w:pPr>
            <w:r>
              <w:rPr>
                <w:rFonts w:hint="eastAsia" w:ascii="Times New Roman" w:hAnsi="Times New Roman" w:cs="Times New Roman"/>
                <w:b/>
                <w:bCs/>
                <w:kern w:val="0"/>
                <w:szCs w:val="21"/>
              </w:rPr>
              <w:t>Missing before imputation, n/N</w:t>
            </w:r>
            <w:r>
              <w:rPr>
                <w:rFonts w:ascii="Times New Roman" w:hAnsi="Times New Roman" w:cs="Times New Roman"/>
                <w:b/>
                <w:bCs/>
                <w:kern w:val="0"/>
                <w:szCs w:val="21"/>
              </w:rPr>
              <w:t xml:space="preserve"> </w:t>
            </w:r>
            <w:r>
              <w:rPr>
                <w:rFonts w:hint="eastAsia" w:ascii="Times New Roman" w:hAnsi="Times New Roman" w:cs="Times New Roman"/>
                <w:b/>
                <w:bCs/>
                <w:kern w:val="0"/>
                <w:szCs w:val="21"/>
              </w:rPr>
              <w:t>(%)</w:t>
            </w:r>
            <w:r>
              <w:rPr>
                <w:rFonts w:ascii="Times New Roman" w:hAnsi="Times New Roman" w:cs="Times New Roman"/>
                <w:b/>
                <w:bCs/>
                <w:kern w:val="0"/>
                <w:szCs w:val="21"/>
                <w:vertAlign w:val="superscript"/>
              </w:rPr>
              <w:t>g</w:t>
            </w:r>
          </w:p>
        </w:tc>
      </w:tr>
      <w:tr w14:paraId="25B10909">
        <w:tc>
          <w:tcPr>
            <w:tcW w:w="613" w:type="pct"/>
            <w:vMerge w:val="restart"/>
            <w:vAlign w:val="center"/>
          </w:tcPr>
          <w:p w14:paraId="3651F15C">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Comorbidity</w:t>
            </w:r>
          </w:p>
        </w:tc>
        <w:tc>
          <w:tcPr>
            <w:tcW w:w="267" w:type="pct"/>
            <w:vAlign w:val="center"/>
          </w:tcPr>
          <w:p w14:paraId="00A5318A">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w:t>
            </w:r>
          </w:p>
        </w:tc>
        <w:tc>
          <w:tcPr>
            <w:tcW w:w="1930" w:type="pct"/>
            <w:vAlign w:val="center"/>
          </w:tcPr>
          <w:p w14:paraId="5C6A29D0">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Self-reported physician diagnosed hypertension</w:t>
            </w:r>
          </w:p>
        </w:tc>
        <w:tc>
          <w:tcPr>
            <w:tcW w:w="951" w:type="pct"/>
          </w:tcPr>
          <w:p w14:paraId="6FD2F09F">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31FE539A">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5329/10638 (50.09)</w:t>
            </w:r>
          </w:p>
        </w:tc>
        <w:tc>
          <w:tcPr>
            <w:tcW w:w="1344" w:type="dxa"/>
          </w:tcPr>
          <w:p w14:paraId="300872B2">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16/10654 (0.15)</w:t>
            </w:r>
          </w:p>
        </w:tc>
      </w:tr>
      <w:tr w14:paraId="6C376AF2">
        <w:tc>
          <w:tcPr>
            <w:tcW w:w="613" w:type="pct"/>
            <w:vMerge w:val="continue"/>
            <w:vAlign w:val="center"/>
          </w:tcPr>
          <w:p w14:paraId="01E1C409">
            <w:pPr>
              <w:autoSpaceDE w:val="0"/>
              <w:autoSpaceDN w:val="0"/>
              <w:adjustRightInd w:val="0"/>
              <w:jc w:val="center"/>
              <w:rPr>
                <w:rFonts w:ascii="Times New Roman" w:hAnsi="Times New Roman" w:cs="Times New Roman"/>
                <w:kern w:val="0"/>
                <w:szCs w:val="21"/>
              </w:rPr>
            </w:pPr>
          </w:p>
        </w:tc>
        <w:tc>
          <w:tcPr>
            <w:tcW w:w="267" w:type="pct"/>
            <w:vAlign w:val="center"/>
          </w:tcPr>
          <w:p w14:paraId="4D2A5174">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w:t>
            </w:r>
          </w:p>
        </w:tc>
        <w:tc>
          <w:tcPr>
            <w:tcW w:w="1930" w:type="pct"/>
            <w:vAlign w:val="center"/>
          </w:tcPr>
          <w:p w14:paraId="6B83B438">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Self-reported physician diagnosed dyslipidemia</w:t>
            </w:r>
          </w:p>
        </w:tc>
        <w:tc>
          <w:tcPr>
            <w:tcW w:w="951" w:type="pct"/>
          </w:tcPr>
          <w:p w14:paraId="36A5BA76">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7BFE3E3D">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3235/10637 (30.41)</w:t>
            </w:r>
          </w:p>
        </w:tc>
        <w:tc>
          <w:tcPr>
            <w:tcW w:w="1344" w:type="dxa"/>
          </w:tcPr>
          <w:p w14:paraId="1C6D7D75">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17/10654 (0.16)</w:t>
            </w:r>
          </w:p>
        </w:tc>
      </w:tr>
      <w:tr w14:paraId="3764D325">
        <w:trPr>
          <w:trHeight w:val="556" w:hRule="atLeast"/>
        </w:trPr>
        <w:tc>
          <w:tcPr>
            <w:tcW w:w="613" w:type="pct"/>
            <w:vMerge w:val="continue"/>
            <w:vAlign w:val="center"/>
          </w:tcPr>
          <w:p w14:paraId="03CF7B3A">
            <w:pPr>
              <w:autoSpaceDE w:val="0"/>
              <w:autoSpaceDN w:val="0"/>
              <w:adjustRightInd w:val="0"/>
              <w:jc w:val="center"/>
              <w:rPr>
                <w:rFonts w:ascii="Times New Roman" w:hAnsi="Times New Roman" w:cs="Times New Roman"/>
                <w:kern w:val="0"/>
                <w:szCs w:val="21"/>
              </w:rPr>
            </w:pPr>
          </w:p>
        </w:tc>
        <w:tc>
          <w:tcPr>
            <w:tcW w:w="267" w:type="pct"/>
            <w:vAlign w:val="center"/>
          </w:tcPr>
          <w:p w14:paraId="49B70A1B">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3</w:t>
            </w:r>
          </w:p>
        </w:tc>
        <w:tc>
          <w:tcPr>
            <w:tcW w:w="1930" w:type="pct"/>
            <w:vAlign w:val="center"/>
          </w:tcPr>
          <w:p w14:paraId="0E0B83D4">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Self-reported physician diagnosed diabetes</w:t>
            </w:r>
          </w:p>
        </w:tc>
        <w:tc>
          <w:tcPr>
            <w:tcW w:w="951" w:type="pct"/>
          </w:tcPr>
          <w:p w14:paraId="6ACD2392">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0060CFD3">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1960/10636 (18.43)</w:t>
            </w:r>
          </w:p>
        </w:tc>
        <w:tc>
          <w:tcPr>
            <w:tcW w:w="1344" w:type="dxa"/>
          </w:tcPr>
          <w:p w14:paraId="430D9697">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18/10654 (0.17)</w:t>
            </w:r>
          </w:p>
        </w:tc>
      </w:tr>
      <w:tr w14:paraId="67BCB829">
        <w:tc>
          <w:tcPr>
            <w:tcW w:w="613" w:type="pct"/>
            <w:vMerge w:val="continue"/>
            <w:vAlign w:val="center"/>
          </w:tcPr>
          <w:p w14:paraId="0BFE97A8">
            <w:pPr>
              <w:autoSpaceDE w:val="0"/>
              <w:autoSpaceDN w:val="0"/>
              <w:adjustRightInd w:val="0"/>
              <w:jc w:val="center"/>
              <w:rPr>
                <w:rFonts w:ascii="Times New Roman" w:hAnsi="Times New Roman" w:cs="Times New Roman"/>
                <w:kern w:val="0"/>
                <w:szCs w:val="21"/>
              </w:rPr>
            </w:pPr>
          </w:p>
        </w:tc>
        <w:tc>
          <w:tcPr>
            <w:tcW w:w="267" w:type="pct"/>
            <w:vAlign w:val="center"/>
          </w:tcPr>
          <w:p w14:paraId="410CAF25">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4</w:t>
            </w:r>
          </w:p>
        </w:tc>
        <w:tc>
          <w:tcPr>
            <w:tcW w:w="1930" w:type="pct"/>
            <w:vAlign w:val="center"/>
          </w:tcPr>
          <w:p w14:paraId="1EA7F13D">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Self-reported physician diagnosed heart disease</w:t>
            </w:r>
            <w:r>
              <w:rPr>
                <w:rFonts w:ascii="Times New Roman" w:hAnsi="Times New Roman" w:cs="Times New Roman"/>
                <w:color w:val="000000"/>
                <w:kern w:val="0"/>
                <w:szCs w:val="21"/>
                <w:vertAlign w:val="superscript"/>
              </w:rPr>
              <w:t>a</w:t>
            </w:r>
          </w:p>
        </w:tc>
        <w:tc>
          <w:tcPr>
            <w:tcW w:w="951" w:type="pct"/>
          </w:tcPr>
          <w:p w14:paraId="2BDE7FFC">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6D2255A0">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2944/10636 (27.68)</w:t>
            </w:r>
          </w:p>
        </w:tc>
        <w:tc>
          <w:tcPr>
            <w:tcW w:w="1344" w:type="dxa"/>
          </w:tcPr>
          <w:p w14:paraId="5044FEA3">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18/10654 (0.17)</w:t>
            </w:r>
          </w:p>
        </w:tc>
      </w:tr>
      <w:tr w14:paraId="27B2C1DA">
        <w:tc>
          <w:tcPr>
            <w:tcW w:w="613" w:type="pct"/>
            <w:vMerge w:val="continue"/>
            <w:vAlign w:val="center"/>
          </w:tcPr>
          <w:p w14:paraId="76BFE1F1">
            <w:pPr>
              <w:autoSpaceDE w:val="0"/>
              <w:autoSpaceDN w:val="0"/>
              <w:adjustRightInd w:val="0"/>
              <w:jc w:val="center"/>
              <w:rPr>
                <w:rFonts w:ascii="Times New Roman" w:hAnsi="Times New Roman" w:cs="Times New Roman"/>
                <w:kern w:val="0"/>
                <w:szCs w:val="21"/>
              </w:rPr>
            </w:pPr>
          </w:p>
        </w:tc>
        <w:tc>
          <w:tcPr>
            <w:tcW w:w="267" w:type="pct"/>
            <w:vAlign w:val="center"/>
          </w:tcPr>
          <w:p w14:paraId="3A4BE4CB">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5</w:t>
            </w:r>
          </w:p>
        </w:tc>
        <w:tc>
          <w:tcPr>
            <w:tcW w:w="1930" w:type="pct"/>
            <w:vAlign w:val="center"/>
          </w:tcPr>
          <w:p w14:paraId="0C951E89">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Self-reported physician diagnosed stroke</w:t>
            </w:r>
          </w:p>
        </w:tc>
        <w:tc>
          <w:tcPr>
            <w:tcW w:w="951" w:type="pct"/>
          </w:tcPr>
          <w:p w14:paraId="4FC118A1">
            <w:pPr>
              <w:autoSpaceDE w:val="0"/>
              <w:autoSpaceDN w:val="0"/>
              <w:adjustRightInd w:val="0"/>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BDA8D1F">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1237/10635 (11.63)</w:t>
            </w:r>
          </w:p>
        </w:tc>
        <w:tc>
          <w:tcPr>
            <w:tcW w:w="1344" w:type="dxa"/>
          </w:tcPr>
          <w:p w14:paraId="3F3FCB6E">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1C30F17C">
        <w:tc>
          <w:tcPr>
            <w:tcW w:w="613" w:type="pct"/>
            <w:vMerge w:val="continue"/>
            <w:vAlign w:val="center"/>
          </w:tcPr>
          <w:p w14:paraId="096298EB">
            <w:pPr>
              <w:autoSpaceDE w:val="0"/>
              <w:autoSpaceDN w:val="0"/>
              <w:adjustRightInd w:val="0"/>
              <w:jc w:val="center"/>
              <w:rPr>
                <w:rFonts w:ascii="Times New Roman" w:hAnsi="Times New Roman" w:cs="Times New Roman"/>
                <w:kern w:val="0"/>
                <w:szCs w:val="21"/>
              </w:rPr>
            </w:pPr>
          </w:p>
        </w:tc>
        <w:tc>
          <w:tcPr>
            <w:tcW w:w="267" w:type="pct"/>
            <w:vAlign w:val="center"/>
          </w:tcPr>
          <w:p w14:paraId="26911284">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6</w:t>
            </w:r>
          </w:p>
        </w:tc>
        <w:tc>
          <w:tcPr>
            <w:tcW w:w="1930" w:type="pct"/>
          </w:tcPr>
          <w:p w14:paraId="26800CB3">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cancer</w:t>
            </w:r>
          </w:p>
        </w:tc>
        <w:tc>
          <w:tcPr>
            <w:tcW w:w="951" w:type="pct"/>
          </w:tcPr>
          <w:p w14:paraId="1973F217">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0BDF80D1">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332/10,636 (3.12)</w:t>
            </w:r>
          </w:p>
        </w:tc>
        <w:tc>
          <w:tcPr>
            <w:tcW w:w="1344" w:type="dxa"/>
          </w:tcPr>
          <w:p w14:paraId="4441A83A">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18/10654 (0.17)</w:t>
            </w:r>
          </w:p>
        </w:tc>
      </w:tr>
      <w:tr w14:paraId="6B532B3C">
        <w:tc>
          <w:tcPr>
            <w:tcW w:w="613" w:type="pct"/>
            <w:vMerge w:val="continue"/>
            <w:vAlign w:val="center"/>
          </w:tcPr>
          <w:p w14:paraId="7C7FAA6A">
            <w:pPr>
              <w:autoSpaceDE w:val="0"/>
              <w:autoSpaceDN w:val="0"/>
              <w:adjustRightInd w:val="0"/>
              <w:jc w:val="center"/>
              <w:rPr>
                <w:rFonts w:ascii="Times New Roman" w:hAnsi="Times New Roman" w:cs="Times New Roman"/>
                <w:kern w:val="0"/>
                <w:szCs w:val="21"/>
              </w:rPr>
            </w:pPr>
          </w:p>
        </w:tc>
        <w:tc>
          <w:tcPr>
            <w:tcW w:w="267" w:type="pct"/>
            <w:vAlign w:val="center"/>
          </w:tcPr>
          <w:p w14:paraId="48B99A4B">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7</w:t>
            </w:r>
          </w:p>
        </w:tc>
        <w:tc>
          <w:tcPr>
            <w:tcW w:w="1930" w:type="pct"/>
          </w:tcPr>
          <w:p w14:paraId="13611DC5">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arthritis</w:t>
            </w:r>
          </w:p>
        </w:tc>
        <w:tc>
          <w:tcPr>
            <w:tcW w:w="951" w:type="pct"/>
          </w:tcPr>
          <w:p w14:paraId="0FBFBEF9">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2A265A41">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4876/10635 (45.85)</w:t>
            </w:r>
          </w:p>
        </w:tc>
        <w:tc>
          <w:tcPr>
            <w:tcW w:w="1344" w:type="dxa"/>
          </w:tcPr>
          <w:p w14:paraId="09E39D24">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37F73ABA">
        <w:tc>
          <w:tcPr>
            <w:tcW w:w="613" w:type="pct"/>
            <w:vMerge w:val="continue"/>
            <w:vAlign w:val="center"/>
          </w:tcPr>
          <w:p w14:paraId="199410FF">
            <w:pPr>
              <w:autoSpaceDE w:val="0"/>
              <w:autoSpaceDN w:val="0"/>
              <w:adjustRightInd w:val="0"/>
              <w:jc w:val="center"/>
              <w:rPr>
                <w:rFonts w:ascii="Times New Roman" w:hAnsi="Times New Roman" w:cs="Times New Roman"/>
                <w:kern w:val="0"/>
                <w:szCs w:val="21"/>
              </w:rPr>
            </w:pPr>
          </w:p>
        </w:tc>
        <w:tc>
          <w:tcPr>
            <w:tcW w:w="267" w:type="pct"/>
            <w:vAlign w:val="center"/>
          </w:tcPr>
          <w:p w14:paraId="605CC580">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8</w:t>
            </w:r>
          </w:p>
        </w:tc>
        <w:tc>
          <w:tcPr>
            <w:tcW w:w="1930" w:type="pct"/>
          </w:tcPr>
          <w:p w14:paraId="6211A88C">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chronic lung disease</w:t>
            </w:r>
          </w:p>
        </w:tc>
        <w:tc>
          <w:tcPr>
            <w:tcW w:w="951" w:type="pct"/>
          </w:tcPr>
          <w:p w14:paraId="5A7BF60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3D07688B">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2074/10636 (19.50)</w:t>
            </w:r>
          </w:p>
        </w:tc>
        <w:tc>
          <w:tcPr>
            <w:tcW w:w="1344" w:type="dxa"/>
          </w:tcPr>
          <w:p w14:paraId="36484C58">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18/10654 (0.17)</w:t>
            </w:r>
          </w:p>
        </w:tc>
      </w:tr>
      <w:tr w14:paraId="5835F21E">
        <w:tc>
          <w:tcPr>
            <w:tcW w:w="613" w:type="pct"/>
            <w:vMerge w:val="continue"/>
            <w:vAlign w:val="center"/>
          </w:tcPr>
          <w:p w14:paraId="1489CB77">
            <w:pPr>
              <w:autoSpaceDE w:val="0"/>
              <w:autoSpaceDN w:val="0"/>
              <w:adjustRightInd w:val="0"/>
              <w:jc w:val="center"/>
              <w:rPr>
                <w:rFonts w:ascii="Times New Roman" w:hAnsi="Times New Roman" w:cs="Times New Roman"/>
                <w:kern w:val="0"/>
                <w:szCs w:val="21"/>
              </w:rPr>
            </w:pPr>
          </w:p>
        </w:tc>
        <w:tc>
          <w:tcPr>
            <w:tcW w:w="267" w:type="pct"/>
            <w:vAlign w:val="center"/>
          </w:tcPr>
          <w:p w14:paraId="054F47A3">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9</w:t>
            </w:r>
          </w:p>
        </w:tc>
        <w:tc>
          <w:tcPr>
            <w:tcW w:w="1930" w:type="pct"/>
          </w:tcPr>
          <w:p w14:paraId="4D7BDC8E">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kidney disease</w:t>
            </w:r>
          </w:p>
        </w:tc>
        <w:tc>
          <w:tcPr>
            <w:tcW w:w="951" w:type="pct"/>
          </w:tcPr>
          <w:p w14:paraId="23C91119">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29A9D744">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1403/10635 (13.19)</w:t>
            </w:r>
          </w:p>
        </w:tc>
        <w:tc>
          <w:tcPr>
            <w:tcW w:w="1344" w:type="dxa"/>
          </w:tcPr>
          <w:p w14:paraId="6172F746">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1948DF2F">
        <w:trPr>
          <w:trHeight w:val="90" w:hRule="atLeast"/>
        </w:trPr>
        <w:tc>
          <w:tcPr>
            <w:tcW w:w="613" w:type="pct"/>
            <w:vMerge w:val="continue"/>
            <w:vAlign w:val="center"/>
          </w:tcPr>
          <w:p w14:paraId="1E66D51A">
            <w:pPr>
              <w:autoSpaceDE w:val="0"/>
              <w:autoSpaceDN w:val="0"/>
              <w:adjustRightInd w:val="0"/>
              <w:jc w:val="center"/>
              <w:rPr>
                <w:rFonts w:ascii="Times New Roman" w:hAnsi="Times New Roman" w:cs="Times New Roman"/>
                <w:kern w:val="0"/>
                <w:szCs w:val="21"/>
              </w:rPr>
            </w:pPr>
          </w:p>
        </w:tc>
        <w:tc>
          <w:tcPr>
            <w:tcW w:w="267" w:type="pct"/>
            <w:vAlign w:val="center"/>
          </w:tcPr>
          <w:p w14:paraId="6A0A00D0">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10</w:t>
            </w:r>
          </w:p>
        </w:tc>
        <w:tc>
          <w:tcPr>
            <w:tcW w:w="1930" w:type="pct"/>
          </w:tcPr>
          <w:p w14:paraId="1CCE1883">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gastric disease</w:t>
            </w:r>
          </w:p>
        </w:tc>
        <w:tc>
          <w:tcPr>
            <w:tcW w:w="951" w:type="pct"/>
          </w:tcPr>
          <w:p w14:paraId="298F111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629EB7BA">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3628/10635 (34.11)</w:t>
            </w:r>
          </w:p>
        </w:tc>
        <w:tc>
          <w:tcPr>
            <w:tcW w:w="1344" w:type="dxa"/>
          </w:tcPr>
          <w:p w14:paraId="78541743">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5AE45AD4">
        <w:tc>
          <w:tcPr>
            <w:tcW w:w="613" w:type="pct"/>
            <w:vMerge w:val="continue"/>
            <w:vAlign w:val="center"/>
          </w:tcPr>
          <w:p w14:paraId="6B54B251">
            <w:pPr>
              <w:autoSpaceDE w:val="0"/>
              <w:autoSpaceDN w:val="0"/>
              <w:adjustRightInd w:val="0"/>
              <w:jc w:val="center"/>
              <w:rPr>
                <w:rFonts w:ascii="Times New Roman" w:hAnsi="Times New Roman" w:cs="Times New Roman"/>
                <w:kern w:val="0"/>
                <w:szCs w:val="21"/>
              </w:rPr>
            </w:pPr>
          </w:p>
        </w:tc>
        <w:tc>
          <w:tcPr>
            <w:tcW w:w="267" w:type="pct"/>
            <w:vAlign w:val="center"/>
          </w:tcPr>
          <w:p w14:paraId="2B49AFF5">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11</w:t>
            </w:r>
          </w:p>
        </w:tc>
        <w:tc>
          <w:tcPr>
            <w:tcW w:w="1930" w:type="pct"/>
          </w:tcPr>
          <w:p w14:paraId="44F01E73">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asthma</w:t>
            </w:r>
          </w:p>
        </w:tc>
        <w:tc>
          <w:tcPr>
            <w:tcW w:w="951" w:type="pct"/>
          </w:tcPr>
          <w:p w14:paraId="4ACCF074">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7FA2A162">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911/10635 (8.57)</w:t>
            </w:r>
          </w:p>
        </w:tc>
        <w:tc>
          <w:tcPr>
            <w:tcW w:w="1344" w:type="dxa"/>
          </w:tcPr>
          <w:p w14:paraId="4CD74F6A">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2FE06B47">
        <w:tc>
          <w:tcPr>
            <w:tcW w:w="613" w:type="pct"/>
            <w:vMerge w:val="continue"/>
            <w:vAlign w:val="center"/>
          </w:tcPr>
          <w:p w14:paraId="08702039">
            <w:pPr>
              <w:autoSpaceDE w:val="0"/>
              <w:autoSpaceDN w:val="0"/>
              <w:adjustRightInd w:val="0"/>
              <w:jc w:val="center"/>
              <w:rPr>
                <w:rFonts w:ascii="Times New Roman" w:hAnsi="Times New Roman" w:cs="Times New Roman"/>
                <w:kern w:val="0"/>
                <w:szCs w:val="21"/>
              </w:rPr>
            </w:pPr>
          </w:p>
        </w:tc>
        <w:tc>
          <w:tcPr>
            <w:tcW w:w="267" w:type="pct"/>
            <w:vAlign w:val="center"/>
          </w:tcPr>
          <w:p w14:paraId="5090E779">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12</w:t>
            </w:r>
          </w:p>
        </w:tc>
        <w:tc>
          <w:tcPr>
            <w:tcW w:w="1930" w:type="pct"/>
          </w:tcPr>
          <w:p w14:paraId="620CF2B5">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any emotional, nervous, or psychiatric problems</w:t>
            </w:r>
          </w:p>
        </w:tc>
        <w:tc>
          <w:tcPr>
            <w:tcW w:w="951" w:type="pct"/>
          </w:tcPr>
          <w:p w14:paraId="25C7FD38">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28CD801D">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379/10635 (3.56)</w:t>
            </w:r>
          </w:p>
        </w:tc>
        <w:tc>
          <w:tcPr>
            <w:tcW w:w="1344" w:type="dxa"/>
          </w:tcPr>
          <w:p w14:paraId="4754072D">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7C0C718B">
        <w:tc>
          <w:tcPr>
            <w:tcW w:w="613" w:type="pct"/>
            <w:vMerge w:val="continue"/>
            <w:vAlign w:val="center"/>
          </w:tcPr>
          <w:p w14:paraId="2B46EDD3">
            <w:pPr>
              <w:autoSpaceDE w:val="0"/>
              <w:autoSpaceDN w:val="0"/>
              <w:adjustRightInd w:val="0"/>
              <w:jc w:val="center"/>
              <w:rPr>
                <w:rFonts w:ascii="Times New Roman" w:hAnsi="Times New Roman" w:cs="Times New Roman"/>
                <w:kern w:val="0"/>
                <w:szCs w:val="21"/>
              </w:rPr>
            </w:pPr>
          </w:p>
        </w:tc>
        <w:tc>
          <w:tcPr>
            <w:tcW w:w="267" w:type="pct"/>
            <w:vAlign w:val="center"/>
          </w:tcPr>
          <w:p w14:paraId="5B1E92EA">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13</w:t>
            </w:r>
          </w:p>
        </w:tc>
        <w:tc>
          <w:tcPr>
            <w:tcW w:w="1930" w:type="pct"/>
          </w:tcPr>
          <w:p w14:paraId="3EF6FDF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physician diagnosed memory-related disease</w:t>
            </w:r>
            <w:r>
              <w:rPr>
                <w:rFonts w:ascii="Times New Roman" w:hAnsi="Times New Roman" w:cs="Times New Roman"/>
                <w:color w:val="000000"/>
                <w:kern w:val="0"/>
                <w:szCs w:val="21"/>
                <w:vertAlign w:val="superscript"/>
              </w:rPr>
              <w:t>b</w:t>
            </w:r>
          </w:p>
        </w:tc>
        <w:tc>
          <w:tcPr>
            <w:tcW w:w="951" w:type="pct"/>
          </w:tcPr>
          <w:p w14:paraId="247AAABA">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1C1BD20">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956/10635 (8.99)</w:t>
            </w:r>
          </w:p>
        </w:tc>
        <w:tc>
          <w:tcPr>
            <w:tcW w:w="1344" w:type="dxa"/>
          </w:tcPr>
          <w:p w14:paraId="1CCA58D9">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19/10654 (0.18)</w:t>
            </w:r>
          </w:p>
        </w:tc>
      </w:tr>
      <w:tr w14:paraId="0FF68EAA">
        <w:tc>
          <w:tcPr>
            <w:tcW w:w="613" w:type="pct"/>
            <w:vMerge w:val="restart"/>
            <w:vAlign w:val="center"/>
          </w:tcPr>
          <w:p w14:paraId="0D82C494">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Self-reported health problems</w:t>
            </w:r>
          </w:p>
        </w:tc>
        <w:tc>
          <w:tcPr>
            <w:tcW w:w="267" w:type="pct"/>
            <w:vAlign w:val="center"/>
          </w:tcPr>
          <w:p w14:paraId="6CBC25DF">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14</w:t>
            </w:r>
          </w:p>
        </w:tc>
        <w:tc>
          <w:tcPr>
            <w:tcW w:w="1930" w:type="pct"/>
          </w:tcPr>
          <w:p w14:paraId="0905E07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vision problems</w:t>
            </w:r>
          </w:p>
        </w:tc>
        <w:tc>
          <w:tcPr>
            <w:tcW w:w="951" w:type="pct"/>
          </w:tcPr>
          <w:p w14:paraId="4181D448">
            <w:pPr>
              <w:autoSpaceDE w:val="0"/>
              <w:autoSpaceDN w:val="0"/>
              <w:adjustRightInd w:val="0"/>
              <w:ind w:right="-210" w:rightChars="-10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09842510">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295/9457 (3.12)</w:t>
            </w:r>
          </w:p>
        </w:tc>
        <w:tc>
          <w:tcPr>
            <w:tcW w:w="1344" w:type="dxa"/>
          </w:tcPr>
          <w:p w14:paraId="5470D8D8">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1197/10654 (11.24)</w:t>
            </w:r>
          </w:p>
        </w:tc>
      </w:tr>
      <w:tr w14:paraId="4A871D0E">
        <w:tc>
          <w:tcPr>
            <w:tcW w:w="613" w:type="pct"/>
            <w:vMerge w:val="continue"/>
            <w:vAlign w:val="center"/>
          </w:tcPr>
          <w:p w14:paraId="68A85C3B">
            <w:pPr>
              <w:autoSpaceDE w:val="0"/>
              <w:autoSpaceDN w:val="0"/>
              <w:adjustRightInd w:val="0"/>
              <w:jc w:val="center"/>
              <w:rPr>
                <w:rFonts w:ascii="Times New Roman" w:hAnsi="Times New Roman" w:cs="Times New Roman"/>
                <w:kern w:val="0"/>
                <w:szCs w:val="21"/>
              </w:rPr>
            </w:pPr>
          </w:p>
        </w:tc>
        <w:tc>
          <w:tcPr>
            <w:tcW w:w="267" w:type="pct"/>
            <w:vAlign w:val="center"/>
          </w:tcPr>
          <w:p w14:paraId="1DE72CA3">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15</w:t>
            </w:r>
          </w:p>
        </w:tc>
        <w:tc>
          <w:tcPr>
            <w:tcW w:w="1930" w:type="pct"/>
          </w:tcPr>
          <w:p w14:paraId="48A81D97">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hearing problems</w:t>
            </w:r>
          </w:p>
        </w:tc>
        <w:tc>
          <w:tcPr>
            <w:tcW w:w="951" w:type="pct"/>
          </w:tcPr>
          <w:p w14:paraId="7484026B">
            <w:pPr>
              <w:autoSpaceDE w:val="0"/>
              <w:autoSpaceDN w:val="0"/>
              <w:adjustRightInd w:val="0"/>
              <w:ind w:right="-210" w:rightChars="-10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39897DB7">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730/9457 (7.72)</w:t>
            </w:r>
          </w:p>
        </w:tc>
        <w:tc>
          <w:tcPr>
            <w:tcW w:w="1344" w:type="dxa"/>
          </w:tcPr>
          <w:p w14:paraId="6E695A7E">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1197/10654 (11.24)</w:t>
            </w:r>
          </w:p>
        </w:tc>
      </w:tr>
      <w:tr w14:paraId="2E41C331">
        <w:tc>
          <w:tcPr>
            <w:tcW w:w="613" w:type="pct"/>
            <w:vMerge w:val="continue"/>
            <w:vAlign w:val="center"/>
          </w:tcPr>
          <w:p w14:paraId="3156D591">
            <w:pPr>
              <w:autoSpaceDE w:val="0"/>
              <w:autoSpaceDN w:val="0"/>
              <w:adjustRightInd w:val="0"/>
              <w:jc w:val="center"/>
              <w:rPr>
                <w:rFonts w:ascii="Times New Roman" w:hAnsi="Times New Roman" w:cs="Times New Roman"/>
                <w:kern w:val="0"/>
                <w:szCs w:val="21"/>
              </w:rPr>
            </w:pPr>
          </w:p>
        </w:tc>
        <w:tc>
          <w:tcPr>
            <w:tcW w:w="267" w:type="pct"/>
            <w:vAlign w:val="center"/>
          </w:tcPr>
          <w:p w14:paraId="6B4BEA7F">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16</w:t>
            </w:r>
          </w:p>
        </w:tc>
        <w:tc>
          <w:tcPr>
            <w:tcW w:w="1930" w:type="pct"/>
          </w:tcPr>
          <w:p w14:paraId="5A700DA2">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general health status</w:t>
            </w:r>
          </w:p>
        </w:tc>
        <w:tc>
          <w:tcPr>
            <w:tcW w:w="951" w:type="pct"/>
          </w:tcPr>
          <w:p w14:paraId="17C7F7AA">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 xml:space="preserve">Poor or fair = 1, </w:t>
            </w:r>
          </w:p>
          <w:p w14:paraId="6D74F93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very good or good = 0</w:t>
            </w:r>
          </w:p>
        </w:tc>
        <w:tc>
          <w:tcPr>
            <w:tcW w:w="1462" w:type="dxa"/>
          </w:tcPr>
          <w:p w14:paraId="01A6EC1C">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7439/9460 (78.64)</w:t>
            </w:r>
          </w:p>
        </w:tc>
        <w:tc>
          <w:tcPr>
            <w:tcW w:w="1344" w:type="dxa"/>
          </w:tcPr>
          <w:p w14:paraId="1F186187">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1194/10654 (11.21)</w:t>
            </w:r>
          </w:p>
        </w:tc>
      </w:tr>
      <w:tr w14:paraId="6A82E393">
        <w:tc>
          <w:tcPr>
            <w:tcW w:w="613" w:type="pct"/>
            <w:vMerge w:val="continue"/>
            <w:vAlign w:val="center"/>
          </w:tcPr>
          <w:p w14:paraId="4F47153D">
            <w:pPr>
              <w:autoSpaceDE w:val="0"/>
              <w:autoSpaceDN w:val="0"/>
              <w:adjustRightInd w:val="0"/>
              <w:jc w:val="center"/>
              <w:rPr>
                <w:rFonts w:ascii="Times New Roman" w:hAnsi="Times New Roman" w:cs="Times New Roman"/>
                <w:kern w:val="0"/>
                <w:szCs w:val="21"/>
              </w:rPr>
            </w:pPr>
          </w:p>
        </w:tc>
        <w:tc>
          <w:tcPr>
            <w:tcW w:w="267" w:type="pct"/>
            <w:vAlign w:val="center"/>
          </w:tcPr>
          <w:p w14:paraId="7506A2AB">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17</w:t>
            </w:r>
          </w:p>
        </w:tc>
        <w:tc>
          <w:tcPr>
            <w:tcW w:w="1930" w:type="pct"/>
          </w:tcPr>
          <w:p w14:paraId="1A9B6E5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Self-reported body pain</w:t>
            </w:r>
          </w:p>
        </w:tc>
        <w:tc>
          <w:tcPr>
            <w:tcW w:w="951" w:type="pct"/>
          </w:tcPr>
          <w:p w14:paraId="57E4A897">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Somewhat, Quite a Bit, or Very = 1, None or a little = 0</w:t>
            </w:r>
          </w:p>
        </w:tc>
        <w:tc>
          <w:tcPr>
            <w:tcW w:w="1462" w:type="dxa"/>
          </w:tcPr>
          <w:p w14:paraId="1C2F3ABE">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3362/10633 (31.62)</w:t>
            </w:r>
          </w:p>
        </w:tc>
        <w:tc>
          <w:tcPr>
            <w:tcW w:w="1344" w:type="dxa"/>
          </w:tcPr>
          <w:p w14:paraId="326DD3F9">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21/10654 (0.20)</w:t>
            </w:r>
          </w:p>
        </w:tc>
      </w:tr>
      <w:tr w14:paraId="0B7A3175">
        <w:tc>
          <w:tcPr>
            <w:tcW w:w="613" w:type="pct"/>
            <w:vMerge w:val="restart"/>
            <w:vAlign w:val="center"/>
          </w:tcPr>
          <w:p w14:paraId="67C4C0AB">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ADL/IADL functional disability</w:t>
            </w:r>
            <w:r>
              <w:rPr>
                <w:rFonts w:ascii="Times New Roman" w:hAnsi="Times New Roman" w:cs="Times New Roman"/>
                <w:kern w:val="0"/>
                <w:szCs w:val="21"/>
                <w:vertAlign w:val="superscript"/>
              </w:rPr>
              <w:t>c</w:t>
            </w:r>
          </w:p>
        </w:tc>
        <w:tc>
          <w:tcPr>
            <w:tcW w:w="267" w:type="pct"/>
            <w:vAlign w:val="center"/>
          </w:tcPr>
          <w:p w14:paraId="022046B4">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18</w:t>
            </w:r>
          </w:p>
        </w:tc>
        <w:tc>
          <w:tcPr>
            <w:tcW w:w="1930" w:type="pct"/>
          </w:tcPr>
          <w:p w14:paraId="2B450E0E">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dressing</w:t>
            </w:r>
          </w:p>
        </w:tc>
        <w:tc>
          <w:tcPr>
            <w:tcW w:w="951" w:type="pct"/>
          </w:tcPr>
          <w:p w14:paraId="1338FE71">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F7402AC">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584/10631 (5.49)</w:t>
            </w:r>
          </w:p>
        </w:tc>
        <w:tc>
          <w:tcPr>
            <w:tcW w:w="1344" w:type="dxa"/>
          </w:tcPr>
          <w:p w14:paraId="40217598">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23/10654 (0.22)</w:t>
            </w:r>
          </w:p>
        </w:tc>
      </w:tr>
      <w:tr w14:paraId="71D0F8A8">
        <w:tc>
          <w:tcPr>
            <w:tcW w:w="613" w:type="pct"/>
            <w:vMerge w:val="continue"/>
            <w:vAlign w:val="center"/>
          </w:tcPr>
          <w:p w14:paraId="07F71790">
            <w:pPr>
              <w:autoSpaceDE w:val="0"/>
              <w:autoSpaceDN w:val="0"/>
              <w:adjustRightInd w:val="0"/>
              <w:jc w:val="center"/>
              <w:rPr>
                <w:rFonts w:ascii="Times New Roman" w:hAnsi="Times New Roman" w:cs="Times New Roman"/>
                <w:kern w:val="0"/>
                <w:szCs w:val="21"/>
              </w:rPr>
            </w:pPr>
          </w:p>
        </w:tc>
        <w:tc>
          <w:tcPr>
            <w:tcW w:w="267" w:type="pct"/>
            <w:vAlign w:val="center"/>
          </w:tcPr>
          <w:p w14:paraId="2D4FB047">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19</w:t>
            </w:r>
          </w:p>
        </w:tc>
        <w:tc>
          <w:tcPr>
            <w:tcW w:w="1930" w:type="pct"/>
          </w:tcPr>
          <w:p w14:paraId="652A59C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bathing or showering</w:t>
            </w:r>
          </w:p>
        </w:tc>
        <w:tc>
          <w:tcPr>
            <w:tcW w:w="951" w:type="pct"/>
          </w:tcPr>
          <w:p w14:paraId="24C2F3CC">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0796D55B">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843/10631 (7.93)</w:t>
            </w:r>
          </w:p>
        </w:tc>
        <w:tc>
          <w:tcPr>
            <w:tcW w:w="1344" w:type="dxa"/>
          </w:tcPr>
          <w:p w14:paraId="43214374">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23/10654 (0.22)</w:t>
            </w:r>
          </w:p>
        </w:tc>
      </w:tr>
      <w:tr w14:paraId="1B13C2AC">
        <w:tc>
          <w:tcPr>
            <w:tcW w:w="613" w:type="pct"/>
            <w:vMerge w:val="continue"/>
            <w:vAlign w:val="center"/>
          </w:tcPr>
          <w:p w14:paraId="002EEA09">
            <w:pPr>
              <w:autoSpaceDE w:val="0"/>
              <w:autoSpaceDN w:val="0"/>
              <w:adjustRightInd w:val="0"/>
              <w:jc w:val="center"/>
              <w:rPr>
                <w:rFonts w:ascii="Times New Roman" w:hAnsi="Times New Roman" w:cs="Times New Roman"/>
                <w:kern w:val="0"/>
                <w:szCs w:val="21"/>
              </w:rPr>
            </w:pPr>
          </w:p>
        </w:tc>
        <w:tc>
          <w:tcPr>
            <w:tcW w:w="267" w:type="pct"/>
            <w:vAlign w:val="center"/>
          </w:tcPr>
          <w:p w14:paraId="22D50D2D">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20</w:t>
            </w:r>
          </w:p>
        </w:tc>
        <w:tc>
          <w:tcPr>
            <w:tcW w:w="1930" w:type="pct"/>
          </w:tcPr>
          <w:p w14:paraId="626729C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eating</w:t>
            </w:r>
          </w:p>
        </w:tc>
        <w:tc>
          <w:tcPr>
            <w:tcW w:w="951" w:type="pct"/>
          </w:tcPr>
          <w:p w14:paraId="2ABA828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DF53744">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300/10631 (2.82)</w:t>
            </w:r>
          </w:p>
        </w:tc>
        <w:tc>
          <w:tcPr>
            <w:tcW w:w="1344" w:type="dxa"/>
          </w:tcPr>
          <w:p w14:paraId="34BFBC89">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23/10654 (0.22)</w:t>
            </w:r>
          </w:p>
        </w:tc>
      </w:tr>
      <w:tr w14:paraId="3C4E2BD5">
        <w:trPr>
          <w:trHeight w:val="90" w:hRule="atLeast"/>
        </w:trPr>
        <w:tc>
          <w:tcPr>
            <w:tcW w:w="613" w:type="pct"/>
            <w:vMerge w:val="continue"/>
            <w:vAlign w:val="center"/>
          </w:tcPr>
          <w:p w14:paraId="1231F1E5">
            <w:pPr>
              <w:autoSpaceDE w:val="0"/>
              <w:autoSpaceDN w:val="0"/>
              <w:adjustRightInd w:val="0"/>
              <w:jc w:val="center"/>
              <w:rPr>
                <w:rFonts w:ascii="Times New Roman" w:hAnsi="Times New Roman" w:cs="Times New Roman"/>
                <w:kern w:val="0"/>
                <w:szCs w:val="21"/>
              </w:rPr>
            </w:pPr>
          </w:p>
        </w:tc>
        <w:tc>
          <w:tcPr>
            <w:tcW w:w="267" w:type="pct"/>
            <w:vAlign w:val="center"/>
          </w:tcPr>
          <w:p w14:paraId="211989BA">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21</w:t>
            </w:r>
          </w:p>
        </w:tc>
        <w:tc>
          <w:tcPr>
            <w:tcW w:w="1930" w:type="pct"/>
          </w:tcPr>
          <w:p w14:paraId="6BC56C80">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getting in and out of bed</w:t>
            </w:r>
          </w:p>
        </w:tc>
        <w:tc>
          <w:tcPr>
            <w:tcW w:w="951" w:type="pct"/>
          </w:tcPr>
          <w:p w14:paraId="0FE052BB">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1873D6BF">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399/10631 (3.75)</w:t>
            </w:r>
          </w:p>
        </w:tc>
        <w:tc>
          <w:tcPr>
            <w:tcW w:w="1344" w:type="dxa"/>
          </w:tcPr>
          <w:p w14:paraId="386EA4FA">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23/10654 (0.22)</w:t>
            </w:r>
          </w:p>
        </w:tc>
      </w:tr>
      <w:tr w14:paraId="35CA7298">
        <w:tc>
          <w:tcPr>
            <w:tcW w:w="613" w:type="pct"/>
            <w:vMerge w:val="continue"/>
            <w:vAlign w:val="center"/>
          </w:tcPr>
          <w:p w14:paraId="4419BB0F">
            <w:pPr>
              <w:autoSpaceDE w:val="0"/>
              <w:autoSpaceDN w:val="0"/>
              <w:adjustRightInd w:val="0"/>
              <w:jc w:val="center"/>
              <w:rPr>
                <w:rFonts w:ascii="Times New Roman" w:hAnsi="Times New Roman" w:cs="Times New Roman"/>
                <w:kern w:val="0"/>
                <w:szCs w:val="21"/>
              </w:rPr>
            </w:pPr>
          </w:p>
        </w:tc>
        <w:tc>
          <w:tcPr>
            <w:tcW w:w="267" w:type="pct"/>
            <w:vAlign w:val="center"/>
          </w:tcPr>
          <w:p w14:paraId="2A2A1A1F">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22</w:t>
            </w:r>
          </w:p>
        </w:tc>
        <w:tc>
          <w:tcPr>
            <w:tcW w:w="1930" w:type="pct"/>
          </w:tcPr>
          <w:p w14:paraId="2C38F1C7">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using the toilet</w:t>
            </w:r>
          </w:p>
        </w:tc>
        <w:tc>
          <w:tcPr>
            <w:tcW w:w="951" w:type="pct"/>
          </w:tcPr>
          <w:p w14:paraId="1FA022F5">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76B67805">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429/10630 (4.04)</w:t>
            </w:r>
          </w:p>
        </w:tc>
        <w:tc>
          <w:tcPr>
            <w:tcW w:w="1344" w:type="dxa"/>
          </w:tcPr>
          <w:p w14:paraId="6273834B">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24/10654 (0.23)</w:t>
            </w:r>
          </w:p>
        </w:tc>
      </w:tr>
      <w:tr w14:paraId="04BC5713">
        <w:tc>
          <w:tcPr>
            <w:tcW w:w="613" w:type="pct"/>
            <w:vMerge w:val="continue"/>
            <w:vAlign w:val="center"/>
          </w:tcPr>
          <w:p w14:paraId="3DC312EF">
            <w:pPr>
              <w:autoSpaceDE w:val="0"/>
              <w:autoSpaceDN w:val="0"/>
              <w:adjustRightInd w:val="0"/>
              <w:jc w:val="center"/>
              <w:rPr>
                <w:rFonts w:ascii="Times New Roman" w:hAnsi="Times New Roman" w:cs="Times New Roman"/>
                <w:kern w:val="0"/>
                <w:szCs w:val="21"/>
              </w:rPr>
            </w:pPr>
          </w:p>
        </w:tc>
        <w:tc>
          <w:tcPr>
            <w:tcW w:w="267" w:type="pct"/>
            <w:vAlign w:val="center"/>
          </w:tcPr>
          <w:p w14:paraId="7FBA2D3E">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23</w:t>
            </w:r>
          </w:p>
        </w:tc>
        <w:tc>
          <w:tcPr>
            <w:tcW w:w="1930" w:type="pct"/>
          </w:tcPr>
          <w:p w14:paraId="24669C3C">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managing money</w:t>
            </w:r>
          </w:p>
        </w:tc>
        <w:tc>
          <w:tcPr>
            <w:tcW w:w="951" w:type="pct"/>
          </w:tcPr>
          <w:p w14:paraId="0F847541">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106256E2">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1109/10629 (10.43)</w:t>
            </w:r>
          </w:p>
        </w:tc>
        <w:tc>
          <w:tcPr>
            <w:tcW w:w="1344" w:type="dxa"/>
          </w:tcPr>
          <w:p w14:paraId="74F046C9">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25/10654 (0.23)</w:t>
            </w:r>
          </w:p>
        </w:tc>
      </w:tr>
      <w:tr w14:paraId="379C6457">
        <w:tc>
          <w:tcPr>
            <w:tcW w:w="613" w:type="pct"/>
            <w:vMerge w:val="continue"/>
            <w:vAlign w:val="center"/>
          </w:tcPr>
          <w:p w14:paraId="0ADCD3DA">
            <w:pPr>
              <w:autoSpaceDE w:val="0"/>
              <w:autoSpaceDN w:val="0"/>
              <w:adjustRightInd w:val="0"/>
              <w:jc w:val="center"/>
              <w:rPr>
                <w:rFonts w:ascii="Times New Roman" w:hAnsi="Times New Roman" w:cs="Times New Roman"/>
                <w:kern w:val="0"/>
                <w:szCs w:val="21"/>
              </w:rPr>
            </w:pPr>
          </w:p>
        </w:tc>
        <w:tc>
          <w:tcPr>
            <w:tcW w:w="267" w:type="pct"/>
            <w:vAlign w:val="center"/>
          </w:tcPr>
          <w:p w14:paraId="54B7FEDA">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24</w:t>
            </w:r>
          </w:p>
        </w:tc>
        <w:tc>
          <w:tcPr>
            <w:tcW w:w="1930" w:type="pct"/>
          </w:tcPr>
          <w:p w14:paraId="31B8D4E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taking medications</w:t>
            </w:r>
          </w:p>
        </w:tc>
        <w:tc>
          <w:tcPr>
            <w:tcW w:w="951" w:type="pct"/>
          </w:tcPr>
          <w:p w14:paraId="1ACD58DF">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6CBBE276">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651/10629 (6.12)</w:t>
            </w:r>
          </w:p>
        </w:tc>
        <w:tc>
          <w:tcPr>
            <w:tcW w:w="1344" w:type="dxa"/>
          </w:tcPr>
          <w:p w14:paraId="6B7187DB">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25/10654 (0.23)</w:t>
            </w:r>
          </w:p>
        </w:tc>
      </w:tr>
      <w:tr w14:paraId="5B2E6C12">
        <w:tc>
          <w:tcPr>
            <w:tcW w:w="613" w:type="pct"/>
            <w:vMerge w:val="continue"/>
            <w:vAlign w:val="center"/>
          </w:tcPr>
          <w:p w14:paraId="252C958B">
            <w:pPr>
              <w:autoSpaceDE w:val="0"/>
              <w:autoSpaceDN w:val="0"/>
              <w:adjustRightInd w:val="0"/>
              <w:jc w:val="center"/>
              <w:rPr>
                <w:rFonts w:ascii="Times New Roman" w:hAnsi="Times New Roman" w:cs="Times New Roman"/>
                <w:kern w:val="0"/>
                <w:szCs w:val="21"/>
              </w:rPr>
            </w:pPr>
          </w:p>
        </w:tc>
        <w:tc>
          <w:tcPr>
            <w:tcW w:w="267" w:type="pct"/>
            <w:vAlign w:val="center"/>
          </w:tcPr>
          <w:p w14:paraId="3A71BCC1">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25</w:t>
            </w:r>
          </w:p>
        </w:tc>
        <w:tc>
          <w:tcPr>
            <w:tcW w:w="1930" w:type="pct"/>
          </w:tcPr>
          <w:p w14:paraId="386307F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shopping for groceries</w:t>
            </w:r>
          </w:p>
        </w:tc>
        <w:tc>
          <w:tcPr>
            <w:tcW w:w="951" w:type="pct"/>
          </w:tcPr>
          <w:p w14:paraId="4A364083">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2E36875">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1090/10629 (10.25)</w:t>
            </w:r>
          </w:p>
        </w:tc>
        <w:tc>
          <w:tcPr>
            <w:tcW w:w="1344" w:type="dxa"/>
          </w:tcPr>
          <w:p w14:paraId="11460491">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25/10654 (0.23)</w:t>
            </w:r>
          </w:p>
        </w:tc>
      </w:tr>
      <w:tr w14:paraId="3ED752D9">
        <w:tc>
          <w:tcPr>
            <w:tcW w:w="613" w:type="pct"/>
            <w:vMerge w:val="continue"/>
            <w:vAlign w:val="center"/>
          </w:tcPr>
          <w:p w14:paraId="5B998A65">
            <w:pPr>
              <w:autoSpaceDE w:val="0"/>
              <w:autoSpaceDN w:val="0"/>
              <w:adjustRightInd w:val="0"/>
              <w:jc w:val="center"/>
              <w:rPr>
                <w:rFonts w:ascii="Times New Roman" w:hAnsi="Times New Roman" w:cs="Times New Roman"/>
                <w:kern w:val="0"/>
                <w:szCs w:val="21"/>
              </w:rPr>
            </w:pPr>
          </w:p>
        </w:tc>
        <w:tc>
          <w:tcPr>
            <w:tcW w:w="267" w:type="pct"/>
            <w:vAlign w:val="center"/>
          </w:tcPr>
          <w:p w14:paraId="2C5F3ED3">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26</w:t>
            </w:r>
          </w:p>
        </w:tc>
        <w:tc>
          <w:tcPr>
            <w:tcW w:w="1930" w:type="pct"/>
          </w:tcPr>
          <w:p w14:paraId="5CFA015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preparing meals</w:t>
            </w:r>
          </w:p>
        </w:tc>
        <w:tc>
          <w:tcPr>
            <w:tcW w:w="951" w:type="pct"/>
          </w:tcPr>
          <w:p w14:paraId="7E123487">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6E10F28F">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1179/10629 (11.09)</w:t>
            </w:r>
          </w:p>
        </w:tc>
        <w:tc>
          <w:tcPr>
            <w:tcW w:w="1344" w:type="dxa"/>
          </w:tcPr>
          <w:p w14:paraId="0581C095">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25/10654 (0.23)</w:t>
            </w:r>
          </w:p>
        </w:tc>
      </w:tr>
      <w:tr w14:paraId="1D3B6706">
        <w:tc>
          <w:tcPr>
            <w:tcW w:w="613" w:type="pct"/>
            <w:vMerge w:val="continue"/>
            <w:vAlign w:val="center"/>
          </w:tcPr>
          <w:p w14:paraId="1D0F8BD8">
            <w:pPr>
              <w:autoSpaceDE w:val="0"/>
              <w:autoSpaceDN w:val="0"/>
              <w:adjustRightInd w:val="0"/>
              <w:jc w:val="center"/>
              <w:rPr>
                <w:rFonts w:ascii="Times New Roman" w:hAnsi="Times New Roman" w:cs="Times New Roman"/>
                <w:kern w:val="0"/>
                <w:szCs w:val="21"/>
              </w:rPr>
            </w:pPr>
          </w:p>
        </w:tc>
        <w:tc>
          <w:tcPr>
            <w:tcW w:w="267" w:type="pct"/>
            <w:vAlign w:val="center"/>
          </w:tcPr>
          <w:p w14:paraId="78749D74">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27</w:t>
            </w:r>
          </w:p>
        </w:tc>
        <w:tc>
          <w:tcPr>
            <w:tcW w:w="1930" w:type="pct"/>
          </w:tcPr>
          <w:p w14:paraId="2CC96FFD">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doing housework</w:t>
            </w:r>
          </w:p>
        </w:tc>
        <w:tc>
          <w:tcPr>
            <w:tcW w:w="951" w:type="pct"/>
          </w:tcPr>
          <w:p w14:paraId="46DA18B2">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288AF4AC">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1318/10630 (12.40)</w:t>
            </w:r>
          </w:p>
        </w:tc>
        <w:tc>
          <w:tcPr>
            <w:tcW w:w="1344" w:type="dxa"/>
          </w:tcPr>
          <w:p w14:paraId="7B7D6DD4">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24/10654 (0.23)</w:t>
            </w:r>
          </w:p>
        </w:tc>
      </w:tr>
      <w:tr w14:paraId="5307B5EB">
        <w:trPr>
          <w:trHeight w:val="90" w:hRule="atLeast"/>
        </w:trPr>
        <w:tc>
          <w:tcPr>
            <w:tcW w:w="613" w:type="pct"/>
            <w:vMerge w:val="continue"/>
            <w:vAlign w:val="center"/>
          </w:tcPr>
          <w:p w14:paraId="6642EAC7">
            <w:pPr>
              <w:autoSpaceDE w:val="0"/>
              <w:autoSpaceDN w:val="0"/>
              <w:adjustRightInd w:val="0"/>
              <w:jc w:val="center"/>
              <w:rPr>
                <w:rFonts w:ascii="Times New Roman" w:hAnsi="Times New Roman" w:cs="Times New Roman"/>
                <w:kern w:val="0"/>
                <w:szCs w:val="21"/>
              </w:rPr>
            </w:pPr>
          </w:p>
        </w:tc>
        <w:tc>
          <w:tcPr>
            <w:tcW w:w="267" w:type="pct"/>
            <w:vAlign w:val="center"/>
          </w:tcPr>
          <w:p w14:paraId="3035D2A0">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28</w:t>
            </w:r>
          </w:p>
        </w:tc>
        <w:tc>
          <w:tcPr>
            <w:tcW w:w="1930" w:type="pct"/>
          </w:tcPr>
          <w:p w14:paraId="1BDE010B">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Difficulty with controlling urination and defecation</w:t>
            </w:r>
          </w:p>
        </w:tc>
        <w:tc>
          <w:tcPr>
            <w:tcW w:w="951" w:type="pct"/>
          </w:tcPr>
          <w:p w14:paraId="2EDAD053">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Yes = 1, No = 0</w:t>
            </w:r>
          </w:p>
        </w:tc>
        <w:tc>
          <w:tcPr>
            <w:tcW w:w="1462" w:type="dxa"/>
          </w:tcPr>
          <w:p w14:paraId="54E9E272">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296/10630 (2.78)</w:t>
            </w:r>
          </w:p>
        </w:tc>
        <w:tc>
          <w:tcPr>
            <w:tcW w:w="1344" w:type="dxa"/>
          </w:tcPr>
          <w:p w14:paraId="572EB1A6">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24/10654 (0.23)</w:t>
            </w:r>
          </w:p>
        </w:tc>
      </w:tr>
      <w:tr w14:paraId="1D3A8AE7">
        <w:tc>
          <w:tcPr>
            <w:tcW w:w="613" w:type="pct"/>
            <w:vAlign w:val="center"/>
          </w:tcPr>
          <w:p w14:paraId="3670DB28">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Depression</w:t>
            </w:r>
            <w:r>
              <w:rPr>
                <w:rFonts w:ascii="Times New Roman" w:hAnsi="Times New Roman" w:cs="Times New Roman"/>
                <w:color w:val="000000"/>
                <w:kern w:val="0"/>
                <w:szCs w:val="21"/>
                <w:vertAlign w:val="superscript"/>
              </w:rPr>
              <w:t>d</w:t>
            </w:r>
          </w:p>
        </w:tc>
        <w:tc>
          <w:tcPr>
            <w:tcW w:w="267" w:type="pct"/>
            <w:vAlign w:val="center"/>
          </w:tcPr>
          <w:p w14:paraId="229469EC">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29</w:t>
            </w:r>
          </w:p>
        </w:tc>
        <w:tc>
          <w:tcPr>
            <w:tcW w:w="1930" w:type="pct"/>
          </w:tcPr>
          <w:p w14:paraId="32B034CA">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CESD-10</w:t>
            </w:r>
            <w:r>
              <w:rPr>
                <w:rFonts w:ascii="Times New Roman" w:hAnsi="Times New Roman" w:cs="Times New Roman"/>
                <w:szCs w:val="21"/>
              </w:rPr>
              <w:t xml:space="preserve"> </w:t>
            </w:r>
            <w:r>
              <w:rPr>
                <w:rFonts w:ascii="Times New Roman" w:hAnsi="Times New Roman" w:cs="Times New Roman"/>
                <w:kern w:val="0"/>
                <w:szCs w:val="21"/>
              </w:rPr>
              <w:t>questionnaire</w:t>
            </w:r>
          </w:p>
        </w:tc>
        <w:tc>
          <w:tcPr>
            <w:tcW w:w="951" w:type="pct"/>
          </w:tcPr>
          <w:p w14:paraId="2CE5E9BF">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&gt;10 =1, ≤10 =0</w:t>
            </w:r>
          </w:p>
        </w:tc>
        <w:tc>
          <w:tcPr>
            <w:tcW w:w="1462" w:type="dxa"/>
          </w:tcPr>
          <w:p w14:paraId="05809913">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3056/9625 (31.75)</w:t>
            </w:r>
          </w:p>
        </w:tc>
        <w:tc>
          <w:tcPr>
            <w:tcW w:w="1344" w:type="dxa"/>
          </w:tcPr>
          <w:p w14:paraId="149A5087">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1029/10654 (9.66)</w:t>
            </w:r>
          </w:p>
        </w:tc>
      </w:tr>
      <w:tr w14:paraId="10E0841B">
        <w:tc>
          <w:tcPr>
            <w:tcW w:w="613" w:type="pct"/>
            <w:vAlign w:val="center"/>
          </w:tcPr>
          <w:p w14:paraId="75D086CD">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Cognition deficits</w:t>
            </w:r>
            <w:r>
              <w:rPr>
                <w:rFonts w:ascii="Times New Roman" w:hAnsi="Times New Roman" w:cs="Times New Roman"/>
                <w:color w:val="000000"/>
                <w:kern w:val="0"/>
                <w:szCs w:val="21"/>
                <w:vertAlign w:val="superscript"/>
              </w:rPr>
              <w:t>e</w:t>
            </w:r>
          </w:p>
        </w:tc>
        <w:tc>
          <w:tcPr>
            <w:tcW w:w="267" w:type="pct"/>
            <w:vAlign w:val="center"/>
          </w:tcPr>
          <w:p w14:paraId="5BD04EC5">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30</w:t>
            </w:r>
          </w:p>
        </w:tc>
        <w:tc>
          <w:tcPr>
            <w:tcW w:w="1930" w:type="pct"/>
          </w:tcPr>
          <w:p w14:paraId="616AD5C6">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 xml:space="preserve">(memory </w:t>
            </w:r>
            <w:r>
              <w:rPr>
                <w:rFonts w:hint="default" w:ascii="Times New Roman" w:hAnsi="Times New Roman" w:cs="Times New Roman"/>
                <w:kern w:val="0"/>
                <w:szCs w:val="21"/>
                <w:lang w:val="en-US"/>
              </w:rPr>
              <w:t xml:space="preserve">deficit </w:t>
            </w:r>
            <w:r>
              <w:rPr>
                <w:rFonts w:ascii="Times New Roman" w:hAnsi="Times New Roman" w:cs="Times New Roman"/>
                <w:kern w:val="0"/>
                <w:szCs w:val="21"/>
              </w:rPr>
              <w:t xml:space="preserve"> score</w:t>
            </w:r>
            <w:r>
              <w:rPr>
                <w:rFonts w:hint="eastAsia" w:ascii="Times New Roman" w:hAnsi="Times New Roman" w:cs="Times New Roman"/>
                <w:kern w:val="0"/>
                <w:szCs w:val="21"/>
              </w:rPr>
              <w:t xml:space="preserve"> </w:t>
            </w:r>
            <w:r>
              <w:rPr>
                <w:rFonts w:ascii="Times New Roman" w:hAnsi="Times New Roman" w:cs="Times New Roman"/>
                <w:kern w:val="0"/>
                <w:szCs w:val="21"/>
              </w:rPr>
              <w:t>+</w:t>
            </w:r>
            <w:r>
              <w:rPr>
                <w:rFonts w:hint="eastAsia" w:ascii="Times New Roman" w:hAnsi="Times New Roman" w:cs="Times New Roman"/>
                <w:kern w:val="0"/>
                <w:szCs w:val="21"/>
              </w:rPr>
              <w:t xml:space="preserve"> </w:t>
            </w:r>
            <w:r>
              <w:rPr>
                <w:rFonts w:ascii="Times New Roman" w:hAnsi="Times New Roman" w:cs="Times New Roman"/>
                <w:kern w:val="0"/>
                <w:szCs w:val="21"/>
              </w:rPr>
              <w:t xml:space="preserve">orientation </w:t>
            </w:r>
            <w:r>
              <w:rPr>
                <w:rFonts w:hint="default" w:ascii="Times New Roman" w:hAnsi="Times New Roman" w:cs="Times New Roman"/>
                <w:kern w:val="0"/>
                <w:szCs w:val="21"/>
                <w:lang w:val="en-US"/>
              </w:rPr>
              <w:t xml:space="preserve">deficit </w:t>
            </w:r>
            <w:r>
              <w:rPr>
                <w:rFonts w:ascii="Times New Roman" w:hAnsi="Times New Roman" w:cs="Times New Roman"/>
                <w:kern w:val="0"/>
                <w:szCs w:val="21"/>
              </w:rPr>
              <w:t>score)</w:t>
            </w:r>
            <w:r>
              <w:rPr>
                <w:rFonts w:hint="eastAsia" w:ascii="Times New Roman" w:hAnsi="Times New Roman" w:cs="Times New Roman"/>
                <w:kern w:val="0"/>
                <w:szCs w:val="21"/>
              </w:rPr>
              <w:t xml:space="preserve"> </w:t>
            </w:r>
            <w:r>
              <w:rPr>
                <w:rFonts w:ascii="Times New Roman" w:hAnsi="Times New Roman" w:cs="Times New Roman"/>
                <w:b/>
                <w:kern w:val="0"/>
                <w:szCs w:val="21"/>
              </w:rPr>
              <w:t>/</w:t>
            </w:r>
            <w:r>
              <w:rPr>
                <w:rFonts w:hint="eastAsia" w:ascii="Times New Roman" w:hAnsi="Times New Roman" w:cs="Times New Roman"/>
                <w:b/>
                <w:kern w:val="0"/>
                <w:szCs w:val="21"/>
              </w:rPr>
              <w:t xml:space="preserve"> </w:t>
            </w:r>
            <w:r>
              <w:rPr>
                <w:rFonts w:ascii="Times New Roman" w:hAnsi="Times New Roman" w:cs="Times New Roman"/>
                <w:kern w:val="0"/>
                <w:szCs w:val="21"/>
              </w:rPr>
              <w:t>full score</w:t>
            </w:r>
          </w:p>
        </w:tc>
        <w:tc>
          <w:tcPr>
            <w:tcW w:w="951" w:type="pct"/>
          </w:tcPr>
          <w:p w14:paraId="5A97F095">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Continuous</w:t>
            </w:r>
            <w:r>
              <w:rPr>
                <w:rFonts w:hint="eastAsia" w:ascii="Times New Roman" w:hAnsi="Times New Roman" w:cs="Times New Roman"/>
                <w:kern w:val="0"/>
                <w:szCs w:val="21"/>
              </w:rPr>
              <w:t xml:space="preserve"> (0-1)</w:t>
            </w:r>
          </w:p>
        </w:tc>
        <w:tc>
          <w:tcPr>
            <w:tcW w:w="1462" w:type="dxa"/>
          </w:tcPr>
          <w:p w14:paraId="79DE952C">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Not applicable</w:t>
            </w:r>
            <w:r>
              <w:rPr>
                <w:rFonts w:ascii="Times New Roman" w:hAnsi="Times New Roman" w:cs="Times New Roman"/>
                <w:color w:val="000000"/>
                <w:kern w:val="0"/>
                <w:szCs w:val="21"/>
                <w:vertAlign w:val="superscript"/>
              </w:rPr>
              <w:t>h</w:t>
            </w:r>
          </w:p>
        </w:tc>
        <w:tc>
          <w:tcPr>
            <w:tcW w:w="1344" w:type="dxa"/>
          </w:tcPr>
          <w:p w14:paraId="5CED9DEB">
            <w:pPr>
              <w:autoSpaceDE w:val="0"/>
              <w:autoSpaceDN w:val="0"/>
              <w:adjustRightInd w:val="0"/>
              <w:jc w:val="center"/>
              <w:rPr>
                <w:rFonts w:ascii="Times New Roman" w:hAnsi="Times New Roman" w:cs="Times New Roman"/>
                <w:kern w:val="0"/>
                <w:szCs w:val="21"/>
              </w:rPr>
            </w:pPr>
            <w:r>
              <w:rPr>
                <w:rFonts w:hint="eastAsia" w:ascii="Times New Roman" w:hAnsi="Times New Roman" w:cs="Times New Roman"/>
                <w:kern w:val="0"/>
                <w:szCs w:val="21"/>
              </w:rPr>
              <w:t>2243/10654 (21.05)</w:t>
            </w:r>
          </w:p>
        </w:tc>
      </w:tr>
    </w:tbl>
    <w:p w14:paraId="34BD7FF6">
      <w:pPr>
        <w:rPr>
          <w:rFonts w:ascii="Times New Roman" w:hAnsi="Times New Roman" w:eastAsia="MingLiU" w:cs="Times New Roman"/>
          <w:i/>
          <w:iCs/>
          <w:szCs w:val="21"/>
        </w:rPr>
      </w:pPr>
      <w:r>
        <w:rPr>
          <w:rFonts w:hint="eastAsia" w:ascii="Times New Roman" w:hAnsi="Times New Roman" w:eastAsia="MingLiU" w:cs="Times New Roman"/>
          <w:i/>
          <w:iCs/>
          <w:szCs w:val="21"/>
        </w:rPr>
        <w:t xml:space="preserve">Notes: </w:t>
      </w:r>
    </w:p>
    <w:p w14:paraId="4E2D337E">
      <w:pPr>
        <w:rPr>
          <w:rFonts w:ascii="Times New Roman" w:hAnsi="Times New Roman" w:eastAsia="MingLiU" w:cs="Times New Roman"/>
          <w:i/>
          <w:iCs/>
          <w:szCs w:val="21"/>
        </w:rPr>
      </w:pPr>
      <w:r>
        <w:rPr>
          <w:rFonts w:hint="eastAsia" w:ascii="Times New Roman" w:hAnsi="Times New Roman" w:eastAsia="宋体" w:cs="Times New Roman"/>
          <w:i/>
          <w:iCs/>
          <w:szCs w:val="21"/>
        </w:rPr>
        <w:t xml:space="preserve">a. </w:t>
      </w:r>
      <w:r>
        <w:rPr>
          <w:rFonts w:ascii="Times New Roman" w:hAnsi="Times New Roman" w:eastAsia="MingLiU" w:cs="Times New Roman"/>
          <w:i/>
          <w:iCs/>
          <w:szCs w:val="21"/>
        </w:rPr>
        <w:t>Heart disease indicated the angina, heart attack, heart failure, or other heart problems.</w:t>
      </w:r>
    </w:p>
    <w:p w14:paraId="12182F34">
      <w:pPr>
        <w:numPr>
          <w:ilvl w:val="255"/>
          <w:numId w:val="0"/>
        </w:numPr>
        <w:rPr>
          <w:rFonts w:ascii="Times New Roman" w:hAnsi="Times New Roman" w:eastAsia="MingLiU" w:cs="Times New Roman"/>
          <w:i/>
          <w:iCs/>
          <w:szCs w:val="21"/>
        </w:rPr>
      </w:pPr>
      <w:r>
        <w:rPr>
          <w:rFonts w:hint="eastAsia" w:ascii="Times New Roman" w:hAnsi="Times New Roman" w:eastAsia="宋体" w:cs="Times New Roman"/>
          <w:i/>
          <w:iCs/>
          <w:szCs w:val="21"/>
        </w:rPr>
        <w:t xml:space="preserve">b. </w:t>
      </w:r>
      <w:r>
        <w:rPr>
          <w:rFonts w:ascii="Times New Roman" w:hAnsi="Times New Roman" w:eastAsia="MingLiU" w:cs="Times New Roman"/>
          <w:i/>
          <w:iCs/>
          <w:szCs w:val="21"/>
        </w:rPr>
        <w:t>Memory-related disease indicated Alzheimer’s disease or dementia, organic brain senility, or other serious memory impairment.</w:t>
      </w:r>
    </w:p>
    <w:p w14:paraId="1343DF84">
      <w:pPr>
        <w:numPr>
          <w:ilvl w:val="255"/>
          <w:numId w:val="0"/>
        </w:numPr>
        <w:rPr>
          <w:rFonts w:ascii="Times New Roman" w:hAnsi="Times New Roman" w:eastAsia="宋体" w:cs="Times New Roman"/>
          <w:i/>
          <w:iCs/>
          <w:szCs w:val="21"/>
        </w:rPr>
      </w:pPr>
      <w:r>
        <w:rPr>
          <w:rFonts w:hint="eastAsia" w:ascii="Times New Roman" w:hAnsi="Times New Roman" w:eastAsia="宋体" w:cs="Times New Roman"/>
          <w:i/>
          <w:iCs/>
          <w:szCs w:val="21"/>
        </w:rPr>
        <w:t xml:space="preserve">c. </w:t>
      </w:r>
      <w:r>
        <w:rPr>
          <w:rFonts w:hint="eastAsia" w:ascii="Times New Roman" w:hAnsi="Times New Roman" w:eastAsia="宋体"/>
          <w:shd w:val="clear" w:color="auto" w:fill="FFFFFF"/>
          <w:lang w:bidi="ar"/>
        </w:rPr>
        <w:t>A</w:t>
      </w:r>
      <w:r>
        <w:rPr>
          <w:rFonts w:hint="eastAsia" w:ascii="Times New Roman" w:hAnsi="Times New Roman"/>
          <w:lang w:bidi="ar"/>
        </w:rPr>
        <w:t xml:space="preserve">DL/IADL functional disability was converted into a binary variable </w:t>
      </w:r>
      <w:r>
        <w:rPr>
          <w:rFonts w:ascii="Times New Roman" w:hAnsi="Times New Roman"/>
          <w:lang w:bidi="ar"/>
        </w:rPr>
        <w:t xml:space="preserve">when constructing networks </w:t>
      </w:r>
      <w:r>
        <w:rPr>
          <w:rFonts w:hint="eastAsia" w:ascii="Times New Roman" w:hAnsi="Times New Roman"/>
          <w:lang w:bidi="ar"/>
        </w:rPr>
        <w:t>to improve interpretability because the summed domain score was highly zero-inflated, with sparse observations across the higher score levels</w:t>
      </w:r>
      <w:r>
        <w:rPr>
          <w:rFonts w:ascii="Times New Roman" w:hAnsi="Times New Roman"/>
          <w:lang w:bidi="ar"/>
        </w:rPr>
        <w:t>.</w:t>
      </w:r>
    </w:p>
    <w:p w14:paraId="2E896A32">
      <w:pPr>
        <w:numPr>
          <w:ilvl w:val="255"/>
          <w:numId w:val="0"/>
        </w:numPr>
        <w:rPr>
          <w:rFonts w:ascii="Times New Roman" w:hAnsi="Times New Roman" w:eastAsia="MingLiU" w:cs="Times New Roman"/>
          <w:i/>
          <w:iCs/>
          <w:szCs w:val="21"/>
        </w:rPr>
      </w:pPr>
      <w:r>
        <w:rPr>
          <w:rFonts w:ascii="Times New Roman" w:hAnsi="Times New Roman" w:eastAsia="宋体" w:cs="Times New Roman"/>
          <w:i/>
          <w:iCs/>
          <w:szCs w:val="21"/>
        </w:rPr>
        <w:t xml:space="preserve">d. </w:t>
      </w:r>
      <w:r>
        <w:rPr>
          <w:rFonts w:ascii="Times New Roman" w:hAnsi="Times New Roman" w:eastAsia="MingLiU" w:cs="Times New Roman"/>
          <w:i/>
          <w:iCs/>
          <w:szCs w:val="21"/>
        </w:rPr>
        <w:t>Depression was evaluated using</w:t>
      </w:r>
      <w:r>
        <w:rPr>
          <w:rFonts w:hint="default" w:ascii="Times New Roman" w:hAnsi="Times New Roman" w:eastAsia="MingLiU" w:cs="Times New Roman"/>
          <w:i/>
          <w:iCs/>
          <w:szCs w:val="21"/>
          <w:lang w:val="en-US"/>
        </w:rPr>
        <w:t xml:space="preserve"> </w:t>
      </w:r>
      <w:r>
        <w:rPr>
          <w:rFonts w:hint="eastAsia" w:ascii="Times New Roman" w:hAnsi="Times New Roman" w:eastAsia="宋体" w:cs="Times New Roman"/>
          <w:i/>
          <w:iCs/>
          <w:szCs w:val="21"/>
        </w:rPr>
        <w:t xml:space="preserve">the </w:t>
      </w:r>
      <w:r>
        <w:rPr>
          <w:rFonts w:ascii="Times New Roman" w:hAnsi="Times New Roman" w:eastAsia="MingLiU" w:cs="Times New Roman"/>
          <w:i/>
          <w:iCs/>
          <w:szCs w:val="21"/>
          <w:lang w:bidi="ar"/>
        </w:rPr>
        <w:t>10-item Center for Epidemiologic Studies Depression Scale (CESD-10)</w:t>
      </w:r>
      <w:r>
        <w:rPr>
          <w:rFonts w:hint="eastAsia" w:ascii="Times New Roman" w:hAnsi="Times New Roman" w:eastAsia="MingLiU" w:cs="Times New Roman"/>
          <w:i/>
          <w:iCs/>
          <w:szCs w:val="21"/>
        </w:rPr>
        <w:t xml:space="preserve"> </w:t>
      </w:r>
      <w:r>
        <w:rPr>
          <w:rFonts w:hint="eastAsia" w:ascii="Times New Roman" w:hAnsi="Times New Roman" w:eastAsia="MingLiU" w:cs="Times New Roman"/>
          <w:i/>
          <w:iCs/>
          <w:szCs w:val="21"/>
        </w:rPr>
        <w:fldChar w:fldCharType="begin"/>
      </w:r>
      <w:r>
        <w:rPr>
          <w:rFonts w:hint="eastAsia" w:ascii="Times New Roman" w:hAnsi="Times New Roman" w:eastAsia="宋体" w:cs="Times New Roman"/>
          <w:i/>
          <w:iCs/>
          <w:szCs w:val="21"/>
        </w:rPr>
        <w:instrText xml:space="preserve"> ADDIN EN.CITE &lt;EndNote&gt;&lt;Cite&gt;&lt;Author&gt;Andresen&lt;/Author&gt;&lt;Year&gt;1994&lt;/Year&gt;&lt;RecNum&gt;1518&lt;/RecNum&gt;&lt;DisplayText&gt;[13]&lt;/DisplayText&gt;&lt;record&gt;&lt;rec-number&gt;1518&lt;/rec-number&gt;&lt;foreign-keys&gt;&lt;key app="EN" db-id="raez002xkxzpfme20z4px9rqve22zp5wpvap" timestamp="1769432177"&gt;1518&lt;/key&gt;&lt;/foreign-keys&gt;&lt;ref-type name="Journal Article"&gt;17&lt;/ref-type&gt;&lt;contributors&gt;&lt;authors&gt;&lt;author&gt;Andresen, E. M.&lt;/author&gt;&lt;author&gt;Malmgren, J. A.&lt;/author&gt;&lt;author&gt;Carter, W. B.&lt;/author&gt;&lt;author&gt;Patrick, D. L.&lt;/author&gt;&lt;/authors&gt;&lt;/contributors&gt;&lt;auth-address&gt;Department of Community and Preventive Medicine, University of Rochester Medical Center, NY 14642.&lt;/auth-address&gt;&lt;titles&gt;&lt;title&gt;Screening for depression in well older adults: evaluation of a short form of the CES-D (Center for Epidemiologic Studies Depression Scale)&lt;/title&gt;&lt;secondary-title&gt;Am J Prev Med&lt;/secondary-title&gt;&lt;/titles&gt;&lt;periodical&gt;&lt;full-title&gt;Am J Prev Med&lt;/full-title&gt;&lt;/periodical&gt;&lt;pages&gt;77-84&lt;/pages&gt;&lt;volume&gt;10&lt;/volume&gt;&lt;number&gt;2&lt;/number&gt;&lt;keywords&gt;&lt;keyword&gt;Aged&lt;/keyword&gt;&lt;keyword&gt;Depression/*diagnosis&lt;/keyword&gt;&lt;keyword&gt;Feasibility Studies&lt;/keyword&gt;&lt;keyword&gt;Female&lt;/keyword&gt;&lt;keyword&gt;Health Status&lt;/keyword&gt;&lt;keyword&gt;Humans&lt;/keyword&gt;&lt;keyword&gt;Male&lt;/keyword&gt;&lt;keyword&gt;*Mass Screening&lt;/keyword&gt;&lt;keyword&gt;*Psychiatric Status Rating Scales&lt;/keyword&gt;&lt;keyword&gt;Psychometrics&lt;/keyword&gt;&lt;keyword&gt;Reproducibility of Results&lt;/keyword&gt;&lt;keyword&gt;Surveys and Questionnaires&lt;/keyword&gt;&lt;/keywords&gt;&lt;dates&gt;&lt;year&gt;1994&lt;/year&gt;&lt;pub-dates&gt;&lt;date&gt;Mar-Apr&lt;/date&gt;&lt;/pub-dates&gt;&lt;/dates&gt;&lt;isbn&gt;0749-3797 (Print)&amp;#xD;0749-3797 (Linking)&lt;/isbn&gt;&lt;accession-num&gt;8037935&lt;/accession-num&gt;&lt;urls&gt;&lt;related-urls&gt;&lt;url&gt;https://www.ncbi.nlm.nih.gov/pubmed/8037935&lt;/url&gt;&lt;/related-urls&gt;&lt;/urls&gt;&lt;remote-database-name&gt;Medline&lt;/remote-database-name&gt;&lt;remote-database-provider&gt;NLM&lt;/remote-database-provider&gt;&lt;/record&gt;&lt;/Cite&gt;&lt;/EndNote&gt;</w:instrText>
      </w:r>
      <w:r>
        <w:rPr>
          <w:rFonts w:hint="eastAsia" w:ascii="Times New Roman" w:hAnsi="Times New Roman" w:eastAsia="MingLiU" w:cs="Times New Roman"/>
          <w:i/>
          <w:iCs/>
          <w:szCs w:val="21"/>
        </w:rPr>
        <w:fldChar w:fldCharType="separate"/>
      </w:r>
      <w:r>
        <w:rPr>
          <w:rFonts w:hint="eastAsia" w:ascii="Times New Roman" w:hAnsi="Times New Roman" w:eastAsia="MingLiU" w:cs="Times New Roman"/>
          <w:i/>
          <w:iCs/>
          <w:szCs w:val="21"/>
        </w:rPr>
        <w:t>[13]</w:t>
      </w:r>
      <w:r>
        <w:rPr>
          <w:rFonts w:hint="eastAsia" w:ascii="Times New Roman" w:hAnsi="Times New Roman" w:eastAsia="MingLiU" w:cs="Times New Roman"/>
          <w:i/>
          <w:iCs/>
          <w:szCs w:val="21"/>
        </w:rPr>
        <w:fldChar w:fldCharType="end"/>
      </w:r>
      <w:r>
        <w:rPr>
          <w:rFonts w:ascii="Times New Roman" w:hAnsi="Times New Roman" w:eastAsia="MingLiU" w:cs="Times New Roman"/>
          <w:i/>
          <w:iCs/>
          <w:szCs w:val="21"/>
        </w:rPr>
        <w:t xml:space="preserve">. In the CHARLS, CESD-10 was used, and the total score ranged from 0 to 30. </w:t>
      </w:r>
    </w:p>
    <w:p w14:paraId="23F8BE01">
      <w:pPr>
        <w:rPr>
          <w:rFonts w:ascii="Times New Roman" w:hAnsi="Times New Roman" w:eastAsia="MingLiU" w:cs="Times New Roman"/>
          <w:i/>
          <w:iCs/>
          <w:szCs w:val="21"/>
        </w:rPr>
      </w:pPr>
      <w:r>
        <w:rPr>
          <w:rFonts w:ascii="Times New Roman" w:hAnsi="Times New Roman" w:eastAsia="宋体" w:cs="Times New Roman"/>
          <w:i/>
          <w:iCs/>
          <w:szCs w:val="21"/>
        </w:rPr>
        <w:t>e</w:t>
      </w:r>
      <w:r>
        <w:rPr>
          <w:rFonts w:hint="eastAsia" w:ascii="Times New Roman" w:hAnsi="Times New Roman" w:eastAsia="宋体" w:cs="Times New Roman"/>
          <w:i/>
          <w:iCs/>
          <w:szCs w:val="21"/>
        </w:rPr>
        <w:t xml:space="preserve">. </w:t>
      </w:r>
      <w:r>
        <w:rPr>
          <w:rFonts w:ascii="Times New Roman" w:hAnsi="Times New Roman" w:eastAsia="MingLiU" w:cs="Times New Roman"/>
          <w:i/>
          <w:iCs/>
          <w:szCs w:val="21"/>
        </w:rPr>
        <w:t xml:space="preserve">Cognition was derived from memory and orientation items in CHARLS. The memory </w:t>
      </w:r>
      <w:r>
        <w:rPr>
          <w:rFonts w:hint="default" w:ascii="Times New Roman" w:hAnsi="Times New Roman" w:eastAsia="MingLiU" w:cs="Times New Roman"/>
          <w:i/>
          <w:iCs/>
          <w:szCs w:val="21"/>
          <w:lang w:val="en-US"/>
        </w:rPr>
        <w:t xml:space="preserve">deficit </w:t>
      </w:r>
      <w:r>
        <w:rPr>
          <w:rFonts w:ascii="Times New Roman" w:hAnsi="Times New Roman" w:eastAsia="MingLiU" w:cs="Times New Roman"/>
          <w:i/>
          <w:iCs/>
          <w:szCs w:val="21"/>
        </w:rPr>
        <w:t xml:space="preserve">score was the average number of words </w:t>
      </w:r>
      <w:r>
        <w:rPr>
          <w:rFonts w:ascii="Times New Roman" w:hAnsi="Times New Roman" w:eastAsia="MingLiU" w:cs="Times New Roman"/>
          <w:b/>
          <w:bCs/>
          <w:i/>
          <w:iCs/>
          <w:szCs w:val="21"/>
        </w:rPr>
        <w:t>not</w:t>
      </w:r>
      <w:r>
        <w:rPr>
          <w:rFonts w:ascii="Times New Roman" w:hAnsi="Times New Roman" w:eastAsia="MingLiU" w:cs="Times New Roman"/>
          <w:i/>
          <w:iCs/>
          <w:szCs w:val="21"/>
        </w:rPr>
        <w:t xml:space="preserve"> recalled in the immediate and delayed word recall tasks (range: 0-10). The orientation </w:t>
      </w:r>
      <w:r>
        <w:rPr>
          <w:rFonts w:hint="default" w:ascii="Times New Roman" w:hAnsi="Times New Roman" w:eastAsia="MingLiU" w:cs="Times New Roman"/>
          <w:i/>
          <w:iCs/>
          <w:szCs w:val="21"/>
          <w:lang w:val="en-US"/>
        </w:rPr>
        <w:t xml:space="preserve">deficit </w:t>
      </w:r>
      <w:r>
        <w:rPr>
          <w:rFonts w:ascii="Times New Roman" w:hAnsi="Times New Roman" w:eastAsia="MingLiU" w:cs="Times New Roman"/>
          <w:i/>
          <w:iCs/>
          <w:szCs w:val="21"/>
        </w:rPr>
        <w:t xml:space="preserve">score was based on five questions on the day of the week, month, date, year, and season, with one point assigned for each </w:t>
      </w:r>
      <w:r>
        <w:rPr>
          <w:rFonts w:hint="eastAsia" w:ascii="Times New Roman" w:hAnsi="Times New Roman" w:eastAsia="宋体" w:cs="Times New Roman"/>
          <w:b/>
          <w:bCs/>
          <w:i/>
          <w:iCs/>
          <w:szCs w:val="21"/>
        </w:rPr>
        <w:t>wrong</w:t>
      </w:r>
      <w:r>
        <w:rPr>
          <w:rFonts w:ascii="Times New Roman" w:hAnsi="Times New Roman" w:eastAsia="MingLiU" w:cs="Times New Roman"/>
          <w:i/>
          <w:iCs/>
          <w:szCs w:val="21"/>
        </w:rPr>
        <w:t xml:space="preserve"> answer (range: 0-5). The cognition deficit score was calculated as (memory </w:t>
      </w:r>
      <w:r>
        <w:rPr>
          <w:rFonts w:hint="default" w:ascii="Times New Roman" w:hAnsi="Times New Roman" w:eastAsia="MingLiU" w:cs="Times New Roman"/>
          <w:i/>
          <w:iCs/>
          <w:szCs w:val="21"/>
          <w:lang w:val="en-US"/>
        </w:rPr>
        <w:t xml:space="preserve">deficit </w:t>
      </w:r>
      <w:r>
        <w:rPr>
          <w:rFonts w:ascii="Times New Roman" w:hAnsi="Times New Roman" w:eastAsia="MingLiU" w:cs="Times New Roman"/>
          <w:i/>
          <w:iCs/>
          <w:szCs w:val="21"/>
        </w:rPr>
        <w:t xml:space="preserve">score + orientation </w:t>
      </w:r>
      <w:r>
        <w:rPr>
          <w:rFonts w:hint="default" w:ascii="Times New Roman" w:hAnsi="Times New Roman" w:eastAsia="MingLiU" w:cs="Times New Roman"/>
          <w:i/>
          <w:iCs/>
          <w:szCs w:val="21"/>
          <w:lang w:val="en-US"/>
        </w:rPr>
        <w:t xml:space="preserve">deficit </w:t>
      </w:r>
      <w:r>
        <w:rPr>
          <w:rFonts w:ascii="Times New Roman" w:hAnsi="Times New Roman" w:eastAsia="MingLiU" w:cs="Times New Roman"/>
          <w:i/>
          <w:iCs/>
          <w:szCs w:val="21"/>
        </w:rPr>
        <w:t>score) / 15; higher values indicate poorer cognitive function.</w:t>
      </w:r>
    </w:p>
    <w:p w14:paraId="0D48C0FF">
      <w:pPr>
        <w:rPr>
          <w:rFonts w:ascii="Times New Roman" w:hAnsi="Times New Roman" w:eastAsia="MingLiU" w:cs="Times New Roman"/>
          <w:i/>
          <w:iCs/>
          <w:szCs w:val="21"/>
        </w:rPr>
      </w:pPr>
      <w:r>
        <w:rPr>
          <w:rFonts w:ascii="Times New Roman" w:hAnsi="Times New Roman" w:eastAsia="MingLiU" w:cs="Times New Roman"/>
          <w:i/>
          <w:iCs/>
          <w:szCs w:val="21"/>
        </w:rPr>
        <w:t>f. Percentages for observed deficit prevalence were calculated among participants with non-missing data for the corresponding item.</w:t>
      </w:r>
    </w:p>
    <w:p w14:paraId="0D48C100">
      <w:r>
        <w:rPr>
          <w:rFonts w:ascii="Times New Roman" w:hAnsi="Times New Roman" w:eastAsia="宋体" w:cs="Times New Roman"/>
          <w:i/>
          <w:iCs/>
          <w:szCs w:val="21"/>
        </w:rPr>
        <w:t>g</w:t>
      </w:r>
      <w:r>
        <w:rPr>
          <w:rFonts w:hint="eastAsia" w:ascii="Times New Roman" w:hAnsi="Times New Roman" w:eastAsia="宋体" w:cs="Times New Roman"/>
          <w:i/>
          <w:iCs/>
          <w:szCs w:val="21"/>
        </w:rPr>
        <w:t xml:space="preserve">. </w:t>
      </w:r>
      <w:r>
        <w:rPr>
          <w:rFonts w:ascii="Times New Roman" w:hAnsi="Times New Roman" w:eastAsia="MingLiU" w:cs="Times New Roman"/>
          <w:i/>
          <w:iCs/>
          <w:szCs w:val="21"/>
        </w:rPr>
        <w:t xml:space="preserve">Percentages for missing data were calculated among all age-eligible participants included in the primary analysis (n = </w:t>
      </w:r>
      <w:r>
        <w:rPr>
          <w:rFonts w:hint="eastAsia" w:ascii="Times New Roman" w:hAnsi="Times New Roman" w:eastAsia="MingLiU" w:cs="Times New Roman"/>
          <w:i/>
          <w:iCs/>
          <w:szCs w:val="21"/>
        </w:rPr>
        <w:t>10654</w:t>
      </w:r>
      <w:r>
        <w:rPr>
          <w:rFonts w:ascii="Times New Roman" w:hAnsi="Times New Roman" w:eastAsia="MingLiU" w:cs="Times New Roman"/>
          <w:i/>
          <w:iCs/>
          <w:szCs w:val="21"/>
        </w:rPr>
        <w:t>).</w:t>
      </w:r>
    </w:p>
    <w:p w14:paraId="0D48C101">
      <w:pPr>
        <w:rPr>
          <w:rFonts w:ascii="Times New Roman" w:hAnsi="Times New Roman" w:eastAsia="MingLiU" w:cs="Times New Roman"/>
          <w:i/>
          <w:iCs/>
          <w:szCs w:val="21"/>
        </w:rPr>
      </w:pPr>
      <w:r>
        <w:rPr>
          <w:rFonts w:ascii="Times New Roman" w:hAnsi="Times New Roman" w:eastAsia="MingLiU" w:cs="Times New Roman"/>
          <w:i/>
          <w:iCs/>
          <w:szCs w:val="21"/>
        </w:rPr>
        <w:t xml:space="preserve">h. </w:t>
      </w:r>
      <w:r>
        <w:rPr>
          <w:rFonts w:hint="eastAsia" w:ascii="Times New Roman" w:hAnsi="Times New Roman" w:eastAsia="MingLiU" w:cs="Times New Roman"/>
          <w:i/>
          <w:iCs/>
          <w:szCs w:val="21"/>
        </w:rPr>
        <w:t>For the cognition item, deficit prevalence was not reported because it was treated as a continuous deficit score ranging from 0 to 1.</w:t>
      </w:r>
    </w:p>
    <w:p w14:paraId="4A43500D">
      <w:pPr>
        <w:rPr>
          <w:rFonts w:ascii="Times New Roman" w:hAnsi="Times New Roman" w:eastAsia="MingLiU" w:cs="Times New Roman"/>
          <w:i/>
          <w:iCs/>
          <w:szCs w:val="21"/>
        </w:rPr>
      </w:pPr>
      <w:r>
        <w:rPr>
          <w:rFonts w:ascii="Times New Roman" w:hAnsi="Times New Roman" w:eastAsia="MingLiU" w:cs="Times New Roman"/>
          <w:i/>
          <w:iCs/>
          <w:szCs w:val="21"/>
        </w:rPr>
        <w:br w:type="page"/>
      </w:r>
    </w:p>
    <w:p w14:paraId="187F4D2B">
      <w:pPr>
        <w:numPr>
          <w:ilvl w:val="255"/>
          <w:numId w:val="0"/>
        </w:numPr>
        <w:spacing w:line="360" w:lineRule="auto"/>
        <w:rPr>
          <w:rFonts w:ascii="Times New Roman" w:hAnsi="Times New Roman" w:eastAsia="宋体" w:cs="Times New Roman"/>
          <w:kern w:val="0"/>
          <w:sz w:val="24"/>
          <w:shd w:val="clear" w:color="auto" w:fill="FFFFFF"/>
          <w:lang w:bidi="ar"/>
        </w:rPr>
      </w:pPr>
      <w:r>
        <w:rPr>
          <w:rFonts w:hint="eastAsia" w:asciiTheme="majorBidi" w:hAnsiTheme="majorBidi" w:cstheme="majorBidi"/>
          <w:b/>
          <w:bCs/>
          <w:sz w:val="24"/>
        </w:rPr>
        <w:t>Method S2.</w:t>
      </w:r>
      <w:r>
        <w:rPr>
          <w:rFonts w:ascii="Times New Roman" w:hAnsi="Times New Roman" w:eastAsia="宋体" w:cs="Times New Roman"/>
          <w:kern w:val="0"/>
          <w:sz w:val="24"/>
          <w:shd w:val="clear" w:color="auto" w:fill="FFFFFF"/>
          <w:lang w:bidi="ar"/>
        </w:rPr>
        <w:t xml:space="preserve"> Standard deficit-accumulation approach proposed by Searle et al. </w:t>
      </w:r>
      <w:r>
        <w:rPr>
          <w:rFonts w:ascii="Times New Roman" w:hAnsi="Times New Roman" w:eastAsia="宋体" w:cs="Times New Roman"/>
          <w:kern w:val="0"/>
          <w:sz w:val="24"/>
          <w:shd w:val="clear" w:color="auto" w:fill="FFFFFF"/>
          <w:lang w:bidi="ar"/>
        </w:rPr>
        <w:fldChar w:fldCharType="begin">
          <w:fldData xml:space="preserve">PEVuZE5vdGU+PENpdGU+PEF1dGhvcj5TZWFybGU8L0F1dGhvcj48WWVhcj4yMDA4PC9ZZWFyPjxS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kern w:val="0"/>
          <w:sz w:val="24"/>
          <w:shd w:val="clear" w:color="auto" w:fill="FFFFFF"/>
          <w:lang w:bidi="ar"/>
        </w:rPr>
        <w:instrText xml:space="preserve"> ADDIN EN.CITE </w:instrText>
      </w:r>
      <w:r>
        <w:rPr>
          <w:rFonts w:ascii="Times New Roman" w:hAnsi="Times New Roman" w:eastAsia="宋体" w:cs="Times New Roman"/>
          <w:kern w:val="0"/>
          <w:sz w:val="24"/>
          <w:shd w:val="clear" w:color="auto" w:fill="FFFFFF"/>
          <w:lang w:bidi="ar"/>
        </w:rPr>
        <w:fldChar w:fldCharType="begin">
          <w:fldData xml:space="preserve">PEVuZE5vdGU+PENpdGU+PEF1dGhvcj5TZWFybGU8L0F1dGhvcj48WWVhcj4yMDA4PC9ZZWFyPjxS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kern w:val="0"/>
          <w:sz w:val="24"/>
          <w:shd w:val="clear" w:color="auto" w:fill="FFFFFF"/>
          <w:lang w:bidi="ar"/>
        </w:rPr>
        <w:instrText xml:space="preserve"> ADDIN EN.CITE.DATA </w:instrText>
      </w:r>
      <w:r>
        <w:rPr>
          <w:rFonts w:ascii="Times New Roman" w:hAnsi="Times New Roman" w:eastAsia="宋体" w:cs="Times New Roman"/>
          <w:kern w:val="0"/>
          <w:sz w:val="24"/>
          <w:shd w:val="clear" w:color="auto" w:fill="FFFFFF"/>
          <w:lang w:bidi="ar"/>
        </w:rPr>
        <w:fldChar w:fldCharType="end"/>
      </w:r>
      <w:r>
        <w:rPr>
          <w:rFonts w:ascii="Times New Roman" w:hAnsi="Times New Roman" w:eastAsia="宋体" w:cs="Times New Roman"/>
          <w:kern w:val="0"/>
          <w:sz w:val="24"/>
          <w:shd w:val="clear" w:color="auto" w:fill="FFFFFF"/>
          <w:lang w:bidi="ar"/>
        </w:rPr>
        <w:fldChar w:fldCharType="separate"/>
      </w:r>
      <w:r>
        <w:rPr>
          <w:rFonts w:ascii="Times New Roman" w:hAnsi="Times New Roman" w:eastAsia="宋体" w:cs="Times New Roman"/>
          <w:kern w:val="0"/>
          <w:sz w:val="24"/>
          <w:shd w:val="clear" w:color="auto" w:fill="FFFFFF"/>
          <w:lang w:bidi="ar"/>
        </w:rPr>
        <w:t>[5]</w:t>
      </w:r>
      <w:r>
        <w:rPr>
          <w:rFonts w:ascii="Times New Roman" w:hAnsi="Times New Roman" w:eastAsia="宋体" w:cs="Times New Roman"/>
          <w:kern w:val="0"/>
          <w:sz w:val="24"/>
          <w:shd w:val="clear" w:color="auto" w:fill="FFFFFF"/>
          <w:lang w:bidi="ar"/>
        </w:rPr>
        <w:fldChar w:fldCharType="end"/>
      </w:r>
    </w:p>
    <w:p w14:paraId="6CEAD205">
      <w:pPr>
        <w:widowControl/>
        <w:numPr>
          <w:ilvl w:val="255"/>
          <w:numId w:val="0"/>
        </w:numPr>
        <w:spacing w:line="360" w:lineRule="auto"/>
        <w:rPr>
          <w:rFonts w:ascii="Times New Roman" w:hAnsi="Times New Roman" w:cs="Times New Roman"/>
          <w:sz w:val="24"/>
          <w:lang w:bidi="ar"/>
        </w:rPr>
      </w:pPr>
      <w:r>
        <w:rPr>
          <w:rFonts w:ascii="Times New Roman" w:hAnsi="Times New Roman" w:cs="Times New Roman"/>
          <w:sz w:val="24"/>
          <w:lang w:bidi="ar"/>
        </w:rPr>
        <w:t>The frailty index (FI) was developed using the deficit-accumulation framework proposed by Searle et al.</w:t>
      </w:r>
      <w:r>
        <w:rPr>
          <w:rFonts w:hint="eastAsia" w:ascii="Times New Roman" w:hAnsi="Times New Roman" w:cs="Times New Roman"/>
          <w:sz w:val="24"/>
          <w:lang w:bidi="ar"/>
        </w:rPr>
        <w:t xml:space="preserve"> </w:t>
      </w:r>
      <w:r>
        <w:rPr>
          <w:rFonts w:ascii="Times New Roman" w:hAnsi="Times New Roman" w:cs="Times New Roman"/>
          <w:sz w:val="24"/>
          <w:lang w:bidi="ar"/>
        </w:rPr>
        <w:t>Under this approach, frailty is quantified as the proportion of health deficits present in an individual, rather than as a syndrome defined by a single fixed set of criteria. Candidate deficits may include a broad range of age-related health problems, such as symptoms, clinical signs, diseases, and disability-related limitations, provided that they are biologically meaningful, generally increase with age, and do not become almost universal too early in life.</w:t>
      </w:r>
    </w:p>
    <w:p w14:paraId="4290C6D1">
      <w:pPr>
        <w:widowControl/>
        <w:spacing w:line="360" w:lineRule="auto"/>
        <w:rPr>
          <w:rFonts w:ascii="Times New Roman" w:hAnsi="Times New Roman" w:cs="Times New Roman"/>
          <w:sz w:val="24"/>
          <w:lang w:bidi="ar"/>
        </w:rPr>
      </w:pPr>
    </w:p>
    <w:p w14:paraId="326D74E1">
      <w:pPr>
        <w:widowControl/>
        <w:spacing w:line="360" w:lineRule="auto"/>
        <w:rPr>
          <w:rFonts w:ascii="Times New Roman" w:hAnsi="Times New Roman" w:cs="Times New Roman"/>
          <w:sz w:val="24"/>
          <w:lang w:bidi="ar"/>
        </w:rPr>
      </w:pPr>
      <w:r>
        <w:rPr>
          <w:rFonts w:ascii="Times New Roman" w:hAnsi="Times New Roman" w:cs="Times New Roman"/>
          <w:sz w:val="24"/>
          <w:lang w:bidi="ar"/>
        </w:rPr>
        <w:t xml:space="preserve">The exact composition of an FI does not need to be identical across studies or datasets; different frailty indices may include different items and even different numbers of deficits, as long as they follow the same underlying principles. Variables used to construct an FI may be continuous, ordinal, or binary. Each deficit is coded on a scale from 0 to 1, where 0 indicates no deficit and 1 indicates that the deficit is fully present. The FI is then calculated by summing the coded deficits and dividing by the total number of included items, so that higher values indicate greater frailty. </w:t>
      </w:r>
    </w:p>
    <w:p w14:paraId="0DEC73C9">
      <w:pPr>
        <w:widowControl/>
        <w:spacing w:line="360" w:lineRule="auto"/>
        <w:rPr>
          <w:rFonts w:ascii="Times New Roman" w:hAnsi="Times New Roman" w:cs="Times New Roman"/>
          <w:sz w:val="24"/>
          <w:lang w:bidi="ar"/>
        </w:rPr>
      </w:pPr>
    </w:p>
    <w:p w14:paraId="5C5683BB">
      <w:pPr>
        <w:widowControl/>
        <w:spacing w:line="360" w:lineRule="auto"/>
        <w:rPr>
          <w:rFonts w:ascii="Times New Roman" w:hAnsi="Times New Roman" w:cs="Times New Roman"/>
          <w:sz w:val="24"/>
        </w:rPr>
      </w:pPr>
      <w:r>
        <w:rPr>
          <w:rFonts w:ascii="Times New Roman" w:hAnsi="Times New Roman" w:cs="Times New Roman" w:eastAsiaTheme="minorEastAsia"/>
          <w:i w:val="0"/>
          <w:iCs w:val="0"/>
          <w:kern w:val="2"/>
          <w:sz w:val="24"/>
          <w:szCs w:val="24"/>
          <w:lang w:bidi="ar"/>
        </w:rPr>
        <w:t>According to Searle et al.</w:t>
      </w:r>
      <w:r>
        <w:rPr>
          <w:rFonts w:ascii="Times New Roman" w:hAnsi="Times New Roman" w:cs="Times New Roman"/>
          <w:sz w:val="24"/>
          <w:lang w:bidi="ar"/>
        </w:rPr>
        <w:t>, at least 30 deficits are recommended to ensure stable performance, and an index based on approximately 30 variables has been shown to be sufficiently robust for predicting adverse outcomes. In the present study, FI construction followed these principles and was adapted to the variables available in the CHARLS 2020 dataset.</w:t>
      </w:r>
    </w:p>
    <w:p w14:paraId="49767711">
      <w:pPr>
        <w:numPr>
          <w:ilvl w:val="255"/>
          <w:numId w:val="0"/>
        </w:numPr>
        <w:spacing w:line="360" w:lineRule="auto"/>
        <w:rPr>
          <w:rFonts w:ascii="Times New Roman" w:hAnsi="Times New Roman" w:cs="Times New Roman"/>
          <w:sz w:val="24"/>
        </w:rPr>
      </w:pPr>
      <w:r>
        <w:rPr>
          <w:rFonts w:ascii="Times New Roman" w:hAnsi="Times New Roman" w:cs="Times New Roman"/>
          <w:sz w:val="24"/>
        </w:rPr>
        <w:br w:type="page"/>
      </w:r>
    </w:p>
    <w:p w14:paraId="44D7865A">
      <w:pPr>
        <w:rPr>
          <w:rFonts w:ascii="Times New Roman" w:hAnsi="Times New Roman" w:cs="Times New Roman"/>
          <w:sz w:val="24"/>
        </w:rPr>
      </w:pPr>
      <w:r>
        <w:rPr>
          <w:rFonts w:hint="eastAsia" w:asciiTheme="majorBidi" w:hAnsiTheme="majorBidi" w:cstheme="majorBidi"/>
          <w:b/>
          <w:bCs/>
          <w:sz w:val="24"/>
        </w:rPr>
        <w:t>Method S</w:t>
      </w:r>
      <w:r>
        <w:rPr>
          <w:rFonts w:asciiTheme="majorBidi" w:hAnsiTheme="majorBidi" w:cstheme="majorBidi"/>
          <w:b/>
          <w:bCs/>
          <w:sz w:val="24"/>
        </w:rPr>
        <w:t>3</w:t>
      </w:r>
      <w:r>
        <w:rPr>
          <w:rFonts w:hint="eastAsia" w:asciiTheme="majorBidi" w:hAnsiTheme="majorBidi" w:cstheme="majorBidi"/>
          <w:b/>
          <w:bCs/>
          <w:sz w:val="24"/>
        </w:rPr>
        <w:t xml:space="preserve">. </w:t>
      </w:r>
      <w:r>
        <w:rPr>
          <w:rFonts w:asciiTheme="majorBidi" w:hAnsiTheme="majorBidi" w:cstheme="majorBidi"/>
          <w:sz w:val="24"/>
        </w:rPr>
        <w:t xml:space="preserve">Identification of </w:t>
      </w:r>
      <w:r>
        <w:rPr>
          <w:rFonts w:hint="eastAsia" w:asciiTheme="majorBidi" w:hAnsiTheme="majorBidi" w:cstheme="majorBidi"/>
          <w:sz w:val="24"/>
        </w:rPr>
        <w:t>d</w:t>
      </w:r>
      <w:r>
        <w:rPr>
          <w:rFonts w:asciiTheme="majorBidi" w:hAnsiTheme="majorBidi" w:cstheme="majorBidi"/>
          <w:sz w:val="24"/>
        </w:rPr>
        <w:t>omain-</w:t>
      </w:r>
      <w:r>
        <w:rPr>
          <w:rFonts w:hint="eastAsia" w:asciiTheme="majorBidi" w:hAnsiTheme="majorBidi" w:cstheme="majorBidi"/>
          <w:sz w:val="24"/>
        </w:rPr>
        <w:t>s</w:t>
      </w:r>
      <w:r>
        <w:rPr>
          <w:rFonts w:asciiTheme="majorBidi" w:hAnsiTheme="majorBidi" w:cstheme="majorBidi"/>
          <w:sz w:val="24"/>
        </w:rPr>
        <w:t xml:space="preserve">pecific SDoH </w:t>
      </w:r>
      <w:r>
        <w:rPr>
          <w:rFonts w:hint="eastAsia" w:ascii="Times New Roman" w:hAnsi="Times New Roman" w:cs="Times New Roman"/>
          <w:sz w:val="24"/>
        </w:rPr>
        <w:t xml:space="preserve">latent </w:t>
      </w:r>
      <w:r>
        <w:rPr>
          <w:rFonts w:hint="eastAsia" w:asciiTheme="majorBidi" w:hAnsiTheme="majorBidi" w:cstheme="majorBidi"/>
          <w:sz w:val="24"/>
        </w:rPr>
        <w:t>classes</w:t>
      </w:r>
    </w:p>
    <w:p w14:paraId="00813542">
      <w:pPr>
        <w:spacing w:line="360" w:lineRule="auto"/>
        <w:rPr>
          <w:rFonts w:ascii="Times New Roman" w:hAnsi="Times New Roman" w:cs="Times New Roman"/>
          <w:sz w:val="24"/>
        </w:rPr>
      </w:pPr>
      <w:r>
        <w:rPr>
          <w:rFonts w:ascii="Times New Roman" w:hAnsi="Times New Roman" w:cs="Times New Roman"/>
          <w:sz w:val="24"/>
        </w:rPr>
        <w:t>Latent class analysis (LCA) was conducted using MPlus version 8 to identify distinct subgroups within four SD</w:t>
      </w:r>
      <w:r>
        <w:rPr>
          <w:rFonts w:hint="default" w:ascii="Times New Roman" w:hAnsi="Times New Roman" w:cs="Times New Roman"/>
          <w:sz w:val="24"/>
          <w:lang w:val="en-US"/>
        </w:rPr>
        <w:t>o</w:t>
      </w:r>
      <w:r>
        <w:rPr>
          <w:rFonts w:ascii="Times New Roman" w:hAnsi="Times New Roman" w:cs="Times New Roman"/>
          <w:sz w:val="24"/>
        </w:rPr>
        <w:t xml:space="preserve">H domains based on domain-specific indicators: </w:t>
      </w:r>
      <w:r>
        <w:rPr>
          <w:rFonts w:ascii="Times New Roman" w:hAnsi="Times New Roman" w:eastAsia="宋体" w:cs="Times New Roman"/>
          <w:kern w:val="0"/>
          <w:sz w:val="24"/>
          <w:shd w:val="clear" w:color="auto" w:fill="FFFFFF"/>
          <w:lang w:bidi="ar"/>
        </w:rPr>
        <w:t>Economic Stability, Health Care Access and Quality, Neighborhood and Built Environment, and Social and Community Context.</w:t>
      </w:r>
      <w:r>
        <w:rPr>
          <w:rFonts w:ascii="Times New Roman" w:hAnsi="Times New Roman" w:cs="Times New Roman"/>
          <w:sz w:val="24"/>
        </w:rPr>
        <w:t xml:space="preserve"> LCA was not conducted for Education Access and Quality as the domain has a single categorical indicator (educational attainment) which could be used as subgroups directly.</w:t>
      </w:r>
    </w:p>
    <w:p w14:paraId="6E474125">
      <w:pPr>
        <w:spacing w:line="360" w:lineRule="auto"/>
        <w:rPr>
          <w:rFonts w:ascii="Times New Roman" w:hAnsi="Times New Roman" w:eastAsia="宋体" w:cs="Times New Roman"/>
          <w:sz w:val="24"/>
        </w:rPr>
      </w:pPr>
    </w:p>
    <w:p w14:paraId="105F6D10">
      <w:pPr>
        <w:spacing w:line="360" w:lineRule="auto"/>
        <w:rPr>
          <w:rFonts w:ascii="Times New Roman" w:hAnsi="Times New Roman" w:cs="Times New Roman"/>
          <w:sz w:val="24"/>
        </w:rPr>
      </w:pPr>
      <w:r>
        <w:rPr>
          <w:rFonts w:ascii="Times New Roman" w:hAnsi="Times New Roman" w:cs="Times New Roman"/>
          <w:sz w:val="24"/>
        </w:rPr>
        <w:t xml:space="preserve">LCA accommodates a wide range of variable types, including continuous, binary, ordinal, and nominal indicators, allowing for flexible and realistic modeling of complex data structures </w:t>
      </w:r>
      <w:r>
        <w:rPr>
          <w:rFonts w:ascii="Times New Roman" w:hAnsi="Times New Roman" w:cs="Times New Roman"/>
          <w:sz w:val="24"/>
        </w:rPr>
        <w:fldChar w:fldCharType="begin"/>
      </w:r>
      <w:r>
        <w:rPr>
          <w:rFonts w:hint="eastAsia" w:ascii="Times New Roman" w:hAnsi="Times New Roman" w:cs="Times New Roman"/>
          <w:sz w:val="24"/>
        </w:rPr>
        <w:instrText xml:space="preserve"> ADDIN EN.CITE &lt;EndNote&gt;&lt;Cite&gt;&lt;Author&gt;Van Lissa&lt;/Author&gt;&lt;Year&gt;2024&lt;/Year&gt;&lt;RecNum&gt;1445&lt;/RecNum&gt;&lt;DisplayText&gt;[14]&lt;/DisplayText&gt;&lt;record&gt;&lt;rec-number&gt;1445&lt;/rec-number&gt;&lt;foreign-keys&gt;&lt;key app="EN" db-id="raez002xkxzpfme20z4px9rqve22zp5wpvap" timestamp="1752557787"&gt;1445&lt;/key&gt;&lt;/foreign-keys&gt;&lt;ref-type name="Journal Article"&gt;17&lt;/ref-type&gt;&lt;contributors&gt;&lt;authors&gt;&lt;author&gt;Van Lissa, C. J.&lt;/author&gt;&lt;author&gt;Garnier-Villarreal, M.&lt;/author&gt;&lt;author&gt;Anadria, D.&lt;/author&gt;&lt;/authors&gt;&lt;/contributors&gt;&lt;titles&gt;&lt;title&gt;Recommended Practices in Latent Class Analysis Using the Open-Source R-Package tidySEM&lt;/title&gt;&lt;secondary-title&gt;Structural Equation Modeling: A Multidisciplinary Journal&lt;/secondary-title&gt;&lt;/titles&gt;&lt;periodical&gt;&lt;full-title&gt;Structural Equation Modeling: A Multidisciplinary Journal&lt;/full-title&gt;&lt;/periodical&gt;&lt;pages&gt;526-534&lt;/pages&gt;&lt;volume&gt;31&lt;/volume&gt;&lt;number&gt;3&lt;/number&gt;&lt;dates&gt;&lt;year&gt;2024&lt;/year&gt;&lt;pub-dates&gt;&lt;date&gt;2024/05/03&lt;/date&gt;&lt;/pub-dates&gt;&lt;/dates&gt;&lt;publisher&gt;Routledge&lt;/publisher&gt;&lt;isbn&gt;1070-5511&lt;/isbn&gt;&lt;urls&gt;&lt;related-urls&gt;&lt;url&gt;https://doi.org/10.1080/10705511.2023.2250920&lt;/url&gt;&lt;/related-urls&gt;&lt;/urls&gt;&lt;electronic-resource-num&gt;10.1080/10705511.2023.2250920&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sz w:val="24"/>
        </w:rPr>
        <w:t>[14]</w:t>
      </w:r>
      <w:r>
        <w:rPr>
          <w:rFonts w:ascii="Times New Roman" w:hAnsi="Times New Roman" w:cs="Times New Roman"/>
          <w:sz w:val="24"/>
        </w:rPr>
        <w:fldChar w:fldCharType="end"/>
      </w:r>
      <w:r>
        <w:rPr>
          <w:rFonts w:ascii="Times New Roman" w:hAnsi="Times New Roman" w:cs="Times New Roman"/>
          <w:sz w:val="24"/>
        </w:rPr>
        <w:t>. In this study, some continuous variables were retained in their original form rather than being categorized to preserve data granularity and avoid information loss.</w:t>
      </w:r>
    </w:p>
    <w:p w14:paraId="32991B6F">
      <w:pPr>
        <w:spacing w:line="360" w:lineRule="auto"/>
        <w:rPr>
          <w:rFonts w:ascii="Times New Roman" w:hAnsi="Times New Roman" w:cs="Times New Roman"/>
          <w:sz w:val="24"/>
        </w:rPr>
      </w:pPr>
    </w:p>
    <w:p w14:paraId="3C6EBE79">
      <w:pPr>
        <w:spacing w:line="360" w:lineRule="auto"/>
        <w:rPr>
          <w:rFonts w:ascii="宋体" w:hAnsi="宋体" w:eastAsia="宋体" w:cs="宋体"/>
          <w:sz w:val="24"/>
        </w:rPr>
      </w:pPr>
      <w:r>
        <w:rPr>
          <w:rFonts w:ascii="Times New Roman" w:hAnsi="Times New Roman" w:cs="Times New Roman"/>
          <w:sz w:val="24"/>
        </w:rPr>
        <w:t xml:space="preserve">Model fit was evaluated using the following statistical criteria: Akaike Information Criterion (AIC), Bayesian Information Criterion (BIC), sample-size adjusted BIC (aBIC), entropy, the Lo-Mendell-Rubin Likelihood Ratio Test (LMRT), and the Bootstrap Likelihood Ratio Test (BLRT). Lower values of AIC, BIC, and aBIC indicate a better fit </w:t>
      </w:r>
      <w:r>
        <w:rPr>
          <w:rFonts w:ascii="Times New Roman" w:hAnsi="Times New Roman" w:cs="Times New Roman"/>
          <w:sz w:val="24"/>
        </w:rPr>
        <w:fldChar w:fldCharType="begin"/>
      </w:r>
      <w:r>
        <w:rPr>
          <w:rFonts w:hint="eastAsia" w:ascii="Times New Roman" w:hAnsi="Times New Roman" w:cs="Times New Roman"/>
          <w:sz w:val="24"/>
        </w:rPr>
        <w:instrText xml:space="preserve"> ADDIN EN.CITE &lt;EndNote&gt;&lt;Cite&gt;&lt;Author&gt;Lazarsfeld&lt;/Author&gt;&lt;Year&gt;1968&lt;/Year&gt;&lt;RecNum&gt;1446&lt;/RecNum&gt;&lt;DisplayText&gt;[15]&lt;/DisplayText&gt;&lt;record&gt;&lt;rec-number&gt;1446&lt;/rec-number&gt;&lt;foreign-keys&gt;&lt;key app="EN" db-id="raez002xkxzpfme20z4px9rqve22zp5wpvap" timestamp="1753172727"&gt;1446&lt;/key&gt;&lt;/foreign-keys&gt;&lt;ref-type name="Journal Article"&gt;17&lt;/ref-type&gt;&lt;contributors&gt;&lt;authors&gt;&lt;author&gt;Lazarsfeld, Paul Felix&lt;/author&gt;&lt;/authors&gt;&lt;/contributors&gt;&lt;titles&gt;&lt;title&gt;Latent structure analysis&lt;/title&gt;&lt;secondary-title&gt;(No Title)&lt;/secondary-title&gt;&lt;/titles&gt;&lt;periodical&gt;&lt;full-title&gt;(No Title)&lt;/full-title&gt;&lt;/periodical&gt;&lt;dates&gt;&lt;year&gt;1968&lt;/year&gt;&lt;/dates&gt;&lt;urls&gt;&lt;/urls&gt;&lt;/record&gt;&lt;/Cite&gt;&lt;/EndNote&gt;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sz w:val="24"/>
        </w:rPr>
        <w:t>[15]</w:t>
      </w:r>
      <w:r>
        <w:rPr>
          <w:rFonts w:ascii="Times New Roman" w:hAnsi="Times New Roman" w:cs="Times New Roman"/>
          <w:sz w:val="24"/>
        </w:rPr>
        <w:fldChar w:fldCharType="end"/>
      </w:r>
      <w:r>
        <w:rPr>
          <w:rFonts w:ascii="Times New Roman" w:hAnsi="Times New Roman" w:cs="Times New Roman"/>
          <w:sz w:val="24"/>
        </w:rPr>
        <w:t xml:space="preserve">. Entropy values range from 0 to 1, with values greater than 0.80 suggesting high classification accuracy </w:t>
      </w:r>
      <w:r>
        <w:rPr>
          <w:rFonts w:ascii="Times New Roman" w:hAnsi="Times New Roman" w:cs="Times New Roman"/>
          <w:sz w:val="24"/>
        </w:rPr>
        <w:fldChar w:fldCharType="begin"/>
      </w:r>
      <w:r>
        <w:rPr>
          <w:rFonts w:hint="eastAsia" w:ascii="Times New Roman" w:hAnsi="Times New Roman" w:cs="Times New Roman"/>
          <w:sz w:val="24"/>
        </w:rPr>
        <w:instrText xml:space="preserve"> ADDIN EN.CITE &lt;EndNote&gt;&lt;Cite&gt;&lt;Author&gt;Aflaki&lt;/Author&gt;&lt;Year&gt;2023&lt;/Year&gt;&lt;RecNum&gt;1452&lt;/RecNum&gt;&lt;DisplayText&gt;[16]&lt;/DisplayText&gt;&lt;record&gt;&lt;rec-number&gt;1452&lt;/rec-number&gt;&lt;foreign-keys&gt;&lt;key app="EN" db-id="raez002xkxzpfme20z4px9rqve22zp5wpvap" timestamp="1753174134"&gt;1452&lt;/key&gt;&lt;/foreign-keys&gt;&lt;ref-type name="Journal Article"&gt;17&lt;/ref-type&gt;&lt;contributors&gt;&lt;authors&gt;&lt;author&gt;Aflaki, Kayvan&lt;/author&gt;&lt;author&gt;Vigod, Simone&lt;/author&gt;&lt;author&gt;Ray, Joel G.&lt;/author&gt;&lt;/authors&gt;&lt;/contributors&gt;&lt;titles&gt;&lt;title&gt;Part II: A step-by-step guide to latent class analysis&lt;/title&gt;&lt;secondary-title&gt;Journal of Clinical Epidemiology&lt;/secondary-title&gt;&lt;/titles&gt;&lt;periodical&gt;&lt;full-title&gt;Journal of Clinical Epidemiology&lt;/full-title&gt;&lt;/periodical&gt;&lt;pages&gt;348-351&lt;/pages&gt;&lt;volume&gt;159&lt;/volume&gt;&lt;keywords&gt;&lt;keyword&gt;Latent class analysis&lt;/keyword&gt;&lt;keyword&gt;Model-based clustering&lt;/keyword&gt;&lt;keyword&gt;Subgroup analysis&lt;/keyword&gt;&lt;keyword&gt;Unsupervised methods&lt;/keyword&gt;&lt;keyword&gt;Mixture modeling&lt;/keyword&gt;&lt;keyword&gt;Bayesian information criterion&lt;/keyword&gt;&lt;keyword&gt;Aikake information criterion&lt;/keyword&gt;&lt;/keywords&gt;&lt;dates&gt;&lt;year&gt;2023&lt;/year&gt;&lt;pub-dates&gt;&lt;date&gt;2023/07/01/&lt;/date&gt;&lt;/pub-dates&gt;&lt;/dates&gt;&lt;isbn&gt;0895-4356&lt;/isbn&gt;&lt;urls&gt;&lt;related-urls&gt;&lt;url&gt;https://www.sciencedirect.com/science/article/pii/S0895435623001385&lt;/url&gt;&lt;/related-urls&gt;&lt;/urls&gt;&lt;electronic-resource-num&gt;https://doi.org/10.1016/j.jclinepi.2023.05.025&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sz w:val="24"/>
        </w:rPr>
        <w:t>[16]</w:t>
      </w:r>
      <w:r>
        <w:rPr>
          <w:rFonts w:ascii="Times New Roman" w:hAnsi="Times New Roman" w:cs="Times New Roman"/>
          <w:sz w:val="24"/>
        </w:rPr>
        <w:fldChar w:fldCharType="end"/>
      </w:r>
      <w:r>
        <w:rPr>
          <w:rFonts w:ascii="Times New Roman" w:hAnsi="Times New Roman" w:cs="Times New Roman"/>
          <w:sz w:val="24"/>
        </w:rPr>
        <w:t xml:space="preserve">. A statistically significant LMRT and BLRT (p &lt; 0.05) supported the selection of a model with k classes over a model with k-1 classes </w:t>
      </w:r>
      <w:r>
        <w:rPr>
          <w:rFonts w:ascii="Times New Roman" w:hAnsi="Times New Roman" w:cs="Times New Roman"/>
          <w:sz w:val="24"/>
        </w:rPr>
        <w:fldChar w:fldCharType="begin"/>
      </w:r>
      <w:r>
        <w:rPr>
          <w:rFonts w:hint="eastAsia" w:ascii="Times New Roman" w:hAnsi="Times New Roman" w:cs="Times New Roman"/>
          <w:sz w:val="24"/>
        </w:rPr>
        <w:instrText xml:space="preserve"> ADDIN EN.CITE &lt;EndNote&gt;&lt;Cite&gt;&lt;Author&gt;Nylund&lt;/Author&gt;&lt;Year&gt;2007&lt;/Year&gt;&lt;RecNum&gt;1449&lt;/RecNum&gt;&lt;DisplayText&gt;[17]&lt;/DisplayText&gt;&lt;record&gt;&lt;rec-number&gt;1449&lt;/rec-number&gt;&lt;foreign-keys&gt;&lt;key app="EN" db-id="raez002xkxzpfme20z4px9rqve22zp5wpvap" timestamp="1753172975"&gt;1449&lt;/key&gt;&lt;/foreign-keys&gt;&lt;ref-type name="Journal Article"&gt;17&lt;/ref-type&gt;&lt;contributors&gt;&lt;authors&gt;&lt;author&gt;Nylund, Karen L&lt;/author&gt;&lt;author&gt;Asparouhov, Tihomir&lt;/author&gt;&lt;author&gt;Muthén, Bengt O&lt;/author&gt;&lt;/authors&gt;&lt;/contributors&gt;&lt;titles&gt;&lt;title&gt;Deciding on the number of classes in latent class analysis and growth mixture modeling: A Monte Carlo simulation study&lt;/title&gt;&lt;secondary-title&gt;Structural equation modeling: A multidisciplinary Journal&lt;/secondary-title&gt;&lt;/titles&gt;&lt;periodical&gt;&lt;full-title&gt;Structural Equation Modeling: A Multidisciplinary Journal&lt;/full-title&gt;&lt;/periodical&gt;&lt;pages&gt;535-569&lt;/pages&gt;&lt;volume&gt;14&lt;/volume&gt;&lt;number&gt;4&lt;/number&gt;&lt;dates&gt;&lt;year&gt;2007&lt;/year&gt;&lt;/dates&gt;&lt;isbn&gt;1070-5511&lt;/isbn&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sz w:val="24"/>
        </w:rPr>
        <w:t>[17]</w:t>
      </w:r>
      <w:r>
        <w:rPr>
          <w:rFonts w:ascii="Times New Roman" w:hAnsi="Times New Roman" w:cs="Times New Roman"/>
          <w:sz w:val="24"/>
        </w:rPr>
        <w:fldChar w:fldCharType="end"/>
      </w:r>
      <w:r>
        <w:rPr>
          <w:rFonts w:ascii="Times New Roman" w:hAnsi="Times New Roman" w:cs="Times New Roman"/>
          <w:sz w:val="24"/>
        </w:rPr>
        <w:t>.</w:t>
      </w:r>
    </w:p>
    <w:p w14:paraId="4814C082">
      <w:pPr>
        <w:rPr>
          <w:rFonts w:ascii="Times New Roman" w:hAnsi="Times New Roman" w:eastAsia="DengXian" w:cs="Times New Roman"/>
          <w:sz w:val="24"/>
        </w:rPr>
        <w:sectPr>
          <w:footerReference r:id="rId3" w:type="default"/>
          <w:pgSz w:w="11906" w:h="16838"/>
          <w:pgMar w:top="720" w:right="720" w:bottom="720" w:left="720" w:header="851" w:footer="992" w:gutter="0"/>
          <w:cols w:space="425" w:num="1"/>
          <w:docGrid w:type="lines" w:linePitch="312" w:charSpace="0"/>
        </w:sectPr>
      </w:pPr>
    </w:p>
    <w:p w14:paraId="049D9EC0">
      <w:pPr>
        <w:spacing w:line="360" w:lineRule="auto"/>
        <w:rPr>
          <w:rFonts w:ascii="Times New Roman Bold" w:hAnsi="Times New Roman Bold" w:eastAsia="宋体" w:cs="Times New Roman Bold"/>
          <w:szCs w:val="21"/>
        </w:rPr>
      </w:pPr>
      <w:r>
        <w:rPr>
          <w:rFonts w:ascii="Times New Roman Bold" w:hAnsi="Times New Roman Bold" w:eastAsia="Times New Roman Bold" w:cs="Times New Roman Bold"/>
          <w:b/>
          <w:bCs/>
          <w:szCs w:val="21"/>
          <w:lang w:bidi="ar"/>
        </w:rPr>
        <w:t xml:space="preserve">Table S3. </w:t>
      </w:r>
      <w:r>
        <w:rPr>
          <w:rFonts w:ascii="Times New Roman Bold" w:hAnsi="Times New Roman Bold" w:eastAsia="宋体" w:cs="Times New Roman Bold"/>
          <w:szCs w:val="21"/>
          <w:lang w:bidi="ar"/>
        </w:rPr>
        <w:t xml:space="preserve">Latent </w:t>
      </w:r>
      <w:r>
        <w:rPr>
          <w:rFonts w:ascii="Times New Roman Bold" w:hAnsi="Times New Roman Bold" w:eastAsia="Times New Roman Bold" w:cs="Times New Roman Bold"/>
          <w:szCs w:val="21"/>
          <w:lang w:bidi="ar"/>
        </w:rPr>
        <w:t>c</w:t>
      </w:r>
      <w:r>
        <w:rPr>
          <w:rFonts w:ascii="Times New Roman Bold" w:hAnsi="Times New Roman Bold" w:eastAsia="宋体" w:cs="Times New Roman Bold"/>
          <w:szCs w:val="21"/>
          <w:lang w:bidi="ar"/>
        </w:rPr>
        <w:t xml:space="preserve">lass </w:t>
      </w:r>
      <w:r>
        <w:rPr>
          <w:rFonts w:ascii="Times New Roman Bold" w:hAnsi="Times New Roman Bold" w:eastAsia="Times New Roman Bold" w:cs="Times New Roman Bold"/>
          <w:szCs w:val="21"/>
          <w:lang w:bidi="ar"/>
        </w:rPr>
        <w:t>m</w:t>
      </w:r>
      <w:r>
        <w:rPr>
          <w:rFonts w:ascii="Times New Roman Bold" w:hAnsi="Times New Roman Bold" w:eastAsia="宋体" w:cs="Times New Roman Bold"/>
          <w:szCs w:val="21"/>
          <w:lang w:bidi="ar"/>
        </w:rPr>
        <w:t xml:space="preserve">odel </w:t>
      </w:r>
      <w:r>
        <w:rPr>
          <w:rFonts w:ascii="Times New Roman Bold" w:hAnsi="Times New Roman Bold" w:eastAsia="Times New Roman Bold" w:cs="Times New Roman Bold"/>
          <w:szCs w:val="21"/>
          <w:lang w:bidi="ar"/>
        </w:rPr>
        <w:t>f</w:t>
      </w:r>
      <w:r>
        <w:rPr>
          <w:rFonts w:ascii="Times New Roman Bold" w:hAnsi="Times New Roman Bold" w:eastAsia="宋体" w:cs="Times New Roman Bold"/>
          <w:szCs w:val="21"/>
          <w:lang w:bidi="ar"/>
        </w:rPr>
        <w:t xml:space="preserve">it </w:t>
      </w:r>
      <w:r>
        <w:rPr>
          <w:rFonts w:ascii="Times New Roman Bold" w:hAnsi="Times New Roman Bold" w:eastAsia="Times New Roman Bold" w:cs="Times New Roman Bold"/>
          <w:szCs w:val="21"/>
          <w:lang w:bidi="ar"/>
        </w:rPr>
        <w:t>i</w:t>
      </w:r>
      <w:r>
        <w:rPr>
          <w:rFonts w:ascii="Times New Roman Bold" w:hAnsi="Times New Roman Bold" w:eastAsia="宋体" w:cs="Times New Roman Bold"/>
          <w:szCs w:val="21"/>
          <w:lang w:bidi="ar"/>
        </w:rPr>
        <w:t>ndices (Economic stability)</w:t>
      </w:r>
      <w:r>
        <w:rPr>
          <w:rFonts w:ascii="Times New Roman Bold" w:hAnsi="Times New Roman Bold" w:eastAsia="Times New Roman Bold" w:cs="Times New Roman Bold"/>
          <w:szCs w:val="21"/>
          <w:lang w:bidi="ar"/>
        </w:rPr>
        <w:t>.</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1861"/>
        <w:gridCol w:w="1430"/>
        <w:gridCol w:w="1142"/>
        <w:gridCol w:w="1142"/>
        <w:gridCol w:w="1142"/>
        <w:gridCol w:w="936"/>
        <w:gridCol w:w="955"/>
        <w:gridCol w:w="955"/>
        <w:gridCol w:w="2703"/>
        <w:gridCol w:w="1969"/>
      </w:tblGrid>
      <w:tr w14:paraId="45E25C5C">
        <w:tc>
          <w:tcPr>
            <w:tcW w:w="440" w:type="pct"/>
            <w:tcBorders>
              <w:top w:val="single" w:color="000000" w:sz="12" w:space="0"/>
              <w:left w:val="nil"/>
              <w:bottom w:val="single" w:color="000000" w:sz="4" w:space="0"/>
              <w:right w:val="nil"/>
            </w:tcBorders>
            <w:shd w:val="clear" w:color="auto" w:fill="FFFFFF"/>
            <w:vAlign w:val="center"/>
          </w:tcPr>
          <w:p w14:paraId="4A2E7DFE">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N</w:t>
            </w:r>
            <w:r>
              <w:rPr>
                <w:rFonts w:ascii="Times New Roman Regular" w:hAnsi="Times New Roman Regular" w:eastAsia="宋体" w:cs="Times New Roman Regular"/>
                <w:kern w:val="0"/>
                <w:szCs w:val="21"/>
                <w:lang w:bidi="ar"/>
              </w:rPr>
              <w:t xml:space="preserve">o. </w:t>
            </w:r>
          </w:p>
        </w:tc>
        <w:tc>
          <w:tcPr>
            <w:tcW w:w="596" w:type="pct"/>
            <w:tcBorders>
              <w:top w:val="single" w:color="000000" w:sz="12" w:space="0"/>
              <w:left w:val="nil"/>
              <w:bottom w:val="single" w:color="000000" w:sz="4" w:space="0"/>
              <w:right w:val="nil"/>
            </w:tcBorders>
            <w:shd w:val="clear" w:color="auto" w:fill="FFFFFF"/>
            <w:vAlign w:val="center"/>
          </w:tcPr>
          <w:p w14:paraId="61448BD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Free Parameter No.</w:t>
            </w:r>
          </w:p>
        </w:tc>
        <w:tc>
          <w:tcPr>
            <w:tcW w:w="458" w:type="pct"/>
            <w:tcBorders>
              <w:top w:val="single" w:color="000000" w:sz="12" w:space="0"/>
              <w:left w:val="nil"/>
              <w:bottom w:val="single" w:color="000000" w:sz="4" w:space="0"/>
              <w:right w:val="nil"/>
            </w:tcBorders>
            <w:shd w:val="clear" w:color="auto" w:fill="FFFFFF"/>
            <w:vAlign w:val="center"/>
          </w:tcPr>
          <w:p w14:paraId="298164D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Loglikelihood</w:t>
            </w:r>
          </w:p>
        </w:tc>
        <w:tc>
          <w:tcPr>
            <w:tcW w:w="366" w:type="pct"/>
            <w:tcBorders>
              <w:top w:val="single" w:color="000000" w:sz="12" w:space="0"/>
              <w:left w:val="nil"/>
              <w:bottom w:val="single" w:color="000000" w:sz="4" w:space="0"/>
              <w:right w:val="nil"/>
            </w:tcBorders>
            <w:shd w:val="clear" w:color="auto" w:fill="FFFFFF"/>
            <w:vAlign w:val="center"/>
          </w:tcPr>
          <w:p w14:paraId="26683BBD">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AIC</w:t>
            </w:r>
          </w:p>
        </w:tc>
        <w:tc>
          <w:tcPr>
            <w:tcW w:w="366" w:type="pct"/>
            <w:tcBorders>
              <w:top w:val="single" w:color="000000" w:sz="12" w:space="0"/>
              <w:left w:val="nil"/>
              <w:bottom w:val="single" w:color="000000" w:sz="4" w:space="0"/>
              <w:right w:val="nil"/>
            </w:tcBorders>
            <w:shd w:val="clear" w:color="auto" w:fill="FFFFFF"/>
            <w:vAlign w:val="center"/>
          </w:tcPr>
          <w:p w14:paraId="063D7F8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BIC</w:t>
            </w:r>
          </w:p>
        </w:tc>
        <w:tc>
          <w:tcPr>
            <w:tcW w:w="366" w:type="pct"/>
            <w:tcBorders>
              <w:top w:val="single" w:color="000000" w:sz="12" w:space="0"/>
              <w:left w:val="nil"/>
              <w:bottom w:val="single" w:color="000000" w:sz="4" w:space="0"/>
              <w:right w:val="nil"/>
            </w:tcBorders>
            <w:shd w:val="clear" w:color="auto" w:fill="FFFFFF"/>
            <w:vAlign w:val="center"/>
          </w:tcPr>
          <w:p w14:paraId="0DEB959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aBIC</w:t>
            </w:r>
          </w:p>
        </w:tc>
        <w:tc>
          <w:tcPr>
            <w:tcW w:w="300" w:type="pct"/>
            <w:tcBorders>
              <w:top w:val="single" w:color="000000" w:sz="12" w:space="0"/>
              <w:left w:val="nil"/>
              <w:bottom w:val="single" w:color="000000" w:sz="4" w:space="0"/>
              <w:right w:val="nil"/>
            </w:tcBorders>
            <w:shd w:val="clear" w:color="auto" w:fill="FFFFFF"/>
            <w:vAlign w:val="center"/>
          </w:tcPr>
          <w:p w14:paraId="7CC7D7FB">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Entropy</w:t>
            </w:r>
          </w:p>
        </w:tc>
        <w:tc>
          <w:tcPr>
            <w:tcW w:w="306" w:type="pct"/>
            <w:tcBorders>
              <w:top w:val="single" w:color="000000" w:sz="12" w:space="0"/>
              <w:left w:val="nil"/>
              <w:bottom w:val="single" w:color="000000" w:sz="4" w:space="0"/>
              <w:right w:val="nil"/>
            </w:tcBorders>
            <w:shd w:val="clear" w:color="auto" w:fill="FFFFFF"/>
            <w:vAlign w:val="center"/>
          </w:tcPr>
          <w:p w14:paraId="06B1B82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LMR</w:t>
            </w:r>
          </w:p>
        </w:tc>
        <w:tc>
          <w:tcPr>
            <w:tcW w:w="306" w:type="pct"/>
            <w:tcBorders>
              <w:top w:val="single" w:color="000000" w:sz="12" w:space="0"/>
              <w:left w:val="nil"/>
              <w:bottom w:val="single" w:color="000000" w:sz="4" w:space="0"/>
              <w:right w:val="nil"/>
            </w:tcBorders>
            <w:shd w:val="clear" w:color="auto" w:fill="FFFFFF"/>
            <w:vAlign w:val="center"/>
          </w:tcPr>
          <w:p w14:paraId="3E0ADACF">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BLRT</w:t>
            </w:r>
          </w:p>
        </w:tc>
        <w:tc>
          <w:tcPr>
            <w:tcW w:w="856" w:type="pct"/>
            <w:tcBorders>
              <w:top w:val="single" w:color="000000" w:sz="12" w:space="0"/>
              <w:left w:val="nil"/>
              <w:bottom w:val="single" w:color="000000" w:sz="4" w:space="0"/>
              <w:right w:val="nil"/>
            </w:tcBorders>
            <w:shd w:val="clear" w:color="auto" w:fill="FFFFFF"/>
            <w:vAlign w:val="center"/>
          </w:tcPr>
          <w:p w14:paraId="7BF6129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Probability</w:t>
            </w:r>
          </w:p>
        </w:tc>
        <w:tc>
          <w:tcPr>
            <w:tcW w:w="630" w:type="pct"/>
            <w:tcBorders>
              <w:top w:val="single" w:color="000000" w:sz="12" w:space="0"/>
              <w:left w:val="nil"/>
              <w:bottom w:val="single" w:color="000000" w:sz="4" w:space="0"/>
              <w:right w:val="nil"/>
            </w:tcBorders>
            <w:shd w:val="clear" w:color="auto" w:fill="FFFFFF"/>
            <w:vAlign w:val="center"/>
          </w:tcPr>
          <w:p w14:paraId="3492EAC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Sample Size</w:t>
            </w:r>
          </w:p>
        </w:tc>
      </w:tr>
      <w:tr w14:paraId="6344BA60">
        <w:tc>
          <w:tcPr>
            <w:tcW w:w="1373" w:type="dxa"/>
            <w:tcBorders>
              <w:top w:val="single" w:color="000000" w:sz="4" w:space="0"/>
              <w:left w:val="nil"/>
              <w:bottom w:val="nil"/>
              <w:right w:val="nil"/>
            </w:tcBorders>
            <w:shd w:val="clear" w:color="auto" w:fill="FFFFFF"/>
          </w:tcPr>
          <w:p w14:paraId="760E8C4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1</w:t>
            </w:r>
          </w:p>
        </w:tc>
        <w:tc>
          <w:tcPr>
            <w:tcW w:w="1861" w:type="dxa"/>
            <w:tcBorders>
              <w:top w:val="single" w:color="000000" w:sz="4" w:space="0"/>
              <w:left w:val="nil"/>
              <w:bottom w:val="nil"/>
              <w:right w:val="nil"/>
            </w:tcBorders>
            <w:shd w:val="clear" w:color="auto" w:fill="FFFFFF"/>
          </w:tcPr>
          <w:p w14:paraId="6FAA30D5">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6</w:t>
            </w:r>
          </w:p>
        </w:tc>
        <w:tc>
          <w:tcPr>
            <w:tcW w:w="1430" w:type="dxa"/>
            <w:tcBorders>
              <w:top w:val="single" w:color="000000" w:sz="4" w:space="0"/>
              <w:left w:val="nil"/>
              <w:bottom w:val="nil"/>
              <w:right w:val="nil"/>
            </w:tcBorders>
            <w:shd w:val="clear" w:color="auto" w:fill="FFFFFF"/>
          </w:tcPr>
          <w:p w14:paraId="7EACD963">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-39962.285</w:t>
            </w:r>
          </w:p>
        </w:tc>
        <w:tc>
          <w:tcPr>
            <w:tcW w:w="1142" w:type="dxa"/>
            <w:tcBorders>
              <w:top w:val="single" w:color="000000" w:sz="4" w:space="0"/>
              <w:left w:val="nil"/>
              <w:bottom w:val="nil"/>
              <w:right w:val="nil"/>
            </w:tcBorders>
            <w:shd w:val="clear" w:color="auto" w:fill="FFFFFF"/>
          </w:tcPr>
          <w:p w14:paraId="768A423B">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79936.570</w:t>
            </w:r>
          </w:p>
        </w:tc>
        <w:tc>
          <w:tcPr>
            <w:tcW w:w="1142" w:type="dxa"/>
            <w:tcBorders>
              <w:top w:val="single" w:color="000000" w:sz="4" w:space="0"/>
              <w:left w:val="nil"/>
              <w:bottom w:val="nil"/>
              <w:right w:val="nil"/>
            </w:tcBorders>
            <w:shd w:val="clear" w:color="auto" w:fill="FFFFFF"/>
          </w:tcPr>
          <w:p w14:paraId="18FD61AC">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79980.212</w:t>
            </w:r>
          </w:p>
        </w:tc>
        <w:tc>
          <w:tcPr>
            <w:tcW w:w="1142" w:type="dxa"/>
            <w:tcBorders>
              <w:top w:val="single" w:color="000000" w:sz="4" w:space="0"/>
              <w:left w:val="nil"/>
              <w:bottom w:val="nil"/>
              <w:right w:val="nil"/>
            </w:tcBorders>
            <w:shd w:val="clear" w:color="auto" w:fill="FFFFFF"/>
          </w:tcPr>
          <w:p w14:paraId="14F75220">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79961.145</w:t>
            </w:r>
          </w:p>
        </w:tc>
        <w:tc>
          <w:tcPr>
            <w:tcW w:w="936" w:type="dxa"/>
            <w:tcBorders>
              <w:top w:val="single" w:color="000000" w:sz="4" w:space="0"/>
              <w:left w:val="nil"/>
              <w:bottom w:val="nil"/>
              <w:right w:val="nil"/>
            </w:tcBorders>
            <w:shd w:val="clear" w:color="auto" w:fill="FFFFFF"/>
          </w:tcPr>
          <w:p w14:paraId="5470C9F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955" w:type="dxa"/>
            <w:tcBorders>
              <w:top w:val="single" w:color="000000" w:sz="4" w:space="0"/>
              <w:left w:val="nil"/>
              <w:bottom w:val="nil"/>
              <w:right w:val="nil"/>
            </w:tcBorders>
            <w:shd w:val="clear" w:color="auto" w:fill="FFFFFF"/>
          </w:tcPr>
          <w:p w14:paraId="5D947A98">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955" w:type="dxa"/>
            <w:tcBorders>
              <w:top w:val="single" w:color="000000" w:sz="4" w:space="0"/>
              <w:left w:val="nil"/>
              <w:bottom w:val="nil"/>
              <w:right w:val="nil"/>
            </w:tcBorders>
            <w:shd w:val="clear" w:color="auto" w:fill="FFFFFF"/>
          </w:tcPr>
          <w:p w14:paraId="3F71CA3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2703" w:type="dxa"/>
            <w:tcBorders>
              <w:top w:val="single" w:color="000000" w:sz="4" w:space="0"/>
              <w:left w:val="nil"/>
              <w:bottom w:val="nil"/>
              <w:right w:val="nil"/>
            </w:tcBorders>
            <w:shd w:val="clear" w:color="auto" w:fill="FFFFFF"/>
          </w:tcPr>
          <w:p w14:paraId="09A9A95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1969" w:type="dxa"/>
            <w:tcBorders>
              <w:top w:val="single" w:color="000000" w:sz="4" w:space="0"/>
              <w:left w:val="nil"/>
              <w:bottom w:val="nil"/>
              <w:right w:val="nil"/>
            </w:tcBorders>
            <w:shd w:val="clear" w:color="auto" w:fill="FFFFFF"/>
          </w:tcPr>
          <w:p w14:paraId="3589FBB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r>
      <w:tr w14:paraId="63D44F2F">
        <w:trPr>
          <w:trHeight w:val="90" w:hRule="atLeast"/>
        </w:trPr>
        <w:tc>
          <w:tcPr>
            <w:tcW w:w="1373" w:type="dxa"/>
            <w:tcBorders>
              <w:top w:val="nil"/>
              <w:left w:val="nil"/>
              <w:bottom w:val="nil"/>
              <w:right w:val="nil"/>
            </w:tcBorders>
            <w:shd w:val="clear" w:color="auto" w:fill="FFFFFF"/>
          </w:tcPr>
          <w:p w14:paraId="62F97E81">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2</w:t>
            </w:r>
          </w:p>
        </w:tc>
        <w:tc>
          <w:tcPr>
            <w:tcW w:w="1861" w:type="dxa"/>
            <w:tcBorders>
              <w:top w:val="nil"/>
              <w:left w:val="nil"/>
              <w:bottom w:val="nil"/>
              <w:right w:val="nil"/>
            </w:tcBorders>
            <w:shd w:val="clear" w:color="auto" w:fill="FFFFFF"/>
          </w:tcPr>
          <w:p w14:paraId="33C08B56">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11</w:t>
            </w:r>
          </w:p>
        </w:tc>
        <w:tc>
          <w:tcPr>
            <w:tcW w:w="1430" w:type="dxa"/>
            <w:tcBorders>
              <w:top w:val="nil"/>
              <w:left w:val="nil"/>
              <w:bottom w:val="nil"/>
              <w:right w:val="nil"/>
            </w:tcBorders>
            <w:shd w:val="clear" w:color="auto" w:fill="FFFFFF"/>
          </w:tcPr>
          <w:p w14:paraId="254A8F73">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-36778.736</w:t>
            </w:r>
          </w:p>
        </w:tc>
        <w:tc>
          <w:tcPr>
            <w:tcW w:w="1142" w:type="dxa"/>
            <w:tcBorders>
              <w:top w:val="nil"/>
              <w:left w:val="nil"/>
              <w:bottom w:val="nil"/>
              <w:right w:val="nil"/>
            </w:tcBorders>
            <w:shd w:val="clear" w:color="auto" w:fill="FFFFFF"/>
          </w:tcPr>
          <w:p w14:paraId="526B404C">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73579.472</w:t>
            </w:r>
          </w:p>
        </w:tc>
        <w:tc>
          <w:tcPr>
            <w:tcW w:w="1142" w:type="dxa"/>
            <w:tcBorders>
              <w:top w:val="nil"/>
              <w:left w:val="nil"/>
              <w:bottom w:val="nil"/>
              <w:right w:val="nil"/>
            </w:tcBorders>
            <w:shd w:val="clear" w:color="auto" w:fill="FFFFFF"/>
          </w:tcPr>
          <w:p w14:paraId="19B01343">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73659.482</w:t>
            </w:r>
          </w:p>
        </w:tc>
        <w:tc>
          <w:tcPr>
            <w:tcW w:w="1142" w:type="dxa"/>
            <w:tcBorders>
              <w:top w:val="nil"/>
              <w:left w:val="nil"/>
              <w:bottom w:val="nil"/>
              <w:right w:val="nil"/>
            </w:tcBorders>
            <w:shd w:val="clear" w:color="auto" w:fill="FFFFFF"/>
          </w:tcPr>
          <w:p w14:paraId="1A6F9C4A">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73624.526</w:t>
            </w:r>
          </w:p>
        </w:tc>
        <w:tc>
          <w:tcPr>
            <w:tcW w:w="936" w:type="dxa"/>
            <w:tcBorders>
              <w:top w:val="nil"/>
              <w:left w:val="nil"/>
              <w:bottom w:val="nil"/>
              <w:right w:val="nil"/>
            </w:tcBorders>
            <w:shd w:val="clear" w:color="auto" w:fill="FFFFFF"/>
          </w:tcPr>
          <w:p w14:paraId="243896C1">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0.845</w:t>
            </w:r>
          </w:p>
        </w:tc>
        <w:tc>
          <w:tcPr>
            <w:tcW w:w="955" w:type="dxa"/>
            <w:tcBorders>
              <w:top w:val="nil"/>
              <w:left w:val="nil"/>
              <w:bottom w:val="nil"/>
              <w:right w:val="nil"/>
            </w:tcBorders>
            <w:shd w:val="clear" w:color="auto" w:fill="FFFFFF"/>
            <w:vAlign w:val="center"/>
          </w:tcPr>
          <w:p w14:paraId="681F5F4D">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&lt;0.0001</w:t>
            </w:r>
          </w:p>
        </w:tc>
        <w:tc>
          <w:tcPr>
            <w:tcW w:w="955" w:type="dxa"/>
            <w:tcBorders>
              <w:top w:val="nil"/>
              <w:left w:val="nil"/>
              <w:bottom w:val="nil"/>
              <w:right w:val="nil"/>
            </w:tcBorders>
            <w:shd w:val="clear" w:color="auto" w:fill="FFFFFF"/>
            <w:vAlign w:val="center"/>
          </w:tcPr>
          <w:p w14:paraId="5E2AFA32">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&lt;0.0001</w:t>
            </w:r>
          </w:p>
        </w:tc>
        <w:tc>
          <w:tcPr>
            <w:tcW w:w="2703" w:type="dxa"/>
            <w:tcBorders>
              <w:top w:val="nil"/>
              <w:left w:val="nil"/>
              <w:bottom w:val="nil"/>
              <w:right w:val="nil"/>
            </w:tcBorders>
            <w:shd w:val="clear" w:color="auto" w:fill="FFFFFF"/>
          </w:tcPr>
          <w:p w14:paraId="78D2B334">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0.</w:t>
            </w:r>
            <w:r>
              <w:rPr>
                <w:rFonts w:ascii="Times New Roman Bold" w:hAnsi="Times New Roman Bold" w:eastAsia="宋体" w:cs="Times New Roman Bold"/>
                <w:b/>
                <w:bCs/>
                <w:kern w:val="0"/>
                <w:szCs w:val="21"/>
                <w:lang w:bidi="ar"/>
              </w:rPr>
              <w:t>7246</w:t>
            </w:r>
            <w:r>
              <w:rPr>
                <w:rFonts w:ascii="Times New Roman Bold" w:hAnsi="Times New Roman Bold" w:eastAsia="Times New Roman Regular" w:cs="Times New Roman Bold"/>
                <w:b/>
                <w:bCs/>
                <w:kern w:val="0"/>
                <w:szCs w:val="21"/>
                <w:lang w:bidi="ar"/>
              </w:rPr>
              <w:t>/0.</w:t>
            </w:r>
            <w:r>
              <w:rPr>
                <w:rFonts w:ascii="Times New Roman Bold" w:hAnsi="Times New Roman Bold" w:eastAsia="宋体" w:cs="Times New Roman Bold"/>
                <w:b/>
                <w:bCs/>
                <w:kern w:val="0"/>
                <w:szCs w:val="21"/>
                <w:lang w:bidi="ar"/>
              </w:rPr>
              <w:t>2754</w:t>
            </w:r>
          </w:p>
        </w:tc>
        <w:tc>
          <w:tcPr>
            <w:tcW w:w="1969" w:type="dxa"/>
            <w:tcBorders>
              <w:top w:val="nil"/>
              <w:left w:val="nil"/>
              <w:bottom w:val="nil"/>
              <w:right w:val="nil"/>
            </w:tcBorders>
            <w:shd w:val="clear" w:color="auto" w:fill="FFFFFF"/>
          </w:tcPr>
          <w:p w14:paraId="389EA35B">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7720/2934</w:t>
            </w:r>
          </w:p>
        </w:tc>
      </w:tr>
      <w:tr w14:paraId="21DDDEFB">
        <w:tc>
          <w:tcPr>
            <w:tcW w:w="1373" w:type="dxa"/>
            <w:tcBorders>
              <w:top w:val="nil"/>
              <w:left w:val="nil"/>
              <w:bottom w:val="nil"/>
              <w:right w:val="nil"/>
            </w:tcBorders>
            <w:shd w:val="clear" w:color="auto" w:fill="FFFFFF"/>
          </w:tcPr>
          <w:p w14:paraId="0FE722A2">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3</w:t>
            </w:r>
          </w:p>
        </w:tc>
        <w:tc>
          <w:tcPr>
            <w:tcW w:w="1861" w:type="dxa"/>
            <w:tcBorders>
              <w:top w:val="nil"/>
              <w:left w:val="nil"/>
              <w:bottom w:val="nil"/>
              <w:right w:val="nil"/>
            </w:tcBorders>
            <w:shd w:val="clear" w:color="auto" w:fill="FFFFFF"/>
          </w:tcPr>
          <w:p w14:paraId="63605DB6">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1</w:t>
            </w:r>
            <w:r>
              <w:rPr>
                <w:rFonts w:hint="eastAsia" w:ascii="Times New Roman Regular" w:hAnsi="Times New Roman Regular" w:eastAsia="宋体" w:cs="Times New Roman Regular"/>
                <w:kern w:val="0"/>
                <w:szCs w:val="21"/>
                <w:lang w:bidi="ar"/>
              </w:rPr>
              <w:t>6</w:t>
            </w:r>
          </w:p>
        </w:tc>
        <w:tc>
          <w:tcPr>
            <w:tcW w:w="1430" w:type="dxa"/>
            <w:tcBorders>
              <w:top w:val="nil"/>
              <w:left w:val="nil"/>
              <w:bottom w:val="nil"/>
              <w:right w:val="nil"/>
            </w:tcBorders>
            <w:shd w:val="clear" w:color="auto" w:fill="FFFFFF"/>
          </w:tcPr>
          <w:p w14:paraId="73DEC874">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rPr>
              <w:t>-36446.383</w:t>
            </w:r>
          </w:p>
        </w:tc>
        <w:tc>
          <w:tcPr>
            <w:tcW w:w="1142" w:type="dxa"/>
            <w:tcBorders>
              <w:top w:val="nil"/>
              <w:left w:val="nil"/>
              <w:bottom w:val="nil"/>
              <w:right w:val="nil"/>
            </w:tcBorders>
            <w:shd w:val="clear" w:color="auto" w:fill="FFFFFF"/>
          </w:tcPr>
          <w:p w14:paraId="63479123">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72924.767</w:t>
            </w:r>
          </w:p>
        </w:tc>
        <w:tc>
          <w:tcPr>
            <w:tcW w:w="1142" w:type="dxa"/>
            <w:tcBorders>
              <w:top w:val="nil"/>
              <w:left w:val="nil"/>
              <w:bottom w:val="nil"/>
              <w:right w:val="nil"/>
            </w:tcBorders>
            <w:shd w:val="clear" w:color="auto" w:fill="FFFFFF"/>
          </w:tcPr>
          <w:p w14:paraId="5AB5937B">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73041.146</w:t>
            </w:r>
          </w:p>
        </w:tc>
        <w:tc>
          <w:tcPr>
            <w:tcW w:w="1142" w:type="dxa"/>
            <w:tcBorders>
              <w:top w:val="nil"/>
              <w:left w:val="nil"/>
              <w:bottom w:val="nil"/>
              <w:right w:val="nil"/>
            </w:tcBorders>
            <w:shd w:val="clear" w:color="auto" w:fill="FFFFFF"/>
          </w:tcPr>
          <w:p w14:paraId="6FCA7E5E">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rPr>
              <w:t>72990.300</w:t>
            </w:r>
          </w:p>
        </w:tc>
        <w:tc>
          <w:tcPr>
            <w:tcW w:w="936" w:type="dxa"/>
            <w:tcBorders>
              <w:top w:val="nil"/>
              <w:left w:val="nil"/>
              <w:bottom w:val="nil"/>
              <w:right w:val="nil"/>
            </w:tcBorders>
            <w:shd w:val="clear" w:color="auto" w:fill="FFFFFF"/>
          </w:tcPr>
          <w:p w14:paraId="77DE0F0D">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0.</w:t>
            </w:r>
            <w:r>
              <w:rPr>
                <w:rFonts w:hint="eastAsia" w:ascii="Times New Roman Regular" w:hAnsi="Times New Roman Regular" w:eastAsia="宋体" w:cs="Times New Roman Regular"/>
                <w:kern w:val="0"/>
                <w:szCs w:val="21"/>
                <w:lang w:bidi="ar"/>
              </w:rPr>
              <w:t>91</w:t>
            </w:r>
            <w:r>
              <w:rPr>
                <w:rFonts w:ascii="Times New Roman Regular" w:hAnsi="Times New Roman Regular" w:eastAsia="宋体" w:cs="Times New Roman Regular"/>
                <w:kern w:val="0"/>
                <w:szCs w:val="21"/>
                <w:lang w:bidi="ar"/>
              </w:rPr>
              <w:t>4</w:t>
            </w:r>
          </w:p>
        </w:tc>
        <w:tc>
          <w:tcPr>
            <w:tcW w:w="955" w:type="dxa"/>
            <w:tcBorders>
              <w:top w:val="nil"/>
              <w:left w:val="nil"/>
              <w:bottom w:val="nil"/>
              <w:right w:val="nil"/>
            </w:tcBorders>
            <w:shd w:val="clear" w:color="auto" w:fill="FFFFFF"/>
            <w:vAlign w:val="center"/>
          </w:tcPr>
          <w:p w14:paraId="266F8CB1">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kern w:val="0"/>
                <w:szCs w:val="21"/>
                <w:lang w:bidi="ar"/>
              </w:rPr>
              <w:t>&lt;0.0001</w:t>
            </w:r>
          </w:p>
        </w:tc>
        <w:tc>
          <w:tcPr>
            <w:tcW w:w="955" w:type="dxa"/>
            <w:tcBorders>
              <w:top w:val="nil"/>
              <w:left w:val="nil"/>
              <w:bottom w:val="nil"/>
              <w:right w:val="nil"/>
            </w:tcBorders>
            <w:shd w:val="clear" w:color="auto" w:fill="FFFFFF"/>
            <w:vAlign w:val="center"/>
          </w:tcPr>
          <w:p w14:paraId="68406F99">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kern w:val="0"/>
                <w:szCs w:val="21"/>
                <w:lang w:bidi="ar"/>
              </w:rPr>
              <w:t>&lt;0.0001</w:t>
            </w:r>
          </w:p>
        </w:tc>
        <w:tc>
          <w:tcPr>
            <w:tcW w:w="2703" w:type="dxa"/>
            <w:tcBorders>
              <w:top w:val="nil"/>
              <w:left w:val="nil"/>
              <w:bottom w:val="nil"/>
              <w:right w:val="nil"/>
            </w:tcBorders>
            <w:shd w:val="clear" w:color="auto" w:fill="FFFFFF"/>
          </w:tcPr>
          <w:p w14:paraId="3B224826">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0.</w:t>
            </w:r>
            <w:r>
              <w:rPr>
                <w:rFonts w:hint="eastAsia" w:ascii="Times New Roman Regular" w:hAnsi="Times New Roman Regular" w:eastAsia="宋体" w:cs="Times New Roman Regular"/>
                <w:kern w:val="0"/>
                <w:szCs w:val="21"/>
                <w:lang w:bidi="ar"/>
              </w:rPr>
              <w:t>004</w:t>
            </w:r>
            <w:r>
              <w:rPr>
                <w:rFonts w:ascii="Times New Roman Regular" w:hAnsi="Times New Roman Regular" w:eastAsia="宋体" w:cs="Times New Roman Regular"/>
                <w:kern w:val="0"/>
                <w:szCs w:val="21"/>
                <w:lang w:bidi="ar"/>
              </w:rPr>
              <w:t>4</w:t>
            </w:r>
            <w:r>
              <w:rPr>
                <w:rFonts w:ascii="Times New Roman Regular" w:hAnsi="Times New Roman Regular" w:eastAsia="Times New Roman Regular" w:cs="Times New Roman Regular"/>
                <w:kern w:val="0"/>
                <w:szCs w:val="21"/>
                <w:lang w:bidi="ar"/>
              </w:rPr>
              <w:t>/0.</w:t>
            </w:r>
            <w:r>
              <w:rPr>
                <w:rFonts w:hint="eastAsia" w:ascii="Times New Roman Regular" w:hAnsi="Times New Roman Regular" w:eastAsia="宋体" w:cs="Times New Roman Regular"/>
                <w:kern w:val="0"/>
                <w:szCs w:val="21"/>
                <w:lang w:bidi="ar"/>
              </w:rPr>
              <w:t>2</w:t>
            </w:r>
            <w:r>
              <w:rPr>
                <w:rFonts w:ascii="Times New Roman Regular" w:hAnsi="Times New Roman Regular" w:eastAsia="宋体" w:cs="Times New Roman Regular"/>
                <w:kern w:val="0"/>
                <w:szCs w:val="21"/>
                <w:lang w:bidi="ar"/>
              </w:rPr>
              <w:t>852</w:t>
            </w:r>
            <w:r>
              <w:rPr>
                <w:rFonts w:ascii="Times New Roman Regular" w:hAnsi="Times New Roman Regular" w:eastAsia="Times New Roman Regular" w:cs="Times New Roman Regular"/>
                <w:kern w:val="0"/>
                <w:szCs w:val="21"/>
                <w:lang w:bidi="ar"/>
              </w:rPr>
              <w:t>/0.</w:t>
            </w:r>
            <w:r>
              <w:rPr>
                <w:rFonts w:hint="eastAsia" w:ascii="Times New Roman Regular" w:hAnsi="Times New Roman Regular" w:eastAsia="宋体" w:cs="Times New Roman Regular"/>
                <w:kern w:val="0"/>
                <w:szCs w:val="21"/>
                <w:lang w:bidi="ar"/>
              </w:rPr>
              <w:t>7</w:t>
            </w:r>
            <w:r>
              <w:rPr>
                <w:rFonts w:ascii="Times New Roman Regular" w:hAnsi="Times New Roman Regular" w:eastAsia="宋体" w:cs="Times New Roman Regular"/>
                <w:kern w:val="0"/>
                <w:szCs w:val="21"/>
                <w:lang w:bidi="ar"/>
              </w:rPr>
              <w:t>104</w:t>
            </w:r>
          </w:p>
        </w:tc>
        <w:tc>
          <w:tcPr>
            <w:tcW w:w="1969" w:type="dxa"/>
            <w:tcBorders>
              <w:top w:val="nil"/>
              <w:left w:val="nil"/>
              <w:bottom w:val="nil"/>
              <w:right w:val="nil"/>
            </w:tcBorders>
            <w:shd w:val="clear" w:color="auto" w:fill="FFFFFF"/>
          </w:tcPr>
          <w:p w14:paraId="4D5BDA50">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kern w:val="0"/>
                <w:szCs w:val="21"/>
              </w:rPr>
              <w:t>47</w:t>
            </w:r>
            <w:r>
              <w:rPr>
                <w:rFonts w:hint="eastAsia" w:ascii="Times New Roman Regular" w:hAnsi="Times New Roman Regular" w:eastAsia="宋体" w:cs="Times New Roman Regular"/>
                <w:kern w:val="0"/>
                <w:szCs w:val="21"/>
              </w:rPr>
              <w:t>/</w:t>
            </w:r>
            <w:r>
              <w:rPr>
                <w:rFonts w:ascii="Times New Roman Regular" w:hAnsi="Times New Roman Regular" w:eastAsia="宋体" w:cs="Times New Roman Regular"/>
                <w:kern w:val="0"/>
                <w:szCs w:val="21"/>
              </w:rPr>
              <w:t>3038</w:t>
            </w:r>
            <w:r>
              <w:rPr>
                <w:rFonts w:hint="eastAsia" w:ascii="Times New Roman Regular" w:hAnsi="Times New Roman Regular" w:eastAsia="宋体" w:cs="Times New Roman Regular"/>
                <w:kern w:val="0"/>
                <w:szCs w:val="21"/>
              </w:rPr>
              <w:t>/7</w:t>
            </w:r>
            <w:r>
              <w:rPr>
                <w:rFonts w:ascii="Times New Roman Regular" w:hAnsi="Times New Roman Regular" w:eastAsia="宋体" w:cs="Times New Roman Regular"/>
                <w:kern w:val="0"/>
                <w:szCs w:val="21"/>
              </w:rPr>
              <w:t>569</w:t>
            </w:r>
          </w:p>
        </w:tc>
      </w:tr>
      <w:tr w14:paraId="174A57AC">
        <w:tc>
          <w:tcPr>
            <w:tcW w:w="1373" w:type="dxa"/>
            <w:tcBorders>
              <w:top w:val="nil"/>
              <w:left w:val="nil"/>
              <w:bottom w:val="single" w:color="000000" w:sz="12" w:space="0"/>
              <w:right w:val="nil"/>
            </w:tcBorders>
            <w:shd w:val="clear" w:color="auto" w:fill="FFFFFF"/>
          </w:tcPr>
          <w:p w14:paraId="464B266E">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4</w:t>
            </w:r>
          </w:p>
        </w:tc>
        <w:tc>
          <w:tcPr>
            <w:tcW w:w="1861" w:type="dxa"/>
            <w:tcBorders>
              <w:top w:val="nil"/>
              <w:left w:val="nil"/>
              <w:bottom w:val="single" w:color="000000" w:sz="12" w:space="0"/>
              <w:right w:val="nil"/>
            </w:tcBorders>
            <w:shd w:val="clear" w:color="auto" w:fill="FFFFFF"/>
          </w:tcPr>
          <w:p w14:paraId="5201935A">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21</w:t>
            </w:r>
          </w:p>
        </w:tc>
        <w:tc>
          <w:tcPr>
            <w:tcW w:w="1430" w:type="dxa"/>
            <w:tcBorders>
              <w:top w:val="nil"/>
              <w:left w:val="nil"/>
              <w:bottom w:val="single" w:color="000000" w:sz="12" w:space="0"/>
              <w:right w:val="nil"/>
            </w:tcBorders>
            <w:shd w:val="clear" w:color="auto" w:fill="FFFFFF"/>
          </w:tcPr>
          <w:p w14:paraId="1D44CC37">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-35832.100</w:t>
            </w:r>
          </w:p>
        </w:tc>
        <w:tc>
          <w:tcPr>
            <w:tcW w:w="1142" w:type="dxa"/>
            <w:tcBorders>
              <w:top w:val="nil"/>
              <w:left w:val="nil"/>
              <w:bottom w:val="single" w:color="000000" w:sz="12" w:space="0"/>
              <w:right w:val="nil"/>
            </w:tcBorders>
            <w:shd w:val="clear" w:color="auto" w:fill="FFFFFF"/>
          </w:tcPr>
          <w:p w14:paraId="2E2DC792">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71706.200</w:t>
            </w:r>
          </w:p>
        </w:tc>
        <w:tc>
          <w:tcPr>
            <w:tcW w:w="1142" w:type="dxa"/>
            <w:tcBorders>
              <w:top w:val="nil"/>
              <w:left w:val="nil"/>
              <w:bottom w:val="single" w:color="000000" w:sz="12" w:space="0"/>
              <w:right w:val="nil"/>
            </w:tcBorders>
            <w:shd w:val="clear" w:color="auto" w:fill="FFFFFF"/>
          </w:tcPr>
          <w:p w14:paraId="75CBC162">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71858.948</w:t>
            </w:r>
          </w:p>
        </w:tc>
        <w:tc>
          <w:tcPr>
            <w:tcW w:w="1142" w:type="dxa"/>
            <w:tcBorders>
              <w:top w:val="nil"/>
              <w:left w:val="nil"/>
              <w:bottom w:val="single" w:color="000000" w:sz="12" w:space="0"/>
              <w:right w:val="nil"/>
            </w:tcBorders>
            <w:shd w:val="clear" w:color="auto" w:fill="FFFFFF"/>
          </w:tcPr>
          <w:p w14:paraId="32CD6D21">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71792.213</w:t>
            </w:r>
          </w:p>
        </w:tc>
        <w:tc>
          <w:tcPr>
            <w:tcW w:w="936" w:type="dxa"/>
            <w:tcBorders>
              <w:top w:val="nil"/>
              <w:left w:val="nil"/>
              <w:bottom w:val="single" w:color="000000" w:sz="12" w:space="0"/>
              <w:right w:val="nil"/>
            </w:tcBorders>
            <w:shd w:val="clear" w:color="auto" w:fill="FFFFFF"/>
          </w:tcPr>
          <w:p w14:paraId="3725CB9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0.871</w:t>
            </w:r>
          </w:p>
        </w:tc>
        <w:tc>
          <w:tcPr>
            <w:tcW w:w="955" w:type="dxa"/>
            <w:tcBorders>
              <w:top w:val="nil"/>
              <w:left w:val="nil"/>
              <w:bottom w:val="single" w:color="000000" w:sz="12" w:space="0"/>
              <w:right w:val="nil"/>
            </w:tcBorders>
            <w:shd w:val="clear" w:color="auto" w:fill="FFFFFF"/>
            <w:vAlign w:val="center"/>
          </w:tcPr>
          <w:p w14:paraId="42032546">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&lt;0.0001</w:t>
            </w:r>
          </w:p>
        </w:tc>
        <w:tc>
          <w:tcPr>
            <w:tcW w:w="955" w:type="dxa"/>
            <w:tcBorders>
              <w:top w:val="nil"/>
              <w:left w:val="nil"/>
              <w:bottom w:val="single" w:color="000000" w:sz="12" w:space="0"/>
              <w:right w:val="nil"/>
            </w:tcBorders>
            <w:shd w:val="clear" w:color="auto" w:fill="FFFFFF"/>
            <w:vAlign w:val="center"/>
          </w:tcPr>
          <w:p w14:paraId="141843A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&lt;0.0001</w:t>
            </w:r>
          </w:p>
        </w:tc>
        <w:tc>
          <w:tcPr>
            <w:tcW w:w="2703" w:type="dxa"/>
            <w:tcBorders>
              <w:top w:val="nil"/>
              <w:left w:val="nil"/>
              <w:bottom w:val="single" w:color="000000" w:sz="12" w:space="0"/>
              <w:right w:val="nil"/>
            </w:tcBorders>
            <w:shd w:val="clear" w:color="auto" w:fill="FFFFFF"/>
          </w:tcPr>
          <w:p w14:paraId="103CBA0D">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0.0056/0.6132/0.1426/0.2360</w:t>
            </w:r>
          </w:p>
        </w:tc>
        <w:tc>
          <w:tcPr>
            <w:tcW w:w="1969" w:type="dxa"/>
            <w:tcBorders>
              <w:top w:val="nil"/>
              <w:left w:val="nil"/>
              <w:bottom w:val="single" w:color="000000" w:sz="12" w:space="0"/>
              <w:right w:val="nil"/>
            </w:tcBorders>
            <w:shd w:val="clear" w:color="auto" w:fill="FFFFFF"/>
          </w:tcPr>
          <w:p w14:paraId="30CFC780">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60/6533/1519/2542</w:t>
            </w:r>
          </w:p>
        </w:tc>
      </w:tr>
    </w:tbl>
    <w:p w14:paraId="0D48C140">
      <w:pPr>
        <w:numPr>
          <w:ilvl w:val="0"/>
          <w:numId w:val="1"/>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1:</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Low economic resources with agricultural employment</w:t>
      </w:r>
      <w:r>
        <w:rPr>
          <w:rFonts w:hint="eastAsia" w:ascii="Times New Roman Regular" w:hAnsi="Times New Roman Regular" w:eastAsia="Times New Roman Regular" w:cs="Times New Roman Regular"/>
          <w:szCs w:val="21"/>
          <w:lang w:bidi="ar"/>
        </w:rPr>
        <w:t xml:space="preserve"> (</w:t>
      </w:r>
      <w:r>
        <w:rPr>
          <w:rFonts w:hint="eastAsia" w:ascii="Times New Roman Regular" w:hAnsi="Times New Roman Regular" w:eastAsia="宋体" w:cs="Times New Roman Regular"/>
          <w:szCs w:val="21"/>
          <w:lang w:bidi="ar"/>
        </w:rPr>
        <w:t>72.5</w:t>
      </w:r>
      <w:r>
        <w:rPr>
          <w:rFonts w:hint="eastAsia" w:ascii="Times New Roman Regular" w:hAnsi="Times New Roman Regular" w:eastAsia="Times New Roman Regular" w:cs="Times New Roman Regular"/>
          <w:szCs w:val="21"/>
          <w:lang w:bidi="ar"/>
        </w:rPr>
        <w:t>%)</w:t>
      </w:r>
    </w:p>
    <w:p w14:paraId="0D48C141">
      <w:pPr>
        <w:numPr>
          <w:ilvl w:val="0"/>
          <w:numId w:val="1"/>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lang w:bidi="ar"/>
        </w:rPr>
        <w:t>2</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 xml:space="preserve">High economic resources with </w:t>
      </w:r>
      <w:r>
        <w:rPr>
          <w:rFonts w:hint="eastAsia" w:ascii="Times New Roman Regular" w:hAnsi="Times New Roman Regular" w:eastAsia="宋体" w:cs="Times New Roman Regular"/>
          <w:szCs w:val="21"/>
          <w:lang w:bidi="ar"/>
        </w:rPr>
        <w:t>non-</w:t>
      </w:r>
      <w:r>
        <w:rPr>
          <w:rFonts w:ascii="Times New Roman Regular" w:hAnsi="Times New Roman Regular" w:eastAsia="Times New Roman Regular" w:cs="Times New Roman Regular"/>
          <w:szCs w:val="21"/>
          <w:lang w:bidi="ar"/>
        </w:rPr>
        <w:t>agricultural employment</w:t>
      </w:r>
      <w:r>
        <w:rPr>
          <w:rFonts w:hint="eastAsia" w:ascii="Times New Roman Regular" w:hAnsi="Times New Roman Regular" w:eastAsia="宋体" w:cs="Times New Roman Regular"/>
          <w:szCs w:val="21"/>
          <w:lang w:bidi="ar"/>
        </w:rPr>
        <w:t xml:space="preserve"> or </w:t>
      </w:r>
      <w:r>
        <w:rPr>
          <w:rFonts w:ascii="Times New Roman Regular" w:hAnsi="Times New Roman Regular" w:eastAsia="Times New Roman Regular" w:cs="Times New Roman Regular"/>
          <w:szCs w:val="21"/>
          <w:lang w:bidi="ar"/>
        </w:rPr>
        <w:t>without employment</w:t>
      </w:r>
      <w:r>
        <w:rPr>
          <w:rFonts w:hint="eastAsia" w:ascii="Times New Roman Regular" w:hAnsi="Times New Roman Regular" w:eastAsia="宋体" w:cs="Times New Roman Regular"/>
          <w:szCs w:val="21"/>
          <w:lang w:bidi="ar"/>
        </w:rPr>
        <w:t xml:space="preserve"> (e.g. retired)</w:t>
      </w:r>
      <w:r>
        <w:rPr>
          <w:rFonts w:hint="eastAsia" w:ascii="Times New Roman Regular" w:hAnsi="Times New Roman Regular" w:eastAsia="Times New Roman Regular" w:cs="Times New Roman Regular"/>
          <w:szCs w:val="21"/>
          <w:lang w:bidi="ar"/>
        </w:rPr>
        <w:t xml:space="preserve"> (</w:t>
      </w:r>
      <w:r>
        <w:rPr>
          <w:rFonts w:hint="eastAsia" w:ascii="Times New Roman Regular" w:hAnsi="Times New Roman Regular" w:eastAsia="宋体" w:cs="Times New Roman Regular"/>
          <w:szCs w:val="21"/>
          <w:lang w:bidi="ar"/>
        </w:rPr>
        <w:t>27.5</w:t>
      </w:r>
      <w:r>
        <w:rPr>
          <w:rFonts w:hint="eastAsia" w:ascii="Times New Roman Regular" w:hAnsi="Times New Roman Regular" w:eastAsia="Times New Roman Regular" w:cs="Times New Roman Regular"/>
          <w:szCs w:val="21"/>
          <w:lang w:bidi="ar"/>
        </w:rPr>
        <w:t>%)</w:t>
      </w:r>
    </w:p>
    <w:p w14:paraId="531974A0">
      <w:pPr>
        <w:rPr>
          <w:rFonts w:ascii="Times New Roman Regular" w:hAnsi="Times New Roman Regular" w:eastAsia="宋体" w:cs="Times New Roman Regular"/>
          <w:szCs w:val="21"/>
        </w:rPr>
      </w:pPr>
      <w:r>
        <w:rPr>
          <w:rFonts w:hint="eastAsia" w:ascii="Times New Roman Regular" w:hAnsi="Times New Roman Regular" w:eastAsia="宋体" w:cs="Times New Roman Regular"/>
          <w:szCs w:val="21"/>
          <w:lang w:bidi="ar"/>
        </w:rPr>
        <w:t xml:space="preserve"> </w:t>
      </w:r>
    </w:p>
    <w:p w14:paraId="29670CAF">
      <w:pPr>
        <w:spacing w:line="360" w:lineRule="auto"/>
        <w:rPr>
          <w:rFonts w:ascii="Times New Roman Bold" w:hAnsi="Times New Roman Bold" w:eastAsia="宋体" w:cs="Times New Roman Bold"/>
          <w:szCs w:val="21"/>
        </w:rPr>
      </w:pPr>
      <w:r>
        <w:rPr>
          <w:rFonts w:ascii="Times New Roman Bold" w:hAnsi="Times New Roman Bold" w:eastAsia="Times New Roman Bold" w:cs="Times New Roman Bold"/>
          <w:b/>
          <w:bCs/>
          <w:szCs w:val="21"/>
          <w:lang w:bidi="ar"/>
        </w:rPr>
        <w:t xml:space="preserve">Table S4. </w:t>
      </w:r>
      <w:r>
        <w:rPr>
          <w:rFonts w:ascii="Times New Roman Bold" w:hAnsi="Times New Roman Bold" w:eastAsia="宋体" w:cs="Times New Roman Bold"/>
          <w:szCs w:val="21"/>
          <w:lang w:bidi="ar"/>
        </w:rPr>
        <w:t xml:space="preserve">Latent </w:t>
      </w:r>
      <w:r>
        <w:rPr>
          <w:rFonts w:ascii="Times New Roman Bold" w:hAnsi="Times New Roman Bold" w:eastAsia="Times New Roman Bold" w:cs="Times New Roman Bold"/>
          <w:szCs w:val="21"/>
          <w:lang w:bidi="ar"/>
        </w:rPr>
        <w:t>c</w:t>
      </w:r>
      <w:r>
        <w:rPr>
          <w:rFonts w:ascii="Times New Roman Bold" w:hAnsi="Times New Roman Bold" w:eastAsia="宋体" w:cs="Times New Roman Bold"/>
          <w:szCs w:val="21"/>
          <w:lang w:bidi="ar"/>
        </w:rPr>
        <w:t xml:space="preserve">lass </w:t>
      </w:r>
      <w:r>
        <w:rPr>
          <w:rFonts w:ascii="Times New Roman Bold" w:hAnsi="Times New Roman Bold" w:eastAsia="Times New Roman Bold" w:cs="Times New Roman Bold"/>
          <w:szCs w:val="21"/>
          <w:lang w:bidi="ar"/>
        </w:rPr>
        <w:t>m</w:t>
      </w:r>
      <w:r>
        <w:rPr>
          <w:rFonts w:ascii="Times New Roman Bold" w:hAnsi="Times New Roman Bold" w:eastAsia="宋体" w:cs="Times New Roman Bold"/>
          <w:szCs w:val="21"/>
          <w:lang w:bidi="ar"/>
        </w:rPr>
        <w:t xml:space="preserve">odel </w:t>
      </w:r>
      <w:r>
        <w:rPr>
          <w:rFonts w:ascii="Times New Roman Bold" w:hAnsi="Times New Roman Bold" w:eastAsia="Times New Roman Bold" w:cs="Times New Roman Bold"/>
          <w:szCs w:val="21"/>
          <w:lang w:bidi="ar"/>
        </w:rPr>
        <w:t>f</w:t>
      </w:r>
      <w:r>
        <w:rPr>
          <w:rFonts w:ascii="Times New Roman Bold" w:hAnsi="Times New Roman Bold" w:eastAsia="宋体" w:cs="Times New Roman Bold"/>
          <w:szCs w:val="21"/>
          <w:lang w:bidi="ar"/>
        </w:rPr>
        <w:t xml:space="preserve">it </w:t>
      </w:r>
      <w:r>
        <w:rPr>
          <w:rFonts w:ascii="Times New Roman Bold" w:hAnsi="Times New Roman Bold" w:eastAsia="Times New Roman Bold" w:cs="Times New Roman Bold"/>
          <w:szCs w:val="21"/>
          <w:lang w:bidi="ar"/>
        </w:rPr>
        <w:t>i</w:t>
      </w:r>
      <w:r>
        <w:rPr>
          <w:rFonts w:ascii="Times New Roman Bold" w:hAnsi="Times New Roman Bold" w:eastAsia="宋体" w:cs="Times New Roman Bold"/>
          <w:szCs w:val="21"/>
          <w:lang w:bidi="ar"/>
        </w:rPr>
        <w:t>ndices (Healthcare access and quality)</w:t>
      </w:r>
      <w:r>
        <w:rPr>
          <w:rFonts w:ascii="Times New Roman Bold" w:hAnsi="Times New Roman Bold" w:eastAsia="Times New Roman Bold" w:cs="Times New Roman Bold"/>
          <w:szCs w:val="21"/>
          <w:lang w:bidi="ar"/>
        </w:rPr>
        <w:t>.</w:t>
      </w:r>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102"/>
        <w:gridCol w:w="1480"/>
        <w:gridCol w:w="1152"/>
        <w:gridCol w:w="1152"/>
        <w:gridCol w:w="1152"/>
        <w:gridCol w:w="914"/>
        <w:gridCol w:w="930"/>
        <w:gridCol w:w="931"/>
        <w:gridCol w:w="3338"/>
        <w:gridCol w:w="2446"/>
      </w:tblGrid>
      <w:tr w14:paraId="77AB7604">
        <w:tc>
          <w:tcPr>
            <w:tcW w:w="347" w:type="pct"/>
            <w:tcBorders>
              <w:top w:val="single" w:color="000000" w:sz="12" w:space="0"/>
              <w:left w:val="nil"/>
              <w:bottom w:val="single" w:color="000000" w:sz="4" w:space="0"/>
              <w:right w:val="nil"/>
            </w:tcBorders>
            <w:shd w:val="clear" w:color="auto" w:fill="FFFFFF"/>
            <w:vAlign w:val="center"/>
          </w:tcPr>
          <w:p w14:paraId="08FE7A60">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N</w:t>
            </w:r>
            <w:r>
              <w:rPr>
                <w:rFonts w:ascii="Times New Roman Regular" w:hAnsi="Times New Roman Regular" w:eastAsia="宋体" w:cs="Times New Roman Regular"/>
                <w:kern w:val="0"/>
                <w:szCs w:val="21"/>
                <w:lang w:bidi="ar"/>
              </w:rPr>
              <w:t xml:space="preserve">o. </w:t>
            </w:r>
          </w:p>
        </w:tc>
        <w:tc>
          <w:tcPr>
            <w:tcW w:w="375" w:type="pct"/>
            <w:tcBorders>
              <w:top w:val="single" w:color="000000" w:sz="12" w:space="0"/>
              <w:left w:val="nil"/>
              <w:bottom w:val="single" w:color="000000" w:sz="4" w:space="0"/>
              <w:right w:val="nil"/>
            </w:tcBorders>
            <w:shd w:val="clear" w:color="auto" w:fill="FFFFFF"/>
            <w:vAlign w:val="center"/>
          </w:tcPr>
          <w:p w14:paraId="5EB2E6BE">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Free Parameter No.</w:t>
            </w:r>
          </w:p>
        </w:tc>
        <w:tc>
          <w:tcPr>
            <w:tcW w:w="496" w:type="pct"/>
            <w:tcBorders>
              <w:top w:val="single" w:color="000000" w:sz="12" w:space="0"/>
              <w:left w:val="nil"/>
              <w:bottom w:val="single" w:color="000000" w:sz="4" w:space="0"/>
              <w:right w:val="nil"/>
            </w:tcBorders>
            <w:shd w:val="clear" w:color="auto" w:fill="FFFFFF"/>
            <w:vAlign w:val="center"/>
          </w:tcPr>
          <w:p w14:paraId="6B26F33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Loglikelihood</w:t>
            </w:r>
          </w:p>
        </w:tc>
        <w:tc>
          <w:tcPr>
            <w:tcW w:w="391" w:type="pct"/>
            <w:tcBorders>
              <w:top w:val="single" w:color="000000" w:sz="12" w:space="0"/>
              <w:left w:val="nil"/>
              <w:bottom w:val="single" w:color="000000" w:sz="4" w:space="0"/>
              <w:right w:val="nil"/>
            </w:tcBorders>
            <w:shd w:val="clear" w:color="auto" w:fill="FFFFFF"/>
            <w:vAlign w:val="center"/>
          </w:tcPr>
          <w:p w14:paraId="49BA616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AIC</w:t>
            </w:r>
          </w:p>
        </w:tc>
        <w:tc>
          <w:tcPr>
            <w:tcW w:w="391" w:type="pct"/>
            <w:tcBorders>
              <w:top w:val="single" w:color="000000" w:sz="12" w:space="0"/>
              <w:left w:val="nil"/>
              <w:bottom w:val="single" w:color="000000" w:sz="4" w:space="0"/>
              <w:right w:val="nil"/>
            </w:tcBorders>
            <w:shd w:val="clear" w:color="auto" w:fill="FFFFFF"/>
            <w:vAlign w:val="center"/>
          </w:tcPr>
          <w:p w14:paraId="52A85052">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BIC</w:t>
            </w:r>
          </w:p>
        </w:tc>
        <w:tc>
          <w:tcPr>
            <w:tcW w:w="391" w:type="pct"/>
            <w:tcBorders>
              <w:top w:val="single" w:color="000000" w:sz="12" w:space="0"/>
              <w:left w:val="nil"/>
              <w:bottom w:val="single" w:color="000000" w:sz="4" w:space="0"/>
              <w:right w:val="nil"/>
            </w:tcBorders>
            <w:shd w:val="clear" w:color="auto" w:fill="FFFFFF"/>
            <w:vAlign w:val="center"/>
          </w:tcPr>
          <w:p w14:paraId="7AA35A85">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aBIC</w:t>
            </w:r>
          </w:p>
        </w:tc>
        <w:tc>
          <w:tcPr>
            <w:tcW w:w="315" w:type="pct"/>
            <w:tcBorders>
              <w:top w:val="single" w:color="000000" w:sz="12" w:space="0"/>
              <w:left w:val="nil"/>
              <w:bottom w:val="single" w:color="000000" w:sz="4" w:space="0"/>
              <w:right w:val="nil"/>
            </w:tcBorders>
            <w:shd w:val="clear" w:color="auto" w:fill="FFFFFF"/>
            <w:vAlign w:val="center"/>
          </w:tcPr>
          <w:p w14:paraId="504F92B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Entropy</w:t>
            </w:r>
          </w:p>
        </w:tc>
        <w:tc>
          <w:tcPr>
            <w:tcW w:w="320" w:type="pct"/>
            <w:tcBorders>
              <w:top w:val="single" w:color="000000" w:sz="12" w:space="0"/>
              <w:left w:val="nil"/>
              <w:bottom w:val="single" w:color="000000" w:sz="4" w:space="0"/>
              <w:right w:val="nil"/>
            </w:tcBorders>
            <w:shd w:val="clear" w:color="auto" w:fill="FFFFFF"/>
            <w:vAlign w:val="center"/>
          </w:tcPr>
          <w:p w14:paraId="5B1F0F2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LMR</w:t>
            </w:r>
          </w:p>
        </w:tc>
        <w:tc>
          <w:tcPr>
            <w:tcW w:w="320" w:type="pct"/>
            <w:tcBorders>
              <w:top w:val="single" w:color="000000" w:sz="12" w:space="0"/>
              <w:left w:val="nil"/>
              <w:bottom w:val="single" w:color="000000" w:sz="4" w:space="0"/>
              <w:right w:val="nil"/>
            </w:tcBorders>
            <w:shd w:val="clear" w:color="auto" w:fill="FFFFFF"/>
            <w:vAlign w:val="center"/>
          </w:tcPr>
          <w:p w14:paraId="60C4CFF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BLRT</w:t>
            </w:r>
          </w:p>
        </w:tc>
        <w:tc>
          <w:tcPr>
            <w:tcW w:w="953" w:type="pct"/>
            <w:tcBorders>
              <w:top w:val="single" w:color="000000" w:sz="12" w:space="0"/>
              <w:left w:val="nil"/>
              <w:bottom w:val="single" w:color="000000" w:sz="4" w:space="0"/>
              <w:right w:val="nil"/>
            </w:tcBorders>
            <w:shd w:val="clear" w:color="auto" w:fill="FFFFFF"/>
            <w:vAlign w:val="center"/>
          </w:tcPr>
          <w:p w14:paraId="53E5A77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Probability</w:t>
            </w:r>
          </w:p>
        </w:tc>
        <w:tc>
          <w:tcPr>
            <w:tcW w:w="693" w:type="pct"/>
            <w:tcBorders>
              <w:top w:val="single" w:color="000000" w:sz="12" w:space="0"/>
              <w:left w:val="nil"/>
              <w:bottom w:val="single" w:color="000000" w:sz="4" w:space="0"/>
              <w:right w:val="nil"/>
            </w:tcBorders>
            <w:shd w:val="clear" w:color="auto" w:fill="FFFFFF"/>
            <w:vAlign w:val="center"/>
          </w:tcPr>
          <w:p w14:paraId="34DDA28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Sample Size</w:t>
            </w:r>
          </w:p>
        </w:tc>
      </w:tr>
      <w:tr w14:paraId="64118FBF">
        <w:tc>
          <w:tcPr>
            <w:tcW w:w="1084" w:type="dxa"/>
            <w:tcBorders>
              <w:top w:val="single" w:color="000000" w:sz="4" w:space="0"/>
              <w:left w:val="nil"/>
              <w:bottom w:val="nil"/>
              <w:right w:val="nil"/>
            </w:tcBorders>
            <w:shd w:val="clear" w:color="auto" w:fill="FFFFFF"/>
          </w:tcPr>
          <w:p w14:paraId="3BDB09D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1</w:t>
            </w:r>
          </w:p>
        </w:tc>
        <w:tc>
          <w:tcPr>
            <w:tcW w:w="1173" w:type="dxa"/>
            <w:tcBorders>
              <w:top w:val="single" w:color="000000" w:sz="4" w:space="0"/>
              <w:left w:val="nil"/>
              <w:bottom w:val="nil"/>
              <w:right w:val="nil"/>
            </w:tcBorders>
            <w:shd w:val="clear" w:color="auto" w:fill="FFFFFF"/>
          </w:tcPr>
          <w:p w14:paraId="7A4EC94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5</w:t>
            </w:r>
          </w:p>
        </w:tc>
        <w:tc>
          <w:tcPr>
            <w:tcW w:w="1551" w:type="dxa"/>
            <w:tcBorders>
              <w:top w:val="single" w:color="000000" w:sz="4" w:space="0"/>
              <w:left w:val="nil"/>
              <w:bottom w:val="nil"/>
              <w:right w:val="nil"/>
            </w:tcBorders>
            <w:shd w:val="clear" w:color="auto" w:fill="FFFFFF"/>
          </w:tcPr>
          <w:p w14:paraId="7A4E392A">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-21744.679</w:t>
            </w:r>
          </w:p>
        </w:tc>
        <w:tc>
          <w:tcPr>
            <w:tcW w:w="1223" w:type="dxa"/>
            <w:tcBorders>
              <w:top w:val="single" w:color="000000" w:sz="4" w:space="0"/>
              <w:left w:val="nil"/>
              <w:bottom w:val="nil"/>
              <w:right w:val="nil"/>
            </w:tcBorders>
            <w:shd w:val="clear" w:color="auto" w:fill="FFFFFF"/>
          </w:tcPr>
          <w:p w14:paraId="6E84F3B0">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43499.358</w:t>
            </w:r>
          </w:p>
        </w:tc>
        <w:tc>
          <w:tcPr>
            <w:tcW w:w="1223" w:type="dxa"/>
            <w:tcBorders>
              <w:top w:val="single" w:color="000000" w:sz="4" w:space="0"/>
              <w:left w:val="nil"/>
              <w:bottom w:val="nil"/>
              <w:right w:val="nil"/>
            </w:tcBorders>
            <w:shd w:val="clear" w:color="auto" w:fill="FFFFFF"/>
          </w:tcPr>
          <w:p w14:paraId="34066CD1">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43535.726</w:t>
            </w:r>
          </w:p>
        </w:tc>
        <w:tc>
          <w:tcPr>
            <w:tcW w:w="1223" w:type="dxa"/>
            <w:tcBorders>
              <w:top w:val="single" w:color="000000" w:sz="4" w:space="0"/>
              <w:left w:val="nil"/>
              <w:bottom w:val="nil"/>
              <w:right w:val="nil"/>
            </w:tcBorders>
            <w:shd w:val="clear" w:color="auto" w:fill="FFFFFF"/>
          </w:tcPr>
          <w:p w14:paraId="2BE1950D">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43519.837</w:t>
            </w:r>
          </w:p>
        </w:tc>
        <w:tc>
          <w:tcPr>
            <w:tcW w:w="985" w:type="dxa"/>
            <w:tcBorders>
              <w:top w:val="single" w:color="000000" w:sz="4" w:space="0"/>
              <w:left w:val="nil"/>
              <w:bottom w:val="nil"/>
              <w:right w:val="nil"/>
            </w:tcBorders>
            <w:shd w:val="clear" w:color="auto" w:fill="FFFFFF"/>
          </w:tcPr>
          <w:p w14:paraId="0202388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1001" w:type="dxa"/>
            <w:tcBorders>
              <w:top w:val="single" w:color="000000" w:sz="4" w:space="0"/>
              <w:left w:val="nil"/>
              <w:bottom w:val="nil"/>
              <w:right w:val="nil"/>
            </w:tcBorders>
            <w:shd w:val="clear" w:color="auto" w:fill="FFFFFF"/>
          </w:tcPr>
          <w:p w14:paraId="6824131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1001" w:type="dxa"/>
            <w:tcBorders>
              <w:top w:val="single" w:color="000000" w:sz="4" w:space="0"/>
              <w:left w:val="nil"/>
              <w:bottom w:val="nil"/>
              <w:right w:val="nil"/>
            </w:tcBorders>
            <w:shd w:val="clear" w:color="auto" w:fill="FFFFFF"/>
          </w:tcPr>
          <w:p w14:paraId="7ADFB1AD">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2980" w:type="dxa"/>
            <w:tcBorders>
              <w:top w:val="single" w:color="000000" w:sz="4" w:space="0"/>
              <w:left w:val="nil"/>
              <w:bottom w:val="nil"/>
              <w:right w:val="nil"/>
            </w:tcBorders>
            <w:shd w:val="clear" w:color="auto" w:fill="FFFFFF"/>
          </w:tcPr>
          <w:p w14:paraId="20983AFD">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2167" w:type="dxa"/>
            <w:tcBorders>
              <w:top w:val="single" w:color="000000" w:sz="4" w:space="0"/>
              <w:left w:val="nil"/>
              <w:bottom w:val="nil"/>
              <w:right w:val="nil"/>
            </w:tcBorders>
            <w:shd w:val="clear" w:color="auto" w:fill="FFFFFF"/>
          </w:tcPr>
          <w:p w14:paraId="3BAEA9E2">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r>
      <w:tr w14:paraId="26A86730">
        <w:trPr>
          <w:trHeight w:val="90" w:hRule="atLeast"/>
        </w:trPr>
        <w:tc>
          <w:tcPr>
            <w:tcW w:w="1084" w:type="dxa"/>
            <w:tcBorders>
              <w:top w:val="nil"/>
              <w:left w:val="nil"/>
              <w:bottom w:val="nil"/>
              <w:right w:val="nil"/>
            </w:tcBorders>
            <w:shd w:val="clear" w:color="auto" w:fill="FFFFFF"/>
          </w:tcPr>
          <w:p w14:paraId="2F09F69F">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2</w:t>
            </w:r>
          </w:p>
        </w:tc>
        <w:tc>
          <w:tcPr>
            <w:tcW w:w="1173" w:type="dxa"/>
            <w:tcBorders>
              <w:top w:val="nil"/>
              <w:left w:val="nil"/>
              <w:bottom w:val="nil"/>
              <w:right w:val="nil"/>
            </w:tcBorders>
            <w:shd w:val="clear" w:color="auto" w:fill="FFFFFF"/>
          </w:tcPr>
          <w:p w14:paraId="2228510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10</w:t>
            </w:r>
          </w:p>
        </w:tc>
        <w:tc>
          <w:tcPr>
            <w:tcW w:w="1551" w:type="dxa"/>
            <w:tcBorders>
              <w:top w:val="nil"/>
              <w:left w:val="nil"/>
              <w:bottom w:val="nil"/>
              <w:right w:val="nil"/>
            </w:tcBorders>
            <w:shd w:val="clear" w:color="auto" w:fill="FFFFFF"/>
          </w:tcPr>
          <w:p w14:paraId="70E7F265">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-21408.818</w:t>
            </w:r>
          </w:p>
        </w:tc>
        <w:tc>
          <w:tcPr>
            <w:tcW w:w="1223" w:type="dxa"/>
            <w:tcBorders>
              <w:top w:val="nil"/>
              <w:left w:val="nil"/>
              <w:bottom w:val="nil"/>
              <w:right w:val="nil"/>
            </w:tcBorders>
            <w:shd w:val="clear" w:color="auto" w:fill="FFFFFF"/>
          </w:tcPr>
          <w:p w14:paraId="06734A6D">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42837.637</w:t>
            </w:r>
          </w:p>
        </w:tc>
        <w:tc>
          <w:tcPr>
            <w:tcW w:w="1223" w:type="dxa"/>
            <w:tcBorders>
              <w:top w:val="nil"/>
              <w:left w:val="nil"/>
              <w:bottom w:val="nil"/>
              <w:right w:val="nil"/>
            </w:tcBorders>
            <w:shd w:val="clear" w:color="auto" w:fill="FFFFFF"/>
          </w:tcPr>
          <w:p w14:paraId="4C17D1F2">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42910.374</w:t>
            </w:r>
          </w:p>
        </w:tc>
        <w:tc>
          <w:tcPr>
            <w:tcW w:w="1223" w:type="dxa"/>
            <w:tcBorders>
              <w:top w:val="nil"/>
              <w:left w:val="nil"/>
              <w:bottom w:val="nil"/>
              <w:right w:val="nil"/>
            </w:tcBorders>
            <w:shd w:val="clear" w:color="auto" w:fill="FFFFFF"/>
          </w:tcPr>
          <w:p w14:paraId="520BD467">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42878.595</w:t>
            </w:r>
          </w:p>
        </w:tc>
        <w:tc>
          <w:tcPr>
            <w:tcW w:w="985" w:type="dxa"/>
            <w:tcBorders>
              <w:top w:val="nil"/>
              <w:left w:val="nil"/>
              <w:bottom w:val="nil"/>
              <w:right w:val="nil"/>
            </w:tcBorders>
            <w:shd w:val="clear" w:color="auto" w:fill="FFFFFF"/>
          </w:tcPr>
          <w:p w14:paraId="08F264E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0.6</w:t>
            </w:r>
            <w:r>
              <w:rPr>
                <w:rFonts w:hint="eastAsia" w:ascii="Times New Roman Regular" w:hAnsi="Times New Roman Regular" w:eastAsia="宋体" w:cs="Times New Roman Regular"/>
                <w:kern w:val="0"/>
                <w:szCs w:val="21"/>
                <w:lang w:bidi="ar"/>
              </w:rPr>
              <w:t>12</w:t>
            </w:r>
          </w:p>
        </w:tc>
        <w:tc>
          <w:tcPr>
            <w:tcW w:w="1001" w:type="dxa"/>
            <w:tcBorders>
              <w:top w:val="nil"/>
              <w:left w:val="nil"/>
              <w:bottom w:val="nil"/>
              <w:right w:val="nil"/>
            </w:tcBorders>
            <w:shd w:val="clear" w:color="auto" w:fill="FFFFFF"/>
            <w:vAlign w:val="center"/>
          </w:tcPr>
          <w:p w14:paraId="24822458">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&lt;0.0001</w:t>
            </w:r>
          </w:p>
        </w:tc>
        <w:tc>
          <w:tcPr>
            <w:tcW w:w="1001" w:type="dxa"/>
            <w:tcBorders>
              <w:top w:val="nil"/>
              <w:left w:val="nil"/>
              <w:bottom w:val="nil"/>
              <w:right w:val="nil"/>
            </w:tcBorders>
            <w:shd w:val="clear" w:color="auto" w:fill="FFFFFF"/>
            <w:vAlign w:val="center"/>
          </w:tcPr>
          <w:p w14:paraId="28B0FA6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&lt;0.0001</w:t>
            </w:r>
          </w:p>
        </w:tc>
        <w:tc>
          <w:tcPr>
            <w:tcW w:w="2980" w:type="dxa"/>
            <w:tcBorders>
              <w:top w:val="nil"/>
              <w:left w:val="nil"/>
              <w:bottom w:val="nil"/>
              <w:right w:val="nil"/>
            </w:tcBorders>
            <w:shd w:val="clear" w:color="auto" w:fill="FFFFFF"/>
          </w:tcPr>
          <w:p w14:paraId="2E8E5D21">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0.4973/0.5027</w:t>
            </w:r>
          </w:p>
        </w:tc>
        <w:tc>
          <w:tcPr>
            <w:tcW w:w="2167" w:type="dxa"/>
            <w:tcBorders>
              <w:top w:val="nil"/>
              <w:left w:val="nil"/>
              <w:bottom w:val="nil"/>
              <w:right w:val="nil"/>
            </w:tcBorders>
            <w:shd w:val="clear" w:color="auto" w:fill="FFFFFF"/>
          </w:tcPr>
          <w:p w14:paraId="406BE0BD">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lang w:bidi="ar"/>
              </w:rPr>
              <w:t>5298/5356</w:t>
            </w:r>
          </w:p>
        </w:tc>
      </w:tr>
      <w:tr w14:paraId="609FB1AB">
        <w:tc>
          <w:tcPr>
            <w:tcW w:w="1084" w:type="dxa"/>
            <w:tcBorders>
              <w:top w:val="nil"/>
              <w:left w:val="nil"/>
              <w:bottom w:val="nil"/>
              <w:right w:val="nil"/>
            </w:tcBorders>
            <w:shd w:val="clear" w:color="auto" w:fill="FFFFFF"/>
          </w:tcPr>
          <w:p w14:paraId="1158510E">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3</w:t>
            </w:r>
          </w:p>
        </w:tc>
        <w:tc>
          <w:tcPr>
            <w:tcW w:w="1173" w:type="dxa"/>
            <w:tcBorders>
              <w:top w:val="nil"/>
              <w:left w:val="nil"/>
              <w:bottom w:val="nil"/>
              <w:right w:val="nil"/>
            </w:tcBorders>
            <w:shd w:val="clear" w:color="auto" w:fill="FFFFFF"/>
          </w:tcPr>
          <w:p w14:paraId="6C09EEB9">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15</w:t>
            </w:r>
          </w:p>
        </w:tc>
        <w:tc>
          <w:tcPr>
            <w:tcW w:w="1551" w:type="dxa"/>
            <w:tcBorders>
              <w:top w:val="nil"/>
              <w:left w:val="nil"/>
              <w:bottom w:val="nil"/>
              <w:right w:val="nil"/>
            </w:tcBorders>
            <w:shd w:val="clear" w:color="auto" w:fill="FFFFFF"/>
          </w:tcPr>
          <w:p w14:paraId="6A132A23">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Times New Roman Regular" w:cs="Times New Roman Regular"/>
                <w:kern w:val="0"/>
                <w:szCs w:val="21"/>
                <w:lang w:bidi="ar"/>
              </w:rPr>
              <w:t>-20935.737</w:t>
            </w:r>
          </w:p>
        </w:tc>
        <w:tc>
          <w:tcPr>
            <w:tcW w:w="1223" w:type="dxa"/>
            <w:tcBorders>
              <w:top w:val="nil"/>
              <w:left w:val="nil"/>
              <w:bottom w:val="nil"/>
              <w:right w:val="nil"/>
            </w:tcBorders>
            <w:shd w:val="clear" w:color="auto" w:fill="FFFFFF"/>
          </w:tcPr>
          <w:p w14:paraId="31D4A608">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41901.474</w:t>
            </w:r>
          </w:p>
        </w:tc>
        <w:tc>
          <w:tcPr>
            <w:tcW w:w="1223" w:type="dxa"/>
            <w:tcBorders>
              <w:top w:val="nil"/>
              <w:left w:val="nil"/>
              <w:bottom w:val="nil"/>
              <w:right w:val="nil"/>
            </w:tcBorders>
            <w:shd w:val="clear" w:color="auto" w:fill="FFFFFF"/>
          </w:tcPr>
          <w:p w14:paraId="5ACB92AB">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42010.580</w:t>
            </w:r>
          </w:p>
        </w:tc>
        <w:tc>
          <w:tcPr>
            <w:tcW w:w="1223" w:type="dxa"/>
            <w:tcBorders>
              <w:top w:val="nil"/>
              <w:left w:val="nil"/>
              <w:bottom w:val="nil"/>
              <w:right w:val="nil"/>
            </w:tcBorders>
            <w:shd w:val="clear" w:color="auto" w:fill="FFFFFF"/>
          </w:tcPr>
          <w:p w14:paraId="5FF27996">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41962.912</w:t>
            </w:r>
          </w:p>
        </w:tc>
        <w:tc>
          <w:tcPr>
            <w:tcW w:w="985" w:type="dxa"/>
            <w:tcBorders>
              <w:top w:val="nil"/>
              <w:left w:val="nil"/>
              <w:bottom w:val="nil"/>
              <w:right w:val="nil"/>
            </w:tcBorders>
            <w:shd w:val="clear" w:color="auto" w:fill="FFFFFF"/>
          </w:tcPr>
          <w:p w14:paraId="09440ED1">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Times New Roman Regular" w:cs="Times New Roman Regular"/>
                <w:kern w:val="0"/>
                <w:szCs w:val="21"/>
                <w:lang w:bidi="ar"/>
              </w:rPr>
              <w:t>0.82</w:t>
            </w:r>
            <w:r>
              <w:rPr>
                <w:rFonts w:hint="eastAsia" w:ascii="Times New Roman Regular" w:hAnsi="Times New Roman Regular" w:eastAsia="宋体" w:cs="Times New Roman Regular"/>
                <w:kern w:val="0"/>
                <w:szCs w:val="21"/>
                <w:lang w:bidi="ar"/>
              </w:rPr>
              <w:t>8</w:t>
            </w:r>
          </w:p>
        </w:tc>
        <w:tc>
          <w:tcPr>
            <w:tcW w:w="1001" w:type="dxa"/>
            <w:tcBorders>
              <w:top w:val="nil"/>
              <w:left w:val="nil"/>
              <w:bottom w:val="nil"/>
              <w:right w:val="nil"/>
            </w:tcBorders>
            <w:shd w:val="clear" w:color="auto" w:fill="FFFFFF"/>
            <w:vAlign w:val="center"/>
          </w:tcPr>
          <w:p w14:paraId="0E69CF31">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kern w:val="0"/>
                <w:szCs w:val="21"/>
                <w:lang w:bidi="ar"/>
              </w:rPr>
              <w:t>&lt;0.0001</w:t>
            </w:r>
          </w:p>
        </w:tc>
        <w:tc>
          <w:tcPr>
            <w:tcW w:w="1001" w:type="dxa"/>
            <w:tcBorders>
              <w:top w:val="nil"/>
              <w:left w:val="nil"/>
              <w:bottom w:val="nil"/>
              <w:right w:val="nil"/>
            </w:tcBorders>
            <w:shd w:val="clear" w:color="auto" w:fill="FFFFFF"/>
            <w:vAlign w:val="center"/>
          </w:tcPr>
          <w:p w14:paraId="021C178F">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kern w:val="0"/>
                <w:szCs w:val="21"/>
                <w:lang w:bidi="ar"/>
              </w:rPr>
              <w:t>&lt;0.0001</w:t>
            </w:r>
          </w:p>
        </w:tc>
        <w:tc>
          <w:tcPr>
            <w:tcW w:w="2980" w:type="dxa"/>
            <w:tcBorders>
              <w:top w:val="nil"/>
              <w:left w:val="nil"/>
              <w:bottom w:val="nil"/>
              <w:right w:val="nil"/>
            </w:tcBorders>
            <w:shd w:val="clear" w:color="auto" w:fill="FFFFFF"/>
          </w:tcPr>
          <w:p w14:paraId="6E5036C6">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0.3026/0.2340/0.4634</w:t>
            </w:r>
          </w:p>
        </w:tc>
        <w:tc>
          <w:tcPr>
            <w:tcW w:w="2167" w:type="dxa"/>
            <w:tcBorders>
              <w:top w:val="nil"/>
              <w:left w:val="nil"/>
              <w:bottom w:val="nil"/>
              <w:right w:val="nil"/>
            </w:tcBorders>
            <w:shd w:val="clear" w:color="auto" w:fill="FFFFFF"/>
          </w:tcPr>
          <w:p w14:paraId="7E0798BE">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kern w:val="0"/>
                <w:szCs w:val="21"/>
                <w:lang w:bidi="ar"/>
              </w:rPr>
              <w:t>3224/2493/4937</w:t>
            </w:r>
          </w:p>
        </w:tc>
      </w:tr>
      <w:tr w14:paraId="6793F00B">
        <w:tc>
          <w:tcPr>
            <w:tcW w:w="1084" w:type="dxa"/>
            <w:tcBorders>
              <w:top w:val="nil"/>
              <w:left w:val="nil"/>
              <w:bottom w:val="nil"/>
              <w:right w:val="nil"/>
            </w:tcBorders>
            <w:shd w:val="clear" w:color="auto" w:fill="FFFFFF"/>
          </w:tcPr>
          <w:p w14:paraId="20FEFBDD">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4</w:t>
            </w:r>
          </w:p>
        </w:tc>
        <w:tc>
          <w:tcPr>
            <w:tcW w:w="1173" w:type="dxa"/>
            <w:tcBorders>
              <w:top w:val="nil"/>
              <w:left w:val="nil"/>
              <w:bottom w:val="nil"/>
              <w:right w:val="nil"/>
            </w:tcBorders>
            <w:shd w:val="clear" w:color="auto" w:fill="FFFFFF"/>
          </w:tcPr>
          <w:p w14:paraId="3BB860C2">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20</w:t>
            </w:r>
          </w:p>
        </w:tc>
        <w:tc>
          <w:tcPr>
            <w:tcW w:w="1551" w:type="dxa"/>
            <w:tcBorders>
              <w:top w:val="nil"/>
              <w:left w:val="nil"/>
              <w:bottom w:val="nil"/>
              <w:right w:val="nil"/>
            </w:tcBorders>
            <w:shd w:val="clear" w:color="auto" w:fill="FFFFFF"/>
          </w:tcPr>
          <w:p w14:paraId="7F039987">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-20696.806</w:t>
            </w:r>
          </w:p>
        </w:tc>
        <w:tc>
          <w:tcPr>
            <w:tcW w:w="1223" w:type="dxa"/>
            <w:tcBorders>
              <w:top w:val="nil"/>
              <w:left w:val="nil"/>
              <w:bottom w:val="nil"/>
              <w:right w:val="nil"/>
            </w:tcBorders>
            <w:shd w:val="clear" w:color="auto" w:fill="FFFFFF"/>
          </w:tcPr>
          <w:p w14:paraId="045A032F">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41433.613</w:t>
            </w:r>
          </w:p>
        </w:tc>
        <w:tc>
          <w:tcPr>
            <w:tcW w:w="1223" w:type="dxa"/>
            <w:tcBorders>
              <w:top w:val="nil"/>
              <w:left w:val="nil"/>
              <w:bottom w:val="nil"/>
              <w:right w:val="nil"/>
            </w:tcBorders>
            <w:shd w:val="clear" w:color="auto" w:fill="FFFFFF"/>
          </w:tcPr>
          <w:p w14:paraId="546882A8">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41579.087</w:t>
            </w:r>
          </w:p>
        </w:tc>
        <w:tc>
          <w:tcPr>
            <w:tcW w:w="1223" w:type="dxa"/>
            <w:tcBorders>
              <w:top w:val="nil"/>
              <w:left w:val="nil"/>
              <w:bottom w:val="nil"/>
              <w:right w:val="nil"/>
            </w:tcBorders>
            <w:shd w:val="clear" w:color="auto" w:fill="FFFFFF"/>
          </w:tcPr>
          <w:p w14:paraId="7E13D7CF">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rPr>
              <w:t>41515.529</w:t>
            </w:r>
          </w:p>
        </w:tc>
        <w:tc>
          <w:tcPr>
            <w:tcW w:w="985" w:type="dxa"/>
            <w:tcBorders>
              <w:top w:val="nil"/>
              <w:left w:val="nil"/>
              <w:bottom w:val="nil"/>
              <w:right w:val="nil"/>
            </w:tcBorders>
            <w:shd w:val="clear" w:color="auto" w:fill="FFFFFF"/>
          </w:tcPr>
          <w:p w14:paraId="60FED861">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Times New Roman Regular" w:cs="Times New Roman Bold"/>
                <w:b/>
                <w:bCs/>
                <w:kern w:val="0"/>
                <w:szCs w:val="21"/>
                <w:lang w:bidi="ar"/>
              </w:rPr>
              <w:t>0.8</w:t>
            </w:r>
            <w:r>
              <w:rPr>
                <w:rFonts w:ascii="Times New Roman Bold" w:hAnsi="Times New Roman Bold" w:eastAsia="宋体" w:cs="Times New Roman Bold"/>
                <w:b/>
                <w:bCs/>
                <w:kern w:val="0"/>
                <w:szCs w:val="21"/>
                <w:lang w:bidi="ar"/>
              </w:rPr>
              <w:t>53</w:t>
            </w:r>
          </w:p>
        </w:tc>
        <w:tc>
          <w:tcPr>
            <w:tcW w:w="1001" w:type="dxa"/>
            <w:tcBorders>
              <w:top w:val="nil"/>
              <w:left w:val="nil"/>
              <w:bottom w:val="nil"/>
              <w:right w:val="nil"/>
            </w:tcBorders>
            <w:shd w:val="clear" w:color="auto" w:fill="FFFFFF"/>
            <w:vAlign w:val="center"/>
          </w:tcPr>
          <w:p w14:paraId="0411E646">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&lt;0.0001</w:t>
            </w:r>
          </w:p>
        </w:tc>
        <w:tc>
          <w:tcPr>
            <w:tcW w:w="1001" w:type="dxa"/>
            <w:tcBorders>
              <w:top w:val="nil"/>
              <w:left w:val="nil"/>
              <w:bottom w:val="nil"/>
              <w:right w:val="nil"/>
            </w:tcBorders>
            <w:shd w:val="clear" w:color="auto" w:fill="FFFFFF"/>
            <w:vAlign w:val="center"/>
          </w:tcPr>
          <w:p w14:paraId="3F56DE67">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&lt;0.0001</w:t>
            </w:r>
          </w:p>
        </w:tc>
        <w:tc>
          <w:tcPr>
            <w:tcW w:w="2980" w:type="dxa"/>
            <w:tcBorders>
              <w:top w:val="nil"/>
              <w:left w:val="nil"/>
              <w:bottom w:val="nil"/>
              <w:right w:val="nil"/>
            </w:tcBorders>
            <w:shd w:val="clear" w:color="auto" w:fill="FFFFFF"/>
          </w:tcPr>
          <w:p w14:paraId="0920DA8B">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0.2724/0.2324/0.2192/0.2761</w:t>
            </w:r>
          </w:p>
        </w:tc>
        <w:tc>
          <w:tcPr>
            <w:tcW w:w="2167" w:type="dxa"/>
            <w:tcBorders>
              <w:top w:val="nil"/>
              <w:left w:val="nil"/>
              <w:bottom w:val="nil"/>
              <w:right w:val="nil"/>
            </w:tcBorders>
            <w:shd w:val="clear" w:color="auto" w:fill="FFFFFF"/>
          </w:tcPr>
          <w:p w14:paraId="4BE0892E">
            <w:pPr>
              <w:widowControl/>
              <w:jc w:val="center"/>
              <w:textAlignment w:val="center"/>
              <w:rPr>
                <w:rFonts w:ascii="Times New Roman Regular" w:hAnsi="Times New Roman Regular" w:eastAsia="宋体" w:cs="Times New Roman Regular"/>
                <w:kern w:val="0"/>
                <w:szCs w:val="21"/>
              </w:rPr>
            </w:pPr>
            <w:r>
              <w:rPr>
                <w:rFonts w:ascii="Times New Roman Bold" w:hAnsi="Times New Roman Bold" w:eastAsia="宋体" w:cs="Times New Roman Bold"/>
                <w:b/>
                <w:bCs/>
                <w:kern w:val="0"/>
                <w:szCs w:val="21"/>
                <w:lang w:bidi="ar"/>
              </w:rPr>
              <w:t>2902/2476/2335/2941</w:t>
            </w:r>
          </w:p>
        </w:tc>
      </w:tr>
      <w:tr w14:paraId="07994E27">
        <w:tc>
          <w:tcPr>
            <w:tcW w:w="1084" w:type="dxa"/>
            <w:tcBorders>
              <w:top w:val="nil"/>
              <w:left w:val="nil"/>
              <w:bottom w:val="single" w:color="000000" w:sz="12" w:space="0"/>
              <w:right w:val="nil"/>
            </w:tcBorders>
            <w:shd w:val="clear" w:color="auto" w:fill="FFFFFF"/>
          </w:tcPr>
          <w:p w14:paraId="51A24716">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5</w:t>
            </w:r>
          </w:p>
        </w:tc>
        <w:tc>
          <w:tcPr>
            <w:tcW w:w="1173" w:type="dxa"/>
            <w:tcBorders>
              <w:top w:val="nil"/>
              <w:left w:val="nil"/>
              <w:bottom w:val="single" w:color="000000" w:sz="12" w:space="0"/>
              <w:right w:val="nil"/>
            </w:tcBorders>
            <w:shd w:val="clear" w:color="auto" w:fill="FFFFFF"/>
          </w:tcPr>
          <w:p w14:paraId="0585CD78">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25</w:t>
            </w:r>
          </w:p>
        </w:tc>
        <w:tc>
          <w:tcPr>
            <w:tcW w:w="1551" w:type="dxa"/>
            <w:tcBorders>
              <w:top w:val="nil"/>
              <w:left w:val="nil"/>
              <w:bottom w:val="single" w:color="000000" w:sz="12" w:space="0"/>
              <w:right w:val="nil"/>
            </w:tcBorders>
            <w:shd w:val="clear" w:color="auto" w:fill="FFFFFF"/>
          </w:tcPr>
          <w:p w14:paraId="6D0E1083">
            <w:pPr>
              <w:widowControl/>
              <w:tabs>
                <w:tab w:val="left" w:pos="255"/>
              </w:tabs>
              <w:jc w:val="left"/>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ab/>
            </w:r>
            <w:r>
              <w:rPr>
                <w:rFonts w:hint="eastAsia" w:ascii="Times New Roman Regular" w:hAnsi="Times New Roman Regular" w:eastAsia="宋体" w:cs="Times New Roman Regular"/>
                <w:kern w:val="0"/>
                <w:szCs w:val="21"/>
                <w:lang w:bidi="ar"/>
              </w:rPr>
              <w:t>-20654.322</w:t>
            </w:r>
          </w:p>
        </w:tc>
        <w:tc>
          <w:tcPr>
            <w:tcW w:w="1223" w:type="dxa"/>
            <w:tcBorders>
              <w:top w:val="nil"/>
              <w:left w:val="nil"/>
              <w:bottom w:val="single" w:color="000000" w:sz="12" w:space="0"/>
              <w:right w:val="nil"/>
            </w:tcBorders>
            <w:shd w:val="clear" w:color="auto" w:fill="FFFFFF"/>
          </w:tcPr>
          <w:p w14:paraId="72C2AB14">
            <w:pPr>
              <w:widowControl/>
              <w:tabs>
                <w:tab w:val="left" w:pos="433"/>
              </w:tabs>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rPr>
              <w:t>41358.643</w:t>
            </w:r>
          </w:p>
        </w:tc>
        <w:tc>
          <w:tcPr>
            <w:tcW w:w="1223" w:type="dxa"/>
            <w:tcBorders>
              <w:top w:val="nil"/>
              <w:left w:val="nil"/>
              <w:bottom w:val="single" w:color="000000" w:sz="12" w:space="0"/>
              <w:right w:val="nil"/>
            </w:tcBorders>
            <w:shd w:val="clear" w:color="auto" w:fill="FFFFFF"/>
          </w:tcPr>
          <w:p w14:paraId="549252DA">
            <w:pPr>
              <w:widowControl/>
              <w:tabs>
                <w:tab w:val="left" w:pos="492"/>
              </w:tabs>
              <w:jc w:val="left"/>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41540.486</w:t>
            </w:r>
          </w:p>
        </w:tc>
        <w:tc>
          <w:tcPr>
            <w:tcW w:w="1223" w:type="dxa"/>
            <w:tcBorders>
              <w:top w:val="nil"/>
              <w:left w:val="nil"/>
              <w:bottom w:val="single" w:color="000000" w:sz="12" w:space="0"/>
              <w:right w:val="nil"/>
            </w:tcBorders>
            <w:shd w:val="clear" w:color="auto" w:fill="FFFFFF"/>
          </w:tcPr>
          <w:p w14:paraId="65DC385D">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rPr>
              <w:t>41461.039</w:t>
            </w:r>
          </w:p>
        </w:tc>
        <w:tc>
          <w:tcPr>
            <w:tcW w:w="985" w:type="dxa"/>
            <w:tcBorders>
              <w:top w:val="nil"/>
              <w:left w:val="nil"/>
              <w:bottom w:val="single" w:color="000000" w:sz="12" w:space="0"/>
              <w:right w:val="nil"/>
            </w:tcBorders>
            <w:shd w:val="clear" w:color="auto" w:fill="FFFFFF"/>
          </w:tcPr>
          <w:p w14:paraId="7A940B72">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0.879</w:t>
            </w:r>
          </w:p>
        </w:tc>
        <w:tc>
          <w:tcPr>
            <w:tcW w:w="1001" w:type="dxa"/>
            <w:tcBorders>
              <w:top w:val="nil"/>
              <w:left w:val="nil"/>
              <w:bottom w:val="single" w:color="000000" w:sz="12" w:space="0"/>
              <w:right w:val="nil"/>
            </w:tcBorders>
            <w:shd w:val="clear" w:color="auto" w:fill="FFFFFF"/>
            <w:vAlign w:val="center"/>
          </w:tcPr>
          <w:p w14:paraId="18496E9D">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0.2102</w:t>
            </w:r>
          </w:p>
        </w:tc>
        <w:tc>
          <w:tcPr>
            <w:tcW w:w="1001" w:type="dxa"/>
            <w:tcBorders>
              <w:top w:val="nil"/>
              <w:left w:val="nil"/>
              <w:bottom w:val="single" w:color="000000" w:sz="12" w:space="0"/>
              <w:right w:val="nil"/>
            </w:tcBorders>
            <w:shd w:val="clear" w:color="auto" w:fill="FFFFFF"/>
            <w:vAlign w:val="center"/>
          </w:tcPr>
          <w:p w14:paraId="1DCF668A">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1.000</w:t>
            </w:r>
          </w:p>
        </w:tc>
        <w:tc>
          <w:tcPr>
            <w:tcW w:w="2980" w:type="dxa"/>
            <w:tcBorders>
              <w:top w:val="nil"/>
              <w:left w:val="nil"/>
              <w:bottom w:val="single" w:color="000000" w:sz="12" w:space="0"/>
              <w:right w:val="nil"/>
            </w:tcBorders>
            <w:shd w:val="clear" w:color="auto" w:fill="FFFFFF"/>
          </w:tcPr>
          <w:p w14:paraId="69713E9C">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0.2218/0.2500/0.0254/0.2324/0.2704</w:t>
            </w:r>
          </w:p>
        </w:tc>
        <w:tc>
          <w:tcPr>
            <w:tcW w:w="2167" w:type="dxa"/>
            <w:tcBorders>
              <w:top w:val="nil"/>
              <w:left w:val="nil"/>
              <w:bottom w:val="single" w:color="000000" w:sz="12" w:space="0"/>
              <w:right w:val="nil"/>
            </w:tcBorders>
            <w:shd w:val="clear" w:color="auto" w:fill="FFFFFF"/>
          </w:tcPr>
          <w:p w14:paraId="2B0D7D71">
            <w:pPr>
              <w:widowControl/>
              <w:jc w:val="center"/>
              <w:textAlignment w:val="center"/>
              <w:rPr>
                <w:rFonts w:ascii="Times New Roman Regular" w:hAnsi="Times New Roman Regular" w:eastAsia="Times New Roman Regular" w:cs="Times New Roman Regular"/>
                <w:kern w:val="0"/>
                <w:szCs w:val="21"/>
                <w:lang w:bidi="ar"/>
              </w:rPr>
            </w:pPr>
            <w:r>
              <w:rPr>
                <w:rFonts w:hint="eastAsia" w:ascii="Times New Roman Regular" w:hAnsi="Times New Roman Regular" w:eastAsia="宋体" w:cs="Times New Roman Regular"/>
                <w:kern w:val="0"/>
                <w:szCs w:val="21"/>
                <w:lang w:bidi="ar"/>
              </w:rPr>
              <w:t>2363/2663/271/2476/2881</w:t>
            </w:r>
          </w:p>
        </w:tc>
      </w:tr>
    </w:tbl>
    <w:p w14:paraId="0D48C18C">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lang w:bidi="ar"/>
        </w:rPr>
        <w:t>1</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Low perceived healthcare access despite higher per-capita facility density</w:t>
      </w:r>
      <w:r>
        <w:rPr>
          <w:rFonts w:hint="eastAsia" w:ascii="Times New Roman Regular" w:hAnsi="Times New Roman Regular" w:eastAsia="Times New Roman Regular" w:cs="Times New Roman Regular"/>
          <w:szCs w:val="21"/>
          <w:lang w:bidi="ar"/>
        </w:rPr>
        <w:t xml:space="preserve"> (</w:t>
      </w:r>
      <w:r>
        <w:rPr>
          <w:rFonts w:ascii="Times New Roman Regular" w:hAnsi="Times New Roman Regular" w:eastAsia="Times New Roman Regular" w:cs="Times New Roman Regular"/>
          <w:szCs w:val="21"/>
          <w:lang w:bidi="ar"/>
        </w:rPr>
        <w:t>27.2</w:t>
      </w:r>
      <w:r>
        <w:rPr>
          <w:rFonts w:hint="eastAsia" w:ascii="Times New Roman Regular" w:hAnsi="Times New Roman Regular" w:eastAsia="Times New Roman Regular" w:cs="Times New Roman Regular"/>
          <w:szCs w:val="21"/>
          <w:lang w:bidi="ar"/>
        </w:rPr>
        <w:t>%)</w:t>
      </w:r>
    </w:p>
    <w:p w14:paraId="0D48C18D">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lang w:bidi="ar"/>
        </w:rPr>
        <w:t>2</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Moderate perceived healthcare access with </w:t>
      </w:r>
      <w:r>
        <w:rPr>
          <w:rFonts w:ascii="Times New Roman Regular" w:hAnsi="Times New Roman Regular" w:eastAsia="宋体" w:cs="Times New Roman Regular"/>
          <w:szCs w:val="21"/>
          <w:lang w:bidi="ar"/>
        </w:rPr>
        <w:t>moderate</w:t>
      </w:r>
      <w:r>
        <w:rPr>
          <w:rFonts w:hint="eastAsia" w:ascii="Times New Roman Regular" w:hAnsi="Times New Roman Regular" w:eastAsia="宋体" w:cs="Times New Roman Regular"/>
          <w:szCs w:val="21"/>
          <w:lang w:bidi="ar"/>
        </w:rPr>
        <w:t xml:space="preserve"> per-capita facility density</w:t>
      </w:r>
      <w:r>
        <w:rPr>
          <w:rFonts w:hint="eastAsia" w:ascii="Times New Roman Regular" w:hAnsi="Times New Roman Regular" w:eastAsia="Times New Roman Regular" w:cs="Times New Roman Regular"/>
          <w:szCs w:val="21"/>
          <w:lang w:bidi="ar"/>
        </w:rPr>
        <w:t xml:space="preserve"> (2</w:t>
      </w:r>
      <w:r>
        <w:rPr>
          <w:rFonts w:ascii="Times New Roman Regular" w:hAnsi="Times New Roman Regular" w:eastAsia="Times New Roman Regular" w:cs="Times New Roman Regular"/>
          <w:szCs w:val="21"/>
          <w:lang w:bidi="ar"/>
        </w:rPr>
        <w:t>1.9</w:t>
      </w:r>
      <w:r>
        <w:rPr>
          <w:rFonts w:hint="eastAsia" w:ascii="Times New Roman Regular" w:hAnsi="Times New Roman Regular" w:eastAsia="Times New Roman Regular" w:cs="Times New Roman Regular"/>
          <w:szCs w:val="21"/>
          <w:lang w:bidi="ar"/>
        </w:rPr>
        <w:t>%)</w:t>
      </w:r>
    </w:p>
    <w:p w14:paraId="0D48C18E">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lang w:bidi="ar"/>
        </w:rPr>
        <w:t>3</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Moderate perceived healthcare access with relatively higher per-capita facility density</w:t>
      </w:r>
      <w:r>
        <w:rPr>
          <w:rFonts w:hint="eastAsia" w:ascii="Times New Roman Regular" w:hAnsi="Times New Roman Regular" w:eastAsia="Times New Roman Regular" w:cs="Times New Roman Regular"/>
          <w:szCs w:val="21"/>
          <w:lang w:bidi="ar"/>
        </w:rPr>
        <w:t xml:space="preserve"> (2</w:t>
      </w:r>
      <w:r>
        <w:rPr>
          <w:rFonts w:ascii="Times New Roman Regular" w:hAnsi="Times New Roman Regular" w:eastAsia="Times New Roman Regular" w:cs="Times New Roman Regular"/>
          <w:szCs w:val="21"/>
          <w:lang w:bidi="ar"/>
        </w:rPr>
        <w:t>7.6</w:t>
      </w:r>
      <w:r>
        <w:rPr>
          <w:rFonts w:hint="eastAsia" w:ascii="Times New Roman Regular" w:hAnsi="Times New Roman Regular" w:eastAsia="Times New Roman Regular" w:cs="Times New Roman Regular"/>
          <w:szCs w:val="21"/>
          <w:lang w:bidi="ar"/>
        </w:rPr>
        <w:t>%)</w:t>
      </w:r>
    </w:p>
    <w:p w14:paraId="0D48C18F">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lang w:bidi="ar"/>
        </w:rPr>
        <w:t>4</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High perceived healthcare access despite lower per-capita facility density </w:t>
      </w:r>
      <w:r>
        <w:rPr>
          <w:rFonts w:hint="eastAsia" w:ascii="Times New Roman Regular" w:hAnsi="Times New Roman Regular" w:eastAsia="Times New Roman Regular" w:cs="Times New Roman Regular"/>
          <w:szCs w:val="21"/>
          <w:lang w:bidi="ar"/>
        </w:rPr>
        <w:t>(2</w:t>
      </w:r>
      <w:r>
        <w:rPr>
          <w:rFonts w:ascii="Times New Roman Regular" w:hAnsi="Times New Roman Regular" w:eastAsia="Times New Roman Regular" w:cs="Times New Roman Regular"/>
          <w:szCs w:val="21"/>
          <w:lang w:bidi="ar"/>
        </w:rPr>
        <w:t>3.2</w:t>
      </w:r>
      <w:r>
        <w:rPr>
          <w:rFonts w:hint="eastAsia" w:ascii="Times New Roman Regular" w:hAnsi="Times New Roman Regular" w:eastAsia="Times New Roman Regular" w:cs="Times New Roman Regular"/>
          <w:szCs w:val="21"/>
          <w:lang w:bidi="ar"/>
        </w:rPr>
        <w:t>%)</w:t>
      </w:r>
    </w:p>
    <w:p w14:paraId="51A2AA07">
      <w:pPr>
        <w:rPr>
          <w:rFonts w:ascii="Times New Roman Bold" w:hAnsi="Times New Roman Bold" w:eastAsia="宋体" w:cs="Times New Roman Bold"/>
          <w:b/>
          <w:bCs/>
          <w:szCs w:val="21"/>
        </w:rPr>
      </w:pPr>
      <w:r>
        <w:rPr>
          <w:rFonts w:hint="eastAsia" w:ascii="Calibri" w:hAnsi="Calibri" w:eastAsia="宋体" w:cs="Times New Roman"/>
          <w:szCs w:val="21"/>
          <w:lang w:bidi="ar"/>
        </w:rPr>
        <w:t xml:space="preserve"> </w:t>
      </w:r>
    </w:p>
    <w:p w14:paraId="0F5672A5">
      <w:pPr>
        <w:widowControl/>
        <w:jc w:val="left"/>
        <w:rPr>
          <w:rFonts w:ascii="Times New Roman Bold" w:hAnsi="Times New Roman Bold" w:eastAsia="Times New Roman Bold" w:cs="Times New Roman Bold"/>
          <w:b/>
          <w:bCs/>
          <w:szCs w:val="21"/>
          <w:lang w:bidi="ar"/>
        </w:rPr>
      </w:pPr>
      <w:r>
        <w:rPr>
          <w:rFonts w:ascii="Times New Roman Bold" w:hAnsi="Times New Roman Bold" w:eastAsia="Times New Roman Bold" w:cs="Times New Roman Bold"/>
          <w:b/>
          <w:bCs/>
          <w:szCs w:val="21"/>
          <w:lang w:bidi="ar"/>
        </w:rPr>
        <w:br w:type="page"/>
      </w:r>
    </w:p>
    <w:p w14:paraId="447B3E9C">
      <w:pPr>
        <w:spacing w:line="360" w:lineRule="auto"/>
        <w:rPr>
          <w:rFonts w:ascii="Times New Roman Bold" w:hAnsi="Times New Roman Bold" w:eastAsia="Times New Roman Bold" w:cs="Times New Roman Bold"/>
          <w:kern w:val="0"/>
          <w:szCs w:val="21"/>
          <w:lang w:bidi="ar"/>
        </w:rPr>
      </w:pPr>
      <w:r>
        <w:rPr>
          <w:rFonts w:ascii="Times New Roman Bold" w:hAnsi="Times New Roman Bold" w:eastAsia="Times New Roman Bold" w:cs="Times New Roman Bold"/>
          <w:b/>
          <w:bCs/>
          <w:szCs w:val="21"/>
          <w:lang w:bidi="ar"/>
        </w:rPr>
        <w:t xml:space="preserve">Table S5. </w:t>
      </w:r>
      <w:r>
        <w:rPr>
          <w:rFonts w:ascii="Times New Roman Bold" w:hAnsi="Times New Roman Bold" w:eastAsia="宋体" w:cs="Times New Roman Bold"/>
          <w:szCs w:val="21"/>
          <w:lang w:bidi="ar"/>
        </w:rPr>
        <w:t xml:space="preserve">Latent </w:t>
      </w:r>
      <w:r>
        <w:rPr>
          <w:rFonts w:ascii="Times New Roman Bold" w:hAnsi="Times New Roman Bold" w:eastAsia="Times New Roman Bold" w:cs="Times New Roman Bold"/>
          <w:szCs w:val="21"/>
          <w:lang w:bidi="ar"/>
        </w:rPr>
        <w:t>c</w:t>
      </w:r>
      <w:r>
        <w:rPr>
          <w:rFonts w:ascii="Times New Roman Bold" w:hAnsi="Times New Roman Bold" w:eastAsia="宋体" w:cs="Times New Roman Bold"/>
          <w:szCs w:val="21"/>
          <w:lang w:bidi="ar"/>
        </w:rPr>
        <w:t xml:space="preserve">lass </w:t>
      </w:r>
      <w:r>
        <w:rPr>
          <w:rFonts w:ascii="Times New Roman Bold" w:hAnsi="Times New Roman Bold" w:eastAsia="Times New Roman Bold" w:cs="Times New Roman Bold"/>
          <w:szCs w:val="21"/>
          <w:lang w:bidi="ar"/>
        </w:rPr>
        <w:t>m</w:t>
      </w:r>
      <w:r>
        <w:rPr>
          <w:rFonts w:ascii="Times New Roman Bold" w:hAnsi="Times New Roman Bold" w:eastAsia="宋体" w:cs="Times New Roman Bold"/>
          <w:szCs w:val="21"/>
          <w:lang w:bidi="ar"/>
        </w:rPr>
        <w:t xml:space="preserve">odel </w:t>
      </w:r>
      <w:r>
        <w:rPr>
          <w:rFonts w:ascii="Times New Roman Bold" w:hAnsi="Times New Roman Bold" w:eastAsia="Times New Roman Bold" w:cs="Times New Roman Bold"/>
          <w:szCs w:val="21"/>
          <w:lang w:bidi="ar"/>
        </w:rPr>
        <w:t>f</w:t>
      </w:r>
      <w:r>
        <w:rPr>
          <w:rFonts w:ascii="Times New Roman Bold" w:hAnsi="Times New Roman Bold" w:eastAsia="宋体" w:cs="Times New Roman Bold"/>
          <w:szCs w:val="21"/>
          <w:lang w:bidi="ar"/>
        </w:rPr>
        <w:t xml:space="preserve">it </w:t>
      </w:r>
      <w:r>
        <w:rPr>
          <w:rFonts w:ascii="Times New Roman Bold" w:hAnsi="Times New Roman Bold" w:eastAsia="Times New Roman Bold" w:cs="Times New Roman Bold"/>
          <w:szCs w:val="21"/>
          <w:lang w:bidi="ar"/>
        </w:rPr>
        <w:t>i</w:t>
      </w:r>
      <w:r>
        <w:rPr>
          <w:rFonts w:ascii="Times New Roman Bold" w:hAnsi="Times New Roman Bold" w:eastAsia="宋体" w:cs="Times New Roman Bold"/>
          <w:szCs w:val="21"/>
          <w:lang w:bidi="ar"/>
        </w:rPr>
        <w:t>ndices (</w:t>
      </w:r>
      <w:r>
        <w:rPr>
          <w:rFonts w:ascii="Times New Roman Bold" w:hAnsi="Times New Roman Bold" w:eastAsia="宋体" w:cs="Times New Roman Bold"/>
          <w:kern w:val="0"/>
          <w:szCs w:val="21"/>
          <w:lang w:bidi="ar"/>
        </w:rPr>
        <w:t>Neighborhood and built environment</w:t>
      </w:r>
      <w:r>
        <w:rPr>
          <w:rFonts w:ascii="Times New Roman Bold" w:hAnsi="Times New Roman Bold" w:eastAsia="Times New Roman Bold" w:cs="Times New Roman Bold"/>
          <w:kern w:val="0"/>
          <w:szCs w:val="21"/>
          <w:lang w:bidi="ar"/>
        </w:rPr>
        <w:t>).</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068"/>
        <w:gridCol w:w="1406"/>
        <w:gridCol w:w="1214"/>
        <w:gridCol w:w="1214"/>
        <w:gridCol w:w="1214"/>
        <w:gridCol w:w="970"/>
        <w:gridCol w:w="986"/>
        <w:gridCol w:w="914"/>
        <w:gridCol w:w="3337"/>
        <w:gridCol w:w="2299"/>
      </w:tblGrid>
      <w:tr w14:paraId="74F865B9">
        <w:tc>
          <w:tcPr>
            <w:tcW w:w="315" w:type="pct"/>
            <w:tcBorders>
              <w:top w:val="single" w:color="000000" w:sz="12" w:space="0"/>
              <w:left w:val="nil"/>
              <w:bottom w:val="single" w:color="000000" w:sz="4" w:space="0"/>
              <w:right w:val="nil"/>
              <w:tl2br w:val="nil"/>
            </w:tcBorders>
            <w:shd w:val="clear" w:color="auto" w:fill="FFFFFF"/>
            <w:vAlign w:val="center"/>
          </w:tcPr>
          <w:p w14:paraId="189D8362">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 xml:space="preserve">Category </w:t>
            </w:r>
            <w:r>
              <w:rPr>
                <w:rFonts w:hint="eastAsia" w:ascii="Times New Roman Regular" w:hAnsi="Times New Roman Regular" w:eastAsia="宋体" w:cs="Times New Roman Regular"/>
                <w:kern w:val="0"/>
                <w:szCs w:val="21"/>
                <w:lang w:bidi="ar"/>
              </w:rPr>
              <w:t>N</w:t>
            </w:r>
            <w:r>
              <w:rPr>
                <w:rFonts w:ascii="Times New Roman Regular" w:hAnsi="Times New Roman Regular" w:eastAsia="宋体" w:cs="Times New Roman Regular"/>
                <w:kern w:val="0"/>
                <w:szCs w:val="21"/>
                <w:lang w:bidi="ar"/>
              </w:rPr>
              <w:t xml:space="preserve">o. </w:t>
            </w:r>
          </w:p>
        </w:tc>
        <w:tc>
          <w:tcPr>
            <w:tcW w:w="331" w:type="pct"/>
            <w:tcBorders>
              <w:top w:val="single" w:color="000000" w:sz="12" w:space="0"/>
              <w:left w:val="nil"/>
              <w:bottom w:val="single" w:color="000000" w:sz="4" w:space="0"/>
              <w:right w:val="nil"/>
            </w:tcBorders>
            <w:shd w:val="clear" w:color="auto" w:fill="FFFFFF"/>
            <w:vAlign w:val="center"/>
          </w:tcPr>
          <w:p w14:paraId="56FC9B2E">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Free Parameter No.</w:t>
            </w:r>
          </w:p>
        </w:tc>
        <w:tc>
          <w:tcPr>
            <w:tcW w:w="447" w:type="pct"/>
            <w:tcBorders>
              <w:top w:val="single" w:color="000000" w:sz="12" w:space="0"/>
              <w:left w:val="nil"/>
              <w:bottom w:val="single" w:color="000000" w:sz="4" w:space="0"/>
              <w:right w:val="nil"/>
            </w:tcBorders>
            <w:shd w:val="clear" w:color="auto" w:fill="FFFFFF"/>
            <w:vAlign w:val="center"/>
          </w:tcPr>
          <w:p w14:paraId="73634EFA">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Loglikelihood</w:t>
            </w:r>
          </w:p>
        </w:tc>
        <w:tc>
          <w:tcPr>
            <w:tcW w:w="387" w:type="pct"/>
            <w:tcBorders>
              <w:top w:val="single" w:color="000000" w:sz="12" w:space="0"/>
              <w:left w:val="nil"/>
              <w:bottom w:val="single" w:color="000000" w:sz="4" w:space="0"/>
              <w:right w:val="nil"/>
            </w:tcBorders>
            <w:shd w:val="clear" w:color="auto" w:fill="FFFFFF"/>
            <w:vAlign w:val="center"/>
          </w:tcPr>
          <w:p w14:paraId="4A5F4ADB">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AIC</w:t>
            </w:r>
          </w:p>
        </w:tc>
        <w:tc>
          <w:tcPr>
            <w:tcW w:w="396" w:type="pct"/>
            <w:tcBorders>
              <w:top w:val="single" w:color="000000" w:sz="12" w:space="0"/>
              <w:left w:val="nil"/>
              <w:bottom w:val="single" w:color="000000" w:sz="4" w:space="0"/>
              <w:right w:val="nil"/>
            </w:tcBorders>
            <w:shd w:val="clear" w:color="auto" w:fill="FFFFFF"/>
            <w:vAlign w:val="center"/>
          </w:tcPr>
          <w:p w14:paraId="0F2B057D">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BIC</w:t>
            </w:r>
          </w:p>
        </w:tc>
        <w:tc>
          <w:tcPr>
            <w:tcW w:w="384" w:type="pct"/>
            <w:tcBorders>
              <w:top w:val="single" w:color="000000" w:sz="12" w:space="0"/>
              <w:left w:val="nil"/>
              <w:bottom w:val="single" w:color="000000" w:sz="4" w:space="0"/>
              <w:right w:val="nil"/>
            </w:tcBorders>
            <w:shd w:val="clear" w:color="auto" w:fill="FFFFFF"/>
            <w:vAlign w:val="center"/>
          </w:tcPr>
          <w:p w14:paraId="2A48CDBC">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aBIC</w:t>
            </w:r>
          </w:p>
        </w:tc>
        <w:tc>
          <w:tcPr>
            <w:tcW w:w="328" w:type="pct"/>
            <w:tcBorders>
              <w:top w:val="single" w:color="000000" w:sz="12" w:space="0"/>
              <w:left w:val="nil"/>
              <w:bottom w:val="single" w:color="000000" w:sz="4" w:space="0"/>
              <w:right w:val="nil"/>
            </w:tcBorders>
            <w:shd w:val="clear" w:color="auto" w:fill="FFFFFF"/>
            <w:vAlign w:val="center"/>
          </w:tcPr>
          <w:p w14:paraId="780E32D9">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Entropy</w:t>
            </w:r>
          </w:p>
        </w:tc>
        <w:tc>
          <w:tcPr>
            <w:tcW w:w="328" w:type="pct"/>
            <w:tcBorders>
              <w:top w:val="single" w:color="000000" w:sz="12" w:space="0"/>
              <w:left w:val="nil"/>
              <w:bottom w:val="single" w:color="000000" w:sz="4" w:space="0"/>
              <w:right w:val="nil"/>
            </w:tcBorders>
            <w:shd w:val="clear" w:color="auto" w:fill="FFFFFF"/>
            <w:vAlign w:val="center"/>
          </w:tcPr>
          <w:p w14:paraId="4C20497C">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LMR</w:t>
            </w:r>
          </w:p>
        </w:tc>
        <w:tc>
          <w:tcPr>
            <w:tcW w:w="303" w:type="pct"/>
            <w:tcBorders>
              <w:top w:val="single" w:color="000000" w:sz="12" w:space="0"/>
              <w:left w:val="nil"/>
              <w:bottom w:val="single" w:color="000000" w:sz="4" w:space="0"/>
              <w:right w:val="nil"/>
            </w:tcBorders>
            <w:shd w:val="clear" w:color="auto" w:fill="FFFFFF"/>
            <w:vAlign w:val="center"/>
          </w:tcPr>
          <w:p w14:paraId="77473FE9">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BLRT</w:t>
            </w:r>
          </w:p>
        </w:tc>
        <w:tc>
          <w:tcPr>
            <w:tcW w:w="1025" w:type="pct"/>
            <w:tcBorders>
              <w:top w:val="single" w:color="000000" w:sz="12" w:space="0"/>
              <w:left w:val="nil"/>
              <w:bottom w:val="single" w:color="000000" w:sz="4" w:space="0"/>
              <w:right w:val="nil"/>
            </w:tcBorders>
            <w:shd w:val="clear" w:color="auto" w:fill="FFFFFF"/>
            <w:vAlign w:val="center"/>
          </w:tcPr>
          <w:p w14:paraId="70815594">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 xml:space="preserve">Category </w:t>
            </w:r>
            <w:r>
              <w:rPr>
                <w:rFonts w:hint="eastAsia" w:ascii="Times New Roman Regular" w:hAnsi="Times New Roman Regular" w:eastAsia="宋体" w:cs="Times New Roman Regular"/>
                <w:kern w:val="0"/>
                <w:szCs w:val="21"/>
                <w:lang w:bidi="ar"/>
              </w:rPr>
              <w:t>Probability</w:t>
            </w:r>
          </w:p>
        </w:tc>
        <w:tc>
          <w:tcPr>
            <w:tcW w:w="750" w:type="pct"/>
            <w:tcBorders>
              <w:top w:val="single" w:color="000000" w:sz="12" w:space="0"/>
              <w:left w:val="nil"/>
              <w:bottom w:val="single" w:color="000000" w:sz="4" w:space="0"/>
              <w:right w:val="nil"/>
            </w:tcBorders>
            <w:shd w:val="clear" w:color="auto" w:fill="FFFFFF"/>
            <w:vAlign w:val="center"/>
          </w:tcPr>
          <w:p w14:paraId="6523FEF8">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Sample Size</w:t>
            </w:r>
          </w:p>
        </w:tc>
      </w:tr>
      <w:tr w14:paraId="6CE07F6D">
        <w:tc>
          <w:tcPr>
            <w:tcW w:w="315" w:type="pct"/>
            <w:tcBorders>
              <w:top w:val="single" w:color="000000" w:sz="4" w:space="0"/>
              <w:left w:val="nil"/>
              <w:bottom w:val="nil"/>
              <w:right w:val="nil"/>
            </w:tcBorders>
            <w:shd w:val="clear" w:color="auto" w:fill="FFFFFF"/>
            <w:vAlign w:val="center"/>
          </w:tcPr>
          <w:p w14:paraId="42B9E4F0">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1</w:t>
            </w:r>
          </w:p>
        </w:tc>
        <w:tc>
          <w:tcPr>
            <w:tcW w:w="1068" w:type="dxa"/>
            <w:tcBorders>
              <w:top w:val="single" w:color="000000" w:sz="4" w:space="0"/>
              <w:left w:val="nil"/>
              <w:bottom w:val="nil"/>
              <w:right w:val="nil"/>
            </w:tcBorders>
            <w:shd w:val="clear" w:color="auto" w:fill="FFFFFF"/>
            <w:vAlign w:val="center"/>
          </w:tcPr>
          <w:p w14:paraId="66A2F94C">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 xml:space="preserve">13 </w:t>
            </w:r>
          </w:p>
        </w:tc>
        <w:tc>
          <w:tcPr>
            <w:tcW w:w="1406" w:type="dxa"/>
            <w:tcBorders>
              <w:top w:val="single" w:color="000000" w:sz="4" w:space="0"/>
              <w:left w:val="nil"/>
              <w:bottom w:val="nil"/>
              <w:right w:val="nil"/>
            </w:tcBorders>
            <w:shd w:val="clear" w:color="auto" w:fill="FFFFFF"/>
            <w:vAlign w:val="center"/>
          </w:tcPr>
          <w:p w14:paraId="2024FB80">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-79885.245</w:t>
            </w:r>
          </w:p>
        </w:tc>
        <w:tc>
          <w:tcPr>
            <w:tcW w:w="1214" w:type="dxa"/>
            <w:tcBorders>
              <w:top w:val="single" w:color="000000" w:sz="4" w:space="0"/>
              <w:left w:val="nil"/>
              <w:bottom w:val="nil"/>
              <w:right w:val="nil"/>
            </w:tcBorders>
            <w:shd w:val="clear" w:color="auto" w:fill="FFFFFF"/>
            <w:vAlign w:val="center"/>
          </w:tcPr>
          <w:p w14:paraId="68EEA3BC">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159796.490</w:t>
            </w:r>
            <w:r>
              <w:rPr>
                <w:rFonts w:ascii="Times New Roman Regular" w:hAnsi="Times New Roman Regular" w:eastAsia="宋体" w:cs="Times New Roman Regular"/>
                <w:kern w:val="0"/>
                <w:szCs w:val="21"/>
                <w:lang w:bidi="ar"/>
              </w:rPr>
              <w:t xml:space="preserve"> </w:t>
            </w:r>
          </w:p>
        </w:tc>
        <w:tc>
          <w:tcPr>
            <w:tcW w:w="1214" w:type="dxa"/>
            <w:tcBorders>
              <w:top w:val="single" w:color="000000" w:sz="4" w:space="0"/>
              <w:left w:val="nil"/>
              <w:bottom w:val="nil"/>
              <w:right w:val="nil"/>
            </w:tcBorders>
            <w:shd w:val="clear" w:color="auto" w:fill="FFFFFF"/>
            <w:vAlign w:val="center"/>
          </w:tcPr>
          <w:p w14:paraId="0F79EB28">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159891.048</w:t>
            </w:r>
            <w:r>
              <w:rPr>
                <w:rFonts w:ascii="Times New Roman Regular" w:hAnsi="Times New Roman Regular" w:eastAsia="宋体" w:cs="Times New Roman Regular"/>
                <w:kern w:val="0"/>
                <w:szCs w:val="21"/>
                <w:lang w:bidi="ar"/>
              </w:rPr>
              <w:t xml:space="preserve"> </w:t>
            </w:r>
          </w:p>
        </w:tc>
        <w:tc>
          <w:tcPr>
            <w:tcW w:w="1214" w:type="dxa"/>
            <w:tcBorders>
              <w:top w:val="single" w:color="000000" w:sz="4" w:space="0"/>
              <w:left w:val="nil"/>
              <w:bottom w:val="nil"/>
              <w:right w:val="nil"/>
            </w:tcBorders>
            <w:shd w:val="clear" w:color="auto" w:fill="FFFFFF"/>
            <w:vAlign w:val="center"/>
          </w:tcPr>
          <w:p w14:paraId="5CF6C27B">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159849.736</w:t>
            </w:r>
            <w:r>
              <w:rPr>
                <w:rFonts w:ascii="Times New Roman Regular" w:hAnsi="Times New Roman Regular" w:eastAsia="宋体" w:cs="Times New Roman Regular"/>
                <w:kern w:val="0"/>
                <w:szCs w:val="21"/>
                <w:lang w:bidi="ar"/>
              </w:rPr>
              <w:t xml:space="preserve"> </w:t>
            </w:r>
          </w:p>
        </w:tc>
        <w:tc>
          <w:tcPr>
            <w:tcW w:w="893" w:type="dxa"/>
            <w:tcBorders>
              <w:top w:val="single" w:color="000000" w:sz="4" w:space="0"/>
              <w:left w:val="nil"/>
              <w:bottom w:val="nil"/>
              <w:right w:val="nil"/>
            </w:tcBorders>
            <w:shd w:val="clear" w:color="auto" w:fill="FFFFFF"/>
            <w:vAlign w:val="center"/>
          </w:tcPr>
          <w:p w14:paraId="6E94FE85">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w:t>
            </w:r>
          </w:p>
        </w:tc>
        <w:tc>
          <w:tcPr>
            <w:tcW w:w="917" w:type="dxa"/>
            <w:tcBorders>
              <w:top w:val="single" w:color="000000" w:sz="4" w:space="0"/>
              <w:left w:val="nil"/>
              <w:bottom w:val="nil"/>
              <w:right w:val="nil"/>
            </w:tcBorders>
            <w:shd w:val="clear" w:color="auto" w:fill="FFFFFF"/>
            <w:vAlign w:val="center"/>
          </w:tcPr>
          <w:p w14:paraId="31B25CB3">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w:t>
            </w:r>
          </w:p>
        </w:tc>
        <w:tc>
          <w:tcPr>
            <w:tcW w:w="914" w:type="dxa"/>
            <w:tcBorders>
              <w:top w:val="single" w:color="000000" w:sz="4" w:space="0"/>
              <w:left w:val="nil"/>
              <w:bottom w:val="nil"/>
              <w:right w:val="nil"/>
            </w:tcBorders>
            <w:shd w:val="clear" w:color="auto" w:fill="FFFFFF"/>
            <w:vAlign w:val="center"/>
          </w:tcPr>
          <w:p w14:paraId="2FF05B58">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w:t>
            </w:r>
          </w:p>
        </w:tc>
        <w:tc>
          <w:tcPr>
            <w:tcW w:w="3337" w:type="dxa"/>
            <w:tcBorders>
              <w:top w:val="single" w:color="000000" w:sz="4" w:space="0"/>
              <w:left w:val="nil"/>
              <w:bottom w:val="nil"/>
              <w:right w:val="nil"/>
            </w:tcBorders>
            <w:shd w:val="clear" w:color="auto" w:fill="FFFFFF"/>
            <w:vAlign w:val="center"/>
          </w:tcPr>
          <w:p w14:paraId="7C8ACE69">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w:t>
            </w:r>
          </w:p>
        </w:tc>
        <w:tc>
          <w:tcPr>
            <w:tcW w:w="2445" w:type="dxa"/>
            <w:tcBorders>
              <w:top w:val="single" w:color="000000" w:sz="4" w:space="0"/>
              <w:left w:val="nil"/>
              <w:bottom w:val="nil"/>
              <w:right w:val="nil"/>
            </w:tcBorders>
            <w:shd w:val="clear" w:color="auto" w:fill="FFFFFF"/>
            <w:vAlign w:val="center"/>
          </w:tcPr>
          <w:p w14:paraId="77FAB283">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w:t>
            </w:r>
          </w:p>
        </w:tc>
      </w:tr>
      <w:tr w14:paraId="4DB37DEB">
        <w:trPr>
          <w:trHeight w:val="90" w:hRule="atLeast"/>
        </w:trPr>
        <w:tc>
          <w:tcPr>
            <w:tcW w:w="315" w:type="pct"/>
            <w:tcBorders>
              <w:top w:val="nil"/>
              <w:left w:val="nil"/>
              <w:bottom w:val="nil"/>
              <w:right w:val="nil"/>
            </w:tcBorders>
            <w:shd w:val="clear" w:color="auto" w:fill="FFFFFF"/>
            <w:vAlign w:val="center"/>
          </w:tcPr>
          <w:p w14:paraId="73CF3067">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2</w:t>
            </w:r>
          </w:p>
        </w:tc>
        <w:tc>
          <w:tcPr>
            <w:tcW w:w="1068" w:type="dxa"/>
            <w:tcBorders>
              <w:top w:val="nil"/>
              <w:left w:val="nil"/>
              <w:bottom w:val="nil"/>
              <w:right w:val="nil"/>
            </w:tcBorders>
            <w:shd w:val="clear" w:color="auto" w:fill="FFFFFF"/>
            <w:vAlign w:val="center"/>
          </w:tcPr>
          <w:p w14:paraId="28004977">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22</w:t>
            </w:r>
          </w:p>
        </w:tc>
        <w:tc>
          <w:tcPr>
            <w:tcW w:w="1406" w:type="dxa"/>
            <w:tcBorders>
              <w:top w:val="nil"/>
              <w:left w:val="nil"/>
              <w:bottom w:val="nil"/>
              <w:right w:val="nil"/>
            </w:tcBorders>
            <w:shd w:val="clear" w:color="auto" w:fill="FFFFFF"/>
            <w:vAlign w:val="center"/>
          </w:tcPr>
          <w:p w14:paraId="7F7A09B3">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-74871.949</w:t>
            </w:r>
          </w:p>
        </w:tc>
        <w:tc>
          <w:tcPr>
            <w:tcW w:w="1214" w:type="dxa"/>
            <w:tcBorders>
              <w:top w:val="nil"/>
              <w:left w:val="nil"/>
              <w:bottom w:val="nil"/>
              <w:right w:val="nil"/>
            </w:tcBorders>
            <w:shd w:val="clear" w:color="auto" w:fill="FFFFFF"/>
            <w:vAlign w:val="center"/>
          </w:tcPr>
          <w:p w14:paraId="1B66FCA1">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149787.898</w:t>
            </w:r>
          </w:p>
        </w:tc>
        <w:tc>
          <w:tcPr>
            <w:tcW w:w="1214" w:type="dxa"/>
            <w:tcBorders>
              <w:top w:val="nil"/>
              <w:left w:val="nil"/>
              <w:bottom w:val="nil"/>
              <w:right w:val="nil"/>
            </w:tcBorders>
            <w:shd w:val="clear" w:color="auto" w:fill="FFFFFF"/>
            <w:vAlign w:val="center"/>
          </w:tcPr>
          <w:p w14:paraId="712BD9AA">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149947.919</w:t>
            </w:r>
          </w:p>
        </w:tc>
        <w:tc>
          <w:tcPr>
            <w:tcW w:w="1214" w:type="dxa"/>
            <w:tcBorders>
              <w:top w:val="nil"/>
              <w:left w:val="nil"/>
              <w:bottom w:val="nil"/>
              <w:right w:val="nil"/>
            </w:tcBorders>
            <w:shd w:val="clear" w:color="auto" w:fill="FFFFFF"/>
            <w:vAlign w:val="center"/>
          </w:tcPr>
          <w:p w14:paraId="5F91B592">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149878.006</w:t>
            </w:r>
          </w:p>
        </w:tc>
        <w:tc>
          <w:tcPr>
            <w:tcW w:w="893" w:type="dxa"/>
            <w:tcBorders>
              <w:top w:val="nil"/>
              <w:left w:val="nil"/>
              <w:bottom w:val="nil"/>
              <w:right w:val="nil"/>
            </w:tcBorders>
            <w:shd w:val="clear" w:color="auto" w:fill="FFFFFF"/>
            <w:vAlign w:val="center"/>
          </w:tcPr>
          <w:p w14:paraId="52E3964E">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1.000</w:t>
            </w:r>
          </w:p>
        </w:tc>
        <w:tc>
          <w:tcPr>
            <w:tcW w:w="917" w:type="dxa"/>
            <w:tcBorders>
              <w:top w:val="nil"/>
              <w:left w:val="nil"/>
              <w:bottom w:val="nil"/>
              <w:right w:val="nil"/>
            </w:tcBorders>
            <w:shd w:val="clear" w:color="auto" w:fill="FFFFFF"/>
            <w:vAlign w:val="center"/>
          </w:tcPr>
          <w:p w14:paraId="503D708F">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&lt;0.0001</w:t>
            </w:r>
          </w:p>
        </w:tc>
        <w:tc>
          <w:tcPr>
            <w:tcW w:w="914" w:type="dxa"/>
            <w:tcBorders>
              <w:top w:val="nil"/>
              <w:left w:val="nil"/>
              <w:bottom w:val="nil"/>
              <w:right w:val="nil"/>
            </w:tcBorders>
            <w:shd w:val="clear" w:color="auto" w:fill="FFFFFF"/>
            <w:vAlign w:val="center"/>
          </w:tcPr>
          <w:p w14:paraId="2CFFD23D">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&lt;0.0001</w:t>
            </w:r>
          </w:p>
        </w:tc>
        <w:tc>
          <w:tcPr>
            <w:tcW w:w="3337" w:type="dxa"/>
            <w:tcBorders>
              <w:top w:val="nil"/>
              <w:left w:val="nil"/>
              <w:bottom w:val="nil"/>
              <w:right w:val="nil"/>
            </w:tcBorders>
            <w:shd w:val="clear" w:color="auto" w:fill="FFFFFF"/>
            <w:vAlign w:val="center"/>
          </w:tcPr>
          <w:p w14:paraId="7B9FB0A6">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0.5814/0.4186</w:t>
            </w:r>
          </w:p>
        </w:tc>
        <w:tc>
          <w:tcPr>
            <w:tcW w:w="2445" w:type="dxa"/>
            <w:tcBorders>
              <w:top w:val="nil"/>
              <w:left w:val="nil"/>
              <w:bottom w:val="nil"/>
              <w:right w:val="nil"/>
            </w:tcBorders>
            <w:shd w:val="clear" w:color="auto" w:fill="FFFFFF"/>
            <w:vAlign w:val="center"/>
          </w:tcPr>
          <w:p w14:paraId="240AE983">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6194/4460</w:t>
            </w:r>
          </w:p>
        </w:tc>
      </w:tr>
      <w:tr w14:paraId="0B833FAA">
        <w:tc>
          <w:tcPr>
            <w:tcW w:w="315" w:type="pct"/>
            <w:tcBorders>
              <w:top w:val="nil"/>
              <w:left w:val="nil"/>
              <w:bottom w:val="nil"/>
              <w:right w:val="nil"/>
            </w:tcBorders>
            <w:shd w:val="clear" w:color="auto" w:fill="FFFFFF"/>
            <w:vAlign w:val="center"/>
          </w:tcPr>
          <w:p w14:paraId="03D7A2BC">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3</w:t>
            </w:r>
          </w:p>
        </w:tc>
        <w:tc>
          <w:tcPr>
            <w:tcW w:w="1068" w:type="dxa"/>
            <w:tcBorders>
              <w:top w:val="nil"/>
              <w:left w:val="nil"/>
              <w:bottom w:val="nil"/>
              <w:right w:val="nil"/>
            </w:tcBorders>
            <w:shd w:val="clear" w:color="auto" w:fill="FFFFFF"/>
            <w:vAlign w:val="center"/>
          </w:tcPr>
          <w:p w14:paraId="5BA5EFCC">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31</w:t>
            </w:r>
          </w:p>
        </w:tc>
        <w:tc>
          <w:tcPr>
            <w:tcW w:w="1406" w:type="dxa"/>
            <w:tcBorders>
              <w:top w:val="nil"/>
              <w:left w:val="nil"/>
              <w:bottom w:val="nil"/>
              <w:right w:val="nil"/>
            </w:tcBorders>
            <w:shd w:val="clear" w:color="auto" w:fill="FFFFFF"/>
            <w:vAlign w:val="center"/>
          </w:tcPr>
          <w:p w14:paraId="420AD39D">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-74157.104</w:t>
            </w:r>
          </w:p>
        </w:tc>
        <w:tc>
          <w:tcPr>
            <w:tcW w:w="1214" w:type="dxa"/>
            <w:tcBorders>
              <w:top w:val="nil"/>
              <w:left w:val="nil"/>
              <w:bottom w:val="nil"/>
              <w:right w:val="nil"/>
            </w:tcBorders>
            <w:shd w:val="clear" w:color="auto" w:fill="FFFFFF"/>
            <w:vAlign w:val="center"/>
          </w:tcPr>
          <w:p w14:paraId="0CD18A96">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148376.207</w:t>
            </w:r>
          </w:p>
        </w:tc>
        <w:tc>
          <w:tcPr>
            <w:tcW w:w="1214" w:type="dxa"/>
            <w:tcBorders>
              <w:top w:val="nil"/>
              <w:left w:val="nil"/>
              <w:bottom w:val="nil"/>
              <w:right w:val="nil"/>
            </w:tcBorders>
            <w:shd w:val="clear" w:color="auto" w:fill="FFFFFF"/>
            <w:vAlign w:val="center"/>
          </w:tcPr>
          <w:p w14:paraId="63E1C0EE">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148601.692</w:t>
            </w:r>
          </w:p>
        </w:tc>
        <w:tc>
          <w:tcPr>
            <w:tcW w:w="1214" w:type="dxa"/>
            <w:tcBorders>
              <w:top w:val="nil"/>
              <w:left w:val="nil"/>
              <w:bottom w:val="nil"/>
              <w:right w:val="nil"/>
            </w:tcBorders>
            <w:shd w:val="clear" w:color="auto" w:fill="FFFFFF"/>
            <w:vAlign w:val="center"/>
          </w:tcPr>
          <w:p w14:paraId="15BF442F">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148503.178</w:t>
            </w:r>
          </w:p>
        </w:tc>
        <w:tc>
          <w:tcPr>
            <w:tcW w:w="893" w:type="dxa"/>
            <w:tcBorders>
              <w:top w:val="nil"/>
              <w:left w:val="nil"/>
              <w:bottom w:val="nil"/>
              <w:right w:val="nil"/>
            </w:tcBorders>
            <w:shd w:val="clear" w:color="auto" w:fill="FFFFFF"/>
            <w:vAlign w:val="center"/>
          </w:tcPr>
          <w:p w14:paraId="40B6CF1E">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0.867</w:t>
            </w:r>
          </w:p>
        </w:tc>
        <w:tc>
          <w:tcPr>
            <w:tcW w:w="917" w:type="dxa"/>
            <w:tcBorders>
              <w:top w:val="nil"/>
              <w:left w:val="nil"/>
              <w:bottom w:val="nil"/>
              <w:right w:val="nil"/>
            </w:tcBorders>
            <w:shd w:val="clear" w:color="auto" w:fill="FFFFFF"/>
            <w:vAlign w:val="center"/>
          </w:tcPr>
          <w:p w14:paraId="40A4E9C3">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&lt;0.0001</w:t>
            </w:r>
          </w:p>
        </w:tc>
        <w:tc>
          <w:tcPr>
            <w:tcW w:w="914" w:type="dxa"/>
            <w:tcBorders>
              <w:top w:val="nil"/>
              <w:left w:val="nil"/>
              <w:bottom w:val="nil"/>
              <w:right w:val="nil"/>
            </w:tcBorders>
            <w:shd w:val="clear" w:color="auto" w:fill="FFFFFF"/>
            <w:vAlign w:val="center"/>
          </w:tcPr>
          <w:p w14:paraId="07FC40F1">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&lt;0.0001</w:t>
            </w:r>
          </w:p>
        </w:tc>
        <w:tc>
          <w:tcPr>
            <w:tcW w:w="3337" w:type="dxa"/>
            <w:tcBorders>
              <w:top w:val="nil"/>
              <w:left w:val="nil"/>
              <w:bottom w:val="nil"/>
              <w:right w:val="nil"/>
            </w:tcBorders>
            <w:shd w:val="clear" w:color="auto" w:fill="FFFFFF"/>
            <w:vAlign w:val="center"/>
          </w:tcPr>
          <w:p w14:paraId="1D7BA9B1">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0.4160/0.4186/0.1654</w:t>
            </w:r>
          </w:p>
        </w:tc>
        <w:tc>
          <w:tcPr>
            <w:tcW w:w="2445" w:type="dxa"/>
            <w:tcBorders>
              <w:top w:val="nil"/>
              <w:left w:val="nil"/>
              <w:bottom w:val="nil"/>
              <w:right w:val="nil"/>
            </w:tcBorders>
            <w:shd w:val="clear" w:color="auto" w:fill="FFFFFF"/>
            <w:vAlign w:val="center"/>
          </w:tcPr>
          <w:p w14:paraId="47796DD9">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4432/4460/1762</w:t>
            </w:r>
          </w:p>
        </w:tc>
      </w:tr>
      <w:tr w14:paraId="13E737AC">
        <w:tc>
          <w:tcPr>
            <w:tcW w:w="315" w:type="pct"/>
            <w:tcBorders>
              <w:top w:val="nil"/>
              <w:left w:val="nil"/>
              <w:bottom w:val="nil"/>
              <w:right w:val="nil"/>
            </w:tcBorders>
            <w:shd w:val="clear" w:color="auto" w:fill="FFFFFF"/>
            <w:vAlign w:val="center"/>
          </w:tcPr>
          <w:p w14:paraId="73EF89B4">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4</w:t>
            </w:r>
          </w:p>
        </w:tc>
        <w:tc>
          <w:tcPr>
            <w:tcW w:w="1068" w:type="dxa"/>
            <w:tcBorders>
              <w:top w:val="nil"/>
              <w:left w:val="nil"/>
              <w:bottom w:val="nil"/>
              <w:right w:val="nil"/>
            </w:tcBorders>
            <w:shd w:val="clear" w:color="auto" w:fill="FFFFFF"/>
            <w:vAlign w:val="center"/>
          </w:tcPr>
          <w:p w14:paraId="70A07EB4">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40</w:t>
            </w:r>
          </w:p>
        </w:tc>
        <w:tc>
          <w:tcPr>
            <w:tcW w:w="1406" w:type="dxa"/>
            <w:tcBorders>
              <w:top w:val="nil"/>
              <w:left w:val="nil"/>
              <w:bottom w:val="nil"/>
              <w:right w:val="nil"/>
            </w:tcBorders>
            <w:shd w:val="clear" w:color="auto" w:fill="FFFFFF"/>
            <w:vAlign w:val="center"/>
          </w:tcPr>
          <w:p w14:paraId="329C60C3">
            <w:pPr>
              <w:widowControl/>
              <w:jc w:val="center"/>
              <w:textAlignment w:val="center"/>
              <w:rPr>
                <w:rFonts w:ascii="Times New Roman Regular" w:hAnsi="Times New Roman Regular" w:eastAsia="宋体" w:cs="Times New Roman Regular"/>
                <w:b/>
                <w:bCs/>
                <w:kern w:val="0"/>
                <w:szCs w:val="21"/>
                <w:lang w:bidi="ar"/>
              </w:rPr>
            </w:pPr>
            <w:r>
              <w:rPr>
                <w:rFonts w:hint="eastAsia" w:ascii="Times New Roman Regular" w:hAnsi="Times New Roman Regular" w:eastAsia="宋体" w:cs="Times New Roman Regular"/>
                <w:b/>
                <w:bCs/>
                <w:kern w:val="0"/>
                <w:szCs w:val="21"/>
                <w:lang w:bidi="ar"/>
              </w:rPr>
              <w:t>-73518.627</w:t>
            </w:r>
          </w:p>
        </w:tc>
        <w:tc>
          <w:tcPr>
            <w:tcW w:w="1214" w:type="dxa"/>
            <w:tcBorders>
              <w:top w:val="nil"/>
              <w:left w:val="nil"/>
              <w:bottom w:val="nil"/>
              <w:right w:val="nil"/>
            </w:tcBorders>
            <w:shd w:val="clear" w:color="auto" w:fill="FFFFFF"/>
            <w:vAlign w:val="center"/>
          </w:tcPr>
          <w:p w14:paraId="738EBC51">
            <w:pPr>
              <w:widowControl/>
              <w:jc w:val="center"/>
              <w:textAlignment w:val="center"/>
              <w:rPr>
                <w:rFonts w:ascii="Times New Roman Regular" w:hAnsi="Times New Roman Regular" w:eastAsia="宋体" w:cs="Times New Roman Regular"/>
                <w:b/>
                <w:bCs/>
                <w:kern w:val="0"/>
                <w:szCs w:val="21"/>
                <w:lang w:bidi="ar"/>
              </w:rPr>
            </w:pPr>
            <w:r>
              <w:rPr>
                <w:rFonts w:hint="eastAsia" w:ascii="Times New Roman Regular" w:hAnsi="Times New Roman Regular" w:eastAsia="宋体" w:cs="Times New Roman Regular"/>
                <w:b/>
                <w:bCs/>
                <w:kern w:val="0"/>
                <w:szCs w:val="21"/>
                <w:lang w:bidi="ar"/>
              </w:rPr>
              <w:t>147117.254</w:t>
            </w:r>
          </w:p>
        </w:tc>
        <w:tc>
          <w:tcPr>
            <w:tcW w:w="1214" w:type="dxa"/>
            <w:tcBorders>
              <w:top w:val="nil"/>
              <w:left w:val="nil"/>
              <w:bottom w:val="nil"/>
              <w:right w:val="nil"/>
            </w:tcBorders>
            <w:shd w:val="clear" w:color="auto" w:fill="FFFFFF"/>
            <w:vAlign w:val="center"/>
          </w:tcPr>
          <w:p w14:paraId="04BB7A5B">
            <w:pPr>
              <w:widowControl/>
              <w:jc w:val="center"/>
              <w:textAlignment w:val="center"/>
              <w:rPr>
                <w:rFonts w:ascii="Times New Roman Regular" w:hAnsi="Times New Roman Regular" w:eastAsia="宋体" w:cs="Times New Roman Regular"/>
                <w:b/>
                <w:bCs/>
                <w:kern w:val="0"/>
                <w:szCs w:val="21"/>
                <w:lang w:bidi="ar"/>
              </w:rPr>
            </w:pPr>
            <w:r>
              <w:rPr>
                <w:rFonts w:hint="eastAsia" w:ascii="Times New Roman Regular" w:hAnsi="Times New Roman Regular" w:eastAsia="宋体" w:cs="Times New Roman Regular"/>
                <w:b/>
                <w:bCs/>
                <w:kern w:val="0"/>
                <w:szCs w:val="21"/>
                <w:lang w:bidi="ar"/>
              </w:rPr>
              <w:t>147408.202</w:t>
            </w:r>
          </w:p>
        </w:tc>
        <w:tc>
          <w:tcPr>
            <w:tcW w:w="1214" w:type="dxa"/>
            <w:tcBorders>
              <w:top w:val="nil"/>
              <w:left w:val="nil"/>
              <w:bottom w:val="nil"/>
              <w:right w:val="nil"/>
            </w:tcBorders>
            <w:shd w:val="clear" w:color="auto" w:fill="FFFFFF"/>
            <w:vAlign w:val="center"/>
          </w:tcPr>
          <w:p w14:paraId="76842A22">
            <w:pPr>
              <w:widowControl/>
              <w:jc w:val="center"/>
              <w:textAlignment w:val="center"/>
              <w:rPr>
                <w:rFonts w:ascii="Times New Roman Regular" w:hAnsi="Times New Roman Regular" w:eastAsia="宋体" w:cs="Times New Roman Regular"/>
                <w:b/>
                <w:bCs/>
                <w:kern w:val="0"/>
                <w:szCs w:val="21"/>
                <w:lang w:bidi="ar"/>
              </w:rPr>
            </w:pPr>
            <w:r>
              <w:rPr>
                <w:rFonts w:hint="eastAsia" w:ascii="Times New Roman Regular" w:hAnsi="Times New Roman Regular" w:eastAsia="宋体" w:cs="Times New Roman Regular"/>
                <w:b/>
                <w:bCs/>
                <w:kern w:val="0"/>
                <w:szCs w:val="21"/>
                <w:lang w:bidi="ar"/>
              </w:rPr>
              <w:t>147281.087</w:t>
            </w:r>
          </w:p>
        </w:tc>
        <w:tc>
          <w:tcPr>
            <w:tcW w:w="893" w:type="dxa"/>
            <w:tcBorders>
              <w:top w:val="nil"/>
              <w:left w:val="nil"/>
              <w:bottom w:val="nil"/>
              <w:right w:val="nil"/>
            </w:tcBorders>
            <w:shd w:val="clear" w:color="auto" w:fill="FFFFFF"/>
            <w:vAlign w:val="center"/>
          </w:tcPr>
          <w:p w14:paraId="5A859407">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0.893</w:t>
            </w:r>
          </w:p>
        </w:tc>
        <w:tc>
          <w:tcPr>
            <w:tcW w:w="917" w:type="dxa"/>
            <w:tcBorders>
              <w:top w:val="nil"/>
              <w:left w:val="nil"/>
              <w:bottom w:val="nil"/>
              <w:right w:val="nil"/>
            </w:tcBorders>
            <w:shd w:val="clear" w:color="auto" w:fill="FFFFFF"/>
            <w:vAlign w:val="center"/>
          </w:tcPr>
          <w:p w14:paraId="765C5590">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&lt;0.0001</w:t>
            </w:r>
          </w:p>
        </w:tc>
        <w:tc>
          <w:tcPr>
            <w:tcW w:w="914" w:type="dxa"/>
            <w:tcBorders>
              <w:top w:val="nil"/>
              <w:left w:val="nil"/>
              <w:bottom w:val="nil"/>
              <w:right w:val="nil"/>
            </w:tcBorders>
            <w:shd w:val="clear" w:color="auto" w:fill="FFFFFF"/>
            <w:vAlign w:val="center"/>
          </w:tcPr>
          <w:p w14:paraId="38194AD5">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&lt;0.0001</w:t>
            </w:r>
          </w:p>
        </w:tc>
        <w:tc>
          <w:tcPr>
            <w:tcW w:w="3337" w:type="dxa"/>
            <w:tcBorders>
              <w:top w:val="nil"/>
              <w:left w:val="nil"/>
              <w:bottom w:val="nil"/>
              <w:right w:val="nil"/>
            </w:tcBorders>
            <w:shd w:val="clear" w:color="auto" w:fill="FFFFFF"/>
            <w:vAlign w:val="center"/>
          </w:tcPr>
          <w:p w14:paraId="78F5274B">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0.1742/0.3056/0.4072/0.1130</w:t>
            </w:r>
          </w:p>
        </w:tc>
        <w:tc>
          <w:tcPr>
            <w:tcW w:w="2445" w:type="dxa"/>
            <w:tcBorders>
              <w:top w:val="nil"/>
              <w:left w:val="nil"/>
              <w:bottom w:val="nil"/>
              <w:right w:val="nil"/>
            </w:tcBorders>
            <w:shd w:val="clear" w:color="auto" w:fill="FFFFFF"/>
            <w:vAlign w:val="center"/>
          </w:tcPr>
          <w:p w14:paraId="6965749A">
            <w:pPr>
              <w:widowControl/>
              <w:jc w:val="center"/>
              <w:textAlignment w:val="center"/>
              <w:rPr>
                <w:rFonts w:ascii="Times New Roman Regular" w:hAnsi="Times New Roman Regular" w:eastAsia="宋体" w:cs="Times New Roman Regular"/>
                <w:b/>
                <w:bCs/>
                <w:kern w:val="0"/>
                <w:szCs w:val="21"/>
                <w:lang w:bidi="ar"/>
              </w:rPr>
            </w:pPr>
            <w:r>
              <w:rPr>
                <w:rFonts w:ascii="Times New Roman Regular" w:hAnsi="Times New Roman Regular" w:eastAsia="宋体" w:cs="Times New Roman Regular"/>
                <w:b/>
                <w:bCs/>
                <w:kern w:val="0"/>
                <w:szCs w:val="21"/>
                <w:lang w:bidi="ar"/>
              </w:rPr>
              <w:t>1856/3256/4338/1204</w:t>
            </w:r>
          </w:p>
        </w:tc>
      </w:tr>
      <w:tr w14:paraId="63B8D551">
        <w:tc>
          <w:tcPr>
            <w:tcW w:w="315" w:type="pct"/>
            <w:tcBorders>
              <w:top w:val="nil"/>
              <w:left w:val="nil"/>
              <w:bottom w:val="single" w:color="000000" w:sz="12" w:space="0"/>
              <w:right w:val="nil"/>
            </w:tcBorders>
            <w:shd w:val="clear" w:color="auto" w:fill="FFFFFF"/>
            <w:vAlign w:val="center"/>
          </w:tcPr>
          <w:p w14:paraId="45799AE8">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5</w:t>
            </w:r>
          </w:p>
        </w:tc>
        <w:tc>
          <w:tcPr>
            <w:tcW w:w="1068" w:type="dxa"/>
            <w:tcBorders>
              <w:top w:val="nil"/>
              <w:left w:val="nil"/>
              <w:bottom w:val="single" w:color="000000" w:sz="12" w:space="0"/>
              <w:right w:val="nil"/>
            </w:tcBorders>
            <w:shd w:val="clear" w:color="auto" w:fill="FFFFFF"/>
            <w:vAlign w:val="center"/>
          </w:tcPr>
          <w:p w14:paraId="0F163468">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49</w:t>
            </w:r>
          </w:p>
        </w:tc>
        <w:tc>
          <w:tcPr>
            <w:tcW w:w="1406" w:type="dxa"/>
            <w:tcBorders>
              <w:top w:val="nil"/>
              <w:left w:val="nil"/>
              <w:bottom w:val="single" w:color="000000" w:sz="12" w:space="0"/>
              <w:right w:val="nil"/>
            </w:tcBorders>
            <w:shd w:val="clear" w:color="auto" w:fill="FFFFFF"/>
            <w:vAlign w:val="center"/>
          </w:tcPr>
          <w:p w14:paraId="1E4E8756">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-73143.685</w:t>
            </w:r>
          </w:p>
        </w:tc>
        <w:tc>
          <w:tcPr>
            <w:tcW w:w="1214" w:type="dxa"/>
            <w:tcBorders>
              <w:top w:val="nil"/>
              <w:left w:val="nil"/>
              <w:bottom w:val="single" w:color="000000" w:sz="12" w:space="0"/>
              <w:right w:val="nil"/>
            </w:tcBorders>
            <w:shd w:val="clear" w:color="auto" w:fill="FFFFFF"/>
            <w:vAlign w:val="center"/>
          </w:tcPr>
          <w:p w14:paraId="04CF90F7">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146385.370</w:t>
            </w:r>
          </w:p>
        </w:tc>
        <w:tc>
          <w:tcPr>
            <w:tcW w:w="1214" w:type="dxa"/>
            <w:tcBorders>
              <w:top w:val="nil"/>
              <w:left w:val="nil"/>
              <w:bottom w:val="single" w:color="000000" w:sz="12" w:space="0"/>
              <w:right w:val="nil"/>
            </w:tcBorders>
            <w:shd w:val="clear" w:color="auto" w:fill="FFFFFF"/>
            <w:vAlign w:val="center"/>
          </w:tcPr>
          <w:p w14:paraId="5F15C320">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146741.780</w:t>
            </w:r>
          </w:p>
        </w:tc>
        <w:tc>
          <w:tcPr>
            <w:tcW w:w="1214" w:type="dxa"/>
            <w:tcBorders>
              <w:top w:val="nil"/>
              <w:left w:val="nil"/>
              <w:bottom w:val="single" w:color="000000" w:sz="12" w:space="0"/>
              <w:right w:val="nil"/>
            </w:tcBorders>
            <w:shd w:val="clear" w:color="auto" w:fill="FFFFFF"/>
            <w:vAlign w:val="center"/>
          </w:tcPr>
          <w:p w14:paraId="13BC99CE">
            <w:pPr>
              <w:widowControl/>
              <w:jc w:val="center"/>
              <w:textAlignment w:val="center"/>
              <w:rPr>
                <w:rFonts w:ascii="Times New Roman Regular" w:hAnsi="Times New Roman Regular" w:eastAsia="宋体" w:cs="Times New Roman Regular"/>
                <w:kern w:val="0"/>
                <w:szCs w:val="21"/>
                <w:lang w:bidi="ar"/>
              </w:rPr>
            </w:pPr>
            <w:r>
              <w:rPr>
                <w:rFonts w:hint="eastAsia" w:ascii="Times New Roman Regular" w:hAnsi="Times New Roman Regular" w:eastAsia="宋体" w:cs="Times New Roman Regular"/>
                <w:kern w:val="0"/>
                <w:szCs w:val="21"/>
                <w:lang w:bidi="ar"/>
              </w:rPr>
              <w:t>146586.065</w:t>
            </w:r>
          </w:p>
        </w:tc>
        <w:tc>
          <w:tcPr>
            <w:tcW w:w="893" w:type="dxa"/>
            <w:tcBorders>
              <w:top w:val="nil"/>
              <w:left w:val="nil"/>
              <w:bottom w:val="single" w:color="000000" w:sz="12" w:space="0"/>
              <w:right w:val="nil"/>
            </w:tcBorders>
            <w:shd w:val="clear" w:color="auto" w:fill="FFFFFF"/>
            <w:vAlign w:val="center"/>
          </w:tcPr>
          <w:p w14:paraId="61294B49">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0.915</w:t>
            </w:r>
          </w:p>
        </w:tc>
        <w:tc>
          <w:tcPr>
            <w:tcW w:w="917" w:type="dxa"/>
            <w:tcBorders>
              <w:top w:val="nil"/>
              <w:left w:val="nil"/>
              <w:bottom w:val="single" w:color="000000" w:sz="12" w:space="0"/>
              <w:right w:val="nil"/>
            </w:tcBorders>
            <w:shd w:val="clear" w:color="auto" w:fill="FFFFFF"/>
            <w:vAlign w:val="center"/>
          </w:tcPr>
          <w:p w14:paraId="40C67435">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0.0004</w:t>
            </w:r>
          </w:p>
        </w:tc>
        <w:tc>
          <w:tcPr>
            <w:tcW w:w="914" w:type="dxa"/>
            <w:tcBorders>
              <w:top w:val="nil"/>
              <w:left w:val="nil"/>
              <w:bottom w:val="single" w:color="000000" w:sz="12" w:space="0"/>
              <w:right w:val="nil"/>
            </w:tcBorders>
            <w:shd w:val="clear" w:color="auto" w:fill="FFFFFF"/>
            <w:vAlign w:val="center"/>
          </w:tcPr>
          <w:p w14:paraId="181F4C83">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0.0005</w:t>
            </w:r>
          </w:p>
        </w:tc>
        <w:tc>
          <w:tcPr>
            <w:tcW w:w="3337" w:type="dxa"/>
            <w:tcBorders>
              <w:top w:val="nil"/>
              <w:left w:val="nil"/>
              <w:bottom w:val="single" w:color="000000" w:sz="12" w:space="0"/>
              <w:right w:val="nil"/>
            </w:tcBorders>
            <w:shd w:val="clear" w:color="auto" w:fill="FFFFFF"/>
            <w:vAlign w:val="center"/>
          </w:tcPr>
          <w:p w14:paraId="5EA884A2">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0.4140/0.4168/0.1604/0.0025/0.0062</w:t>
            </w:r>
          </w:p>
        </w:tc>
        <w:tc>
          <w:tcPr>
            <w:tcW w:w="2445" w:type="dxa"/>
            <w:tcBorders>
              <w:top w:val="nil"/>
              <w:left w:val="nil"/>
              <w:bottom w:val="single" w:color="000000" w:sz="12" w:space="0"/>
              <w:right w:val="nil"/>
            </w:tcBorders>
            <w:shd w:val="clear" w:color="auto" w:fill="FFFFFF"/>
            <w:vAlign w:val="center"/>
          </w:tcPr>
          <w:p w14:paraId="518D7750">
            <w:pPr>
              <w:widowControl/>
              <w:jc w:val="center"/>
              <w:textAlignment w:val="center"/>
              <w:rPr>
                <w:rFonts w:ascii="Times New Roman Regular" w:hAnsi="Times New Roman Regular" w:eastAsia="宋体" w:cs="Times New Roman Regular"/>
                <w:kern w:val="0"/>
                <w:szCs w:val="21"/>
                <w:lang w:bidi="ar"/>
              </w:rPr>
            </w:pPr>
            <w:r>
              <w:rPr>
                <w:rFonts w:ascii="Times New Roman Regular" w:hAnsi="Times New Roman Regular" w:eastAsia="宋体" w:cs="Times New Roman Regular"/>
                <w:kern w:val="0"/>
                <w:szCs w:val="21"/>
                <w:lang w:bidi="ar"/>
              </w:rPr>
              <w:t>4411/4441/1709/27/66</w:t>
            </w:r>
          </w:p>
        </w:tc>
      </w:tr>
    </w:tbl>
    <w:p w14:paraId="0D48C1DB">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1</w:t>
      </w:r>
      <w:r>
        <w:rPr>
          <w:rFonts w:ascii="Times New Roman Regular" w:hAnsi="Times New Roman Regular" w:eastAsia="宋体" w:cs="Times New Roman Regular"/>
          <w:szCs w:val="21"/>
          <w:lang w:bidi="ar"/>
        </w:rPr>
        <w:t xml:space="preserve">: Rural </w:t>
      </w:r>
      <w:r>
        <w:rPr>
          <w:rFonts w:hint="eastAsia" w:ascii="Times New Roman Regular" w:hAnsi="Times New Roman Regular" w:eastAsia="宋体" w:cs="Times New Roman Regular"/>
          <w:szCs w:val="21"/>
          <w:lang w:bidi="ar"/>
        </w:rPr>
        <w:t>residence</w:t>
      </w:r>
      <w:r>
        <w:rPr>
          <w:rFonts w:ascii="Times New Roman Regular" w:hAnsi="Times New Roman Regular" w:eastAsia="宋体" w:cs="Times New Roman Regular"/>
          <w:szCs w:val="21"/>
          <w:lang w:bidi="ar"/>
        </w:rPr>
        <w:t xml:space="preserve"> with moderate housing </w:t>
      </w:r>
      <w:r>
        <w:rPr>
          <w:rFonts w:hint="eastAsia" w:ascii="Times New Roman Regular" w:hAnsi="Times New Roman Regular" w:eastAsia="宋体" w:cs="Times New Roman Regular"/>
          <w:szCs w:val="21"/>
        </w:rPr>
        <w:t>conditions</w:t>
      </w:r>
      <w:r>
        <w:rPr>
          <w:rFonts w:ascii="Times New Roman Regular" w:hAnsi="Times New Roman Regular" w:eastAsia="宋体" w:cs="Times New Roman Regular"/>
          <w:szCs w:val="21"/>
          <w:lang w:bidi="ar"/>
        </w:rPr>
        <w:t xml:space="preserve"> and </w:t>
      </w:r>
      <w:r>
        <w:rPr>
          <w:rFonts w:hint="eastAsia" w:ascii="Times New Roman Regular" w:hAnsi="Times New Roman Regular" w:eastAsia="宋体" w:cs="Times New Roman Regular"/>
          <w:szCs w:val="21"/>
        </w:rPr>
        <w:t xml:space="preserve">relatively </w:t>
      </w:r>
      <w:r>
        <w:rPr>
          <w:rFonts w:ascii="Times New Roman Regular" w:hAnsi="Times New Roman Regular" w:eastAsia="宋体" w:cs="Times New Roman Regular"/>
          <w:szCs w:val="21"/>
          <w:lang w:bidi="ar"/>
        </w:rPr>
        <w:t>fair air quality</w:t>
      </w:r>
      <w:r>
        <w:rPr>
          <w:rFonts w:hint="eastAsia" w:ascii="Times New Roman Regular" w:hAnsi="Times New Roman Regular" w:eastAsia="宋体" w:cs="Times New Roman Regular"/>
          <w:szCs w:val="21"/>
          <w:lang w:bidi="ar"/>
        </w:rPr>
        <w:t xml:space="preserve"> (1</w:t>
      </w:r>
      <w:r>
        <w:rPr>
          <w:rFonts w:ascii="Times New Roman Regular" w:hAnsi="Times New Roman Regular" w:eastAsia="宋体" w:cs="Times New Roman Regular"/>
          <w:szCs w:val="21"/>
          <w:lang w:bidi="ar"/>
        </w:rPr>
        <w:t>7.4</w:t>
      </w:r>
      <w:r>
        <w:rPr>
          <w:rFonts w:hint="eastAsia" w:ascii="Times New Roman Regular" w:hAnsi="Times New Roman Regular" w:eastAsia="宋体" w:cs="Times New Roman Regular"/>
          <w:szCs w:val="21"/>
          <w:lang w:bidi="ar"/>
        </w:rPr>
        <w:t>%)</w:t>
      </w:r>
    </w:p>
    <w:p w14:paraId="0D48C1DC">
      <w:pPr>
        <w:widowControl/>
        <w:numPr>
          <w:ilvl w:val="0"/>
          <w:numId w:val="2"/>
        </w:numPr>
        <w:spacing w:line="360" w:lineRule="auto"/>
        <w:jc w:val="left"/>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2</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 xml:space="preserve">Rural </w:t>
      </w:r>
      <w:r>
        <w:rPr>
          <w:rFonts w:hint="eastAsia" w:ascii="Times New Roman Regular" w:hAnsi="Times New Roman Regular" w:eastAsia="宋体" w:cs="Times New Roman Regular"/>
          <w:szCs w:val="21"/>
          <w:lang w:bidi="ar"/>
        </w:rPr>
        <w:t>residence</w:t>
      </w:r>
      <w:r>
        <w:rPr>
          <w:rFonts w:ascii="Times New Roman Regular" w:hAnsi="Times New Roman Regular" w:eastAsia="宋体" w:cs="Times New Roman Regular"/>
          <w:szCs w:val="21"/>
          <w:lang w:bidi="ar"/>
        </w:rPr>
        <w:t xml:space="preserve"> with</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 xml:space="preserve">moderate housing </w:t>
      </w:r>
      <w:r>
        <w:rPr>
          <w:rFonts w:hint="eastAsia" w:ascii="Times New Roman Regular" w:hAnsi="Times New Roman Regular" w:eastAsia="宋体" w:cs="Times New Roman Regular"/>
          <w:szCs w:val="21"/>
        </w:rPr>
        <w:t>conditions</w:t>
      </w:r>
      <w:r>
        <w:rPr>
          <w:rFonts w:ascii="Times New Roman Regular" w:hAnsi="Times New Roman Regular" w:eastAsia="宋体" w:cs="Times New Roman Regular"/>
          <w:szCs w:val="21"/>
          <w:lang w:bidi="ar"/>
        </w:rPr>
        <w:t xml:space="preserve"> and </w:t>
      </w:r>
      <w:r>
        <w:rPr>
          <w:rFonts w:hint="eastAsia" w:ascii="Times New Roman Regular" w:hAnsi="Times New Roman Regular" w:eastAsia="宋体" w:cs="Times New Roman Regular"/>
          <w:szCs w:val="21"/>
        </w:rPr>
        <w:t xml:space="preserve">relatively </w:t>
      </w:r>
      <w:r>
        <w:rPr>
          <w:rFonts w:ascii="Times New Roman Regular" w:hAnsi="Times New Roman Regular" w:eastAsia="宋体" w:cs="Times New Roman Regular"/>
          <w:szCs w:val="21"/>
          <w:lang w:bidi="ar"/>
        </w:rPr>
        <w:t>good air quality</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40.7</w:t>
      </w:r>
      <w:r>
        <w:rPr>
          <w:rFonts w:hint="eastAsia" w:ascii="Times New Roman Regular" w:hAnsi="Times New Roman Regular" w:eastAsia="宋体" w:cs="Times New Roman Regular"/>
          <w:szCs w:val="21"/>
          <w:lang w:bidi="ar"/>
        </w:rPr>
        <w:t>%)</w:t>
      </w:r>
    </w:p>
    <w:p w14:paraId="0D48C1DD">
      <w:pPr>
        <w:widowControl/>
        <w:numPr>
          <w:ilvl w:val="0"/>
          <w:numId w:val="2"/>
        </w:numPr>
        <w:spacing w:line="360" w:lineRule="auto"/>
        <w:jc w:val="left"/>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3</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w:t>
      </w:r>
      <w:r>
        <w:rPr>
          <w:rFonts w:hint="eastAsia" w:ascii="Times New Roman Regular" w:hAnsi="Times New Roman Regular" w:eastAsia="宋体" w:cs="Times New Roman Regular"/>
          <w:szCs w:val="21"/>
        </w:rPr>
        <w:t xml:space="preserve">Mixed rural-urban residence </w:t>
      </w:r>
      <w:r>
        <w:rPr>
          <w:rFonts w:ascii="Times New Roman Regular" w:hAnsi="Times New Roman Regular" w:eastAsia="宋体" w:cs="Times New Roman Regular"/>
          <w:szCs w:val="21"/>
          <w:lang w:bidi="ar"/>
        </w:rPr>
        <w:t>with</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 xml:space="preserve">high housing </w:t>
      </w:r>
      <w:r>
        <w:rPr>
          <w:rFonts w:hint="eastAsia" w:ascii="Times New Roman Regular" w:hAnsi="Times New Roman Regular" w:eastAsia="宋体" w:cs="Times New Roman Regular"/>
          <w:szCs w:val="21"/>
        </w:rPr>
        <w:t>conditions</w:t>
      </w:r>
      <w:r>
        <w:rPr>
          <w:rFonts w:ascii="Times New Roman Regular" w:hAnsi="Times New Roman Regular" w:eastAsia="宋体" w:cs="Times New Roman Regular"/>
          <w:szCs w:val="21"/>
          <w:lang w:bidi="ar"/>
        </w:rPr>
        <w:t xml:space="preserve"> and </w:t>
      </w:r>
      <w:r>
        <w:rPr>
          <w:rFonts w:hint="eastAsia" w:ascii="Times New Roman Regular" w:hAnsi="Times New Roman Regular" w:eastAsia="宋体" w:cs="Times New Roman Regular"/>
          <w:szCs w:val="21"/>
        </w:rPr>
        <w:t xml:space="preserve">relatively </w:t>
      </w:r>
      <w:r>
        <w:rPr>
          <w:rFonts w:ascii="Times New Roman Regular" w:hAnsi="Times New Roman Regular" w:eastAsia="Times New Roman Regular" w:cs="Times New Roman Regular"/>
          <w:szCs w:val="21"/>
          <w:lang w:bidi="ar"/>
        </w:rPr>
        <w:t xml:space="preserve">good </w:t>
      </w:r>
      <w:r>
        <w:rPr>
          <w:rFonts w:ascii="Times New Roman Regular" w:hAnsi="Times New Roman Regular" w:eastAsia="宋体" w:cs="Times New Roman Regular"/>
          <w:szCs w:val="21"/>
          <w:lang w:bidi="ar"/>
        </w:rPr>
        <w:t>air quality</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30.6</w:t>
      </w:r>
      <w:r>
        <w:rPr>
          <w:rFonts w:hint="eastAsia" w:ascii="Times New Roman Regular" w:hAnsi="Times New Roman Regular" w:eastAsia="宋体" w:cs="Times New Roman Regular"/>
          <w:szCs w:val="21"/>
          <w:lang w:bidi="ar"/>
        </w:rPr>
        <w:t>%)</w:t>
      </w:r>
    </w:p>
    <w:p w14:paraId="0D48C1DE">
      <w:pPr>
        <w:widowControl/>
        <w:numPr>
          <w:ilvl w:val="0"/>
          <w:numId w:val="2"/>
        </w:numPr>
        <w:spacing w:line="360" w:lineRule="auto"/>
        <w:jc w:val="left"/>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w:t>
      </w:r>
      <w:r>
        <w:rPr>
          <w:rFonts w:ascii="Times New Roman Regular" w:hAnsi="Times New Roman Regular" w:eastAsia="Times New Roman Regular" w:cs="Times New Roman Regular"/>
          <w:szCs w:val="21"/>
          <w:lang w:bidi="ar"/>
        </w:rPr>
        <w:t>4</w:t>
      </w:r>
      <w:r>
        <w:rPr>
          <w:rFonts w:ascii="Times New Roman Regular" w:hAnsi="Times New Roman Regular" w:eastAsia="宋体" w:cs="Times New Roman Regular"/>
          <w:szCs w:val="21"/>
          <w:lang w:bidi="ar"/>
        </w:rPr>
        <w:t>:</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 xml:space="preserve">Urban </w:t>
      </w:r>
      <w:r>
        <w:rPr>
          <w:rFonts w:hint="eastAsia" w:ascii="Times New Roman Regular" w:hAnsi="Times New Roman Regular" w:eastAsia="宋体" w:cs="Times New Roman Regular"/>
          <w:szCs w:val="21"/>
          <w:lang w:bidi="ar"/>
        </w:rPr>
        <w:t>residence</w:t>
      </w:r>
      <w:r>
        <w:rPr>
          <w:rFonts w:ascii="Times New Roman Regular" w:hAnsi="Times New Roman Regular" w:eastAsia="宋体" w:cs="Times New Roman Regular"/>
          <w:szCs w:val="21"/>
          <w:lang w:bidi="ar"/>
        </w:rPr>
        <w:t xml:space="preserve"> with</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 xml:space="preserve">high housing </w:t>
      </w:r>
      <w:r>
        <w:rPr>
          <w:rFonts w:hint="eastAsia" w:ascii="Times New Roman Regular" w:hAnsi="Times New Roman Regular" w:eastAsia="宋体" w:cs="Times New Roman Regular"/>
          <w:szCs w:val="21"/>
        </w:rPr>
        <w:t>conditions</w:t>
      </w:r>
      <w:r>
        <w:rPr>
          <w:rFonts w:ascii="Times New Roman Regular" w:hAnsi="Times New Roman Regular" w:eastAsia="宋体" w:cs="Times New Roman Regular"/>
          <w:szCs w:val="21"/>
          <w:lang w:bidi="ar"/>
        </w:rPr>
        <w:t xml:space="preserve"> and </w:t>
      </w:r>
      <w:r>
        <w:rPr>
          <w:rFonts w:hint="eastAsia" w:ascii="Times New Roman Regular" w:hAnsi="Times New Roman Regular" w:eastAsia="宋体" w:cs="Times New Roman Regular"/>
          <w:szCs w:val="21"/>
        </w:rPr>
        <w:t xml:space="preserve">relatively </w:t>
      </w:r>
      <w:r>
        <w:rPr>
          <w:rFonts w:ascii="Times New Roman Regular" w:hAnsi="Times New Roman Regular" w:eastAsia="宋体" w:cs="Times New Roman Regular"/>
          <w:szCs w:val="21"/>
          <w:lang w:bidi="ar"/>
        </w:rPr>
        <w:t>fair air quality</w:t>
      </w:r>
      <w:r>
        <w:rPr>
          <w:rFonts w:hint="eastAsia" w:ascii="Times New Roman Regular" w:hAnsi="Times New Roman Regular" w:eastAsia="宋体" w:cs="Times New Roman Regular"/>
          <w:szCs w:val="21"/>
          <w:lang w:bidi="ar"/>
        </w:rPr>
        <w:t xml:space="preserve"> (</w:t>
      </w:r>
      <w:r>
        <w:rPr>
          <w:rFonts w:ascii="Times New Roman Regular" w:hAnsi="Times New Roman Regular" w:eastAsia="宋体" w:cs="Times New Roman Regular"/>
          <w:szCs w:val="21"/>
          <w:lang w:bidi="ar"/>
        </w:rPr>
        <w:t>11.3</w:t>
      </w:r>
      <w:r>
        <w:rPr>
          <w:rFonts w:hint="eastAsia" w:ascii="Times New Roman Regular" w:hAnsi="Times New Roman Regular" w:eastAsia="宋体" w:cs="Times New Roman Regular"/>
          <w:szCs w:val="21"/>
          <w:lang w:bidi="ar"/>
        </w:rPr>
        <w:t>%)</w:t>
      </w:r>
    </w:p>
    <w:p w14:paraId="6C87C48A">
      <w:pPr>
        <w:spacing w:line="360" w:lineRule="auto"/>
        <w:rPr>
          <w:rFonts w:ascii="Times New Roman Bold" w:hAnsi="Times New Roman Bold" w:eastAsia="Times New Roman Bold" w:cs="Times New Roman Bold"/>
          <w:b/>
          <w:bCs/>
          <w:szCs w:val="21"/>
          <w:lang w:bidi="ar"/>
        </w:rPr>
      </w:pPr>
    </w:p>
    <w:p w14:paraId="7B013013">
      <w:pPr>
        <w:spacing w:line="360" w:lineRule="auto"/>
        <w:rPr>
          <w:rFonts w:ascii="Times New Roman Bold" w:hAnsi="Times New Roman Bold" w:eastAsia="宋体" w:cs="Times New Roman Bold"/>
          <w:szCs w:val="21"/>
        </w:rPr>
      </w:pPr>
      <w:r>
        <w:rPr>
          <w:rFonts w:ascii="Times New Roman Bold" w:hAnsi="Times New Roman Bold" w:eastAsia="Times New Roman Bold" w:cs="Times New Roman Bold"/>
          <w:b/>
          <w:bCs/>
          <w:szCs w:val="21"/>
          <w:lang w:bidi="ar"/>
        </w:rPr>
        <w:t xml:space="preserve">Table S6. </w:t>
      </w:r>
      <w:r>
        <w:rPr>
          <w:rFonts w:ascii="Times New Roman Bold" w:hAnsi="Times New Roman Bold" w:eastAsia="宋体" w:cs="Times New Roman Bold"/>
          <w:szCs w:val="21"/>
          <w:lang w:bidi="ar"/>
        </w:rPr>
        <w:t xml:space="preserve">Latent </w:t>
      </w:r>
      <w:r>
        <w:rPr>
          <w:rFonts w:ascii="Times New Roman Bold" w:hAnsi="Times New Roman Bold" w:eastAsia="Times New Roman Bold" w:cs="Times New Roman Bold"/>
          <w:szCs w:val="21"/>
          <w:lang w:bidi="ar"/>
        </w:rPr>
        <w:t>c</w:t>
      </w:r>
      <w:r>
        <w:rPr>
          <w:rFonts w:ascii="Times New Roman Bold" w:hAnsi="Times New Roman Bold" w:eastAsia="宋体" w:cs="Times New Roman Bold"/>
          <w:szCs w:val="21"/>
          <w:lang w:bidi="ar"/>
        </w:rPr>
        <w:t xml:space="preserve">lass </w:t>
      </w:r>
      <w:r>
        <w:rPr>
          <w:rFonts w:ascii="Times New Roman Bold" w:hAnsi="Times New Roman Bold" w:eastAsia="Times New Roman Bold" w:cs="Times New Roman Bold"/>
          <w:szCs w:val="21"/>
          <w:lang w:bidi="ar"/>
        </w:rPr>
        <w:t>m</w:t>
      </w:r>
      <w:r>
        <w:rPr>
          <w:rFonts w:ascii="Times New Roman Bold" w:hAnsi="Times New Roman Bold" w:eastAsia="宋体" w:cs="Times New Roman Bold"/>
          <w:szCs w:val="21"/>
          <w:lang w:bidi="ar"/>
        </w:rPr>
        <w:t xml:space="preserve">odel </w:t>
      </w:r>
      <w:r>
        <w:rPr>
          <w:rFonts w:ascii="Times New Roman Bold" w:hAnsi="Times New Roman Bold" w:eastAsia="Times New Roman Bold" w:cs="Times New Roman Bold"/>
          <w:szCs w:val="21"/>
          <w:lang w:bidi="ar"/>
        </w:rPr>
        <w:t>f</w:t>
      </w:r>
      <w:r>
        <w:rPr>
          <w:rFonts w:ascii="Times New Roman Bold" w:hAnsi="Times New Roman Bold" w:eastAsia="宋体" w:cs="Times New Roman Bold"/>
          <w:szCs w:val="21"/>
          <w:lang w:bidi="ar"/>
        </w:rPr>
        <w:t xml:space="preserve">it </w:t>
      </w:r>
      <w:r>
        <w:rPr>
          <w:rFonts w:ascii="Times New Roman Bold" w:hAnsi="Times New Roman Bold" w:eastAsia="Times New Roman Bold" w:cs="Times New Roman Bold"/>
          <w:szCs w:val="21"/>
          <w:lang w:bidi="ar"/>
        </w:rPr>
        <w:t>i</w:t>
      </w:r>
      <w:r>
        <w:rPr>
          <w:rFonts w:ascii="Times New Roman Bold" w:hAnsi="Times New Roman Bold" w:eastAsia="宋体" w:cs="Times New Roman Bold"/>
          <w:szCs w:val="21"/>
          <w:lang w:bidi="ar"/>
        </w:rPr>
        <w:t>ndices (Social and community context</w:t>
      </w:r>
      <w:r>
        <w:rPr>
          <w:rFonts w:ascii="Times New Roman Bold" w:hAnsi="Times New Roman Bold" w:eastAsia="Times New Roman Bold" w:cs="Times New Roman Bold"/>
          <w:szCs w:val="21"/>
          <w:lang w:bidi="ar"/>
        </w:rPr>
        <w:t>).</w:t>
      </w:r>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173"/>
        <w:gridCol w:w="1551"/>
        <w:gridCol w:w="1223"/>
        <w:gridCol w:w="1223"/>
        <w:gridCol w:w="1223"/>
        <w:gridCol w:w="985"/>
        <w:gridCol w:w="1001"/>
        <w:gridCol w:w="1001"/>
        <w:gridCol w:w="2980"/>
        <w:gridCol w:w="2167"/>
      </w:tblGrid>
      <w:tr w14:paraId="6363F0F1">
        <w:tc>
          <w:tcPr>
            <w:tcW w:w="347" w:type="pct"/>
            <w:tcBorders>
              <w:top w:val="single" w:color="000000" w:sz="12" w:space="0"/>
              <w:left w:val="nil"/>
              <w:bottom w:val="single" w:color="000000" w:sz="4" w:space="0"/>
              <w:right w:val="nil"/>
            </w:tcBorders>
            <w:shd w:val="clear" w:color="auto" w:fill="FFFFFF"/>
            <w:vAlign w:val="center"/>
          </w:tcPr>
          <w:p w14:paraId="0422DE3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N</w:t>
            </w:r>
            <w:r>
              <w:rPr>
                <w:rFonts w:ascii="Times New Roman Regular" w:hAnsi="Times New Roman Regular" w:eastAsia="宋体" w:cs="Times New Roman Regular"/>
                <w:kern w:val="0"/>
                <w:szCs w:val="21"/>
                <w:lang w:bidi="ar"/>
              </w:rPr>
              <w:t xml:space="preserve">o. </w:t>
            </w:r>
          </w:p>
        </w:tc>
        <w:tc>
          <w:tcPr>
            <w:tcW w:w="375" w:type="pct"/>
            <w:tcBorders>
              <w:top w:val="single" w:color="000000" w:sz="12" w:space="0"/>
              <w:left w:val="nil"/>
              <w:bottom w:val="single" w:color="000000" w:sz="4" w:space="0"/>
              <w:right w:val="nil"/>
            </w:tcBorders>
            <w:shd w:val="clear" w:color="auto" w:fill="FFFFFF"/>
            <w:vAlign w:val="center"/>
          </w:tcPr>
          <w:p w14:paraId="0696712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Free Parameter No.</w:t>
            </w:r>
          </w:p>
        </w:tc>
        <w:tc>
          <w:tcPr>
            <w:tcW w:w="496" w:type="pct"/>
            <w:tcBorders>
              <w:top w:val="single" w:color="000000" w:sz="12" w:space="0"/>
              <w:left w:val="nil"/>
              <w:bottom w:val="single" w:color="000000" w:sz="4" w:space="0"/>
              <w:right w:val="nil"/>
            </w:tcBorders>
            <w:shd w:val="clear" w:color="auto" w:fill="FFFFFF"/>
            <w:vAlign w:val="center"/>
          </w:tcPr>
          <w:p w14:paraId="52A72CF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Loglikelihood</w:t>
            </w:r>
          </w:p>
        </w:tc>
        <w:tc>
          <w:tcPr>
            <w:tcW w:w="391" w:type="pct"/>
            <w:tcBorders>
              <w:top w:val="single" w:color="000000" w:sz="12" w:space="0"/>
              <w:left w:val="nil"/>
              <w:bottom w:val="single" w:color="000000" w:sz="4" w:space="0"/>
              <w:right w:val="nil"/>
            </w:tcBorders>
            <w:shd w:val="clear" w:color="auto" w:fill="FFFFFF"/>
            <w:vAlign w:val="center"/>
          </w:tcPr>
          <w:p w14:paraId="25C8095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AIC</w:t>
            </w:r>
          </w:p>
        </w:tc>
        <w:tc>
          <w:tcPr>
            <w:tcW w:w="391" w:type="pct"/>
            <w:tcBorders>
              <w:top w:val="single" w:color="000000" w:sz="12" w:space="0"/>
              <w:left w:val="nil"/>
              <w:bottom w:val="single" w:color="000000" w:sz="4" w:space="0"/>
              <w:right w:val="nil"/>
            </w:tcBorders>
            <w:shd w:val="clear" w:color="auto" w:fill="FFFFFF"/>
            <w:vAlign w:val="center"/>
          </w:tcPr>
          <w:p w14:paraId="138DEF6F">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BIC</w:t>
            </w:r>
          </w:p>
        </w:tc>
        <w:tc>
          <w:tcPr>
            <w:tcW w:w="391" w:type="pct"/>
            <w:tcBorders>
              <w:top w:val="single" w:color="000000" w:sz="12" w:space="0"/>
              <w:left w:val="nil"/>
              <w:bottom w:val="single" w:color="000000" w:sz="4" w:space="0"/>
              <w:right w:val="nil"/>
            </w:tcBorders>
            <w:shd w:val="clear" w:color="auto" w:fill="FFFFFF"/>
            <w:vAlign w:val="center"/>
          </w:tcPr>
          <w:p w14:paraId="6C716BD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aBIC</w:t>
            </w:r>
          </w:p>
        </w:tc>
        <w:tc>
          <w:tcPr>
            <w:tcW w:w="315" w:type="pct"/>
            <w:tcBorders>
              <w:top w:val="single" w:color="000000" w:sz="12" w:space="0"/>
              <w:left w:val="nil"/>
              <w:bottom w:val="single" w:color="000000" w:sz="4" w:space="0"/>
              <w:right w:val="nil"/>
            </w:tcBorders>
            <w:shd w:val="clear" w:color="auto" w:fill="FFFFFF"/>
            <w:vAlign w:val="center"/>
          </w:tcPr>
          <w:p w14:paraId="42E47C99">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Entropy</w:t>
            </w:r>
          </w:p>
        </w:tc>
        <w:tc>
          <w:tcPr>
            <w:tcW w:w="320" w:type="pct"/>
            <w:tcBorders>
              <w:top w:val="single" w:color="000000" w:sz="12" w:space="0"/>
              <w:left w:val="nil"/>
              <w:bottom w:val="single" w:color="000000" w:sz="4" w:space="0"/>
              <w:right w:val="nil"/>
            </w:tcBorders>
            <w:shd w:val="clear" w:color="auto" w:fill="FFFFFF"/>
            <w:vAlign w:val="center"/>
          </w:tcPr>
          <w:p w14:paraId="50914D3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LMR</w:t>
            </w:r>
          </w:p>
        </w:tc>
        <w:tc>
          <w:tcPr>
            <w:tcW w:w="320" w:type="pct"/>
            <w:tcBorders>
              <w:top w:val="single" w:color="000000" w:sz="12" w:space="0"/>
              <w:left w:val="nil"/>
              <w:bottom w:val="single" w:color="000000" w:sz="4" w:space="0"/>
              <w:right w:val="nil"/>
            </w:tcBorders>
            <w:shd w:val="clear" w:color="auto" w:fill="FFFFFF"/>
            <w:vAlign w:val="center"/>
          </w:tcPr>
          <w:p w14:paraId="6847557C">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BLRT</w:t>
            </w:r>
          </w:p>
        </w:tc>
        <w:tc>
          <w:tcPr>
            <w:tcW w:w="953" w:type="pct"/>
            <w:tcBorders>
              <w:top w:val="single" w:color="000000" w:sz="12" w:space="0"/>
              <w:left w:val="nil"/>
              <w:bottom w:val="single" w:color="000000" w:sz="4" w:space="0"/>
              <w:right w:val="nil"/>
            </w:tcBorders>
            <w:shd w:val="clear" w:color="auto" w:fill="FFFFFF"/>
            <w:vAlign w:val="center"/>
          </w:tcPr>
          <w:p w14:paraId="7CFA8AE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 xml:space="preserve">Category </w:t>
            </w:r>
            <w:r>
              <w:rPr>
                <w:rFonts w:ascii="Times New Roman Regular" w:hAnsi="Times New Roman Regular" w:eastAsia="Times New Roman Regular" w:cs="Times New Roman Regular"/>
                <w:kern w:val="0"/>
                <w:szCs w:val="21"/>
                <w:lang w:bidi="ar"/>
              </w:rPr>
              <w:t>Probability</w:t>
            </w:r>
          </w:p>
        </w:tc>
        <w:tc>
          <w:tcPr>
            <w:tcW w:w="693" w:type="pct"/>
            <w:tcBorders>
              <w:top w:val="single" w:color="000000" w:sz="12" w:space="0"/>
              <w:left w:val="nil"/>
              <w:bottom w:val="single" w:color="000000" w:sz="4" w:space="0"/>
              <w:right w:val="nil"/>
            </w:tcBorders>
            <w:shd w:val="clear" w:color="auto" w:fill="FFFFFF"/>
            <w:vAlign w:val="center"/>
          </w:tcPr>
          <w:p w14:paraId="44D9805E">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lang w:bidi="ar"/>
              </w:rPr>
              <w:t>Sample Size</w:t>
            </w:r>
          </w:p>
        </w:tc>
      </w:tr>
      <w:tr w14:paraId="0EEC1992">
        <w:tc>
          <w:tcPr>
            <w:tcW w:w="986" w:type="dxa"/>
            <w:tcBorders>
              <w:top w:val="single" w:color="000000" w:sz="4" w:space="0"/>
              <w:left w:val="nil"/>
              <w:bottom w:val="nil"/>
              <w:right w:val="nil"/>
            </w:tcBorders>
            <w:shd w:val="clear" w:color="auto" w:fill="FFFFFF"/>
            <w:vAlign w:val="center"/>
          </w:tcPr>
          <w:p w14:paraId="4496874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1</w:t>
            </w:r>
          </w:p>
        </w:tc>
        <w:tc>
          <w:tcPr>
            <w:tcW w:w="1068" w:type="dxa"/>
            <w:tcBorders>
              <w:top w:val="single" w:color="000000" w:sz="4" w:space="0"/>
              <w:left w:val="nil"/>
              <w:bottom w:val="nil"/>
              <w:right w:val="nil"/>
            </w:tcBorders>
            <w:shd w:val="clear" w:color="auto" w:fill="FFFFFF"/>
            <w:vAlign w:val="center"/>
          </w:tcPr>
          <w:p w14:paraId="489574D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 xml:space="preserve">3 </w:t>
            </w:r>
          </w:p>
        </w:tc>
        <w:tc>
          <w:tcPr>
            <w:tcW w:w="1406" w:type="dxa"/>
            <w:tcBorders>
              <w:top w:val="single" w:color="000000" w:sz="4" w:space="0"/>
              <w:left w:val="nil"/>
              <w:bottom w:val="nil"/>
              <w:right w:val="nil"/>
            </w:tcBorders>
            <w:shd w:val="clear" w:color="auto" w:fill="FFFFFF"/>
            <w:vAlign w:val="center"/>
          </w:tcPr>
          <w:p w14:paraId="7FA5B22D">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-17611.337</w:t>
            </w:r>
          </w:p>
        </w:tc>
        <w:tc>
          <w:tcPr>
            <w:tcW w:w="1109" w:type="dxa"/>
            <w:tcBorders>
              <w:top w:val="single" w:color="000000" w:sz="4" w:space="0"/>
              <w:left w:val="nil"/>
              <w:bottom w:val="nil"/>
              <w:right w:val="nil"/>
            </w:tcBorders>
            <w:shd w:val="clear" w:color="auto" w:fill="FFFFFF"/>
            <w:vAlign w:val="center"/>
          </w:tcPr>
          <w:p w14:paraId="12F814E7">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35228.675</w:t>
            </w:r>
          </w:p>
        </w:tc>
        <w:tc>
          <w:tcPr>
            <w:tcW w:w="1109" w:type="dxa"/>
            <w:tcBorders>
              <w:top w:val="single" w:color="000000" w:sz="4" w:space="0"/>
              <w:left w:val="nil"/>
              <w:bottom w:val="nil"/>
              <w:right w:val="nil"/>
            </w:tcBorders>
            <w:shd w:val="clear" w:color="auto" w:fill="FFFFFF"/>
            <w:vAlign w:val="center"/>
          </w:tcPr>
          <w:p w14:paraId="2E74E7CF">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35250.496</w:t>
            </w:r>
          </w:p>
        </w:tc>
        <w:tc>
          <w:tcPr>
            <w:tcW w:w="1109" w:type="dxa"/>
            <w:tcBorders>
              <w:top w:val="single" w:color="000000" w:sz="4" w:space="0"/>
              <w:left w:val="nil"/>
              <w:bottom w:val="nil"/>
              <w:right w:val="nil"/>
            </w:tcBorders>
            <w:shd w:val="clear" w:color="auto" w:fill="FFFFFF"/>
            <w:vAlign w:val="center"/>
          </w:tcPr>
          <w:p w14:paraId="0B9936D8">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35240.962</w:t>
            </w:r>
          </w:p>
        </w:tc>
        <w:tc>
          <w:tcPr>
            <w:tcW w:w="893" w:type="dxa"/>
            <w:tcBorders>
              <w:top w:val="single" w:color="000000" w:sz="4" w:space="0"/>
              <w:left w:val="nil"/>
              <w:bottom w:val="nil"/>
              <w:right w:val="nil"/>
            </w:tcBorders>
            <w:shd w:val="clear" w:color="auto" w:fill="FFFFFF"/>
            <w:vAlign w:val="center"/>
          </w:tcPr>
          <w:p w14:paraId="7EE9F9C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912" w:type="dxa"/>
            <w:tcBorders>
              <w:top w:val="single" w:color="000000" w:sz="4" w:space="0"/>
              <w:left w:val="nil"/>
              <w:bottom w:val="nil"/>
              <w:right w:val="nil"/>
            </w:tcBorders>
            <w:shd w:val="clear" w:color="auto" w:fill="FFFFFF"/>
            <w:vAlign w:val="center"/>
          </w:tcPr>
          <w:p w14:paraId="7973E07B">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912" w:type="dxa"/>
            <w:tcBorders>
              <w:top w:val="single" w:color="000000" w:sz="4" w:space="0"/>
              <w:left w:val="nil"/>
              <w:bottom w:val="nil"/>
              <w:right w:val="nil"/>
            </w:tcBorders>
            <w:shd w:val="clear" w:color="auto" w:fill="FFFFFF"/>
            <w:vAlign w:val="center"/>
          </w:tcPr>
          <w:p w14:paraId="190E9F2B">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c>
          <w:tcPr>
            <w:tcW w:w="2702" w:type="dxa"/>
            <w:tcBorders>
              <w:top w:val="single" w:color="000000" w:sz="4" w:space="0"/>
              <w:left w:val="nil"/>
              <w:bottom w:val="nil"/>
              <w:right w:val="nil"/>
            </w:tcBorders>
            <w:shd w:val="clear" w:color="auto" w:fill="FFFFFF"/>
            <w:vAlign w:val="center"/>
          </w:tcPr>
          <w:p w14:paraId="0C175AE0">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w:t>
            </w:r>
          </w:p>
        </w:tc>
        <w:tc>
          <w:tcPr>
            <w:tcW w:w="1967" w:type="dxa"/>
            <w:tcBorders>
              <w:top w:val="single" w:color="000000" w:sz="4" w:space="0"/>
              <w:left w:val="nil"/>
              <w:bottom w:val="nil"/>
              <w:right w:val="nil"/>
            </w:tcBorders>
            <w:shd w:val="clear" w:color="auto" w:fill="FFFFFF"/>
            <w:vAlign w:val="center"/>
          </w:tcPr>
          <w:p w14:paraId="0079CF00">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w:t>
            </w:r>
          </w:p>
        </w:tc>
      </w:tr>
      <w:tr w14:paraId="5F5EF22E">
        <w:tc>
          <w:tcPr>
            <w:tcW w:w="986" w:type="dxa"/>
            <w:tcBorders>
              <w:top w:val="nil"/>
              <w:left w:val="nil"/>
              <w:bottom w:val="nil"/>
              <w:right w:val="nil"/>
            </w:tcBorders>
            <w:shd w:val="clear" w:color="auto" w:fill="FFFFFF"/>
            <w:vAlign w:val="center"/>
          </w:tcPr>
          <w:p w14:paraId="6665AE1D">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2</w:t>
            </w:r>
          </w:p>
        </w:tc>
        <w:tc>
          <w:tcPr>
            <w:tcW w:w="1068" w:type="dxa"/>
            <w:tcBorders>
              <w:top w:val="nil"/>
              <w:left w:val="nil"/>
              <w:bottom w:val="nil"/>
              <w:right w:val="nil"/>
            </w:tcBorders>
            <w:shd w:val="clear" w:color="auto" w:fill="FFFFFF"/>
            <w:vAlign w:val="center"/>
          </w:tcPr>
          <w:p w14:paraId="3B997219">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 xml:space="preserve">7 </w:t>
            </w:r>
          </w:p>
        </w:tc>
        <w:tc>
          <w:tcPr>
            <w:tcW w:w="1406" w:type="dxa"/>
            <w:tcBorders>
              <w:top w:val="nil"/>
              <w:left w:val="nil"/>
              <w:bottom w:val="nil"/>
              <w:right w:val="nil"/>
            </w:tcBorders>
            <w:shd w:val="clear" w:color="auto" w:fill="FFFFFF"/>
            <w:vAlign w:val="center"/>
          </w:tcPr>
          <w:p w14:paraId="532430AB">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b/>
                <w:bCs/>
                <w:kern w:val="0"/>
                <w:szCs w:val="21"/>
                <w:lang w:bidi="ar"/>
              </w:rPr>
              <w:t>-16074.969</w:t>
            </w:r>
          </w:p>
        </w:tc>
        <w:tc>
          <w:tcPr>
            <w:tcW w:w="1109" w:type="dxa"/>
            <w:tcBorders>
              <w:top w:val="nil"/>
              <w:left w:val="nil"/>
              <w:bottom w:val="nil"/>
              <w:right w:val="nil"/>
            </w:tcBorders>
            <w:shd w:val="clear" w:color="auto" w:fill="FFFFFF"/>
            <w:vAlign w:val="center"/>
          </w:tcPr>
          <w:p w14:paraId="2B0F4D0A">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b/>
                <w:bCs/>
                <w:kern w:val="0"/>
                <w:szCs w:val="21"/>
                <w:lang w:bidi="ar"/>
              </w:rPr>
              <w:t>32163.938</w:t>
            </w:r>
            <w:r>
              <w:rPr>
                <w:rFonts w:ascii="Times New Roman Regular" w:hAnsi="Times New Roman Regular" w:eastAsia="宋体" w:cs="Times New Roman Regular"/>
                <w:b/>
                <w:bCs/>
                <w:kern w:val="0"/>
                <w:szCs w:val="21"/>
                <w:lang w:bidi="ar"/>
              </w:rPr>
              <w:t xml:space="preserve"> </w:t>
            </w:r>
          </w:p>
        </w:tc>
        <w:tc>
          <w:tcPr>
            <w:tcW w:w="1109" w:type="dxa"/>
            <w:tcBorders>
              <w:top w:val="nil"/>
              <w:left w:val="nil"/>
              <w:bottom w:val="nil"/>
              <w:right w:val="nil"/>
            </w:tcBorders>
            <w:shd w:val="clear" w:color="auto" w:fill="FFFFFF"/>
            <w:vAlign w:val="center"/>
          </w:tcPr>
          <w:p w14:paraId="275CF63F">
            <w:pPr>
              <w:widowControl/>
              <w:jc w:val="center"/>
              <w:textAlignment w:val="center"/>
              <w:rPr>
                <w:rFonts w:ascii="Times New Roman Regular" w:hAnsi="Times New Roman Regular" w:eastAsia="宋体" w:cs="Times New Roman Regular"/>
                <w:b/>
                <w:bCs/>
                <w:kern w:val="0"/>
                <w:szCs w:val="21"/>
              </w:rPr>
            </w:pPr>
            <w:r>
              <w:rPr>
                <w:rFonts w:ascii="Times New Roman Bold" w:hAnsi="Times New Roman Bold" w:eastAsia="宋体" w:cs="Times New Roman Bold"/>
                <w:b/>
                <w:bCs/>
                <w:kern w:val="0"/>
                <w:szCs w:val="21"/>
              </w:rPr>
              <w:t>32214.854</w:t>
            </w:r>
          </w:p>
        </w:tc>
        <w:tc>
          <w:tcPr>
            <w:tcW w:w="1109" w:type="dxa"/>
            <w:tcBorders>
              <w:top w:val="nil"/>
              <w:left w:val="nil"/>
              <w:bottom w:val="nil"/>
              <w:right w:val="nil"/>
            </w:tcBorders>
            <w:shd w:val="clear" w:color="auto" w:fill="FFFFFF"/>
            <w:vAlign w:val="center"/>
          </w:tcPr>
          <w:p w14:paraId="4736A59E">
            <w:pPr>
              <w:widowControl/>
              <w:jc w:val="center"/>
              <w:textAlignment w:val="center"/>
              <w:rPr>
                <w:rFonts w:ascii="Times New Roman Regular" w:hAnsi="Times New Roman Regular" w:eastAsia="宋体" w:cs="Times New Roman Regular"/>
                <w:b/>
                <w:bCs/>
                <w:kern w:val="0"/>
                <w:szCs w:val="21"/>
              </w:rPr>
            </w:pPr>
            <w:r>
              <w:rPr>
                <w:rFonts w:hint="eastAsia" w:ascii="Times New Roman Regular" w:hAnsi="Times New Roman Regular" w:eastAsia="宋体" w:cs="Times New Roman Regular"/>
                <w:b/>
                <w:bCs/>
                <w:kern w:val="0"/>
                <w:szCs w:val="21"/>
                <w:lang w:bidi="ar"/>
              </w:rPr>
              <w:t>32192.609</w:t>
            </w:r>
          </w:p>
        </w:tc>
        <w:tc>
          <w:tcPr>
            <w:tcW w:w="893" w:type="dxa"/>
            <w:tcBorders>
              <w:top w:val="nil"/>
              <w:left w:val="nil"/>
              <w:bottom w:val="nil"/>
              <w:right w:val="nil"/>
            </w:tcBorders>
            <w:shd w:val="clear" w:color="auto" w:fill="FFFFFF"/>
            <w:vAlign w:val="center"/>
          </w:tcPr>
          <w:p w14:paraId="5A03E79B">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0.975</w:t>
            </w:r>
          </w:p>
        </w:tc>
        <w:tc>
          <w:tcPr>
            <w:tcW w:w="912" w:type="dxa"/>
            <w:tcBorders>
              <w:top w:val="nil"/>
              <w:left w:val="nil"/>
              <w:bottom w:val="nil"/>
              <w:right w:val="nil"/>
            </w:tcBorders>
            <w:shd w:val="clear" w:color="auto" w:fill="FFFFFF"/>
            <w:vAlign w:val="center"/>
          </w:tcPr>
          <w:p w14:paraId="05E0AF10">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&lt;0.0001</w:t>
            </w:r>
          </w:p>
        </w:tc>
        <w:tc>
          <w:tcPr>
            <w:tcW w:w="912" w:type="dxa"/>
            <w:tcBorders>
              <w:top w:val="nil"/>
              <w:left w:val="nil"/>
              <w:bottom w:val="nil"/>
              <w:right w:val="nil"/>
            </w:tcBorders>
            <w:shd w:val="clear" w:color="auto" w:fill="FFFFFF"/>
            <w:vAlign w:val="center"/>
          </w:tcPr>
          <w:p w14:paraId="0DC2878F">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&lt;0.0001</w:t>
            </w:r>
          </w:p>
        </w:tc>
        <w:tc>
          <w:tcPr>
            <w:tcW w:w="2702" w:type="dxa"/>
            <w:tcBorders>
              <w:top w:val="nil"/>
              <w:left w:val="nil"/>
              <w:bottom w:val="nil"/>
              <w:right w:val="nil"/>
            </w:tcBorders>
            <w:shd w:val="clear" w:color="auto" w:fill="FFFFFF"/>
            <w:vAlign w:val="center"/>
          </w:tcPr>
          <w:p w14:paraId="4536CCBF">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0.8770/0.1230</w:t>
            </w:r>
          </w:p>
        </w:tc>
        <w:tc>
          <w:tcPr>
            <w:tcW w:w="1967" w:type="dxa"/>
            <w:tcBorders>
              <w:top w:val="nil"/>
              <w:left w:val="nil"/>
              <w:bottom w:val="nil"/>
              <w:right w:val="nil"/>
            </w:tcBorders>
            <w:shd w:val="clear" w:color="auto" w:fill="FFFFFF"/>
            <w:vAlign w:val="center"/>
          </w:tcPr>
          <w:p w14:paraId="0D1087A3">
            <w:pPr>
              <w:widowControl/>
              <w:jc w:val="center"/>
              <w:textAlignment w:val="center"/>
              <w:rPr>
                <w:rFonts w:ascii="Times New Roman Regular" w:hAnsi="Times New Roman Regular" w:eastAsia="宋体" w:cs="Times New Roman Regular"/>
                <w:b/>
                <w:bCs/>
                <w:kern w:val="0"/>
                <w:szCs w:val="21"/>
              </w:rPr>
            </w:pPr>
            <w:r>
              <w:rPr>
                <w:rFonts w:ascii="Times New Roman Regular" w:hAnsi="Times New Roman Regular" w:eastAsia="宋体" w:cs="Times New Roman Regular"/>
                <w:b/>
                <w:bCs/>
                <w:kern w:val="0"/>
                <w:szCs w:val="21"/>
                <w:lang w:bidi="ar"/>
              </w:rPr>
              <w:t>9344/1310</w:t>
            </w:r>
          </w:p>
        </w:tc>
      </w:tr>
      <w:tr w14:paraId="48A79130">
        <w:tc>
          <w:tcPr>
            <w:tcW w:w="986" w:type="dxa"/>
            <w:tcBorders>
              <w:top w:val="nil"/>
              <w:left w:val="nil"/>
              <w:bottom w:val="single" w:color="000000" w:sz="12" w:space="0"/>
              <w:right w:val="nil"/>
            </w:tcBorders>
            <w:shd w:val="clear" w:color="auto" w:fill="FFFFFF"/>
            <w:vAlign w:val="center"/>
          </w:tcPr>
          <w:p w14:paraId="0683FAD3">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3</w:t>
            </w:r>
          </w:p>
        </w:tc>
        <w:tc>
          <w:tcPr>
            <w:tcW w:w="1068" w:type="dxa"/>
            <w:tcBorders>
              <w:top w:val="nil"/>
              <w:left w:val="nil"/>
              <w:bottom w:val="single" w:color="000000" w:sz="12" w:space="0"/>
              <w:right w:val="nil"/>
            </w:tcBorders>
            <w:shd w:val="clear" w:color="auto" w:fill="FFFFFF"/>
            <w:vAlign w:val="center"/>
          </w:tcPr>
          <w:p w14:paraId="7DE5C3EA">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 xml:space="preserve">11 </w:t>
            </w:r>
          </w:p>
        </w:tc>
        <w:tc>
          <w:tcPr>
            <w:tcW w:w="1406" w:type="dxa"/>
            <w:tcBorders>
              <w:top w:val="nil"/>
              <w:left w:val="nil"/>
              <w:bottom w:val="single" w:color="000000" w:sz="12" w:space="0"/>
              <w:right w:val="nil"/>
            </w:tcBorders>
            <w:shd w:val="clear" w:color="auto" w:fill="FFFFFF"/>
            <w:vAlign w:val="center"/>
          </w:tcPr>
          <w:p w14:paraId="63CF30AA">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-16072.514</w:t>
            </w:r>
          </w:p>
        </w:tc>
        <w:tc>
          <w:tcPr>
            <w:tcW w:w="1109" w:type="dxa"/>
            <w:tcBorders>
              <w:top w:val="nil"/>
              <w:left w:val="nil"/>
              <w:bottom w:val="single" w:color="000000" w:sz="12" w:space="0"/>
              <w:right w:val="nil"/>
            </w:tcBorders>
            <w:shd w:val="clear" w:color="auto" w:fill="FFFFFF"/>
            <w:vAlign w:val="center"/>
          </w:tcPr>
          <w:p w14:paraId="63923E49">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32167.027</w:t>
            </w:r>
          </w:p>
        </w:tc>
        <w:tc>
          <w:tcPr>
            <w:tcW w:w="1109" w:type="dxa"/>
            <w:tcBorders>
              <w:top w:val="nil"/>
              <w:left w:val="nil"/>
              <w:bottom w:val="single" w:color="000000" w:sz="12" w:space="0"/>
              <w:right w:val="nil"/>
            </w:tcBorders>
            <w:shd w:val="clear" w:color="auto" w:fill="FFFFFF"/>
            <w:vAlign w:val="center"/>
          </w:tcPr>
          <w:p w14:paraId="15BECB66">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32247.038</w:t>
            </w:r>
          </w:p>
        </w:tc>
        <w:tc>
          <w:tcPr>
            <w:tcW w:w="1109" w:type="dxa"/>
            <w:tcBorders>
              <w:top w:val="nil"/>
              <w:left w:val="nil"/>
              <w:bottom w:val="single" w:color="000000" w:sz="12" w:space="0"/>
              <w:right w:val="nil"/>
            </w:tcBorders>
            <w:shd w:val="clear" w:color="auto" w:fill="FFFFFF"/>
            <w:vAlign w:val="center"/>
          </w:tcPr>
          <w:p w14:paraId="358FEA97">
            <w:pPr>
              <w:widowControl/>
              <w:jc w:val="center"/>
              <w:textAlignment w:val="center"/>
              <w:rPr>
                <w:rFonts w:ascii="Times New Roman Regular" w:hAnsi="Times New Roman Regular" w:eastAsia="宋体" w:cs="Times New Roman Regular"/>
                <w:kern w:val="0"/>
                <w:szCs w:val="21"/>
              </w:rPr>
            </w:pPr>
            <w:r>
              <w:rPr>
                <w:rFonts w:hint="eastAsia" w:ascii="Times New Roman Regular" w:hAnsi="Times New Roman Regular" w:eastAsia="Times New Roman Regular" w:cs="Times New Roman Regular"/>
                <w:kern w:val="0"/>
                <w:szCs w:val="21"/>
                <w:lang w:bidi="ar"/>
              </w:rPr>
              <w:t>32212.081</w:t>
            </w:r>
          </w:p>
        </w:tc>
        <w:tc>
          <w:tcPr>
            <w:tcW w:w="893" w:type="dxa"/>
            <w:tcBorders>
              <w:top w:val="nil"/>
              <w:left w:val="nil"/>
              <w:bottom w:val="single" w:color="000000" w:sz="12" w:space="0"/>
              <w:right w:val="nil"/>
            </w:tcBorders>
            <w:shd w:val="clear" w:color="auto" w:fill="FFFFFF"/>
            <w:vAlign w:val="center"/>
          </w:tcPr>
          <w:p w14:paraId="2AC007A0">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0.500</w:t>
            </w:r>
          </w:p>
        </w:tc>
        <w:tc>
          <w:tcPr>
            <w:tcW w:w="912" w:type="dxa"/>
            <w:tcBorders>
              <w:top w:val="nil"/>
              <w:left w:val="nil"/>
              <w:bottom w:val="single" w:color="000000" w:sz="12" w:space="0"/>
              <w:right w:val="nil"/>
            </w:tcBorders>
            <w:shd w:val="clear" w:color="auto" w:fill="FFFFFF"/>
            <w:vAlign w:val="center"/>
          </w:tcPr>
          <w:p w14:paraId="7A9092C7">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0.0859</w:t>
            </w:r>
          </w:p>
        </w:tc>
        <w:tc>
          <w:tcPr>
            <w:tcW w:w="912" w:type="dxa"/>
            <w:tcBorders>
              <w:top w:val="nil"/>
              <w:left w:val="nil"/>
              <w:bottom w:val="single" w:color="000000" w:sz="12" w:space="0"/>
              <w:right w:val="nil"/>
            </w:tcBorders>
            <w:shd w:val="clear" w:color="auto" w:fill="FFFFFF"/>
            <w:vAlign w:val="center"/>
          </w:tcPr>
          <w:p w14:paraId="40150E1D">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 xml:space="preserve">0.1154 </w:t>
            </w:r>
          </w:p>
        </w:tc>
        <w:tc>
          <w:tcPr>
            <w:tcW w:w="2702" w:type="dxa"/>
            <w:tcBorders>
              <w:top w:val="nil"/>
              <w:left w:val="nil"/>
              <w:bottom w:val="single" w:color="000000" w:sz="12" w:space="0"/>
              <w:right w:val="nil"/>
            </w:tcBorders>
            <w:shd w:val="clear" w:color="auto" w:fill="FFFFFF"/>
            <w:vAlign w:val="center"/>
          </w:tcPr>
          <w:p w14:paraId="4883C2B1">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0.1230/0.8770/0.0000</w:t>
            </w:r>
          </w:p>
        </w:tc>
        <w:tc>
          <w:tcPr>
            <w:tcW w:w="1967" w:type="dxa"/>
            <w:tcBorders>
              <w:top w:val="nil"/>
              <w:left w:val="nil"/>
              <w:bottom w:val="single" w:color="000000" w:sz="12" w:space="0"/>
              <w:right w:val="nil"/>
            </w:tcBorders>
            <w:shd w:val="clear" w:color="auto" w:fill="FFFFFF"/>
            <w:vAlign w:val="center"/>
          </w:tcPr>
          <w:p w14:paraId="567760F4">
            <w:pPr>
              <w:widowControl/>
              <w:jc w:val="center"/>
              <w:textAlignment w:val="center"/>
              <w:rPr>
                <w:rFonts w:ascii="Times New Roman Regular" w:hAnsi="Times New Roman Regular" w:eastAsia="宋体" w:cs="Times New Roman Regular"/>
                <w:kern w:val="0"/>
                <w:szCs w:val="21"/>
              </w:rPr>
            </w:pPr>
            <w:r>
              <w:rPr>
                <w:rFonts w:ascii="Times New Roman Regular" w:hAnsi="Times New Roman Regular" w:eastAsia="Times New Roman Regular" w:cs="Times New Roman Regular"/>
                <w:kern w:val="0"/>
                <w:szCs w:val="21"/>
                <w:lang w:bidi="ar"/>
              </w:rPr>
              <w:t>1310/9344/0</w:t>
            </w:r>
          </w:p>
        </w:tc>
      </w:tr>
    </w:tbl>
    <w:p w14:paraId="0D48C211">
      <w:pPr>
        <w:numPr>
          <w:ilvl w:val="0"/>
          <w:numId w:val="2"/>
        </w:numPr>
        <w:spacing w:line="360" w:lineRule="auto"/>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1: Low social connection </w:t>
      </w:r>
      <w:r>
        <w:rPr>
          <w:rFonts w:hint="eastAsia" w:ascii="Times New Roman" w:hAnsi="Times New Roman" w:eastAsia="宋体" w:cs="Times New Roman"/>
          <w:szCs w:val="21"/>
          <w:lang w:bidi="ar"/>
        </w:rPr>
        <w:t>(1</w:t>
      </w:r>
      <w:r>
        <w:rPr>
          <w:rFonts w:ascii="Times New Roman" w:hAnsi="Times New Roman" w:eastAsia="宋体" w:cs="Times New Roman"/>
          <w:szCs w:val="21"/>
          <w:lang w:bidi="ar"/>
        </w:rPr>
        <w:t>2.3</w:t>
      </w:r>
      <w:r>
        <w:rPr>
          <w:rFonts w:hint="eastAsia" w:ascii="Times New Roman" w:hAnsi="Times New Roman" w:eastAsia="宋体" w:cs="Times New Roman"/>
          <w:szCs w:val="21"/>
          <w:lang w:bidi="ar"/>
        </w:rPr>
        <w:t>%)</w:t>
      </w:r>
    </w:p>
    <w:p w14:paraId="0D48C212">
      <w:pPr>
        <w:widowControl/>
        <w:numPr>
          <w:ilvl w:val="0"/>
          <w:numId w:val="2"/>
        </w:numPr>
        <w:spacing w:line="360" w:lineRule="auto"/>
        <w:jc w:val="left"/>
        <w:rPr>
          <w:rFonts w:ascii="Times New Roman Regular" w:hAnsi="Times New Roman Regular" w:eastAsia="宋体" w:cs="Times New Roman Regular"/>
          <w:szCs w:val="21"/>
        </w:rPr>
      </w:pPr>
      <w:r>
        <w:rPr>
          <w:rFonts w:ascii="Times New Roman Regular" w:hAnsi="Times New Roman Regular" w:eastAsia="Times New Roman Regular" w:cs="Times New Roman Regular"/>
          <w:szCs w:val="21"/>
          <w:lang w:bidi="ar"/>
        </w:rPr>
        <w:t>L</w:t>
      </w:r>
      <w:r>
        <w:rPr>
          <w:rFonts w:ascii="Times New Roman Regular" w:hAnsi="Times New Roman Regular" w:eastAsia="宋体" w:cs="Times New Roman Regular"/>
          <w:szCs w:val="21"/>
          <w:lang w:bidi="ar"/>
        </w:rPr>
        <w:t xml:space="preserve">atent </w:t>
      </w:r>
      <w:r>
        <w:rPr>
          <w:rFonts w:ascii="Times New Roman Regular" w:hAnsi="Times New Roman Regular" w:eastAsia="Times New Roman Regular" w:cs="Times New Roman Regular"/>
          <w:szCs w:val="21"/>
          <w:lang w:bidi="ar"/>
        </w:rPr>
        <w:t>class</w:t>
      </w:r>
      <w:r>
        <w:rPr>
          <w:rFonts w:ascii="Times New Roman Regular" w:hAnsi="Times New Roman Regular" w:eastAsia="宋体" w:cs="Times New Roman Regular"/>
          <w:szCs w:val="21"/>
          <w:lang w:bidi="ar"/>
        </w:rPr>
        <w:t xml:space="preserve"> 2: High social connection</w:t>
      </w:r>
      <w:r>
        <w:rPr>
          <w:rFonts w:hint="eastAsia" w:ascii="Times New Roman" w:hAnsi="Times New Roman" w:eastAsia="宋体" w:cs="Times New Roman"/>
          <w:szCs w:val="21"/>
          <w:lang w:bidi="ar"/>
        </w:rPr>
        <w:t xml:space="preserve"> (8</w:t>
      </w:r>
      <w:r>
        <w:rPr>
          <w:rFonts w:ascii="Times New Roman" w:hAnsi="Times New Roman" w:eastAsia="宋体" w:cs="Times New Roman"/>
          <w:szCs w:val="21"/>
          <w:lang w:bidi="ar"/>
        </w:rPr>
        <w:t>7.7</w:t>
      </w:r>
      <w:r>
        <w:rPr>
          <w:rFonts w:hint="eastAsia" w:ascii="Times New Roman" w:hAnsi="Times New Roman" w:eastAsia="宋体" w:cs="Times New Roman"/>
          <w:szCs w:val="21"/>
          <w:lang w:bidi="ar"/>
        </w:rPr>
        <w:t>%)</w:t>
      </w:r>
    </w:p>
    <w:p w14:paraId="47046299">
      <w:pPr>
        <w:widowControl/>
        <w:jc w:val="left"/>
        <w:rPr>
          <w:rFonts w:ascii="Times New Roman Regular" w:hAnsi="Times New Roman Regular" w:eastAsia="宋体" w:cs="Times New Roman Regular"/>
          <w:szCs w:val="21"/>
        </w:rPr>
      </w:pPr>
      <w:r>
        <w:rPr>
          <w:rFonts w:ascii="Times New Roman Regular" w:hAnsi="Times New Roman Regular" w:eastAsia="宋体" w:cs="Times New Roman Regular"/>
          <w:szCs w:val="21"/>
          <w:lang w:bidi="ar"/>
        </w:rPr>
        <w:t xml:space="preserve"> </w:t>
      </w:r>
    </w:p>
    <w:p w14:paraId="6093ACE0">
      <w:pPr>
        <w:widowControl/>
        <w:jc w:val="left"/>
        <w:rPr>
          <w:rFonts w:ascii="Times New Roman Regular" w:hAnsi="Times New Roman Regular" w:eastAsia="宋体" w:cs="Times New Roman Regular"/>
          <w:szCs w:val="21"/>
          <w:lang w:bidi="ar"/>
        </w:rPr>
      </w:pPr>
      <w:r>
        <w:rPr>
          <w:rFonts w:ascii="Times New Roman Regular" w:hAnsi="Times New Roman Regular" w:eastAsia="宋体" w:cs="Times New Roman Regular"/>
          <w:szCs w:val="21"/>
          <w:lang w:bidi="ar"/>
        </w:rPr>
        <w:br w:type="page"/>
      </w:r>
    </w:p>
    <w:p w14:paraId="172E4D4A">
      <w:pPr>
        <w:widowControl/>
        <w:spacing w:line="360" w:lineRule="auto"/>
        <w:jc w:val="left"/>
        <w:rPr>
          <w:rStyle w:val="14"/>
          <w:rFonts w:ascii="Times New Roman" w:hAnsi="Times New Roman" w:eastAsia="宋体" w:cs="Times New Roman"/>
          <w:color w:val="000000"/>
          <w:kern w:val="0"/>
          <w:sz w:val="24"/>
          <w:lang w:bidi="ar"/>
        </w:rPr>
      </w:pPr>
      <w:r>
        <w:rPr>
          <w:rStyle w:val="14"/>
          <w:rFonts w:ascii="Times New Roman" w:hAnsi="Times New Roman" w:eastAsia="宋体" w:cs="Times New Roman"/>
          <w:color w:val="000000"/>
          <w:kern w:val="0"/>
          <w:sz w:val="24"/>
          <w:lang w:bidi="ar"/>
        </w:rPr>
        <w:t>Table S</w:t>
      </w:r>
      <w:r>
        <w:rPr>
          <w:rStyle w:val="14"/>
          <w:rFonts w:hint="eastAsia" w:ascii="Times New Roman" w:hAnsi="Times New Roman" w:eastAsia="宋体" w:cs="Times New Roman"/>
          <w:color w:val="000000"/>
          <w:kern w:val="0"/>
          <w:sz w:val="24"/>
          <w:lang w:bidi="ar"/>
        </w:rPr>
        <w:t>7</w:t>
      </w:r>
      <w:r>
        <w:rPr>
          <w:rStyle w:val="14"/>
          <w:rFonts w:ascii="Times New Roman" w:hAnsi="Times New Roman" w:eastAsia="宋体" w:cs="Times New Roman"/>
          <w:color w:val="000000"/>
          <w:kern w:val="0"/>
          <w:sz w:val="24"/>
          <w:lang w:bidi="ar"/>
        </w:rPr>
        <w:t xml:space="preserve">. </w:t>
      </w:r>
      <w:r>
        <w:rPr>
          <w:rStyle w:val="14"/>
          <w:rFonts w:ascii="Times New Roman" w:hAnsi="Times New Roman" w:eastAsia="宋体" w:cs="Times New Roman"/>
          <w:b w:val="0"/>
          <w:bCs/>
          <w:color w:val="000000"/>
          <w:kern w:val="0"/>
          <w:sz w:val="24"/>
          <w:lang w:bidi="ar"/>
        </w:rPr>
        <w:t>Summary of network analysis parameters, thresholds, and interpretations</w:t>
      </w:r>
      <w:r>
        <w:rPr>
          <w:rStyle w:val="14"/>
          <w:rFonts w:hint="eastAsia" w:ascii="Times New Roman" w:hAnsi="Times New Roman" w:eastAsia="宋体" w:cs="Times New Roman"/>
          <w:b w:val="0"/>
          <w:bCs/>
          <w:color w:val="000000"/>
          <w:kern w:val="0"/>
          <w:sz w:val="24"/>
          <w:lang w:bidi="ar"/>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12213"/>
      </w:tblGrid>
      <w:tr w14:paraId="1325C52D">
        <w:tc>
          <w:tcPr>
            <w:tcW w:w="3242" w:type="dxa"/>
            <w:tcBorders>
              <w:top w:val="single" w:color="000000" w:sz="12" w:space="0"/>
              <w:left w:val="nil"/>
              <w:bottom w:val="single" w:color="000000" w:sz="4" w:space="0"/>
              <w:right w:val="nil"/>
              <w:tl2br w:val="nil"/>
            </w:tcBorders>
            <w:shd w:val="clear" w:color="auto" w:fill="FFFFFF"/>
            <w:vAlign w:val="center"/>
          </w:tcPr>
          <w:p w14:paraId="1E05DEC5">
            <w:pPr>
              <w:widowControl/>
              <w:spacing w:line="360" w:lineRule="auto"/>
              <w:jc w:val="left"/>
              <w:rPr>
                <w:rFonts w:cs="Times New Roman"/>
                <w:color w:val="000000"/>
                <w:szCs w:val="21"/>
              </w:rPr>
            </w:pPr>
            <w:r>
              <w:rPr>
                <w:rStyle w:val="14"/>
                <w:rFonts w:ascii="Times New Roman" w:hAnsi="Times New Roman" w:eastAsia="宋体" w:cs="Times New Roman"/>
                <w:b w:val="0"/>
                <w:color w:val="000000"/>
                <w:kern w:val="0"/>
                <w:szCs w:val="21"/>
                <w:lang w:bidi="ar"/>
              </w:rPr>
              <w:t>Parameter</w:t>
            </w:r>
            <w:r>
              <w:rPr>
                <w:rStyle w:val="14"/>
                <w:rFonts w:hint="eastAsia" w:ascii="Times New Roman" w:hAnsi="Times New Roman" w:eastAsia="宋体" w:cs="Times New Roman"/>
                <w:b w:val="0"/>
                <w:color w:val="000000"/>
                <w:kern w:val="0"/>
                <w:szCs w:val="21"/>
                <w:lang w:bidi="ar"/>
              </w:rPr>
              <w:t>s</w:t>
            </w:r>
          </w:p>
        </w:tc>
        <w:tc>
          <w:tcPr>
            <w:tcW w:w="12213" w:type="dxa"/>
            <w:tcBorders>
              <w:top w:val="single" w:color="000000" w:sz="12" w:space="0"/>
              <w:left w:val="nil"/>
              <w:bottom w:val="single" w:color="000000" w:sz="4" w:space="0"/>
              <w:right w:val="nil"/>
            </w:tcBorders>
            <w:shd w:val="clear" w:color="auto" w:fill="FFFFFF"/>
            <w:vAlign w:val="center"/>
          </w:tcPr>
          <w:p w14:paraId="7F9E98AF">
            <w:pPr>
              <w:widowControl/>
              <w:spacing w:line="360" w:lineRule="auto"/>
              <w:jc w:val="left"/>
              <w:rPr>
                <w:rFonts w:cs="Times New Roman"/>
                <w:color w:val="000000"/>
                <w:szCs w:val="21"/>
              </w:rPr>
            </w:pPr>
            <w:r>
              <w:rPr>
                <w:rStyle w:val="14"/>
                <w:rFonts w:hint="eastAsia" w:ascii="Times New Roman" w:hAnsi="Times New Roman" w:eastAsia="宋体" w:cs="Times New Roman"/>
                <w:b w:val="0"/>
                <w:color w:val="000000"/>
                <w:kern w:val="0"/>
                <w:szCs w:val="21"/>
                <w:lang w:bidi="ar"/>
              </w:rPr>
              <w:t>Interpretation and threshold</w:t>
            </w:r>
          </w:p>
        </w:tc>
      </w:tr>
      <w:tr w14:paraId="3E522F7C">
        <w:tc>
          <w:tcPr>
            <w:tcW w:w="3242" w:type="dxa"/>
            <w:tcBorders>
              <w:top w:val="nil"/>
              <w:left w:val="nil"/>
              <w:bottom w:val="nil"/>
              <w:right w:val="nil"/>
            </w:tcBorders>
            <w:shd w:val="clear" w:color="auto" w:fill="FFFFFF"/>
            <w:vAlign w:val="center"/>
          </w:tcPr>
          <w:p w14:paraId="796B5820">
            <w:pPr>
              <w:widowControl/>
              <w:spacing w:line="360" w:lineRule="auto"/>
              <w:jc w:val="left"/>
              <w:rPr>
                <w:rFonts w:cs="Times New Roman"/>
                <w:color w:val="000000"/>
                <w:szCs w:val="21"/>
              </w:rPr>
            </w:pPr>
            <w:r>
              <w:rPr>
                <w:rStyle w:val="14"/>
                <w:rFonts w:ascii="Times New Roman" w:hAnsi="Times New Roman" w:eastAsia="宋体" w:cs="Times New Roman"/>
                <w:b w:val="0"/>
                <w:color w:val="000000"/>
                <w:kern w:val="0"/>
                <w:szCs w:val="21"/>
                <w:lang w:bidi="ar"/>
              </w:rPr>
              <w:t>Edge weights</w:t>
            </w:r>
          </w:p>
        </w:tc>
        <w:tc>
          <w:tcPr>
            <w:tcW w:w="12213" w:type="dxa"/>
            <w:tcBorders>
              <w:top w:val="nil"/>
              <w:left w:val="nil"/>
              <w:bottom w:val="nil"/>
              <w:right w:val="nil"/>
            </w:tcBorders>
            <w:shd w:val="clear" w:color="auto" w:fill="FFFFFF"/>
            <w:vAlign w:val="center"/>
          </w:tcPr>
          <w:p w14:paraId="760314C0">
            <w:pPr>
              <w:widowControl/>
              <w:spacing w:line="360" w:lineRule="auto"/>
              <w:jc w:val="left"/>
              <w:rPr>
                <w:rFonts w:cs="Times New Roman"/>
                <w:color w:val="000000"/>
                <w:szCs w:val="21"/>
              </w:rPr>
            </w:pPr>
            <w:r>
              <w:rPr>
                <w:rFonts w:hint="eastAsia" w:ascii="Times New Roman" w:hAnsi="Times New Roman" w:eastAsia="宋体" w:cs="Times New Roman"/>
                <w:color w:val="000000"/>
                <w:kern w:val="0"/>
                <w:szCs w:val="21"/>
                <w:shd w:val="clear" w:color="auto" w:fill="FFFFFF"/>
                <w:lang w:bidi="ar"/>
              </w:rPr>
              <w:t xml:space="preserve">Edge weights reflected the strength of conditional associations. Thicker edges indicated stronger relationships. </w:t>
            </w:r>
          </w:p>
        </w:tc>
      </w:tr>
      <w:tr w14:paraId="39482024">
        <w:tc>
          <w:tcPr>
            <w:tcW w:w="3242" w:type="dxa"/>
            <w:tcBorders>
              <w:top w:val="nil"/>
              <w:left w:val="nil"/>
              <w:bottom w:val="nil"/>
              <w:right w:val="nil"/>
            </w:tcBorders>
            <w:shd w:val="clear" w:color="auto" w:fill="FFFFFF"/>
            <w:vAlign w:val="center"/>
          </w:tcPr>
          <w:p w14:paraId="7B75AF13">
            <w:pPr>
              <w:widowControl/>
              <w:spacing w:line="360" w:lineRule="auto"/>
              <w:jc w:val="left"/>
              <w:rPr>
                <w:rFonts w:cs="Times New Roman"/>
                <w:color w:val="000000"/>
                <w:szCs w:val="21"/>
              </w:rPr>
            </w:pPr>
            <w:r>
              <w:rPr>
                <w:rStyle w:val="14"/>
                <w:rFonts w:ascii="Times New Roman" w:hAnsi="Times New Roman" w:eastAsia="宋体" w:cs="Times New Roman"/>
                <w:b w:val="0"/>
                <w:color w:val="000000"/>
                <w:kern w:val="0"/>
                <w:szCs w:val="21"/>
                <w:lang w:bidi="ar"/>
              </w:rPr>
              <w:t>Centrality indices</w:t>
            </w:r>
          </w:p>
        </w:tc>
        <w:tc>
          <w:tcPr>
            <w:tcW w:w="12213" w:type="dxa"/>
            <w:tcBorders>
              <w:top w:val="nil"/>
              <w:left w:val="nil"/>
              <w:bottom w:val="nil"/>
              <w:right w:val="nil"/>
            </w:tcBorders>
            <w:shd w:val="clear" w:color="auto" w:fill="FFFFFF"/>
            <w:vAlign w:val="center"/>
          </w:tcPr>
          <w:p w14:paraId="539DC59C">
            <w:pPr>
              <w:widowControl/>
              <w:spacing w:line="360" w:lineRule="auto"/>
              <w:jc w:val="left"/>
              <w:rPr>
                <w:rFonts w:cs="Times New Roman"/>
                <w:color w:val="000000"/>
                <w:szCs w:val="21"/>
              </w:rPr>
            </w:pPr>
            <w:r>
              <w:rPr>
                <w:rFonts w:hint="eastAsia" w:ascii="Times New Roman" w:hAnsi="Times New Roman" w:eastAsia="宋体" w:cs="Times New Roman"/>
                <w:color w:val="000000"/>
                <w:kern w:val="0"/>
                <w:szCs w:val="21"/>
                <w:shd w:val="clear" w:color="auto" w:fill="FFFFFF"/>
                <w:lang w:bidi="ar"/>
              </w:rPr>
              <w:t xml:space="preserve">Centrality indices, including strength, closeness, and betweenness </w:t>
            </w:r>
            <w:r>
              <w:rPr>
                <w:rFonts w:hint="eastAsia" w:ascii="Times New Roman" w:hAnsi="Times New Roman" w:eastAsia="宋体" w:cs="Times New Roman"/>
                <w:color w:val="000000"/>
                <w:kern w:val="0"/>
                <w:szCs w:val="21"/>
                <w:shd w:val="clear" w:color="auto" w:fill="FFFFFF"/>
                <w:lang w:bidi="ar"/>
              </w:rPr>
              <w:fldChar w:fldCharType="begin"/>
            </w:r>
            <w:r>
              <w:rPr>
                <w:rFonts w:hint="eastAsia" w:ascii="Times New Roman" w:hAnsi="Times New Roman" w:eastAsia="宋体" w:cs="Times New Roman"/>
                <w:color w:val="000000"/>
                <w:kern w:val="0"/>
                <w:szCs w:val="21"/>
                <w:shd w:val="clear" w:color="auto" w:fill="FFFFFF"/>
                <w:lang w:bidi="ar"/>
              </w:rPr>
              <w:instrText xml:space="preserve"> ADDIN EN.CITE &lt;EndNote&gt;&lt;Cite&gt;&lt;Author&gt;da Cunha Leme&lt;/Author&gt;&lt;Year&gt;2022&lt;/Year&gt;&lt;RecNum&gt;1444&lt;/RecNum&gt;&lt;DisplayText&gt;[18]&lt;/DisplayText&gt;&lt;record&gt;&lt;rec-number&gt;1444&lt;/rec-number&gt;&lt;foreign-keys&gt;&lt;key app="EN" db-id="raez002xkxzpfme20z4px9rqve22zp5wpvap" timestamp="1751449762"&gt;1444&lt;/key&gt;&lt;/foreign-keys&gt;&lt;ref-type name="Journal Article"&gt;17&lt;/ref-type&gt;&lt;contributors&gt;&lt;authors&gt;&lt;author&gt;da Cunha Leme, D. E.&lt;/author&gt;&lt;author&gt;Neri, A. L.&lt;/author&gt;&lt;author&gt;Fattori, A.&lt;/author&gt;&lt;/authors&gt;&lt;/contributors&gt;&lt;auth-address&gt;Faculty of Medical Sciences, State University of Campinas, Campinas, Sao Paulo, Brazil.&lt;/auth-address&gt;&lt;titles&gt;&lt;title&gt;How Do the Factors Associated With Frailty Change With Sex? An Exploratory Network Analysis&lt;/title&gt;&lt;secondary-title&gt;J Gerontol A Biol Sci Med Sci&lt;/secondary-title&gt;&lt;/titles&gt;&lt;periodical&gt;&lt;full-title&gt;J Gerontol A Biol Sci Med Sci&lt;/full-title&gt;&lt;/periodical&gt;&lt;pages&gt;2023-2031&lt;/pages&gt;&lt;volume&gt;77&lt;/volume&gt;&lt;number&gt;10&lt;/number&gt;&lt;keywords&gt;&lt;keyword&gt;Aged&lt;/keyword&gt;&lt;keyword&gt;Cross-Sectional Studies&lt;/keyword&gt;&lt;keyword&gt;*Diabetes Mellitus&lt;/keyword&gt;&lt;keyword&gt;Female&lt;/keyword&gt;&lt;keyword&gt;Frail Elderly/psychology&lt;/keyword&gt;&lt;keyword&gt;*Frailty/diagnosis&lt;/keyword&gt;&lt;keyword&gt;Geriatric Assessment/methods&lt;/keyword&gt;&lt;keyword&gt;Humans&lt;/keyword&gt;&lt;keyword&gt;Male&lt;/keyword&gt;&lt;keyword&gt;Syndrome&lt;/keyword&gt;&lt;keyword&gt;Epidemiology&lt;/keyword&gt;&lt;keyword&gt;Frailty&lt;/keyword&gt;&lt;keyword&gt;Geriatric assessment&lt;/keyword&gt;&lt;keyword&gt;Health disparities&lt;/keyword&gt;&lt;keyword&gt;Network analysis&lt;/keyword&gt;&lt;/keywords&gt;&lt;dates&gt;&lt;year&gt;2022&lt;/year&gt;&lt;pub-dates&gt;&lt;date&gt;Oct 6&lt;/date&gt;&lt;/pub-dates&gt;&lt;/dates&gt;&lt;isbn&gt;1758-535X (Electronic)&amp;#xD;1079-5006 (Linking)&lt;/isbn&gt;&lt;accession-num&gt;34893847&lt;/accession-num&gt;&lt;urls&gt;&lt;related-urls&gt;&lt;url&gt;https://www.ncbi.nlm.nih.gov/pubmed/34893847&lt;/url&gt;&lt;/related-urls&gt;&lt;/urls&gt;&lt;electronic-resource-num&gt;10.1093/gerona/glab366&lt;/electronic-resource-num&gt;&lt;remote-database-name&gt;Medline&lt;/remote-database-name&gt;&lt;remote-database-provider&gt;NLM&lt;/remote-database-provider&gt;&lt;/record&gt;&lt;/Cite&gt;&lt;/EndNote&gt;</w:instrText>
            </w:r>
            <w:r>
              <w:rPr>
                <w:rFonts w:hint="eastAsia" w:ascii="Times New Roman" w:hAnsi="Times New Roman" w:eastAsia="宋体" w:cs="Times New Roman"/>
                <w:color w:val="000000"/>
                <w:kern w:val="0"/>
                <w:szCs w:val="21"/>
                <w:shd w:val="clear" w:color="auto" w:fill="FFFFFF"/>
                <w:lang w:bidi="ar"/>
              </w:rPr>
              <w:fldChar w:fldCharType="separate"/>
            </w:r>
            <w:r>
              <w:rPr>
                <w:rFonts w:hint="eastAsia" w:ascii="Times New Roman" w:hAnsi="Times New Roman" w:eastAsia="宋体" w:cs="Times New Roman"/>
                <w:color w:val="000000"/>
                <w:kern w:val="0"/>
                <w:szCs w:val="21"/>
                <w:shd w:val="clear" w:color="auto" w:fill="FFFFFF"/>
                <w:lang w:bidi="ar"/>
              </w:rPr>
              <w:t>[18]</w:t>
            </w:r>
            <w:r>
              <w:rPr>
                <w:rFonts w:hint="eastAsia" w:ascii="Times New Roman" w:hAnsi="Times New Roman" w:eastAsia="宋体" w:cs="Times New Roman"/>
                <w:color w:val="000000"/>
                <w:kern w:val="0"/>
                <w:szCs w:val="21"/>
                <w:shd w:val="clear" w:color="auto" w:fill="FFFFFF"/>
                <w:lang w:bidi="ar"/>
              </w:rPr>
              <w:fldChar w:fldCharType="end"/>
            </w:r>
            <w:r>
              <w:rPr>
                <w:rFonts w:hint="eastAsia" w:ascii="Times New Roman" w:hAnsi="Times New Roman" w:eastAsia="宋体" w:cs="Times New Roman"/>
                <w:color w:val="000000"/>
                <w:kern w:val="0"/>
                <w:szCs w:val="21"/>
                <w:shd w:val="clear" w:color="auto" w:fill="FFFFFF"/>
                <w:lang w:bidi="ar"/>
              </w:rPr>
              <w:t>, identified key</w:t>
            </w:r>
            <w:r>
              <w:rPr>
                <w:rFonts w:ascii="Times New Roman" w:hAnsi="Times New Roman" w:eastAsia="宋体" w:cs="Times New Roman"/>
                <w:color w:val="000000"/>
                <w:kern w:val="0"/>
                <w:szCs w:val="21"/>
                <w:shd w:val="clear" w:color="auto" w:fill="FFFFFF"/>
                <w:lang w:bidi="ar"/>
              </w:rPr>
              <w:t xml:space="preserve"> and</w:t>
            </w:r>
            <w:r>
              <w:rPr>
                <w:rFonts w:hint="eastAsia" w:ascii="Times New Roman" w:hAnsi="Times New Roman" w:eastAsia="宋体" w:cs="Times New Roman"/>
                <w:color w:val="000000"/>
                <w:kern w:val="0"/>
                <w:szCs w:val="21"/>
                <w:shd w:val="clear" w:color="auto" w:fill="FFFFFF"/>
                <w:lang w:bidi="ar"/>
              </w:rPr>
              <w:t xml:space="preserve"> </w:t>
            </w:r>
            <w:r>
              <w:rPr>
                <w:rFonts w:hint="eastAsia" w:ascii="Times New Roman" w:hAnsi="Times New Roman" w:eastAsia="宋体"/>
                <w:shd w:val="clear" w:color="auto" w:fill="FFFFFF"/>
                <w:lang w:bidi="ar"/>
              </w:rPr>
              <w:t xml:space="preserve">influential </w:t>
            </w:r>
            <w:r>
              <w:rPr>
                <w:rFonts w:hint="eastAsia" w:ascii="Times New Roman" w:hAnsi="Times New Roman" w:eastAsia="宋体" w:cs="Times New Roman"/>
                <w:color w:val="000000"/>
                <w:kern w:val="0"/>
                <w:szCs w:val="21"/>
                <w:shd w:val="clear" w:color="auto" w:fill="FFFFFF"/>
                <w:lang w:bidi="ar"/>
              </w:rPr>
              <w:t xml:space="preserve">nodes. Nodes with higher strength were considered more central. </w:t>
            </w:r>
          </w:p>
        </w:tc>
      </w:tr>
      <w:tr w14:paraId="49D4E872">
        <w:tc>
          <w:tcPr>
            <w:tcW w:w="3242" w:type="dxa"/>
            <w:tcBorders>
              <w:top w:val="nil"/>
              <w:left w:val="nil"/>
              <w:bottom w:val="nil"/>
              <w:right w:val="nil"/>
            </w:tcBorders>
            <w:shd w:val="clear" w:color="auto" w:fill="FFFFFF"/>
            <w:vAlign w:val="center"/>
          </w:tcPr>
          <w:p w14:paraId="4FAF5B39">
            <w:pPr>
              <w:widowControl/>
              <w:spacing w:line="360" w:lineRule="auto"/>
              <w:jc w:val="left"/>
              <w:rPr>
                <w:rFonts w:cs="Times New Roman"/>
                <w:color w:val="000000"/>
                <w:szCs w:val="21"/>
              </w:rPr>
            </w:pPr>
            <w:r>
              <w:rPr>
                <w:rStyle w:val="14"/>
                <w:rFonts w:ascii="Times New Roman" w:hAnsi="Times New Roman" w:eastAsia="宋体" w:cs="Times New Roman"/>
                <w:b w:val="0"/>
                <w:color w:val="000000"/>
                <w:kern w:val="0"/>
                <w:szCs w:val="21"/>
                <w:lang w:bidi="ar"/>
              </w:rPr>
              <w:t>Bridge strength</w:t>
            </w:r>
          </w:p>
        </w:tc>
        <w:tc>
          <w:tcPr>
            <w:tcW w:w="12213" w:type="dxa"/>
            <w:tcBorders>
              <w:top w:val="nil"/>
              <w:left w:val="nil"/>
              <w:bottom w:val="nil"/>
              <w:right w:val="nil"/>
            </w:tcBorders>
            <w:shd w:val="clear" w:color="auto" w:fill="FFFFFF"/>
            <w:vAlign w:val="center"/>
          </w:tcPr>
          <w:p w14:paraId="2DBD690C">
            <w:pPr>
              <w:pStyle w:val="9"/>
              <w:spacing w:line="360" w:lineRule="auto"/>
              <w:jc w:val="both"/>
              <w:rPr>
                <w:color w:val="000000"/>
                <w:kern w:val="2"/>
                <w:sz w:val="21"/>
                <w:szCs w:val="21"/>
              </w:rPr>
            </w:pPr>
            <w:r>
              <w:rPr>
                <w:rFonts w:hint="eastAsia" w:ascii="Times New Roman" w:hAnsi="Times New Roman" w:eastAsia="宋体"/>
                <w:color w:val="000000"/>
                <w:sz w:val="21"/>
                <w:szCs w:val="21"/>
                <w:shd w:val="clear" w:color="auto" w:fill="FFFFFF"/>
                <w:lang w:bidi="ar"/>
              </w:rPr>
              <w:t xml:space="preserve">Bridge strength, defined as the sum of absolute edge weights linking nodes across communities, was computed using the networktools package </w:t>
            </w:r>
            <w:r>
              <w:rPr>
                <w:rFonts w:hint="eastAsia" w:ascii="Times New Roman" w:hAnsi="Times New Roman" w:eastAsia="宋体"/>
                <w:color w:val="000000"/>
                <w:sz w:val="21"/>
                <w:szCs w:val="21"/>
                <w:shd w:val="clear" w:color="auto" w:fill="FFFFFF"/>
                <w:lang w:bidi="ar"/>
              </w:rPr>
              <w:fldChar w:fldCharType="begin"/>
            </w:r>
            <w:r>
              <w:rPr>
                <w:rFonts w:hint="eastAsia" w:ascii="Times New Roman" w:hAnsi="Times New Roman" w:eastAsia="宋体"/>
                <w:color w:val="000000"/>
                <w:sz w:val="21"/>
                <w:szCs w:val="21"/>
                <w:shd w:val="clear" w:color="auto" w:fill="FFFFFF"/>
                <w:lang w:bidi="ar"/>
              </w:rPr>
              <w:instrText xml:space="preserve"> ADDIN EN.CITE &lt;EndNote&gt;&lt;Cite&gt;&lt;Author&gt;Jones&lt;/Author&gt;&lt;Year&gt;2021&lt;/Year&gt;&lt;RecNum&gt;1439&lt;/RecNum&gt;&lt;DisplayText&gt;[19]&lt;/DisplayText&gt;&lt;record&gt;&lt;rec-number&gt;1439&lt;/rec-number&gt;&lt;foreign-keys&gt;&lt;key app="EN" db-id="raez002xkxzpfme20z4px9rqve22zp5wpvap" timestamp="1751440815"&gt;1439&lt;/key&gt;&lt;/foreign-keys&gt;&lt;ref-type name="Journal Article"&gt;17&lt;/ref-type&gt;&lt;contributors&gt;&lt;authors&gt;&lt;author&gt;Jones, P. J.&lt;/author&gt;&lt;author&gt;Ma, R.&lt;/author&gt;&lt;author&gt;McNally, R. J.&lt;/author&gt;&lt;/authors&gt;&lt;/contributors&gt;&lt;auth-address&gt;Department of Psychology, Harvard University.&amp;#xD;Department of Psychology, University of Waterloo.&lt;/auth-address&gt;&lt;titles&gt;&lt;title&gt;Bridge Centrality: A Network Approach to Understanding Comorbidity&lt;/title&gt;&lt;secondary-title&gt;Multivariate Behav Res&lt;/secondary-title&gt;&lt;/titles&gt;&lt;periodical&gt;&lt;full-title&gt;Multivariate Behav Res&lt;/full-title&gt;&lt;/periodical&gt;&lt;pages&gt;353-367&lt;/pages&gt;&lt;volume&gt;56&lt;/volume&gt;&lt;number&gt;2&lt;/number&gt;&lt;edition&gt;20190610&lt;/edition&gt;&lt;keywords&gt;&lt;keyword&gt;Algorithms&lt;/keyword&gt;&lt;keyword&gt;Comorbidity&lt;/keyword&gt;&lt;keyword&gt;Humans&lt;/keyword&gt;&lt;keyword&gt;*Mental Disorders/epidemiology&lt;/keyword&gt;&lt;keyword&gt;Psychometrics&lt;/keyword&gt;&lt;keyword&gt;Sample Size&lt;/keyword&gt;&lt;keyword&gt;Graph theory&lt;/keyword&gt;&lt;keyword&gt;bridge nodes&lt;/keyword&gt;&lt;keyword&gt;network analysis&lt;/keyword&gt;&lt;keyword&gt;node centrality linear models&lt;/keyword&gt;&lt;keyword&gt;psychopathology&lt;/keyword&gt;&lt;/keywords&gt;&lt;dates&gt;&lt;year&gt;2021&lt;/year&gt;&lt;pub-dates&gt;&lt;date&gt;Mar-Apr&lt;/date&gt;&lt;/pub-dates&gt;&lt;/dates&gt;&lt;isbn&gt;0027-3171&lt;/isbn&gt;&lt;accession-num&gt;31179765&lt;/accession-num&gt;&lt;urls&gt;&lt;/urls&gt;&lt;electronic-resource-num&gt;10.1080/00273171.2019.1614898&lt;/electronic-resource-num&gt;&lt;remote-database-provider&gt;NLM&lt;/remote-database-provider&gt;&lt;language&gt;eng&lt;/language&gt;&lt;/record&gt;&lt;/Cite&gt;&lt;/EndNote&gt;</w:instrText>
            </w:r>
            <w:r>
              <w:rPr>
                <w:rFonts w:hint="eastAsia" w:ascii="Times New Roman" w:hAnsi="Times New Roman" w:eastAsia="宋体"/>
                <w:color w:val="000000"/>
                <w:sz w:val="21"/>
                <w:szCs w:val="21"/>
                <w:shd w:val="clear" w:color="auto" w:fill="FFFFFF"/>
                <w:lang w:bidi="ar"/>
              </w:rPr>
              <w:fldChar w:fldCharType="separate"/>
            </w:r>
            <w:r>
              <w:rPr>
                <w:rFonts w:hint="eastAsia" w:ascii="Times New Roman" w:hAnsi="Times New Roman" w:eastAsia="宋体"/>
                <w:color w:val="000000"/>
                <w:sz w:val="21"/>
                <w:szCs w:val="21"/>
                <w:shd w:val="clear" w:color="auto" w:fill="FFFFFF"/>
                <w:lang w:bidi="ar"/>
              </w:rPr>
              <w:t>[19]</w:t>
            </w:r>
            <w:r>
              <w:rPr>
                <w:rFonts w:hint="eastAsia" w:ascii="Times New Roman" w:hAnsi="Times New Roman" w:eastAsia="宋体"/>
                <w:color w:val="000000"/>
                <w:sz w:val="21"/>
                <w:szCs w:val="21"/>
                <w:shd w:val="clear" w:color="auto" w:fill="FFFFFF"/>
                <w:lang w:bidi="ar"/>
              </w:rPr>
              <w:fldChar w:fldCharType="end"/>
            </w:r>
            <w:r>
              <w:rPr>
                <w:rFonts w:hint="eastAsia" w:ascii="Times New Roman" w:hAnsi="Times New Roman" w:eastAsia="宋体"/>
                <w:color w:val="000000"/>
                <w:sz w:val="21"/>
                <w:szCs w:val="21"/>
                <w:shd w:val="clear" w:color="auto" w:fill="FFFFFF"/>
                <w:lang w:bidi="ar"/>
              </w:rPr>
              <w:t>. Higher values indicate stronger inter-community connectivity. This analysis was applied to both the domain-level and variable-level integrated networks to identify bridging roles of specific SDoH community and frailty community.</w:t>
            </w:r>
          </w:p>
        </w:tc>
      </w:tr>
      <w:tr w14:paraId="3D2B76D8">
        <w:trPr>
          <w:trHeight w:val="90" w:hRule="atLeast"/>
        </w:trPr>
        <w:tc>
          <w:tcPr>
            <w:tcW w:w="3242" w:type="dxa"/>
            <w:tcBorders>
              <w:top w:val="nil"/>
              <w:left w:val="nil"/>
              <w:bottom w:val="nil"/>
              <w:right w:val="nil"/>
            </w:tcBorders>
            <w:shd w:val="clear" w:color="auto" w:fill="FFFFFF"/>
            <w:vAlign w:val="center"/>
          </w:tcPr>
          <w:p w14:paraId="262F1E64">
            <w:pPr>
              <w:pStyle w:val="9"/>
              <w:widowControl/>
              <w:spacing w:beforeAutospacing="0" w:afterAutospacing="0" w:line="360" w:lineRule="auto"/>
              <w:jc w:val="both"/>
              <w:rPr>
                <w:rFonts w:ascii="Times New Roman" w:hAnsi="Times New Roman" w:eastAsia="宋体"/>
                <w:color w:val="000000"/>
                <w:sz w:val="21"/>
                <w:szCs w:val="21"/>
                <w:shd w:val="clear" w:color="auto" w:fill="FFFFFF"/>
                <w:lang w:bidi="ar"/>
              </w:rPr>
            </w:pPr>
            <w:r>
              <w:rPr>
                <w:rFonts w:ascii="Times New Roman" w:hAnsi="Times New Roman" w:eastAsia="宋体"/>
                <w:color w:val="000000"/>
                <w:sz w:val="21"/>
                <w:szCs w:val="21"/>
                <w:shd w:val="clear" w:color="auto" w:fill="FFFFFF"/>
                <w:lang w:bidi="ar"/>
              </w:rPr>
              <w:t>Network accuracy and stability</w:t>
            </w:r>
          </w:p>
          <w:p w14:paraId="10E44E5A">
            <w:pPr>
              <w:widowControl/>
              <w:spacing w:line="360" w:lineRule="auto"/>
              <w:jc w:val="left"/>
              <w:rPr>
                <w:rFonts w:cs="Times New Roman"/>
                <w:color w:val="000000"/>
                <w:szCs w:val="21"/>
              </w:rPr>
            </w:pPr>
          </w:p>
        </w:tc>
        <w:tc>
          <w:tcPr>
            <w:tcW w:w="12213" w:type="dxa"/>
            <w:tcBorders>
              <w:top w:val="nil"/>
              <w:left w:val="nil"/>
              <w:bottom w:val="nil"/>
              <w:right w:val="nil"/>
            </w:tcBorders>
            <w:shd w:val="clear" w:color="auto" w:fill="FFFFFF"/>
            <w:vAlign w:val="center"/>
          </w:tcPr>
          <w:p w14:paraId="16735248">
            <w:pPr>
              <w:pStyle w:val="9"/>
              <w:spacing w:beforeAutospacing="0" w:afterAutospacing="0" w:line="360" w:lineRule="auto"/>
              <w:jc w:val="both"/>
              <w:rPr>
                <w:rFonts w:hint="eastAsia" w:ascii="Times New Roman" w:hAnsi="Times New Roman" w:eastAsia="宋体"/>
                <w:color w:val="000000"/>
                <w:sz w:val="21"/>
                <w:szCs w:val="21"/>
                <w:shd w:val="clear" w:color="auto" w:fill="FFFFFF"/>
                <w:lang w:bidi="ar"/>
              </w:rPr>
            </w:pPr>
            <w:r>
              <w:rPr>
                <w:rFonts w:hint="eastAsia" w:ascii="Times New Roman" w:hAnsi="Times New Roman" w:eastAsia="宋体"/>
                <w:color w:val="000000"/>
                <w:sz w:val="21"/>
                <w:szCs w:val="21"/>
                <w:shd w:val="clear" w:color="auto" w:fill="FFFFFF"/>
                <w:lang w:bidi="ar"/>
              </w:rPr>
              <w:t>Accuracy and stability were evaluated using the bootnet package.</w:t>
            </w:r>
          </w:p>
          <w:p w14:paraId="36B06D52">
            <w:pPr>
              <w:pStyle w:val="9"/>
              <w:spacing w:beforeAutospacing="0" w:afterAutospacing="0" w:line="360" w:lineRule="auto"/>
              <w:jc w:val="both"/>
              <w:rPr>
                <w:rFonts w:ascii="Times New Roman" w:hAnsi="Times New Roman" w:eastAsia="宋体"/>
                <w:color w:val="000000"/>
                <w:sz w:val="21"/>
                <w:szCs w:val="21"/>
                <w:shd w:val="clear" w:color="auto" w:fill="FFFFFF"/>
                <w:lang w:bidi="ar"/>
              </w:rPr>
            </w:pPr>
            <w:r>
              <w:rPr>
                <w:rFonts w:hint="eastAsia" w:ascii="Times New Roman" w:hAnsi="Times New Roman" w:eastAsia="宋体"/>
                <w:color w:val="000000"/>
                <w:sz w:val="21"/>
                <w:szCs w:val="21"/>
                <w:shd w:val="clear" w:color="auto" w:fill="FFFFFF"/>
                <w:lang w:bidi="ar"/>
              </w:rPr>
              <w:t xml:space="preserve">Edge-weight accuracy was evaluated using nonparametric bootstrapping with 1,000 resamples to estimate 95% confidence intervals (CIs), where narrower CIs reflect greater precision. </w:t>
            </w:r>
          </w:p>
          <w:p w14:paraId="65DFCC6A">
            <w:pPr>
              <w:pStyle w:val="9"/>
              <w:spacing w:beforeAutospacing="0" w:afterAutospacing="0" w:line="360" w:lineRule="auto"/>
              <w:jc w:val="both"/>
              <w:rPr>
                <w:color w:val="000000"/>
                <w:kern w:val="2"/>
                <w:sz w:val="21"/>
                <w:szCs w:val="21"/>
              </w:rPr>
            </w:pPr>
            <w:r>
              <w:rPr>
                <w:rFonts w:hint="eastAsia" w:ascii="Times New Roman" w:hAnsi="Times New Roman" w:eastAsia="宋体"/>
                <w:color w:val="000000"/>
                <w:sz w:val="21"/>
                <w:szCs w:val="21"/>
                <w:shd w:val="clear" w:color="auto" w:fill="FFFFFF"/>
                <w:lang w:bidi="ar"/>
              </w:rPr>
              <w:t xml:space="preserve">Centrality stability was assessed using case-dropping bootstraps with 1,000 resamples to compute correlation stability (CS) coefficients. A CS coefficient above 0.25 indicates acceptable stability, and values over 0.5 are considered good </w:t>
            </w:r>
            <w:r>
              <w:rPr>
                <w:rFonts w:hint="eastAsia" w:ascii="Times New Roman" w:hAnsi="Times New Roman" w:eastAsia="宋体"/>
                <w:color w:val="000000"/>
                <w:sz w:val="21"/>
                <w:szCs w:val="21"/>
                <w:shd w:val="clear" w:color="auto" w:fill="FFFFFF"/>
                <w:lang w:bidi="ar"/>
              </w:rPr>
              <w:fldChar w:fldCharType="begin"/>
            </w:r>
            <w:r>
              <w:rPr>
                <w:rFonts w:hint="eastAsia" w:ascii="Times New Roman" w:hAnsi="Times New Roman" w:eastAsia="宋体"/>
                <w:color w:val="000000"/>
                <w:sz w:val="21"/>
                <w:szCs w:val="21"/>
                <w:shd w:val="clear" w:color="auto" w:fill="FFFFFF"/>
                <w:lang w:bidi="ar"/>
              </w:rPr>
              <w:instrText xml:space="preserve"> ADDIN EN.CITE &lt;EndNote&gt;&lt;Cite&gt;&lt;Author&gt;Epskamp&lt;/Author&gt;&lt;Year&gt;2018&lt;/Year&gt;&lt;RecNum&gt;1443&lt;/RecNum&gt;&lt;DisplayText&gt;[20]&lt;/DisplayText&gt;&lt;record&gt;&lt;rec-number&gt;1443&lt;/rec-number&gt;&lt;foreign-keys&gt;&lt;key app="EN" db-id="raez002xkxzpfme20z4px9rqve22zp5wpvap" timestamp="1751446996"&gt;1443&lt;/key&gt;&lt;/foreign-keys&gt;&lt;ref-type name="Journal Article"&gt;17&lt;/ref-type&gt;&lt;contributors&gt;&lt;authors&gt;&lt;author&gt;Epskamp, S.&lt;/author&gt;&lt;author&gt;Borsboom, D.&lt;/author&gt;&lt;author&gt;Fried, E. I.&lt;/author&gt;&lt;/authors&gt;&lt;/contributors&gt;&lt;auth-address&gt;Department of Psychology, University of Amsterdam, Amsterdam, The Netherlands. sacha.epskamp@gmail.com.&amp;#xD;Department of Psychology, University of Amsterdam, Amsterdam, The Netherlands.&lt;/auth-address&gt;&lt;titles&gt;&lt;title&gt;Estimating psychological networks and their accuracy: A tutorial paper&lt;/title&gt;&lt;secondary-title&gt;Behav Res Methods&lt;/secondary-title&gt;&lt;/titles&gt;&lt;periodical&gt;&lt;full-title&gt;Behav Res Methods&lt;/full-title&gt;&lt;/periodical&gt;&lt;pages&gt;195-212&lt;/pages&gt;&lt;volume&gt;50&lt;/volume&gt;&lt;number&gt;1&lt;/number&gt;&lt;keywords&gt;&lt;keyword&gt;Dimensional Measurement Accuracy&lt;/keyword&gt;&lt;keyword&gt;Female&lt;/keyword&gt;&lt;keyword&gt;Humans&lt;/keyword&gt;&lt;keyword&gt;Neural Networks, Computer&lt;/keyword&gt;&lt;keyword&gt;Psychophysiology/*methods&lt;/keyword&gt;&lt;keyword&gt;Stress Disorders, Post-Traumatic/*psychology&lt;/keyword&gt;&lt;keyword&gt;Bootstrap&lt;/keyword&gt;&lt;keyword&gt;Network psychometrics&lt;/keyword&gt;&lt;keyword&gt;Psychological networks&lt;/keyword&gt;&lt;keyword&gt;Replicability&lt;/keyword&gt;&lt;keyword&gt;Tutorial&lt;/keyword&gt;&lt;/keywords&gt;&lt;dates&gt;&lt;year&gt;2018&lt;/year&gt;&lt;pub-dates&gt;&lt;date&gt;Feb&lt;/date&gt;&lt;/pub-dates&gt;&lt;/dates&gt;&lt;isbn&gt;1554-351X (Print)&amp;#xD;1554-351x&lt;/isbn&gt;&lt;accession-num&gt;28342071&lt;/accession-num&gt;&lt;urls&gt;&lt;/urls&gt;&lt;custom2&gt;PMC5809547&lt;/custom2&gt;&lt;electronic-resource-num&gt;10.3758/s13428-017-0862-1&lt;/electronic-resource-num&gt;&lt;remote-database-provider&gt;NLM&lt;/remote-database-provider&gt;&lt;language&gt;eng&lt;/language&gt;&lt;/record&gt;&lt;/Cite&gt;&lt;/EndNote&gt;</w:instrText>
            </w:r>
            <w:r>
              <w:rPr>
                <w:rFonts w:hint="eastAsia" w:ascii="Times New Roman" w:hAnsi="Times New Roman" w:eastAsia="宋体"/>
                <w:color w:val="000000"/>
                <w:sz w:val="21"/>
                <w:szCs w:val="21"/>
                <w:shd w:val="clear" w:color="auto" w:fill="FFFFFF"/>
                <w:lang w:bidi="ar"/>
              </w:rPr>
              <w:fldChar w:fldCharType="separate"/>
            </w:r>
            <w:r>
              <w:rPr>
                <w:rFonts w:hint="eastAsia" w:ascii="Times New Roman" w:hAnsi="Times New Roman" w:eastAsia="宋体"/>
                <w:color w:val="000000"/>
                <w:sz w:val="21"/>
                <w:szCs w:val="21"/>
                <w:shd w:val="clear" w:color="auto" w:fill="FFFFFF"/>
                <w:lang w:bidi="ar"/>
              </w:rPr>
              <w:t>[20]</w:t>
            </w:r>
            <w:r>
              <w:rPr>
                <w:rFonts w:hint="eastAsia" w:ascii="Times New Roman" w:hAnsi="Times New Roman" w:eastAsia="宋体"/>
                <w:color w:val="000000"/>
                <w:sz w:val="21"/>
                <w:szCs w:val="21"/>
                <w:shd w:val="clear" w:color="auto" w:fill="FFFFFF"/>
                <w:lang w:bidi="ar"/>
              </w:rPr>
              <w:fldChar w:fldCharType="end"/>
            </w:r>
            <w:r>
              <w:rPr>
                <w:rFonts w:hint="eastAsia" w:ascii="Times New Roman" w:hAnsi="Times New Roman" w:eastAsia="宋体"/>
                <w:color w:val="000000"/>
                <w:sz w:val="21"/>
                <w:szCs w:val="21"/>
                <w:shd w:val="clear" w:color="auto" w:fill="FFFFFF"/>
                <w:lang w:bidi="ar"/>
              </w:rPr>
              <w:t>.</w:t>
            </w:r>
          </w:p>
        </w:tc>
      </w:tr>
      <w:tr w14:paraId="38DEAA6F">
        <w:tc>
          <w:tcPr>
            <w:tcW w:w="3242" w:type="dxa"/>
            <w:tcBorders>
              <w:top w:val="nil"/>
              <w:left w:val="nil"/>
              <w:bottom w:val="single" w:color="000000" w:sz="12" w:space="0"/>
              <w:right w:val="nil"/>
            </w:tcBorders>
            <w:shd w:val="clear" w:color="auto" w:fill="FFFFFF"/>
            <w:vAlign w:val="center"/>
          </w:tcPr>
          <w:p w14:paraId="64ABA4B4">
            <w:pPr>
              <w:widowControl/>
              <w:spacing w:line="360" w:lineRule="auto"/>
              <w:jc w:val="left"/>
              <w:rPr>
                <w:rFonts w:cs="Times New Roman"/>
                <w:color w:val="000000"/>
                <w:szCs w:val="21"/>
              </w:rPr>
            </w:pPr>
            <w:r>
              <w:rPr>
                <w:rStyle w:val="14"/>
                <w:rFonts w:ascii="Times New Roman" w:hAnsi="Times New Roman" w:eastAsia="宋体" w:cs="Times New Roman"/>
                <w:b w:val="0"/>
                <w:color w:val="000000"/>
                <w:kern w:val="0"/>
                <w:szCs w:val="21"/>
                <w:lang w:bidi="ar"/>
              </w:rPr>
              <w:t>Edge-weight difference test</w:t>
            </w:r>
            <w:r>
              <w:rPr>
                <w:rStyle w:val="14"/>
                <w:rFonts w:hint="eastAsia" w:ascii="Times New Roman" w:hAnsi="Times New Roman" w:eastAsia="宋体" w:cs="Times New Roman"/>
                <w:b w:val="0"/>
                <w:color w:val="000000"/>
                <w:kern w:val="0"/>
                <w:szCs w:val="21"/>
                <w:lang w:bidi="ar"/>
              </w:rPr>
              <w:t xml:space="preserve"> and n</w:t>
            </w:r>
            <w:r>
              <w:rPr>
                <w:rStyle w:val="14"/>
                <w:rFonts w:ascii="Times New Roman" w:hAnsi="Times New Roman" w:eastAsia="宋体" w:cs="Times New Roman"/>
                <w:b w:val="0"/>
                <w:color w:val="000000"/>
                <w:kern w:val="0"/>
                <w:szCs w:val="21"/>
                <w:lang w:bidi="ar"/>
              </w:rPr>
              <w:t>ode-strength difference test</w:t>
            </w:r>
          </w:p>
        </w:tc>
        <w:tc>
          <w:tcPr>
            <w:tcW w:w="12213" w:type="dxa"/>
            <w:tcBorders>
              <w:top w:val="nil"/>
              <w:left w:val="nil"/>
              <w:bottom w:val="single" w:color="000000" w:sz="12" w:space="0"/>
              <w:right w:val="nil"/>
            </w:tcBorders>
            <w:shd w:val="clear" w:color="auto" w:fill="FFFFFF"/>
            <w:vAlign w:val="center"/>
          </w:tcPr>
          <w:p w14:paraId="2686D402">
            <w:pPr>
              <w:widowControl/>
              <w:spacing w:line="360" w:lineRule="auto"/>
              <w:jc w:val="left"/>
              <w:rPr>
                <w:rFonts w:cs="Times New Roman"/>
                <w:color w:val="000000"/>
                <w:szCs w:val="21"/>
              </w:rPr>
            </w:pPr>
            <w:r>
              <w:rPr>
                <w:rFonts w:hint="eastAsia" w:ascii="Times New Roman" w:hAnsi="Times New Roman" w:eastAsia="宋体"/>
                <w:color w:val="000000"/>
                <w:szCs w:val="21"/>
                <w:shd w:val="clear" w:color="auto" w:fill="FFFFFF"/>
                <w:lang w:bidi="ar"/>
              </w:rPr>
              <w:t>Edge-weight and node-strength difference tests were performed to examine whether specific connections and nodes differed significantly.</w:t>
            </w:r>
          </w:p>
        </w:tc>
      </w:tr>
    </w:tbl>
    <w:p w14:paraId="7E50B041">
      <w:pPr>
        <w:widowControl/>
        <w:jc w:val="left"/>
        <w:rPr>
          <w:rFonts w:cs="Times New Roman"/>
          <w:color w:val="C00000"/>
          <w:szCs w:val="21"/>
        </w:rPr>
      </w:pPr>
    </w:p>
    <w:p w14:paraId="0E3EA9EC">
      <w:pPr>
        <w:widowControl/>
        <w:jc w:val="left"/>
        <w:rPr>
          <w:rFonts w:cs="Times New Roman"/>
          <w:color w:val="C00000"/>
          <w:szCs w:val="21"/>
        </w:rPr>
      </w:pPr>
    </w:p>
    <w:p w14:paraId="6A1E68A0">
      <w:pPr>
        <w:widowControl/>
        <w:jc w:val="left"/>
        <w:rPr>
          <w:rFonts w:cs="Times New Roman"/>
          <w:color w:val="C00000"/>
          <w:szCs w:val="21"/>
        </w:rPr>
        <w:sectPr>
          <w:pgSz w:w="16838" w:h="11906" w:orient="landscape"/>
          <w:pgMar w:top="720" w:right="720" w:bottom="720" w:left="720" w:header="851" w:footer="992" w:gutter="0"/>
          <w:cols w:space="425" w:num="1"/>
          <w:docGrid w:type="lines" w:linePitch="312" w:charSpace="0"/>
        </w:sectPr>
      </w:pPr>
    </w:p>
    <w:p w14:paraId="1178D255">
      <w:pPr>
        <w:widowControl/>
        <w:jc w:val="left"/>
      </w:pPr>
      <w:r>
        <w:rPr>
          <w:rFonts w:ascii="Times New Roman" w:hAnsi="Times New Roman" w:cs="Times New Roman"/>
          <w:b/>
          <w:bCs/>
          <w:color w:val="C00000"/>
          <w:szCs w:val="21"/>
        </w:rPr>
        <w:t>Frailty</w:t>
      </w:r>
      <w:r>
        <w:rPr>
          <w:rFonts w:hint="eastAsia" w:ascii="Times New Roman" w:hAnsi="Times New Roman" w:cs="Times New Roman"/>
          <w:b/>
          <w:bCs/>
          <w:color w:val="C00000"/>
          <w:szCs w:val="21"/>
        </w:rPr>
        <w:t xml:space="preserve"> </w:t>
      </w:r>
      <w:r>
        <w:rPr>
          <w:rFonts w:ascii="Times New Roman" w:hAnsi="Times New Roman" w:cs="Times New Roman"/>
          <w:b/>
          <w:bCs/>
          <w:color w:val="C00000"/>
          <w:szCs w:val="21"/>
        </w:rPr>
        <w:t>Network</w:t>
      </w:r>
    </w:p>
    <w:p w14:paraId="1CD8319C">
      <w:pPr>
        <w:widowControl/>
        <w:jc w:val="center"/>
      </w:pPr>
      <w:r>
        <w:drawing>
          <wp:inline distT="0" distB="0" distL="114300" distR="114300">
            <wp:extent cx="5760085" cy="3309620"/>
            <wp:effectExtent l="0" t="0" r="5715" b="17780"/>
            <wp:docPr id="9" name="图片 9"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2"/>
                    <pic:cNvPicPr>
                      <a:picLocks noChangeAspect="1"/>
                    </pic:cNvPicPr>
                  </pic:nvPicPr>
                  <pic:blipFill>
                    <a:blip r:embed="rId6"/>
                    <a:srcRect l="7417" t="8901" r="17064"/>
                    <a:stretch>
                      <a:fillRect/>
                    </a:stretch>
                  </pic:blipFill>
                  <pic:spPr>
                    <a:xfrm>
                      <a:off x="0" y="0"/>
                      <a:ext cx="5760085" cy="3309620"/>
                    </a:xfrm>
                    <a:prstGeom prst="rect">
                      <a:avLst/>
                    </a:prstGeom>
                  </pic:spPr>
                </pic:pic>
              </a:graphicData>
            </a:graphic>
          </wp:inline>
        </w:drawing>
      </w:r>
    </w:p>
    <w:p w14:paraId="2CF400B2">
      <w:pPr>
        <w:pStyle w:val="8"/>
        <w:rPr>
          <w:szCs w:val="21"/>
        </w:rPr>
      </w:pPr>
      <w:r>
        <w:rPr>
          <w:rFonts w:eastAsia="宋体" w:cs="Times New Roman"/>
          <w:kern w:val="0"/>
          <w:sz w:val="21"/>
          <w:szCs w:val="21"/>
        </w:rPr>
        <w:t>Figure S</w:t>
      </w:r>
      <w:r>
        <w:rPr>
          <w:rFonts w:hint="eastAsia" w:eastAsia="宋体" w:cs="Times New Roman"/>
          <w:kern w:val="0"/>
          <w:sz w:val="21"/>
          <w:szCs w:val="21"/>
        </w:rPr>
        <w:t>2</w:t>
      </w:r>
      <w:r>
        <w:rPr>
          <w:rFonts w:eastAsia="宋体" w:cs="Times New Roman"/>
          <w:kern w:val="0"/>
          <w:sz w:val="21"/>
          <w:szCs w:val="21"/>
        </w:rPr>
        <w:t xml:space="preserve">. </w:t>
      </w:r>
      <w:r>
        <w:rPr>
          <w:rFonts w:eastAsia="DengXian" w:cs="Times New Roman"/>
          <w:b w:val="0"/>
          <w:bCs w:val="0"/>
          <w:sz w:val="21"/>
          <w:szCs w:val="21"/>
        </w:rPr>
        <w:t xml:space="preserve">Centrality indices for </w:t>
      </w:r>
      <w:r>
        <w:rPr>
          <w:rFonts w:eastAsia="宋体" w:cs="Times New Roman"/>
          <w:b w:val="0"/>
          <w:bCs w:val="0"/>
          <w:kern w:val="0"/>
          <w:sz w:val="21"/>
          <w:szCs w:val="21"/>
        </w:rPr>
        <w:t>the frailty</w:t>
      </w:r>
      <w:r>
        <w:rPr>
          <w:rFonts w:hint="eastAsia" w:eastAsia="宋体" w:cs="Times New Roman"/>
          <w:b w:val="0"/>
          <w:bCs w:val="0"/>
          <w:kern w:val="0"/>
          <w:sz w:val="21"/>
          <w:szCs w:val="21"/>
        </w:rPr>
        <w:t xml:space="preserve"> network</w:t>
      </w:r>
      <w:r>
        <w:rPr>
          <w:rFonts w:eastAsia="DengXian" w:cs="Times New Roman"/>
          <w:b w:val="0"/>
          <w:bCs w:val="0"/>
          <w:sz w:val="21"/>
          <w:szCs w:val="21"/>
        </w:rPr>
        <w:t>.</w:t>
      </w:r>
    </w:p>
    <w:p w14:paraId="16F725A5">
      <w:pPr>
        <w:widowControl/>
        <w:jc w:val="center"/>
        <w:rPr>
          <w:szCs w:val="21"/>
        </w:rPr>
      </w:pPr>
      <w:r>
        <w:drawing>
          <wp:inline distT="0" distB="0" distL="114300" distR="114300">
            <wp:extent cx="5039995" cy="3423285"/>
            <wp:effectExtent l="0" t="0" r="14605" b="5715"/>
            <wp:docPr id="23" name="图片 23"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S3"/>
                    <pic:cNvPicPr>
                      <a:picLocks noChangeAspect="1"/>
                    </pic:cNvPicPr>
                  </pic:nvPicPr>
                  <pic:blipFill>
                    <a:blip r:embed="rId7"/>
                    <a:stretch>
                      <a:fillRect/>
                    </a:stretch>
                  </pic:blipFill>
                  <pic:spPr>
                    <a:xfrm>
                      <a:off x="0" y="0"/>
                      <a:ext cx="5039995" cy="3423285"/>
                    </a:xfrm>
                    <a:prstGeom prst="rect">
                      <a:avLst/>
                    </a:prstGeom>
                  </pic:spPr>
                </pic:pic>
              </a:graphicData>
            </a:graphic>
          </wp:inline>
        </w:drawing>
      </w:r>
    </w:p>
    <w:p w14:paraId="21455D49">
      <w:pPr>
        <w:widowControl/>
        <w:jc w:val="left"/>
        <w:rPr>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3</w:t>
      </w:r>
      <w:r>
        <w:rPr>
          <w:rFonts w:ascii="Times New Roman" w:hAnsi="Times New Roman" w:eastAsia="DengXian" w:cs="Times New Roman"/>
          <w:b/>
          <w:bCs/>
          <w:szCs w:val="21"/>
        </w:rPr>
        <w:t>.</w:t>
      </w:r>
      <w:r>
        <w:rPr>
          <w:rFonts w:ascii="Times New Roman" w:hAnsi="Times New Roman" w:eastAsia="DengXian" w:cs="Times New Roman"/>
          <w:szCs w:val="21"/>
        </w:rPr>
        <w:t xml:space="preserve"> Accuracy analysis of estimated edge weights in the frailty network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244AC31D">
      <w:pPr>
        <w:spacing w:line="360" w:lineRule="auto"/>
        <w:jc w:val="center"/>
      </w:pPr>
      <w:r>
        <w:drawing>
          <wp:inline distT="0" distB="0" distL="114300" distR="114300">
            <wp:extent cx="4679950" cy="2987040"/>
            <wp:effectExtent l="0" t="0" r="19050" b="10160"/>
            <wp:docPr id="4" name="图片 4"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4"/>
                    <pic:cNvPicPr>
                      <a:picLocks noChangeAspect="1"/>
                    </pic:cNvPicPr>
                  </pic:nvPicPr>
                  <pic:blipFill>
                    <a:blip r:embed="rId8"/>
                    <a:stretch>
                      <a:fillRect/>
                    </a:stretch>
                  </pic:blipFill>
                  <pic:spPr>
                    <a:xfrm>
                      <a:off x="0" y="0"/>
                      <a:ext cx="4679950" cy="2987040"/>
                    </a:xfrm>
                    <a:prstGeom prst="rect">
                      <a:avLst/>
                    </a:prstGeom>
                  </pic:spPr>
                </pic:pic>
              </a:graphicData>
            </a:graphic>
          </wp:inline>
        </w:drawing>
      </w:r>
    </w:p>
    <w:p w14:paraId="458C2E74">
      <w:pPr>
        <w:pStyle w:val="9"/>
        <w:widowControl/>
        <w:spacing w:beforeAutospacing="0" w:afterAutospacing="0"/>
        <w:jc w:val="both"/>
        <w:rPr>
          <w:rFonts w:ascii="Times New Roman" w:hAnsi="Times New Roman" w:eastAsia="DengXian"/>
          <w:b/>
          <w:bCs/>
          <w:kern w:val="2"/>
          <w:sz w:val="21"/>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4</w:t>
      </w:r>
      <w:r>
        <w:rPr>
          <w:rFonts w:ascii="Times New Roman" w:hAnsi="Times New Roman" w:eastAsia="DengXian" w:cs="Times New Roman"/>
          <w:b/>
          <w:bCs/>
          <w:szCs w:val="21"/>
        </w:rPr>
        <w:t xml:space="preserve">. </w:t>
      </w:r>
      <w:r>
        <w:rPr>
          <w:rFonts w:ascii="Times New Roman" w:hAnsi="Times New Roman" w:eastAsia="DengXian" w:cs="Times New Roman"/>
          <w:szCs w:val="21"/>
        </w:rPr>
        <w:t xml:space="preserve">Stability analysis of centrality indices in the frailty network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 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CS 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 xml:space="preserve">75 </w:t>
      </w:r>
      <w:r>
        <w:rPr>
          <w:rFonts w:ascii="Times New Roman" w:hAnsi="Times New Roman" w:eastAsia="DengXian" w:cs="Times New Roman"/>
          <w:i/>
          <w:iCs/>
          <w:szCs w:val="21"/>
        </w:rPr>
        <w:t xml:space="preserve">for strength. </w:t>
      </w:r>
    </w:p>
    <w:p w14:paraId="462127C1">
      <w:pPr>
        <w:pStyle w:val="9"/>
        <w:widowControl/>
        <w:spacing w:beforeAutospacing="0" w:afterAutospacing="0"/>
        <w:jc w:val="center"/>
      </w:pPr>
    </w:p>
    <w:p w14:paraId="07CFA9E7">
      <w:pPr>
        <w:pStyle w:val="9"/>
        <w:widowControl/>
        <w:spacing w:beforeAutospacing="0" w:afterAutospacing="0"/>
        <w:jc w:val="center"/>
      </w:pPr>
      <w:r>
        <w:rPr>
          <w:rFonts w:ascii="Times New Roman" w:hAnsi="Times New Roman" w:eastAsia="DengXian"/>
          <w:kern w:val="2"/>
          <w:sz w:val="21"/>
          <w:szCs w:val="21"/>
        </w:rPr>
        <w:drawing>
          <wp:inline distT="0" distB="0" distL="114300" distR="114300">
            <wp:extent cx="4679950" cy="3434080"/>
            <wp:effectExtent l="0" t="0" r="19050" b="20320"/>
            <wp:docPr id="2" name="图片 2"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5"/>
                    <pic:cNvPicPr>
                      <a:picLocks noChangeAspect="1"/>
                    </pic:cNvPicPr>
                  </pic:nvPicPr>
                  <pic:blipFill>
                    <a:blip r:embed="rId9"/>
                    <a:stretch>
                      <a:fillRect/>
                    </a:stretch>
                  </pic:blipFill>
                  <pic:spPr>
                    <a:xfrm>
                      <a:off x="0" y="0"/>
                      <a:ext cx="4679950" cy="3434080"/>
                    </a:xfrm>
                    <a:prstGeom prst="rect">
                      <a:avLst/>
                    </a:prstGeom>
                  </pic:spPr>
                </pic:pic>
              </a:graphicData>
            </a:graphic>
          </wp:inline>
        </w:drawing>
      </w:r>
    </w:p>
    <w:p w14:paraId="1F085F16">
      <w:pPr>
        <w:pStyle w:val="9"/>
        <w:widowControl/>
        <w:spacing w:beforeAutospacing="0" w:afterAutospacing="0"/>
        <w:jc w:val="both"/>
        <w:rPr>
          <w:sz w:val="21"/>
          <w:szCs w:val="21"/>
        </w:rPr>
      </w:pPr>
      <w:r>
        <w:rPr>
          <w:rFonts w:ascii="Times New Roman" w:hAnsi="Times New Roman" w:eastAsia="DengXian"/>
          <w:b/>
          <w:bCs/>
          <w:kern w:val="2"/>
          <w:sz w:val="21"/>
          <w:szCs w:val="21"/>
        </w:rPr>
        <w:t>Figure S</w:t>
      </w:r>
      <w:r>
        <w:rPr>
          <w:rFonts w:hint="eastAsia" w:ascii="Times New Roman" w:hAnsi="Times New Roman" w:eastAsia="DengXian"/>
          <w:b/>
          <w:bCs/>
          <w:kern w:val="2"/>
          <w:sz w:val="21"/>
          <w:szCs w:val="21"/>
        </w:rPr>
        <w:t>5</w:t>
      </w:r>
      <w:r>
        <w:rPr>
          <w:rFonts w:ascii="Times New Roman" w:hAnsi="Times New Roman" w:eastAsia="DengXian"/>
          <w:b/>
          <w:bCs/>
          <w:kern w:val="2"/>
          <w:sz w:val="21"/>
          <w:szCs w:val="21"/>
        </w:rPr>
        <w:t>.</w:t>
      </w:r>
      <w:r>
        <w:rPr>
          <w:rFonts w:ascii="Times New Roman" w:hAnsi="Times New Roman" w:eastAsia="DengXian"/>
          <w:kern w:val="2"/>
          <w:sz w:val="21"/>
          <w:szCs w:val="21"/>
        </w:rPr>
        <w:t xml:space="preserve"> Edge weight difference test for the </w:t>
      </w:r>
      <w:r>
        <w:rPr>
          <w:rFonts w:hint="eastAsia" w:ascii="Times New Roman" w:hAnsi="Times New Roman" w:eastAsia="DengXian"/>
          <w:kern w:val="2"/>
          <w:sz w:val="21"/>
          <w:szCs w:val="21"/>
        </w:rPr>
        <w:t>frailty</w:t>
      </w:r>
      <w:r>
        <w:rPr>
          <w:rFonts w:ascii="Times New Roman" w:hAnsi="Times New Roman" w:eastAsia="DengXian"/>
          <w:kern w:val="2"/>
          <w:sz w:val="21"/>
          <w:szCs w:val="21"/>
        </w:rPr>
        <w:t xml:space="preserve"> network. </w:t>
      </w:r>
      <w:r>
        <w:rPr>
          <w:rFonts w:ascii="Times New Roman" w:hAnsi="Times New Roman" w:eastAsia="DengXian"/>
          <w:i/>
          <w:iCs/>
          <w:kern w:val="2"/>
          <w:sz w:val="21"/>
          <w:szCs w:val="21"/>
        </w:rPr>
        <w:t xml:space="preserve">Note: This heatmap presents the results of nonparametric bootstrap difference tests comparing all pairs of edge weights in the </w:t>
      </w:r>
      <w:r>
        <w:rPr>
          <w:rFonts w:hint="default" w:ascii="Times New Roman" w:hAnsi="Times New Roman" w:eastAsia="DengXian"/>
          <w:i/>
          <w:iCs/>
          <w:kern w:val="2"/>
          <w:sz w:val="21"/>
          <w:szCs w:val="21"/>
          <w:lang w:val="en-US"/>
        </w:rPr>
        <w:t xml:space="preserve">frailty </w:t>
      </w:r>
      <w:r>
        <w:rPr>
          <w:rFonts w:ascii="Times New Roman" w:hAnsi="Times New Roman" w:eastAsia="DengXian"/>
          <w:i/>
          <w:iCs/>
          <w:kern w:val="2"/>
          <w:sz w:val="21"/>
          <w:szCs w:val="21"/>
        </w:rPr>
        <w:t>network. Each row and column correspond to a specific edge. Black cells indicate statistically significant differences between the corresponding edge weights (p &lt; 0.05), while gray cells indicate non-significant differences. This analysis helps identify whether certain associations are significantly stronger or weaker than others within the network structure.</w:t>
      </w:r>
    </w:p>
    <w:p w14:paraId="74E88068">
      <w:pPr>
        <w:jc w:val="center"/>
        <w:rPr>
          <w:rFonts w:ascii="Times New Roman" w:hAnsi="Times New Roman" w:eastAsia="DengXian" w:cs="Times New Roman"/>
          <w:szCs w:val="21"/>
        </w:rPr>
      </w:pPr>
    </w:p>
    <w:p w14:paraId="579E2336">
      <w:pPr>
        <w:jc w:val="center"/>
        <w:rPr>
          <w:rFonts w:ascii="Times New Roman" w:hAnsi="Times New Roman" w:eastAsia="DengXian" w:cs="Times New Roman"/>
          <w:szCs w:val="21"/>
        </w:rPr>
      </w:pPr>
      <w:r>
        <w:drawing>
          <wp:inline distT="0" distB="0" distL="114300" distR="114300">
            <wp:extent cx="4679950" cy="3434080"/>
            <wp:effectExtent l="0" t="0" r="19050" b="20320"/>
            <wp:docPr id="5" name="图片 5" descr="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6"/>
                    <pic:cNvPicPr>
                      <a:picLocks noChangeAspect="1"/>
                    </pic:cNvPicPr>
                  </pic:nvPicPr>
                  <pic:blipFill>
                    <a:blip r:embed="rId10"/>
                    <a:stretch>
                      <a:fillRect/>
                    </a:stretch>
                  </pic:blipFill>
                  <pic:spPr>
                    <a:xfrm>
                      <a:off x="0" y="0"/>
                      <a:ext cx="4679950" cy="3434080"/>
                    </a:xfrm>
                    <a:prstGeom prst="rect">
                      <a:avLst/>
                    </a:prstGeom>
                  </pic:spPr>
                </pic:pic>
              </a:graphicData>
            </a:graphic>
          </wp:inline>
        </w:drawing>
      </w:r>
    </w:p>
    <w:p w14:paraId="77A934B2">
      <w:pPr>
        <w:pStyle w:val="9"/>
        <w:widowControl/>
        <w:spacing w:beforeAutospacing="0" w:afterAutospacing="0"/>
        <w:jc w:val="both"/>
        <w:rPr>
          <w:rFonts w:ascii="Times New Roman" w:hAnsi="Times New Roman"/>
          <w:sz w:val="21"/>
          <w:szCs w:val="21"/>
        </w:rPr>
      </w:pPr>
      <w:r>
        <w:rPr>
          <w:rFonts w:ascii="Times New Roman" w:hAnsi="Times New Roman" w:eastAsia="DengXian"/>
          <w:b/>
          <w:bCs/>
          <w:kern w:val="2"/>
          <w:sz w:val="21"/>
          <w:szCs w:val="21"/>
        </w:rPr>
        <w:t>Figure S</w:t>
      </w:r>
      <w:r>
        <w:rPr>
          <w:rFonts w:hint="eastAsia" w:ascii="Times New Roman" w:hAnsi="Times New Roman" w:eastAsia="DengXian"/>
          <w:b/>
          <w:bCs/>
          <w:kern w:val="2"/>
          <w:sz w:val="21"/>
          <w:szCs w:val="21"/>
        </w:rPr>
        <w:t>6</w:t>
      </w:r>
      <w:r>
        <w:rPr>
          <w:rFonts w:ascii="Times New Roman" w:hAnsi="Times New Roman" w:eastAsia="DengXian"/>
          <w:b/>
          <w:bCs/>
          <w:kern w:val="2"/>
          <w:sz w:val="21"/>
          <w:szCs w:val="21"/>
        </w:rPr>
        <w:t>.</w:t>
      </w:r>
      <w:r>
        <w:rPr>
          <w:rFonts w:ascii="Times New Roman" w:hAnsi="Times New Roman" w:eastAsia="DengXian"/>
          <w:kern w:val="2"/>
          <w:sz w:val="21"/>
          <w:szCs w:val="21"/>
        </w:rPr>
        <w:t xml:space="preserve"> Node strength difference test in the </w:t>
      </w:r>
      <w:r>
        <w:rPr>
          <w:rFonts w:hint="eastAsia" w:ascii="Times New Roman" w:hAnsi="Times New Roman" w:eastAsia="DengXian"/>
          <w:kern w:val="2"/>
          <w:sz w:val="21"/>
          <w:szCs w:val="21"/>
        </w:rPr>
        <w:t>frailty</w:t>
      </w:r>
      <w:r>
        <w:rPr>
          <w:rFonts w:ascii="Times New Roman" w:hAnsi="Times New Roman" w:eastAsia="DengXian"/>
          <w:kern w:val="2"/>
          <w:sz w:val="21"/>
          <w:szCs w:val="21"/>
        </w:rPr>
        <w:t xml:space="preserve"> network. </w:t>
      </w:r>
      <w:r>
        <w:rPr>
          <w:rFonts w:ascii="Times New Roman" w:hAnsi="Times New Roman" w:eastAsia="DengXian"/>
          <w:i/>
          <w:iCs/>
          <w:kern w:val="2"/>
          <w:sz w:val="21"/>
          <w:szCs w:val="21"/>
        </w:rPr>
        <w:t xml:space="preserve">Note: This heatmap shows the results of nonparametric bootstrap difference tests comparing node strength centrality values across all nodes in the </w:t>
      </w:r>
      <w:r>
        <w:rPr>
          <w:rFonts w:hint="default" w:ascii="Times New Roman" w:hAnsi="Times New Roman" w:eastAsia="DengXian"/>
          <w:i/>
          <w:iCs/>
          <w:kern w:val="2"/>
          <w:sz w:val="21"/>
          <w:szCs w:val="21"/>
          <w:lang w:val="en-US"/>
        </w:rPr>
        <w:t>frailty</w:t>
      </w:r>
      <w:r>
        <w:rPr>
          <w:rFonts w:ascii="Times New Roman" w:hAnsi="Times New Roman" w:eastAsia="DengXian"/>
          <w:i/>
          <w:iCs/>
          <w:kern w:val="2"/>
          <w:sz w:val="21"/>
          <w:szCs w:val="21"/>
        </w:rPr>
        <w:t xml:space="preserve"> network. Each row and column corresponds to a node, and each cell represents a pairwise comparison of node strength. Black cells indicate statistically significant differences in node strength between the respective node pair (p &lt; 0.05), while gray cells indicate non-significant differences. This test helps identify which nodes are significantly more central than others in the network.</w:t>
      </w:r>
    </w:p>
    <w:p w14:paraId="7239479F">
      <w:pPr>
        <w:pStyle w:val="8"/>
        <w:spacing w:after="0"/>
        <w:rPr>
          <w:rFonts w:cs="Times New Roman" w:eastAsiaTheme="minorEastAsia"/>
          <w:color w:val="C00000"/>
          <w:kern w:val="2"/>
          <w:sz w:val="21"/>
          <w:szCs w:val="21"/>
        </w:rPr>
      </w:pPr>
    </w:p>
    <w:p w14:paraId="55B3FAE8">
      <w:pPr>
        <w:pStyle w:val="8"/>
        <w:spacing w:after="0"/>
        <w:rPr>
          <w:rFonts w:cs="Times New Roman" w:eastAsiaTheme="minorEastAsia"/>
          <w:color w:val="C00000"/>
          <w:kern w:val="2"/>
          <w:sz w:val="21"/>
          <w:szCs w:val="21"/>
        </w:rPr>
        <w:sectPr>
          <w:pgSz w:w="11906" w:h="16838"/>
          <w:pgMar w:top="720" w:right="720" w:bottom="720" w:left="720" w:header="851" w:footer="992" w:gutter="0"/>
          <w:cols w:space="425" w:num="1"/>
          <w:docGrid w:type="lines" w:linePitch="312" w:charSpace="0"/>
        </w:sectPr>
      </w:pPr>
    </w:p>
    <w:p w14:paraId="3F049763">
      <w:pPr>
        <w:pStyle w:val="8"/>
        <w:rPr>
          <w:szCs w:val="21"/>
        </w:rPr>
      </w:pPr>
      <w:r>
        <w:rPr>
          <w:rFonts w:cs="Times New Roman" w:eastAsiaTheme="minorEastAsia"/>
          <w:color w:val="C00000"/>
          <w:kern w:val="2"/>
          <w:sz w:val="21"/>
          <w:szCs w:val="21"/>
        </w:rPr>
        <w:t>Domain-level network connecting SDoH with frailty</w:t>
      </w:r>
    </w:p>
    <w:p w14:paraId="6633C026">
      <w:pPr>
        <w:pStyle w:val="8"/>
        <w:jc w:val="center"/>
        <w:rPr>
          <w:szCs w:val="21"/>
        </w:rPr>
      </w:pPr>
      <w:r>
        <w:drawing>
          <wp:inline distT="0" distB="0" distL="114300" distR="114300">
            <wp:extent cx="5039995" cy="3423285"/>
            <wp:effectExtent l="0" t="0" r="14605" b="5715"/>
            <wp:docPr id="26" name="图片 26" descr="Fig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igS7"/>
                    <pic:cNvPicPr>
                      <a:picLocks noChangeAspect="1"/>
                    </pic:cNvPicPr>
                  </pic:nvPicPr>
                  <pic:blipFill>
                    <a:blip r:embed="rId11"/>
                    <a:stretch>
                      <a:fillRect/>
                    </a:stretch>
                  </pic:blipFill>
                  <pic:spPr>
                    <a:xfrm>
                      <a:off x="0" y="0"/>
                      <a:ext cx="5039995" cy="3423285"/>
                    </a:xfrm>
                    <a:prstGeom prst="rect">
                      <a:avLst/>
                    </a:prstGeom>
                  </pic:spPr>
                </pic:pic>
              </a:graphicData>
            </a:graphic>
          </wp:inline>
        </w:drawing>
      </w:r>
    </w:p>
    <w:p w14:paraId="57860203">
      <w:pPr>
        <w:widowControl/>
        <w:rPr>
          <w:rFonts w:ascii="Times New Roman" w:hAnsi="Times New Roman" w:eastAsia="DengXian" w:cs="Times New Roman"/>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7</w:t>
      </w:r>
      <w:r>
        <w:rPr>
          <w:rFonts w:ascii="Times New Roman" w:hAnsi="Times New Roman" w:eastAsia="DengXian" w:cs="Times New Roman"/>
          <w:b/>
          <w:bCs/>
          <w:szCs w:val="21"/>
        </w:rPr>
        <w:t>.</w:t>
      </w:r>
      <w:r>
        <w:rPr>
          <w:rFonts w:ascii="Times New Roman" w:hAnsi="Times New Roman" w:eastAsia="DengXian" w:cs="Times New Roman"/>
          <w:szCs w:val="21"/>
        </w:rPr>
        <w:t xml:space="preserve"> Accuracy analysis of estimated edge weights in the domain-level network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75A2DC91">
      <w:pPr>
        <w:jc w:val="center"/>
        <w:rPr>
          <w:szCs w:val="21"/>
        </w:rPr>
      </w:pPr>
      <w:r>
        <w:drawing>
          <wp:inline distT="0" distB="0" distL="114300" distR="114300">
            <wp:extent cx="5039995" cy="3216910"/>
            <wp:effectExtent l="0" t="0" r="14605" b="8890"/>
            <wp:docPr id="6" name="图片 6" descr="Fig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8"/>
                    <pic:cNvPicPr>
                      <a:picLocks noChangeAspect="1"/>
                    </pic:cNvPicPr>
                  </pic:nvPicPr>
                  <pic:blipFill>
                    <a:blip r:embed="rId12"/>
                    <a:stretch>
                      <a:fillRect/>
                    </a:stretch>
                  </pic:blipFill>
                  <pic:spPr>
                    <a:xfrm>
                      <a:off x="0" y="0"/>
                      <a:ext cx="5039995" cy="3216910"/>
                    </a:xfrm>
                    <a:prstGeom prst="rect">
                      <a:avLst/>
                    </a:prstGeom>
                  </pic:spPr>
                </pic:pic>
              </a:graphicData>
            </a:graphic>
          </wp:inline>
        </w:drawing>
      </w:r>
    </w:p>
    <w:p w14:paraId="4EC31BAD">
      <w:pPr>
        <w:jc w:val="both"/>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8</w:t>
      </w:r>
      <w:r>
        <w:rPr>
          <w:rFonts w:ascii="Times New Roman" w:hAnsi="Times New Roman" w:eastAsia="DengXian" w:cs="Times New Roman"/>
          <w:b/>
          <w:bCs/>
          <w:szCs w:val="21"/>
        </w:rPr>
        <w:t xml:space="preserve">. </w:t>
      </w:r>
      <w:r>
        <w:rPr>
          <w:rFonts w:ascii="Times New Roman" w:hAnsi="Times New Roman" w:eastAsia="DengXian" w:cs="Times New Roman"/>
          <w:szCs w:val="21"/>
        </w:rPr>
        <w:t xml:space="preserve">Stability analysis of centrality indices in the domain-level network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CS 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 </w:t>
      </w:r>
    </w:p>
    <w:p w14:paraId="6710F095">
      <w:pPr>
        <w:jc w:val="center"/>
        <w:rPr>
          <w:szCs w:val="21"/>
        </w:rPr>
      </w:pPr>
      <w:r>
        <w:drawing>
          <wp:inline distT="0" distB="0" distL="114300" distR="114300">
            <wp:extent cx="5149850" cy="3482975"/>
            <wp:effectExtent l="0" t="0" r="0" b="0"/>
            <wp:docPr id="13" name="图片 13" descr="Fig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S9"/>
                    <pic:cNvPicPr>
                      <a:picLocks noChangeAspect="1"/>
                    </pic:cNvPicPr>
                  </pic:nvPicPr>
                  <pic:blipFill>
                    <a:blip r:embed="rId13"/>
                    <a:srcRect l="21476" b="27629"/>
                    <a:stretch>
                      <a:fillRect/>
                    </a:stretch>
                  </pic:blipFill>
                  <pic:spPr>
                    <a:xfrm>
                      <a:off x="0" y="0"/>
                      <a:ext cx="5149850" cy="3482975"/>
                    </a:xfrm>
                    <a:prstGeom prst="rect">
                      <a:avLst/>
                    </a:prstGeom>
                  </pic:spPr>
                </pic:pic>
              </a:graphicData>
            </a:graphic>
          </wp:inline>
        </w:drawing>
      </w:r>
    </w:p>
    <w:p w14:paraId="7ABA10E8">
      <w:pPr>
        <w:pStyle w:val="9"/>
        <w:widowControl/>
        <w:spacing w:beforeAutospacing="0" w:afterAutospacing="0"/>
        <w:jc w:val="both"/>
        <w:rPr>
          <w:sz w:val="21"/>
          <w:szCs w:val="21"/>
        </w:rPr>
      </w:pPr>
      <w:r>
        <w:rPr>
          <w:rFonts w:ascii="Times New Roman" w:hAnsi="Times New Roman" w:eastAsia="DengXian"/>
          <w:b/>
          <w:bCs/>
          <w:kern w:val="2"/>
          <w:sz w:val="21"/>
          <w:szCs w:val="21"/>
        </w:rPr>
        <w:t>Figure S</w:t>
      </w:r>
      <w:r>
        <w:rPr>
          <w:rFonts w:hint="eastAsia" w:ascii="Times New Roman" w:hAnsi="Times New Roman" w:eastAsia="DengXian"/>
          <w:b/>
          <w:bCs/>
          <w:kern w:val="2"/>
          <w:sz w:val="21"/>
          <w:szCs w:val="21"/>
        </w:rPr>
        <w:t>9</w:t>
      </w:r>
      <w:r>
        <w:rPr>
          <w:rFonts w:ascii="Times New Roman" w:hAnsi="Times New Roman" w:eastAsia="DengXian"/>
          <w:b/>
          <w:bCs/>
          <w:kern w:val="2"/>
          <w:sz w:val="21"/>
          <w:szCs w:val="21"/>
        </w:rPr>
        <w:t>.</w:t>
      </w:r>
      <w:r>
        <w:rPr>
          <w:rFonts w:ascii="Times New Roman" w:hAnsi="Times New Roman" w:eastAsia="DengXian"/>
          <w:kern w:val="2"/>
          <w:sz w:val="21"/>
          <w:szCs w:val="21"/>
        </w:rPr>
        <w:t xml:space="preserve"> Edge weight difference test for the domain-level network. </w:t>
      </w:r>
      <w:r>
        <w:rPr>
          <w:rFonts w:ascii="Times New Roman" w:hAnsi="Times New Roman" w:eastAsia="DengXian"/>
          <w:i/>
          <w:iCs/>
          <w:kern w:val="2"/>
          <w:sz w:val="21"/>
          <w:szCs w:val="21"/>
        </w:rPr>
        <w:t>Note: This heatmap presents the results of nonparametric bootstrap difference tests comparing all pairs of edge weights in the domain-level network. Each row and column correspond to a specific edge. Black cells indicate statistically significant differences between the corresponding edge weights (p &lt; 0.05), while gray cells indicate non-significant differences. This analysis helps identify whether certain associations are significantly stronger or weaker than others within the network structure.</w:t>
      </w:r>
    </w:p>
    <w:p w14:paraId="3852D84A">
      <w:pPr>
        <w:jc w:val="both"/>
      </w:pPr>
    </w:p>
    <w:p w14:paraId="3617DEAC">
      <w:pPr>
        <w:jc w:val="center"/>
        <w:rPr>
          <w:rFonts w:hint="default"/>
          <w:szCs w:val="21"/>
          <w:lang w:val="en-US"/>
        </w:rPr>
      </w:pPr>
      <w:r>
        <w:rPr>
          <w:rFonts w:hint="default"/>
          <w:szCs w:val="21"/>
          <w:lang w:val="en-US"/>
        </w:rPr>
        <w:drawing>
          <wp:inline distT="0" distB="0" distL="114300" distR="114300">
            <wp:extent cx="4679950" cy="3242310"/>
            <wp:effectExtent l="0" t="0" r="19050" b="8890"/>
            <wp:docPr id="24" name="图片 24" descr="Fi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igS10"/>
                    <pic:cNvPicPr>
                      <a:picLocks noChangeAspect="1"/>
                    </pic:cNvPicPr>
                  </pic:nvPicPr>
                  <pic:blipFill>
                    <a:blip r:embed="rId14"/>
                    <a:srcRect l="9050" b="14127"/>
                    <a:stretch>
                      <a:fillRect/>
                    </a:stretch>
                  </pic:blipFill>
                  <pic:spPr>
                    <a:xfrm>
                      <a:off x="0" y="0"/>
                      <a:ext cx="4679950" cy="3242310"/>
                    </a:xfrm>
                    <a:prstGeom prst="rect">
                      <a:avLst/>
                    </a:prstGeom>
                  </pic:spPr>
                </pic:pic>
              </a:graphicData>
            </a:graphic>
          </wp:inline>
        </w:drawing>
      </w:r>
    </w:p>
    <w:p w14:paraId="634E34A5">
      <w:pPr>
        <w:pStyle w:val="9"/>
        <w:widowControl/>
        <w:spacing w:beforeAutospacing="0" w:afterAutospacing="0"/>
        <w:jc w:val="both"/>
        <w:rPr>
          <w:rFonts w:ascii="Times New Roman" w:hAnsi="Times New Roman"/>
          <w:sz w:val="21"/>
          <w:szCs w:val="21"/>
        </w:rPr>
      </w:pPr>
      <w:r>
        <w:rPr>
          <w:rFonts w:ascii="Times New Roman" w:hAnsi="Times New Roman" w:eastAsia="DengXian"/>
          <w:b/>
          <w:bCs/>
          <w:kern w:val="2"/>
          <w:sz w:val="21"/>
          <w:szCs w:val="21"/>
        </w:rPr>
        <w:t>Figure S</w:t>
      </w:r>
      <w:r>
        <w:rPr>
          <w:rFonts w:hint="eastAsia" w:ascii="Times New Roman" w:hAnsi="Times New Roman" w:eastAsia="DengXian"/>
          <w:b/>
          <w:bCs/>
          <w:kern w:val="2"/>
          <w:sz w:val="21"/>
          <w:szCs w:val="21"/>
        </w:rPr>
        <w:t>10</w:t>
      </w:r>
      <w:r>
        <w:rPr>
          <w:rFonts w:ascii="Times New Roman" w:hAnsi="Times New Roman" w:eastAsia="DengXian"/>
          <w:b/>
          <w:bCs/>
          <w:kern w:val="2"/>
          <w:sz w:val="21"/>
          <w:szCs w:val="21"/>
        </w:rPr>
        <w:t>.</w:t>
      </w:r>
      <w:r>
        <w:rPr>
          <w:rFonts w:ascii="Times New Roman" w:hAnsi="Times New Roman" w:eastAsia="DengXian"/>
          <w:kern w:val="2"/>
          <w:sz w:val="21"/>
          <w:szCs w:val="21"/>
        </w:rPr>
        <w:t xml:space="preserve"> Node strength difference test in the domain-level network. </w:t>
      </w:r>
      <w:r>
        <w:rPr>
          <w:rFonts w:ascii="Times New Roman" w:hAnsi="Times New Roman" w:eastAsia="DengXian"/>
          <w:i/>
          <w:iCs/>
          <w:kern w:val="2"/>
          <w:sz w:val="21"/>
          <w:szCs w:val="21"/>
        </w:rPr>
        <w:t>Note: This heatmap shows the results of nonparametric bootstrap difference tests comparing node strength centrality values across all nodes in the domain-level network. Each row and column corresponds to a node, and each cell represents a pairwise comparison of node strength. Black cells indicate statistically significant differences in node strength between the respective node pair (p &lt; 0.05), while gray cells indicate non-significant differences. This test helps identify which nodes are significantly more central than others in the network.</w:t>
      </w:r>
    </w:p>
    <w:p w14:paraId="09458290">
      <w:pPr>
        <w:rPr>
          <w:rFonts w:ascii="Times New Roman Bold" w:hAnsi="Times New Roman Bold" w:eastAsia="DengXian" w:cs="Times New Roman Bold"/>
          <w:b/>
          <w:bCs/>
          <w:kern w:val="28"/>
          <w:sz w:val="24"/>
        </w:rPr>
      </w:pPr>
    </w:p>
    <w:p w14:paraId="3B33A1B5">
      <w:pPr>
        <w:jc w:val="center"/>
        <w:rPr>
          <w:rFonts w:ascii="Times New Roman Bold" w:hAnsi="Times New Roman Bold" w:eastAsia="DengXian" w:cs="Times New Roman Bold"/>
          <w:b/>
          <w:bCs/>
          <w:kern w:val="28"/>
          <w:sz w:val="24"/>
        </w:rPr>
      </w:pPr>
      <w:r>
        <w:rPr>
          <w:rFonts w:ascii="Times New Roman Bold" w:hAnsi="Times New Roman Bold" w:eastAsia="DengXian" w:cs="Times New Roman Bold"/>
          <w:b/>
          <w:bCs/>
          <w:kern w:val="28"/>
          <w:sz w:val="24"/>
        </w:rPr>
        <w:drawing>
          <wp:inline distT="0" distB="0" distL="114300" distR="114300">
            <wp:extent cx="5634355" cy="3160395"/>
            <wp:effectExtent l="0" t="0" r="0" b="0"/>
            <wp:docPr id="11" name="图片 11" descr="Fig Domainlevel_Bridge_Edge rem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 Domainlevel_Bridge_Edge removal"/>
                    <pic:cNvPicPr>
                      <a:picLocks noChangeAspect="1"/>
                    </pic:cNvPicPr>
                  </pic:nvPicPr>
                  <pic:blipFill>
                    <a:blip r:embed="rId15"/>
                    <a:srcRect l="2795" r="12288"/>
                    <a:stretch>
                      <a:fillRect/>
                    </a:stretch>
                  </pic:blipFill>
                  <pic:spPr>
                    <a:xfrm>
                      <a:off x="0" y="0"/>
                      <a:ext cx="5634355" cy="3160395"/>
                    </a:xfrm>
                    <a:prstGeom prst="rect">
                      <a:avLst/>
                    </a:prstGeom>
                  </pic:spPr>
                </pic:pic>
              </a:graphicData>
            </a:graphic>
          </wp:inline>
        </w:drawing>
      </w:r>
    </w:p>
    <w:p w14:paraId="7BFD00C6">
      <w:pPr>
        <w:rPr>
          <w:rFonts w:asciiTheme="majorBidi" w:hAnsiTheme="majorBidi" w:cstheme="majorBidi"/>
          <w:color w:val="C00000"/>
          <w:szCs w:val="21"/>
        </w:rPr>
      </w:pPr>
      <w:r>
        <w:rPr>
          <w:rFonts w:ascii="Times New Roman Bold" w:hAnsi="Times New Roman Bold" w:eastAsia="DengXian" w:cs="Times New Roman Bold"/>
          <w:b/>
          <w:bCs/>
          <w:kern w:val="28"/>
          <w:sz w:val="24"/>
        </w:rPr>
        <w:t xml:space="preserve">Figure S11. </w:t>
      </w:r>
      <w:r>
        <w:rPr>
          <w:rFonts w:ascii="Times New Roman" w:hAnsi="Times New Roman" w:eastAsia="DengXian" w:cs="Times New Roman"/>
          <w:kern w:val="28"/>
          <w:sz w:val="24"/>
        </w:rPr>
        <w:t>Bridge strength in the domain-level network after removing the edge between Education Access and Quality and cognition</w:t>
      </w:r>
      <w:r>
        <w:rPr>
          <w:rFonts w:hint="default" w:ascii="Times New Roman" w:hAnsi="Times New Roman" w:eastAsia="DengXian" w:cs="Times New Roman"/>
          <w:kern w:val="28"/>
          <w:sz w:val="24"/>
          <w:lang w:val="en-US"/>
        </w:rPr>
        <w:t xml:space="preserve"> deficits</w:t>
      </w:r>
      <w:r>
        <w:rPr>
          <w:rFonts w:ascii="Times New Roman" w:hAnsi="Times New Roman" w:eastAsia="DengXian" w:cs="Times New Roman"/>
          <w:kern w:val="28"/>
          <w:sz w:val="24"/>
        </w:rPr>
        <w:t xml:space="preserve">. </w:t>
      </w:r>
      <w:r>
        <w:rPr>
          <w:rFonts w:ascii="Times New Roman Italic" w:hAnsi="Times New Roman Italic" w:eastAsia="DengXian" w:cs="Times New Roman Italic"/>
          <w:i/>
          <w:iCs/>
          <w:kern w:val="28"/>
          <w:sz w:val="24"/>
        </w:rPr>
        <w:t xml:space="preserve">Notes: The edge connecting Education Access and Quality and cognition was set to zero in the estimated weighted adjacency matrix, while all other edge weights and the original community assignment were retained. Bridge strength was then recalculated to evaluate the extent to which the bridging roles of education and cognition were attributable to their direct association. </w:t>
      </w:r>
    </w:p>
    <w:p w14:paraId="112A7C68">
      <w:pPr>
        <w:rPr>
          <w:rFonts w:asciiTheme="majorBidi" w:hAnsiTheme="majorBidi" w:cstheme="majorBidi"/>
          <w:b/>
          <w:bCs/>
          <w:color w:val="C00000"/>
          <w:szCs w:val="21"/>
        </w:rPr>
      </w:pPr>
      <w:r>
        <w:rPr>
          <w:rFonts w:asciiTheme="majorBidi" w:hAnsiTheme="majorBidi" w:cstheme="majorBidi"/>
          <w:color w:val="C00000"/>
          <w:szCs w:val="21"/>
        </w:rPr>
        <w:br w:type="page"/>
      </w:r>
      <w:r>
        <w:rPr>
          <w:rFonts w:asciiTheme="majorBidi" w:hAnsiTheme="majorBidi" w:cstheme="majorBidi"/>
          <w:b/>
          <w:bCs/>
          <w:color w:val="C00000"/>
          <w:szCs w:val="21"/>
        </w:rPr>
        <w:t>The integrated network of SDoH and frailty</w:t>
      </w:r>
    </w:p>
    <w:p w14:paraId="487AB79C">
      <w:pPr>
        <w:rPr>
          <w:rFonts w:ascii="Times New Roman" w:hAnsi="Times New Roman" w:eastAsia="宋体" w:cs="Times New Roman"/>
          <w:kern w:val="0"/>
          <w:szCs w:val="21"/>
          <w:highlight w:val="yellow"/>
        </w:rPr>
      </w:pPr>
      <w:r>
        <w:rPr>
          <w:rFonts w:ascii="Times New Roman" w:hAnsi="Times New Roman" w:eastAsia="DengXian" w:cs="Times New Roman"/>
          <w:b/>
          <w:bCs/>
          <w:szCs w:val="21"/>
        </w:rPr>
        <w:t>Table S8.</w:t>
      </w:r>
      <w:r>
        <w:rPr>
          <w:rFonts w:ascii="Times New Roman" w:hAnsi="Times New Roman" w:eastAsia="DengXian" w:cs="Times New Roman"/>
          <w:szCs w:val="21"/>
        </w:rPr>
        <w:t xml:space="preserve"> </w:t>
      </w:r>
      <w:r>
        <w:rPr>
          <w:rFonts w:ascii="Times New Roman" w:hAnsi="Times New Roman" w:eastAsia="宋体" w:cs="Times New Roman"/>
          <w:kern w:val="0"/>
          <w:szCs w:val="21"/>
        </w:rPr>
        <w:t>Edge weights for the</w:t>
      </w:r>
      <w:r>
        <w:rPr>
          <w:rFonts w:eastAsia="宋体" w:cs="Times New Roman"/>
          <w:kern w:val="0"/>
          <w:szCs w:val="21"/>
        </w:rPr>
        <w:t xml:space="preserve"> i</w:t>
      </w:r>
      <w:r>
        <w:rPr>
          <w:rFonts w:ascii="Times New Roman" w:hAnsi="Times New Roman" w:eastAsia="宋体" w:cs="Times New Roman"/>
          <w:kern w:val="0"/>
          <w:szCs w:val="21"/>
        </w:rPr>
        <w:t>ntegrated network of SDoH and frailty.</w:t>
      </w:r>
    </w:p>
    <w:tbl>
      <w:tblPr>
        <w:tblStyle w:val="11"/>
        <w:tblW w:w="0" w:type="auto"/>
        <w:jc w:val="center"/>
        <w:tblLayout w:type="autofit"/>
        <w:tblCellMar>
          <w:top w:w="0" w:type="dxa"/>
          <w:left w:w="108" w:type="dxa"/>
          <w:bottom w:w="0" w:type="dxa"/>
          <w:right w:w="108" w:type="dxa"/>
        </w:tblCellMar>
      </w:tblPr>
      <w:tblGrid>
        <w:gridCol w:w="4194"/>
        <w:gridCol w:w="3564"/>
        <w:gridCol w:w="1354"/>
        <w:gridCol w:w="1010"/>
      </w:tblGrid>
      <w:tr w14:paraId="69D955FE">
        <w:trPr>
          <w:trHeight w:val="278" w:hRule="atLeast"/>
          <w:jc w:val="center"/>
        </w:trPr>
        <w:tc>
          <w:tcPr>
            <w:tcW w:w="0" w:type="auto"/>
            <w:tcBorders>
              <w:top w:val="single" w:color="000000" w:sz="12" w:space="0"/>
              <w:left w:val="nil"/>
              <w:bottom w:val="single" w:color="000000" w:sz="4" w:space="0"/>
              <w:right w:val="nil"/>
              <w:tl2br w:val="nil"/>
            </w:tcBorders>
            <w:shd w:val="clear" w:color="auto" w:fill="FFFFFF"/>
            <w:vAlign w:val="center"/>
          </w:tcPr>
          <w:p w14:paraId="2262F935">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From</w:t>
            </w:r>
          </w:p>
        </w:tc>
        <w:tc>
          <w:tcPr>
            <w:tcW w:w="0" w:type="auto"/>
            <w:tcBorders>
              <w:top w:val="single" w:color="000000" w:sz="12" w:space="0"/>
              <w:left w:val="nil"/>
              <w:bottom w:val="single" w:color="000000" w:sz="4" w:space="0"/>
              <w:right w:val="nil"/>
            </w:tcBorders>
            <w:shd w:val="clear" w:color="auto" w:fill="FFFFFF"/>
            <w:vAlign w:val="center"/>
          </w:tcPr>
          <w:p w14:paraId="0C0665F7">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to</w:t>
            </w:r>
          </w:p>
        </w:tc>
        <w:tc>
          <w:tcPr>
            <w:tcW w:w="0" w:type="auto"/>
            <w:tcBorders>
              <w:top w:val="single" w:color="000000" w:sz="12" w:space="0"/>
              <w:left w:val="nil"/>
              <w:bottom w:val="single" w:color="000000" w:sz="4" w:space="0"/>
              <w:right w:val="nil"/>
            </w:tcBorders>
            <w:shd w:val="clear" w:color="auto" w:fill="FFFFFF"/>
            <w:vAlign w:val="center"/>
          </w:tcPr>
          <w:p w14:paraId="1850073F">
            <w:pPr>
              <w:widowControl/>
              <w:jc w:val="center"/>
              <w:textAlignment w:val="center"/>
              <w:rPr>
                <w:rFonts w:ascii="Times New Roman Regular" w:hAnsi="Times New Roman Regular" w:eastAsia="宋体"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Edge weights</w:t>
            </w:r>
          </w:p>
        </w:tc>
        <w:tc>
          <w:tcPr>
            <w:tcW w:w="0" w:type="auto"/>
            <w:tcBorders>
              <w:top w:val="single" w:color="000000" w:sz="12" w:space="0"/>
              <w:left w:val="nil"/>
              <w:bottom w:val="single" w:color="000000" w:sz="4" w:space="0"/>
              <w:right w:val="nil"/>
            </w:tcBorders>
            <w:shd w:val="clear" w:color="auto" w:fill="FFFFFF"/>
            <w:vAlign w:val="center"/>
          </w:tcPr>
          <w:p w14:paraId="385B26E5">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Direction</w:t>
            </w:r>
          </w:p>
        </w:tc>
      </w:tr>
      <w:tr w14:paraId="75F5289B">
        <w:trPr>
          <w:trHeight w:val="278" w:hRule="atLeast"/>
          <w:jc w:val="center"/>
        </w:trPr>
        <w:tc>
          <w:tcPr>
            <w:tcW w:w="0" w:type="auto"/>
            <w:tcBorders>
              <w:top w:val="single" w:color="000000" w:sz="4" w:space="0"/>
              <w:left w:val="nil"/>
              <w:bottom w:val="nil"/>
              <w:right w:val="nil"/>
            </w:tcBorders>
            <w:shd w:val="clear" w:color="auto" w:fill="FFFFFF"/>
            <w:noWrap/>
            <w:vAlign w:val="center"/>
          </w:tcPr>
          <w:p w14:paraId="483F723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single" w:color="000000" w:sz="4" w:space="0"/>
              <w:left w:val="nil"/>
              <w:bottom w:val="nil"/>
              <w:right w:val="nil"/>
            </w:tcBorders>
            <w:shd w:val="clear" w:color="auto" w:fill="FFFFFF"/>
            <w:noWrap/>
            <w:vAlign w:val="center"/>
          </w:tcPr>
          <w:p w14:paraId="3024BD1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single" w:color="000000" w:sz="4" w:space="0"/>
              <w:left w:val="nil"/>
              <w:bottom w:val="nil"/>
              <w:right w:val="nil"/>
            </w:tcBorders>
            <w:shd w:val="clear" w:color="auto" w:fill="FFFFFF"/>
            <w:noWrap/>
            <w:vAlign w:val="center"/>
          </w:tcPr>
          <w:p w14:paraId="02CF81F4">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1.813</w:t>
            </w:r>
          </w:p>
        </w:tc>
        <w:tc>
          <w:tcPr>
            <w:tcW w:w="0" w:type="auto"/>
            <w:tcBorders>
              <w:top w:val="single" w:color="000000" w:sz="4" w:space="0"/>
              <w:left w:val="nil"/>
              <w:bottom w:val="nil"/>
              <w:right w:val="nil"/>
            </w:tcBorders>
            <w:shd w:val="clear" w:color="auto" w:fill="FFFFFF"/>
            <w:noWrap/>
            <w:vAlign w:val="center"/>
          </w:tcPr>
          <w:p w14:paraId="0693CA87">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614FC18B">
        <w:trPr>
          <w:trHeight w:val="90" w:hRule="atLeast"/>
          <w:jc w:val="center"/>
        </w:trPr>
        <w:tc>
          <w:tcPr>
            <w:tcW w:w="0" w:type="auto"/>
            <w:tcBorders>
              <w:top w:val="nil"/>
              <w:left w:val="nil"/>
              <w:bottom w:val="nil"/>
              <w:right w:val="nil"/>
            </w:tcBorders>
            <w:shd w:val="clear" w:color="auto" w:fill="FFFFFF"/>
            <w:noWrap/>
            <w:vAlign w:val="center"/>
          </w:tcPr>
          <w:p w14:paraId="505AD5B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598A078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6CDE48B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0.657</w:t>
            </w:r>
          </w:p>
        </w:tc>
        <w:tc>
          <w:tcPr>
            <w:tcW w:w="0" w:type="auto"/>
            <w:tcBorders>
              <w:top w:val="nil"/>
              <w:left w:val="nil"/>
              <w:bottom w:val="nil"/>
              <w:right w:val="nil"/>
            </w:tcBorders>
            <w:shd w:val="clear" w:color="auto" w:fill="FFFFFF"/>
            <w:noWrap/>
            <w:vAlign w:val="center"/>
          </w:tcPr>
          <w:p w14:paraId="75BDF947">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6161FDB1">
        <w:trPr>
          <w:trHeight w:val="278" w:hRule="atLeast"/>
          <w:jc w:val="center"/>
        </w:trPr>
        <w:tc>
          <w:tcPr>
            <w:tcW w:w="0" w:type="auto"/>
            <w:tcBorders>
              <w:top w:val="nil"/>
              <w:left w:val="nil"/>
              <w:bottom w:val="nil"/>
              <w:right w:val="nil"/>
            </w:tcBorders>
            <w:shd w:val="clear" w:color="auto" w:fill="FFFFFF"/>
            <w:noWrap/>
            <w:vAlign w:val="center"/>
          </w:tcPr>
          <w:p w14:paraId="03B485E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21CFACD5">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102D612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0.645</w:t>
            </w:r>
          </w:p>
        </w:tc>
        <w:tc>
          <w:tcPr>
            <w:tcW w:w="0" w:type="auto"/>
            <w:tcBorders>
              <w:top w:val="nil"/>
              <w:left w:val="nil"/>
              <w:bottom w:val="nil"/>
              <w:right w:val="nil"/>
            </w:tcBorders>
            <w:shd w:val="clear" w:color="auto" w:fill="FFFFFF"/>
            <w:noWrap/>
            <w:vAlign w:val="center"/>
          </w:tcPr>
          <w:p w14:paraId="47DFC0BE">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5813E4FD">
        <w:trPr>
          <w:trHeight w:val="90" w:hRule="atLeast"/>
          <w:jc w:val="center"/>
        </w:trPr>
        <w:tc>
          <w:tcPr>
            <w:tcW w:w="0" w:type="auto"/>
            <w:tcBorders>
              <w:top w:val="nil"/>
              <w:left w:val="nil"/>
              <w:bottom w:val="nil"/>
              <w:right w:val="nil"/>
            </w:tcBorders>
            <w:shd w:val="clear" w:color="auto" w:fill="FFFFFF"/>
            <w:noWrap/>
            <w:vAlign w:val="center"/>
          </w:tcPr>
          <w:p w14:paraId="5EA7EBC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NBE2: Accommodation stability</w:t>
            </w:r>
          </w:p>
        </w:tc>
        <w:tc>
          <w:tcPr>
            <w:tcW w:w="0" w:type="auto"/>
            <w:tcBorders>
              <w:top w:val="nil"/>
              <w:left w:val="nil"/>
              <w:bottom w:val="nil"/>
              <w:right w:val="nil"/>
            </w:tcBorders>
            <w:shd w:val="clear" w:color="auto" w:fill="FFFFFF"/>
            <w:noWrap/>
            <w:vAlign w:val="center"/>
          </w:tcPr>
          <w:p w14:paraId="1FCD477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62CA7AC4">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0.495</w:t>
            </w:r>
          </w:p>
        </w:tc>
        <w:tc>
          <w:tcPr>
            <w:tcW w:w="0" w:type="auto"/>
            <w:tcBorders>
              <w:top w:val="nil"/>
              <w:left w:val="nil"/>
              <w:bottom w:val="nil"/>
              <w:right w:val="nil"/>
            </w:tcBorders>
            <w:shd w:val="clear" w:color="auto" w:fill="FFFFFF"/>
            <w:noWrap/>
            <w:vAlign w:val="center"/>
          </w:tcPr>
          <w:p w14:paraId="6C5CD4A2">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004EBDC4">
        <w:trPr>
          <w:trHeight w:val="278" w:hRule="atLeast"/>
          <w:jc w:val="center"/>
        </w:trPr>
        <w:tc>
          <w:tcPr>
            <w:tcW w:w="0" w:type="auto"/>
            <w:tcBorders>
              <w:top w:val="nil"/>
              <w:left w:val="nil"/>
              <w:bottom w:val="nil"/>
              <w:right w:val="nil"/>
            </w:tcBorders>
            <w:shd w:val="clear" w:color="auto" w:fill="FFFFFF"/>
            <w:noWrap/>
            <w:vAlign w:val="center"/>
          </w:tcPr>
          <w:p w14:paraId="5F43ED3E">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NBE3: Per capita housing area</w:t>
            </w:r>
          </w:p>
        </w:tc>
        <w:tc>
          <w:tcPr>
            <w:tcW w:w="0" w:type="auto"/>
            <w:tcBorders>
              <w:top w:val="nil"/>
              <w:left w:val="nil"/>
              <w:bottom w:val="nil"/>
              <w:right w:val="nil"/>
            </w:tcBorders>
            <w:shd w:val="clear" w:color="auto" w:fill="FFFFFF"/>
            <w:noWrap/>
            <w:vAlign w:val="center"/>
          </w:tcPr>
          <w:p w14:paraId="7245B8D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7DE0AC8B">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0.457</w:t>
            </w:r>
          </w:p>
        </w:tc>
        <w:tc>
          <w:tcPr>
            <w:tcW w:w="0" w:type="auto"/>
            <w:tcBorders>
              <w:top w:val="nil"/>
              <w:left w:val="nil"/>
              <w:bottom w:val="nil"/>
              <w:right w:val="nil"/>
            </w:tcBorders>
            <w:shd w:val="clear" w:color="auto" w:fill="FFFFFF"/>
            <w:noWrap/>
            <w:vAlign w:val="center"/>
          </w:tcPr>
          <w:p w14:paraId="60C8D67D">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2E2EEECD">
        <w:trPr>
          <w:trHeight w:val="278" w:hRule="atLeast"/>
          <w:jc w:val="center"/>
        </w:trPr>
        <w:tc>
          <w:tcPr>
            <w:tcW w:w="0" w:type="auto"/>
            <w:tcBorders>
              <w:top w:val="nil"/>
              <w:left w:val="nil"/>
              <w:bottom w:val="nil"/>
              <w:right w:val="nil"/>
            </w:tcBorders>
            <w:shd w:val="clear" w:color="auto" w:fill="FFFFFF"/>
            <w:noWrap/>
            <w:vAlign w:val="center"/>
          </w:tcPr>
          <w:p w14:paraId="1BDF5833">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448F15A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NBE4: Housing quality</w:t>
            </w:r>
          </w:p>
        </w:tc>
        <w:tc>
          <w:tcPr>
            <w:tcW w:w="0" w:type="auto"/>
            <w:tcBorders>
              <w:top w:val="nil"/>
              <w:left w:val="nil"/>
              <w:bottom w:val="nil"/>
              <w:right w:val="nil"/>
            </w:tcBorders>
            <w:shd w:val="clear" w:color="auto" w:fill="FFFFFF"/>
            <w:noWrap/>
            <w:vAlign w:val="center"/>
          </w:tcPr>
          <w:p w14:paraId="20021C94">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0.418</w:t>
            </w:r>
          </w:p>
        </w:tc>
        <w:tc>
          <w:tcPr>
            <w:tcW w:w="0" w:type="auto"/>
            <w:tcBorders>
              <w:top w:val="nil"/>
              <w:left w:val="nil"/>
              <w:bottom w:val="nil"/>
              <w:right w:val="nil"/>
            </w:tcBorders>
            <w:shd w:val="clear" w:color="auto" w:fill="FFFFFF"/>
            <w:noWrap/>
            <w:vAlign w:val="center"/>
          </w:tcPr>
          <w:p w14:paraId="3FAB0061">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Negative</w:t>
            </w:r>
          </w:p>
        </w:tc>
      </w:tr>
      <w:tr w14:paraId="713A54D4">
        <w:trPr>
          <w:trHeight w:val="278" w:hRule="atLeast"/>
          <w:jc w:val="center"/>
        </w:trPr>
        <w:tc>
          <w:tcPr>
            <w:tcW w:w="0" w:type="auto"/>
            <w:tcBorders>
              <w:top w:val="nil"/>
              <w:left w:val="nil"/>
              <w:bottom w:val="nil"/>
              <w:right w:val="nil"/>
            </w:tcBorders>
            <w:shd w:val="clear" w:color="auto" w:fill="FFFFFF"/>
            <w:noWrap/>
            <w:vAlign w:val="center"/>
          </w:tcPr>
          <w:p w14:paraId="2779B561">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HAQ3: Per capita number of health institutions</w:t>
            </w:r>
          </w:p>
        </w:tc>
        <w:tc>
          <w:tcPr>
            <w:tcW w:w="0" w:type="auto"/>
            <w:tcBorders>
              <w:top w:val="nil"/>
              <w:left w:val="nil"/>
              <w:bottom w:val="nil"/>
              <w:right w:val="nil"/>
            </w:tcBorders>
            <w:shd w:val="clear" w:color="auto" w:fill="FFFFFF"/>
            <w:noWrap/>
            <w:vAlign w:val="center"/>
          </w:tcPr>
          <w:p w14:paraId="3373138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NBE6: Noise level</w:t>
            </w:r>
          </w:p>
        </w:tc>
        <w:tc>
          <w:tcPr>
            <w:tcW w:w="0" w:type="auto"/>
            <w:tcBorders>
              <w:top w:val="nil"/>
              <w:left w:val="nil"/>
              <w:bottom w:val="nil"/>
              <w:right w:val="nil"/>
            </w:tcBorders>
            <w:shd w:val="clear" w:color="auto" w:fill="FFFFFF"/>
            <w:noWrap/>
            <w:vAlign w:val="center"/>
          </w:tcPr>
          <w:p w14:paraId="40071A70">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0.389</w:t>
            </w:r>
          </w:p>
        </w:tc>
        <w:tc>
          <w:tcPr>
            <w:tcW w:w="0" w:type="auto"/>
            <w:tcBorders>
              <w:top w:val="nil"/>
              <w:left w:val="nil"/>
              <w:bottom w:val="nil"/>
              <w:right w:val="nil"/>
            </w:tcBorders>
            <w:shd w:val="clear" w:color="auto" w:fill="FFFFFF"/>
            <w:noWrap/>
            <w:vAlign w:val="center"/>
          </w:tcPr>
          <w:p w14:paraId="0490F51C">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Negative</w:t>
            </w:r>
          </w:p>
        </w:tc>
      </w:tr>
      <w:tr w14:paraId="6B494880">
        <w:trPr>
          <w:trHeight w:val="278" w:hRule="atLeast"/>
          <w:jc w:val="center"/>
        </w:trPr>
        <w:tc>
          <w:tcPr>
            <w:tcW w:w="0" w:type="auto"/>
            <w:tcBorders>
              <w:top w:val="nil"/>
              <w:left w:val="nil"/>
              <w:bottom w:val="nil"/>
              <w:right w:val="nil"/>
            </w:tcBorders>
            <w:shd w:val="clear" w:color="auto" w:fill="FFFFFF"/>
            <w:noWrap/>
            <w:vAlign w:val="center"/>
          </w:tcPr>
          <w:p w14:paraId="29B8B87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6E2CEDC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03410072">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0.38</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4D26351C">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3D03A23C">
        <w:trPr>
          <w:trHeight w:val="90" w:hRule="atLeast"/>
          <w:jc w:val="center"/>
        </w:trPr>
        <w:tc>
          <w:tcPr>
            <w:tcW w:w="0" w:type="auto"/>
            <w:tcBorders>
              <w:top w:val="nil"/>
              <w:left w:val="nil"/>
              <w:bottom w:val="nil"/>
              <w:right w:val="nil"/>
            </w:tcBorders>
            <w:shd w:val="clear" w:color="auto" w:fill="FFFFFF"/>
            <w:noWrap/>
            <w:vAlign w:val="center"/>
          </w:tcPr>
          <w:p w14:paraId="5F54A88C">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NBE5: Air quality</w:t>
            </w:r>
          </w:p>
        </w:tc>
        <w:tc>
          <w:tcPr>
            <w:tcW w:w="0" w:type="auto"/>
            <w:tcBorders>
              <w:top w:val="nil"/>
              <w:left w:val="nil"/>
              <w:bottom w:val="nil"/>
              <w:right w:val="nil"/>
            </w:tcBorders>
            <w:shd w:val="clear" w:color="auto" w:fill="FFFFFF"/>
            <w:noWrap/>
            <w:vAlign w:val="center"/>
          </w:tcPr>
          <w:p w14:paraId="6BB90C0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NBE7: Extreme climate</w:t>
            </w:r>
          </w:p>
        </w:tc>
        <w:tc>
          <w:tcPr>
            <w:tcW w:w="0" w:type="auto"/>
            <w:tcBorders>
              <w:top w:val="nil"/>
              <w:left w:val="nil"/>
              <w:bottom w:val="nil"/>
              <w:right w:val="nil"/>
            </w:tcBorders>
            <w:shd w:val="clear" w:color="auto" w:fill="FFFFFF"/>
            <w:noWrap/>
            <w:vAlign w:val="center"/>
          </w:tcPr>
          <w:p w14:paraId="5C3E8F2D">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0.359</w:t>
            </w:r>
          </w:p>
        </w:tc>
        <w:tc>
          <w:tcPr>
            <w:tcW w:w="0" w:type="auto"/>
            <w:tcBorders>
              <w:top w:val="nil"/>
              <w:left w:val="nil"/>
              <w:bottom w:val="nil"/>
              <w:right w:val="nil"/>
            </w:tcBorders>
            <w:shd w:val="clear" w:color="auto" w:fill="FFFFFF"/>
            <w:noWrap/>
            <w:vAlign w:val="center"/>
          </w:tcPr>
          <w:p w14:paraId="7E1EBFDE">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Negative</w:t>
            </w:r>
          </w:p>
        </w:tc>
      </w:tr>
      <w:tr w14:paraId="08AE57A9">
        <w:trPr>
          <w:trHeight w:val="278" w:hRule="atLeast"/>
          <w:jc w:val="center"/>
        </w:trPr>
        <w:tc>
          <w:tcPr>
            <w:tcW w:w="0" w:type="auto"/>
            <w:tcBorders>
              <w:top w:val="nil"/>
              <w:left w:val="nil"/>
              <w:bottom w:val="nil"/>
              <w:right w:val="nil"/>
            </w:tcBorders>
            <w:shd w:val="clear" w:color="auto" w:fill="FFFFFF"/>
            <w:noWrap/>
            <w:vAlign w:val="center"/>
          </w:tcPr>
          <w:p w14:paraId="4419D3F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NBE2: Accommodation stability</w:t>
            </w:r>
          </w:p>
        </w:tc>
        <w:tc>
          <w:tcPr>
            <w:tcW w:w="0" w:type="auto"/>
            <w:tcBorders>
              <w:top w:val="nil"/>
              <w:left w:val="nil"/>
              <w:bottom w:val="nil"/>
              <w:right w:val="nil"/>
            </w:tcBorders>
            <w:shd w:val="clear" w:color="auto" w:fill="FFFFFF"/>
            <w:noWrap/>
            <w:vAlign w:val="center"/>
          </w:tcPr>
          <w:p w14:paraId="0BC20F17">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582A0E2D">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0.342</w:t>
            </w:r>
          </w:p>
        </w:tc>
        <w:tc>
          <w:tcPr>
            <w:tcW w:w="0" w:type="auto"/>
            <w:tcBorders>
              <w:top w:val="nil"/>
              <w:left w:val="nil"/>
              <w:bottom w:val="nil"/>
              <w:right w:val="nil"/>
            </w:tcBorders>
            <w:shd w:val="clear" w:color="auto" w:fill="FFFFFF"/>
            <w:noWrap/>
            <w:vAlign w:val="center"/>
          </w:tcPr>
          <w:p w14:paraId="5211947C">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7A2070F5">
        <w:trPr>
          <w:trHeight w:val="278" w:hRule="atLeast"/>
          <w:jc w:val="center"/>
        </w:trPr>
        <w:tc>
          <w:tcPr>
            <w:tcW w:w="0" w:type="auto"/>
            <w:tcBorders>
              <w:top w:val="nil"/>
              <w:left w:val="nil"/>
              <w:bottom w:val="nil"/>
              <w:right w:val="nil"/>
            </w:tcBorders>
            <w:shd w:val="clear" w:color="auto" w:fill="FFFFFF"/>
            <w:noWrap/>
            <w:vAlign w:val="center"/>
          </w:tcPr>
          <w:p w14:paraId="18B18AB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5F3FDD4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4CC56F0B">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0.338</w:t>
            </w:r>
          </w:p>
        </w:tc>
        <w:tc>
          <w:tcPr>
            <w:tcW w:w="0" w:type="auto"/>
            <w:tcBorders>
              <w:top w:val="nil"/>
              <w:left w:val="nil"/>
              <w:bottom w:val="nil"/>
              <w:right w:val="nil"/>
            </w:tcBorders>
            <w:shd w:val="clear" w:color="auto" w:fill="FFFFFF"/>
            <w:noWrap/>
            <w:vAlign w:val="center"/>
          </w:tcPr>
          <w:p w14:paraId="1A028404">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5805EF4D">
        <w:trPr>
          <w:trHeight w:val="278" w:hRule="atLeast"/>
          <w:jc w:val="center"/>
        </w:trPr>
        <w:tc>
          <w:tcPr>
            <w:tcW w:w="0" w:type="auto"/>
            <w:tcBorders>
              <w:top w:val="nil"/>
              <w:left w:val="nil"/>
              <w:bottom w:val="nil"/>
              <w:right w:val="nil"/>
            </w:tcBorders>
            <w:shd w:val="clear" w:color="auto" w:fill="FFFFFF"/>
            <w:noWrap/>
            <w:vAlign w:val="center"/>
          </w:tcPr>
          <w:p w14:paraId="21CAA5B5">
            <w:pPr>
              <w:widowControl/>
              <w:jc w:val="center"/>
              <w:textAlignment w:val="center"/>
              <w:rPr>
                <w:rFonts w:ascii="Times New Roman Regular" w:hAnsi="Times New Roman Regular" w:eastAsia="DengXian" w:cs="Times New Roman Regular"/>
                <w:color w:val="000000"/>
                <w:kern w:val="0"/>
                <w:sz w:val="21"/>
                <w:szCs w:val="21"/>
                <w:lang w:val="en-US" w:eastAsia="zh-CN"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05B1FB19">
            <w:pPr>
              <w:widowControl/>
              <w:jc w:val="center"/>
              <w:textAlignment w:val="center"/>
              <w:rPr>
                <w:rFonts w:ascii="Times New Roman Regular" w:hAnsi="Times New Roman Regular" w:eastAsia="DengXian" w:cs="Times New Roman Regular"/>
                <w:color w:val="000000"/>
                <w:kern w:val="0"/>
                <w:sz w:val="21"/>
                <w:szCs w:val="21"/>
                <w:lang w:val="en-US" w:eastAsia="zh-CN" w:bidi="ar"/>
              </w:rPr>
            </w:pPr>
            <w:r>
              <w:rPr>
                <w:rFonts w:ascii="Times New Roman Regular" w:hAnsi="Times New Roman Regular" w:eastAsia="宋体"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75612F1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0.335</w:t>
            </w:r>
          </w:p>
        </w:tc>
        <w:tc>
          <w:tcPr>
            <w:tcW w:w="0" w:type="auto"/>
            <w:tcBorders>
              <w:top w:val="nil"/>
              <w:left w:val="nil"/>
              <w:bottom w:val="nil"/>
              <w:right w:val="nil"/>
            </w:tcBorders>
            <w:shd w:val="clear" w:color="auto" w:fill="FFFFFF"/>
            <w:noWrap/>
            <w:vAlign w:val="center"/>
          </w:tcPr>
          <w:p w14:paraId="49EBB7AF">
            <w:pPr>
              <w:widowControl/>
              <w:jc w:val="center"/>
              <w:rPr>
                <w:rFonts w:ascii="Times New Roman Regular" w:hAnsi="Times New Roman Regular" w:eastAsia="DengXian" w:cs="Times New Roman Regular"/>
                <w:color w:val="000000"/>
                <w:kern w:val="0"/>
                <w:szCs w:val="21"/>
                <w:lang w:bidi="ar"/>
              </w:rPr>
            </w:pPr>
            <w:r>
              <w:rPr>
                <w:rFonts w:hint="default" w:ascii="Times New Roman Regular" w:hAnsi="Times New Roman Regular" w:eastAsia="DengXian" w:cs="Times New Roman Regular"/>
                <w:color w:val="000000"/>
                <w:kern w:val="0"/>
                <w:szCs w:val="21"/>
                <w:lang w:val="en-US" w:bidi="ar"/>
              </w:rPr>
              <w:t>-</w:t>
            </w:r>
          </w:p>
        </w:tc>
      </w:tr>
      <w:tr w14:paraId="7E4CC0F5">
        <w:trPr>
          <w:trHeight w:val="90" w:hRule="atLeast"/>
          <w:jc w:val="center"/>
        </w:trPr>
        <w:tc>
          <w:tcPr>
            <w:tcW w:w="0" w:type="auto"/>
            <w:tcBorders>
              <w:top w:val="nil"/>
              <w:left w:val="nil"/>
              <w:bottom w:val="nil"/>
              <w:right w:val="nil"/>
            </w:tcBorders>
            <w:shd w:val="clear" w:color="auto" w:fill="FFFFFF"/>
            <w:noWrap/>
            <w:vAlign w:val="center"/>
          </w:tcPr>
          <w:p w14:paraId="028E03F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F2: Self-reported health problems</w:t>
            </w:r>
          </w:p>
        </w:tc>
        <w:tc>
          <w:tcPr>
            <w:tcW w:w="0" w:type="auto"/>
            <w:tcBorders>
              <w:top w:val="nil"/>
              <w:left w:val="nil"/>
              <w:bottom w:val="nil"/>
              <w:right w:val="nil"/>
            </w:tcBorders>
            <w:shd w:val="clear" w:color="auto" w:fill="FFFFFF"/>
            <w:noWrap/>
            <w:vAlign w:val="center"/>
          </w:tcPr>
          <w:p w14:paraId="3DE5F9A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2D0B2FB1">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0.328</w:t>
            </w:r>
          </w:p>
        </w:tc>
        <w:tc>
          <w:tcPr>
            <w:tcW w:w="0" w:type="auto"/>
            <w:tcBorders>
              <w:top w:val="nil"/>
              <w:left w:val="nil"/>
              <w:bottom w:val="nil"/>
              <w:right w:val="nil"/>
            </w:tcBorders>
            <w:shd w:val="clear" w:color="auto" w:fill="FFFFFF"/>
            <w:noWrap/>
            <w:vAlign w:val="center"/>
          </w:tcPr>
          <w:p w14:paraId="23C78DFB">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7F92915F">
        <w:trPr>
          <w:trHeight w:val="278" w:hRule="atLeast"/>
          <w:jc w:val="center"/>
        </w:trPr>
        <w:tc>
          <w:tcPr>
            <w:tcW w:w="0" w:type="auto"/>
            <w:tcBorders>
              <w:top w:val="nil"/>
              <w:left w:val="nil"/>
              <w:bottom w:val="nil"/>
              <w:right w:val="nil"/>
            </w:tcBorders>
            <w:shd w:val="clear" w:color="auto" w:fill="FFFFFF"/>
            <w:noWrap/>
            <w:vAlign w:val="center"/>
          </w:tcPr>
          <w:p w14:paraId="766A720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HAQ3: Per capita number of health institutions</w:t>
            </w:r>
          </w:p>
        </w:tc>
        <w:tc>
          <w:tcPr>
            <w:tcW w:w="0" w:type="auto"/>
            <w:tcBorders>
              <w:top w:val="nil"/>
              <w:left w:val="nil"/>
              <w:bottom w:val="nil"/>
              <w:right w:val="nil"/>
            </w:tcBorders>
            <w:shd w:val="clear" w:color="auto" w:fill="FFFFFF"/>
            <w:noWrap/>
            <w:vAlign w:val="center"/>
          </w:tcPr>
          <w:p w14:paraId="17D78941">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NBE5: Air quality</w:t>
            </w:r>
          </w:p>
        </w:tc>
        <w:tc>
          <w:tcPr>
            <w:tcW w:w="0" w:type="auto"/>
            <w:tcBorders>
              <w:top w:val="nil"/>
              <w:left w:val="nil"/>
              <w:bottom w:val="nil"/>
              <w:right w:val="nil"/>
            </w:tcBorders>
            <w:shd w:val="clear" w:color="auto" w:fill="FFFFFF"/>
            <w:noWrap/>
            <w:vAlign w:val="center"/>
          </w:tcPr>
          <w:p w14:paraId="24C25DCD">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0.32</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117E946C">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04EE420D">
        <w:trPr>
          <w:trHeight w:val="278" w:hRule="atLeast"/>
          <w:jc w:val="center"/>
        </w:trPr>
        <w:tc>
          <w:tcPr>
            <w:tcW w:w="0" w:type="auto"/>
            <w:tcBorders>
              <w:top w:val="nil"/>
              <w:left w:val="nil"/>
              <w:bottom w:val="nil"/>
              <w:right w:val="nil"/>
            </w:tcBorders>
            <w:shd w:val="clear" w:color="auto" w:fill="FFFFFF"/>
            <w:noWrap/>
            <w:vAlign w:val="center"/>
          </w:tcPr>
          <w:p w14:paraId="5B83331C">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2BC75F7A">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2503D288">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0.309</w:t>
            </w:r>
          </w:p>
        </w:tc>
        <w:tc>
          <w:tcPr>
            <w:tcW w:w="0" w:type="auto"/>
            <w:tcBorders>
              <w:top w:val="nil"/>
              <w:left w:val="nil"/>
              <w:bottom w:val="nil"/>
              <w:right w:val="nil"/>
            </w:tcBorders>
            <w:shd w:val="clear" w:color="auto" w:fill="FFFFFF"/>
            <w:noWrap/>
            <w:vAlign w:val="center"/>
          </w:tcPr>
          <w:p w14:paraId="1FD63569">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60C64797">
        <w:trPr>
          <w:trHeight w:val="278" w:hRule="atLeast"/>
          <w:jc w:val="center"/>
        </w:trPr>
        <w:tc>
          <w:tcPr>
            <w:tcW w:w="0" w:type="auto"/>
            <w:tcBorders>
              <w:top w:val="nil"/>
              <w:left w:val="nil"/>
              <w:bottom w:val="nil"/>
              <w:right w:val="nil"/>
            </w:tcBorders>
            <w:shd w:val="clear" w:color="auto" w:fill="FFFFFF"/>
            <w:noWrap/>
            <w:vAlign w:val="center"/>
          </w:tcPr>
          <w:p w14:paraId="1087474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F1: Comorbidity</w:t>
            </w:r>
          </w:p>
        </w:tc>
        <w:tc>
          <w:tcPr>
            <w:tcW w:w="0" w:type="auto"/>
            <w:tcBorders>
              <w:top w:val="nil"/>
              <w:left w:val="nil"/>
              <w:bottom w:val="nil"/>
              <w:right w:val="nil"/>
            </w:tcBorders>
            <w:shd w:val="clear" w:color="auto" w:fill="FFFFFF"/>
            <w:noWrap/>
            <w:vAlign w:val="center"/>
          </w:tcPr>
          <w:p w14:paraId="070C9C9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HAQ2: Access to healthcare</w:t>
            </w:r>
          </w:p>
        </w:tc>
        <w:tc>
          <w:tcPr>
            <w:tcW w:w="0" w:type="auto"/>
            <w:tcBorders>
              <w:top w:val="nil"/>
              <w:left w:val="nil"/>
              <w:bottom w:val="nil"/>
              <w:right w:val="nil"/>
            </w:tcBorders>
            <w:shd w:val="clear" w:color="auto" w:fill="FFFFFF"/>
            <w:noWrap/>
            <w:vAlign w:val="center"/>
          </w:tcPr>
          <w:p w14:paraId="1A1D1D15">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0.308</w:t>
            </w:r>
          </w:p>
        </w:tc>
        <w:tc>
          <w:tcPr>
            <w:tcW w:w="0" w:type="auto"/>
            <w:tcBorders>
              <w:top w:val="nil"/>
              <w:left w:val="nil"/>
              <w:bottom w:val="nil"/>
              <w:right w:val="nil"/>
            </w:tcBorders>
            <w:shd w:val="clear" w:color="auto" w:fill="FFFFFF"/>
            <w:noWrap/>
            <w:vAlign w:val="center"/>
          </w:tcPr>
          <w:p w14:paraId="7A58544E">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Negative</w:t>
            </w:r>
          </w:p>
        </w:tc>
      </w:tr>
      <w:tr w14:paraId="38D975E6">
        <w:trPr>
          <w:trHeight w:val="278" w:hRule="atLeast"/>
          <w:jc w:val="center"/>
        </w:trPr>
        <w:tc>
          <w:tcPr>
            <w:tcW w:w="0" w:type="auto"/>
            <w:tcBorders>
              <w:top w:val="nil"/>
              <w:left w:val="nil"/>
              <w:bottom w:val="nil"/>
              <w:right w:val="nil"/>
            </w:tcBorders>
            <w:shd w:val="clear" w:color="auto" w:fill="FFFFFF"/>
            <w:noWrap/>
            <w:vAlign w:val="center"/>
          </w:tcPr>
          <w:p w14:paraId="777F6098">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ES2: Per capita household income</w:t>
            </w:r>
          </w:p>
        </w:tc>
        <w:tc>
          <w:tcPr>
            <w:tcW w:w="0" w:type="auto"/>
            <w:tcBorders>
              <w:top w:val="nil"/>
              <w:left w:val="nil"/>
              <w:bottom w:val="nil"/>
              <w:right w:val="nil"/>
            </w:tcBorders>
            <w:shd w:val="clear" w:color="auto" w:fill="FFFFFF"/>
            <w:noWrap/>
            <w:vAlign w:val="center"/>
          </w:tcPr>
          <w:p w14:paraId="3939AFF4">
            <w:pPr>
              <w:widowControl/>
              <w:jc w:val="center"/>
              <w:textAlignment w:val="center"/>
              <w:rPr>
                <w:rFonts w:ascii="Times New Roman Regular" w:hAnsi="Times New Roman Regular" w:eastAsia="宋体"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487B720A">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0.298</w:t>
            </w:r>
          </w:p>
        </w:tc>
        <w:tc>
          <w:tcPr>
            <w:tcW w:w="0" w:type="auto"/>
            <w:tcBorders>
              <w:top w:val="nil"/>
              <w:left w:val="nil"/>
              <w:bottom w:val="nil"/>
              <w:right w:val="nil"/>
            </w:tcBorders>
            <w:shd w:val="clear" w:color="auto" w:fill="FFFFFF"/>
            <w:noWrap/>
            <w:vAlign w:val="center"/>
          </w:tcPr>
          <w:p w14:paraId="491A317E">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0D318710">
        <w:trPr>
          <w:trHeight w:val="278" w:hRule="atLeast"/>
          <w:jc w:val="center"/>
        </w:trPr>
        <w:tc>
          <w:tcPr>
            <w:tcW w:w="0" w:type="auto"/>
            <w:tcBorders>
              <w:top w:val="nil"/>
              <w:left w:val="nil"/>
              <w:bottom w:val="nil"/>
              <w:right w:val="nil"/>
            </w:tcBorders>
            <w:shd w:val="clear" w:color="auto" w:fill="FFFFFF"/>
            <w:noWrap/>
            <w:vAlign w:val="center"/>
          </w:tcPr>
          <w:p w14:paraId="63E2302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2F294E6E">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466DF001">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0.297</w:t>
            </w:r>
          </w:p>
        </w:tc>
        <w:tc>
          <w:tcPr>
            <w:tcW w:w="0" w:type="auto"/>
            <w:tcBorders>
              <w:top w:val="nil"/>
              <w:left w:val="nil"/>
              <w:bottom w:val="nil"/>
              <w:right w:val="nil"/>
            </w:tcBorders>
            <w:shd w:val="clear" w:color="auto" w:fill="FFFFFF"/>
            <w:noWrap/>
            <w:vAlign w:val="center"/>
          </w:tcPr>
          <w:p w14:paraId="7E826132">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1D5CDD78">
        <w:trPr>
          <w:trHeight w:val="278" w:hRule="atLeast"/>
          <w:jc w:val="center"/>
        </w:trPr>
        <w:tc>
          <w:tcPr>
            <w:tcW w:w="0" w:type="auto"/>
            <w:tcBorders>
              <w:top w:val="nil"/>
              <w:left w:val="nil"/>
              <w:bottom w:val="nil"/>
              <w:right w:val="nil"/>
            </w:tcBorders>
            <w:shd w:val="clear" w:color="auto" w:fill="FFFFFF"/>
            <w:noWrap/>
            <w:vAlign w:val="center"/>
          </w:tcPr>
          <w:p w14:paraId="2C41408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2363765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NBE3: Per capita housing area</w:t>
            </w:r>
          </w:p>
        </w:tc>
        <w:tc>
          <w:tcPr>
            <w:tcW w:w="0" w:type="auto"/>
            <w:tcBorders>
              <w:top w:val="nil"/>
              <w:left w:val="nil"/>
              <w:bottom w:val="nil"/>
              <w:right w:val="nil"/>
            </w:tcBorders>
            <w:shd w:val="clear" w:color="auto" w:fill="FFFFFF"/>
            <w:noWrap/>
            <w:vAlign w:val="center"/>
          </w:tcPr>
          <w:p w14:paraId="7E63DD17">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0.291</w:t>
            </w:r>
          </w:p>
        </w:tc>
        <w:tc>
          <w:tcPr>
            <w:tcW w:w="0" w:type="auto"/>
            <w:tcBorders>
              <w:top w:val="nil"/>
              <w:left w:val="nil"/>
              <w:bottom w:val="nil"/>
              <w:right w:val="nil"/>
            </w:tcBorders>
            <w:shd w:val="clear" w:color="auto" w:fill="FFFFFF"/>
            <w:noWrap/>
            <w:vAlign w:val="center"/>
          </w:tcPr>
          <w:p w14:paraId="78EEA12E">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7938AA78">
        <w:trPr>
          <w:trHeight w:val="278" w:hRule="atLeast"/>
          <w:jc w:val="center"/>
        </w:trPr>
        <w:tc>
          <w:tcPr>
            <w:tcW w:w="0" w:type="auto"/>
            <w:tcBorders>
              <w:top w:val="nil"/>
              <w:left w:val="nil"/>
              <w:bottom w:val="nil"/>
              <w:right w:val="nil"/>
            </w:tcBorders>
            <w:shd w:val="clear" w:color="auto" w:fill="FFFFFF"/>
            <w:noWrap/>
            <w:vAlign w:val="center"/>
          </w:tcPr>
          <w:p w14:paraId="579DC10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F2: Self-reported health problems</w:t>
            </w:r>
          </w:p>
        </w:tc>
        <w:tc>
          <w:tcPr>
            <w:tcW w:w="0" w:type="auto"/>
            <w:tcBorders>
              <w:top w:val="nil"/>
              <w:left w:val="nil"/>
              <w:bottom w:val="nil"/>
              <w:right w:val="nil"/>
            </w:tcBorders>
            <w:shd w:val="clear" w:color="auto" w:fill="FFFFFF"/>
            <w:noWrap/>
            <w:vAlign w:val="center"/>
          </w:tcPr>
          <w:p w14:paraId="7B36127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446B1393">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0.275</w:t>
            </w:r>
          </w:p>
        </w:tc>
        <w:tc>
          <w:tcPr>
            <w:tcW w:w="0" w:type="auto"/>
            <w:tcBorders>
              <w:top w:val="nil"/>
              <w:left w:val="nil"/>
              <w:bottom w:val="nil"/>
              <w:right w:val="nil"/>
            </w:tcBorders>
            <w:shd w:val="clear" w:color="auto" w:fill="FFFFFF"/>
            <w:noWrap/>
            <w:vAlign w:val="center"/>
          </w:tcPr>
          <w:p w14:paraId="53504AA7">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042AE38B">
        <w:trPr>
          <w:trHeight w:val="278" w:hRule="atLeast"/>
          <w:jc w:val="center"/>
        </w:trPr>
        <w:tc>
          <w:tcPr>
            <w:tcW w:w="0" w:type="auto"/>
            <w:tcBorders>
              <w:top w:val="nil"/>
              <w:left w:val="nil"/>
              <w:bottom w:val="nil"/>
              <w:right w:val="nil"/>
            </w:tcBorders>
            <w:shd w:val="clear" w:color="auto" w:fill="FFFFFF"/>
            <w:noWrap/>
            <w:vAlign w:val="center"/>
          </w:tcPr>
          <w:p w14:paraId="13654697">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ES2: Per capita household income</w:t>
            </w:r>
          </w:p>
        </w:tc>
        <w:tc>
          <w:tcPr>
            <w:tcW w:w="0" w:type="auto"/>
            <w:tcBorders>
              <w:top w:val="nil"/>
              <w:left w:val="nil"/>
              <w:bottom w:val="nil"/>
              <w:right w:val="nil"/>
            </w:tcBorders>
            <w:shd w:val="clear" w:color="auto" w:fill="FFFFFF"/>
            <w:noWrap/>
            <w:vAlign w:val="center"/>
          </w:tcPr>
          <w:p w14:paraId="0D1169E1">
            <w:pPr>
              <w:widowControl/>
              <w:jc w:val="center"/>
              <w:textAlignment w:val="center"/>
              <w:rPr>
                <w:rFonts w:ascii="Times New Roman Regular" w:hAnsi="Times New Roman Regular" w:eastAsia="宋体"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0E63624C">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0.271</w:t>
            </w:r>
          </w:p>
        </w:tc>
        <w:tc>
          <w:tcPr>
            <w:tcW w:w="0" w:type="auto"/>
            <w:tcBorders>
              <w:top w:val="nil"/>
              <w:left w:val="nil"/>
              <w:bottom w:val="nil"/>
              <w:right w:val="nil"/>
            </w:tcBorders>
            <w:shd w:val="clear" w:color="auto" w:fill="FFFFFF"/>
            <w:noWrap/>
            <w:vAlign w:val="center"/>
          </w:tcPr>
          <w:p w14:paraId="7D6353C5">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7E984836">
        <w:trPr>
          <w:trHeight w:val="278" w:hRule="atLeast"/>
          <w:jc w:val="center"/>
        </w:trPr>
        <w:tc>
          <w:tcPr>
            <w:tcW w:w="0" w:type="auto"/>
            <w:tcBorders>
              <w:top w:val="nil"/>
              <w:left w:val="nil"/>
              <w:bottom w:val="nil"/>
              <w:right w:val="nil"/>
            </w:tcBorders>
            <w:shd w:val="clear" w:color="auto" w:fill="FFFFFF"/>
            <w:noWrap/>
            <w:vAlign w:val="center"/>
          </w:tcPr>
          <w:p w14:paraId="24AC4AC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F1: Comorbidity</w:t>
            </w:r>
          </w:p>
        </w:tc>
        <w:tc>
          <w:tcPr>
            <w:tcW w:w="0" w:type="auto"/>
            <w:tcBorders>
              <w:top w:val="nil"/>
              <w:left w:val="nil"/>
              <w:bottom w:val="nil"/>
              <w:right w:val="nil"/>
            </w:tcBorders>
            <w:shd w:val="clear" w:color="auto" w:fill="FFFFFF"/>
            <w:noWrap/>
            <w:vAlign w:val="center"/>
          </w:tcPr>
          <w:p w14:paraId="6DB8B78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F2: Self-reported health problems</w:t>
            </w:r>
          </w:p>
        </w:tc>
        <w:tc>
          <w:tcPr>
            <w:tcW w:w="0" w:type="auto"/>
            <w:tcBorders>
              <w:top w:val="nil"/>
              <w:left w:val="nil"/>
              <w:bottom w:val="nil"/>
              <w:right w:val="nil"/>
            </w:tcBorders>
            <w:shd w:val="clear" w:color="auto" w:fill="FFFFFF"/>
            <w:noWrap/>
            <w:vAlign w:val="center"/>
          </w:tcPr>
          <w:p w14:paraId="7763CC41">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0.245</w:t>
            </w:r>
          </w:p>
        </w:tc>
        <w:tc>
          <w:tcPr>
            <w:tcW w:w="0" w:type="auto"/>
            <w:tcBorders>
              <w:top w:val="nil"/>
              <w:left w:val="nil"/>
              <w:bottom w:val="nil"/>
              <w:right w:val="nil"/>
            </w:tcBorders>
            <w:shd w:val="clear" w:color="auto" w:fill="FFFFFF"/>
            <w:noWrap/>
            <w:vAlign w:val="center"/>
          </w:tcPr>
          <w:p w14:paraId="1D7352B3">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1F139CC0">
        <w:trPr>
          <w:trHeight w:val="278" w:hRule="atLeast"/>
          <w:jc w:val="center"/>
        </w:trPr>
        <w:tc>
          <w:tcPr>
            <w:tcW w:w="0" w:type="auto"/>
            <w:tcBorders>
              <w:top w:val="nil"/>
              <w:left w:val="nil"/>
              <w:bottom w:val="nil"/>
              <w:right w:val="nil"/>
            </w:tcBorders>
            <w:shd w:val="clear" w:color="auto" w:fill="FFFFFF"/>
            <w:noWrap/>
            <w:vAlign w:val="center"/>
          </w:tcPr>
          <w:p w14:paraId="363C3A2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HAQ3: Per capita number of health institutions</w:t>
            </w:r>
          </w:p>
        </w:tc>
        <w:tc>
          <w:tcPr>
            <w:tcW w:w="0" w:type="auto"/>
            <w:tcBorders>
              <w:top w:val="nil"/>
              <w:left w:val="nil"/>
              <w:bottom w:val="nil"/>
              <w:right w:val="nil"/>
            </w:tcBorders>
            <w:shd w:val="clear" w:color="auto" w:fill="FFFFFF"/>
            <w:noWrap/>
            <w:vAlign w:val="center"/>
          </w:tcPr>
          <w:p w14:paraId="1F51598E">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NBE7: Extreme climate</w:t>
            </w:r>
          </w:p>
        </w:tc>
        <w:tc>
          <w:tcPr>
            <w:tcW w:w="0" w:type="auto"/>
            <w:tcBorders>
              <w:top w:val="nil"/>
              <w:left w:val="nil"/>
              <w:bottom w:val="nil"/>
              <w:right w:val="nil"/>
            </w:tcBorders>
            <w:shd w:val="clear" w:color="auto" w:fill="FFFFFF"/>
            <w:noWrap/>
            <w:vAlign w:val="center"/>
          </w:tcPr>
          <w:p w14:paraId="00139F8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0.245</w:t>
            </w:r>
          </w:p>
        </w:tc>
        <w:tc>
          <w:tcPr>
            <w:tcW w:w="0" w:type="auto"/>
            <w:tcBorders>
              <w:top w:val="nil"/>
              <w:left w:val="nil"/>
              <w:bottom w:val="nil"/>
              <w:right w:val="nil"/>
            </w:tcBorders>
            <w:shd w:val="clear" w:color="auto" w:fill="FFFFFF"/>
            <w:noWrap/>
            <w:vAlign w:val="center"/>
          </w:tcPr>
          <w:p w14:paraId="4A0CBB70">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0A1C29C5">
        <w:trPr>
          <w:trHeight w:val="278" w:hRule="atLeast"/>
          <w:jc w:val="center"/>
        </w:trPr>
        <w:tc>
          <w:tcPr>
            <w:tcW w:w="0" w:type="auto"/>
            <w:tcBorders>
              <w:top w:val="nil"/>
              <w:left w:val="nil"/>
              <w:bottom w:val="nil"/>
              <w:right w:val="nil"/>
            </w:tcBorders>
            <w:shd w:val="clear" w:color="auto" w:fill="FFFFFF"/>
            <w:noWrap/>
            <w:vAlign w:val="center"/>
          </w:tcPr>
          <w:p w14:paraId="2F02FA1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5834A2FC">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4E3C31D5">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0.237</w:t>
            </w:r>
          </w:p>
        </w:tc>
        <w:tc>
          <w:tcPr>
            <w:tcW w:w="0" w:type="auto"/>
            <w:tcBorders>
              <w:top w:val="nil"/>
              <w:left w:val="nil"/>
              <w:bottom w:val="nil"/>
              <w:right w:val="nil"/>
            </w:tcBorders>
            <w:shd w:val="clear" w:color="auto" w:fill="FFFFFF"/>
            <w:noWrap/>
            <w:vAlign w:val="center"/>
          </w:tcPr>
          <w:p w14:paraId="104558DC">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377E5129">
        <w:trPr>
          <w:trHeight w:val="278" w:hRule="atLeast"/>
          <w:jc w:val="center"/>
        </w:trPr>
        <w:tc>
          <w:tcPr>
            <w:tcW w:w="0" w:type="auto"/>
            <w:tcBorders>
              <w:top w:val="nil"/>
              <w:left w:val="nil"/>
              <w:bottom w:val="nil"/>
              <w:right w:val="nil"/>
            </w:tcBorders>
            <w:shd w:val="clear" w:color="auto" w:fill="FFFFFF"/>
            <w:noWrap/>
            <w:vAlign w:val="center"/>
          </w:tcPr>
          <w:p w14:paraId="731A59D8">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62E2643A">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24454AB4">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0.204</w:t>
            </w:r>
          </w:p>
        </w:tc>
        <w:tc>
          <w:tcPr>
            <w:tcW w:w="0" w:type="auto"/>
            <w:tcBorders>
              <w:top w:val="nil"/>
              <w:left w:val="nil"/>
              <w:bottom w:val="nil"/>
              <w:right w:val="nil"/>
            </w:tcBorders>
            <w:shd w:val="clear" w:color="auto" w:fill="FFFFFF"/>
            <w:noWrap/>
            <w:vAlign w:val="center"/>
          </w:tcPr>
          <w:p w14:paraId="48A3989D">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306FF14C">
        <w:trPr>
          <w:trHeight w:val="278" w:hRule="atLeast"/>
          <w:jc w:val="center"/>
        </w:trPr>
        <w:tc>
          <w:tcPr>
            <w:tcW w:w="0" w:type="auto"/>
            <w:tcBorders>
              <w:top w:val="nil"/>
              <w:left w:val="nil"/>
              <w:bottom w:val="nil"/>
              <w:right w:val="nil"/>
            </w:tcBorders>
            <w:shd w:val="clear" w:color="auto" w:fill="FFFFFF"/>
            <w:noWrap/>
            <w:vAlign w:val="center"/>
          </w:tcPr>
          <w:p w14:paraId="7EBCC768">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HAQ1: Health insurance</w:t>
            </w:r>
          </w:p>
        </w:tc>
        <w:tc>
          <w:tcPr>
            <w:tcW w:w="0" w:type="auto"/>
            <w:tcBorders>
              <w:top w:val="nil"/>
              <w:left w:val="nil"/>
              <w:bottom w:val="nil"/>
              <w:right w:val="nil"/>
            </w:tcBorders>
            <w:shd w:val="clear" w:color="auto" w:fill="FFFFFF"/>
            <w:noWrap/>
            <w:vAlign w:val="center"/>
          </w:tcPr>
          <w:p w14:paraId="73E5120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2566B93C">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0.203</w:t>
            </w:r>
          </w:p>
        </w:tc>
        <w:tc>
          <w:tcPr>
            <w:tcW w:w="0" w:type="auto"/>
            <w:tcBorders>
              <w:top w:val="nil"/>
              <w:left w:val="nil"/>
              <w:bottom w:val="nil"/>
              <w:right w:val="nil"/>
            </w:tcBorders>
            <w:shd w:val="clear" w:color="auto" w:fill="FFFFFF"/>
            <w:noWrap/>
            <w:vAlign w:val="center"/>
          </w:tcPr>
          <w:p w14:paraId="2A4908E9">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421461C2">
        <w:trPr>
          <w:trHeight w:val="278" w:hRule="atLeast"/>
          <w:jc w:val="center"/>
        </w:trPr>
        <w:tc>
          <w:tcPr>
            <w:tcW w:w="0" w:type="auto"/>
            <w:tcBorders>
              <w:top w:val="nil"/>
              <w:left w:val="nil"/>
              <w:bottom w:val="nil"/>
              <w:right w:val="nil"/>
            </w:tcBorders>
            <w:shd w:val="clear" w:color="auto" w:fill="FFFFFF"/>
            <w:noWrap/>
            <w:vAlign w:val="center"/>
          </w:tcPr>
          <w:p w14:paraId="235FFC6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F1: Comorbidity</w:t>
            </w:r>
          </w:p>
        </w:tc>
        <w:tc>
          <w:tcPr>
            <w:tcW w:w="0" w:type="auto"/>
            <w:tcBorders>
              <w:top w:val="nil"/>
              <w:left w:val="nil"/>
              <w:bottom w:val="nil"/>
              <w:right w:val="nil"/>
            </w:tcBorders>
            <w:shd w:val="clear" w:color="auto" w:fill="FFFFFF"/>
            <w:noWrap/>
            <w:vAlign w:val="center"/>
          </w:tcPr>
          <w:p w14:paraId="7802D8D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2872F32E">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0.202</w:t>
            </w:r>
          </w:p>
        </w:tc>
        <w:tc>
          <w:tcPr>
            <w:tcW w:w="0" w:type="auto"/>
            <w:tcBorders>
              <w:top w:val="nil"/>
              <w:left w:val="nil"/>
              <w:bottom w:val="nil"/>
              <w:right w:val="nil"/>
            </w:tcBorders>
            <w:shd w:val="clear" w:color="auto" w:fill="FFFFFF"/>
            <w:noWrap/>
            <w:vAlign w:val="center"/>
          </w:tcPr>
          <w:p w14:paraId="7E16FA83">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1C72876D">
        <w:trPr>
          <w:trHeight w:val="278" w:hRule="atLeast"/>
          <w:jc w:val="center"/>
        </w:trPr>
        <w:tc>
          <w:tcPr>
            <w:tcW w:w="0" w:type="auto"/>
            <w:tcBorders>
              <w:top w:val="nil"/>
              <w:left w:val="nil"/>
              <w:bottom w:val="nil"/>
              <w:right w:val="nil"/>
            </w:tcBorders>
            <w:shd w:val="clear" w:color="auto" w:fill="FFFFFF"/>
            <w:noWrap/>
            <w:vAlign w:val="center"/>
          </w:tcPr>
          <w:p w14:paraId="36EA982D">
            <w:pPr>
              <w:widowControl/>
              <w:jc w:val="center"/>
              <w:textAlignment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ES3: Per capita household consumption</w:t>
            </w:r>
          </w:p>
        </w:tc>
        <w:tc>
          <w:tcPr>
            <w:tcW w:w="0" w:type="auto"/>
            <w:tcBorders>
              <w:top w:val="nil"/>
              <w:left w:val="nil"/>
              <w:bottom w:val="nil"/>
              <w:right w:val="nil"/>
            </w:tcBorders>
            <w:shd w:val="clear" w:color="auto" w:fill="FFFFFF"/>
            <w:noWrap/>
            <w:vAlign w:val="center"/>
          </w:tcPr>
          <w:p w14:paraId="1BDDD4C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5E049957">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0.192</w:t>
            </w:r>
          </w:p>
        </w:tc>
        <w:tc>
          <w:tcPr>
            <w:tcW w:w="0" w:type="auto"/>
            <w:tcBorders>
              <w:top w:val="nil"/>
              <w:left w:val="nil"/>
              <w:bottom w:val="nil"/>
              <w:right w:val="nil"/>
            </w:tcBorders>
            <w:shd w:val="clear" w:color="auto" w:fill="FFFFFF"/>
            <w:noWrap/>
            <w:vAlign w:val="center"/>
          </w:tcPr>
          <w:p w14:paraId="1A01E8AF">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2D9839F6">
        <w:trPr>
          <w:trHeight w:val="90" w:hRule="atLeast"/>
          <w:jc w:val="center"/>
        </w:trPr>
        <w:tc>
          <w:tcPr>
            <w:tcW w:w="0" w:type="auto"/>
            <w:tcBorders>
              <w:top w:val="nil"/>
              <w:left w:val="nil"/>
              <w:bottom w:val="nil"/>
              <w:right w:val="nil"/>
            </w:tcBorders>
            <w:shd w:val="clear" w:color="auto" w:fill="FFFFFF"/>
            <w:noWrap/>
            <w:vAlign w:val="center"/>
          </w:tcPr>
          <w:p w14:paraId="7A29A6A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095AB93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1EBD4B7E">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0.188</w:t>
            </w:r>
          </w:p>
        </w:tc>
        <w:tc>
          <w:tcPr>
            <w:tcW w:w="0" w:type="auto"/>
            <w:tcBorders>
              <w:top w:val="nil"/>
              <w:left w:val="nil"/>
              <w:bottom w:val="nil"/>
              <w:right w:val="nil"/>
            </w:tcBorders>
            <w:shd w:val="clear" w:color="auto" w:fill="FFFFFF"/>
            <w:noWrap/>
            <w:vAlign w:val="center"/>
          </w:tcPr>
          <w:p w14:paraId="69E4770B">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2D64B68D">
        <w:trPr>
          <w:trHeight w:val="278" w:hRule="atLeast"/>
          <w:jc w:val="center"/>
        </w:trPr>
        <w:tc>
          <w:tcPr>
            <w:tcW w:w="0" w:type="auto"/>
            <w:tcBorders>
              <w:top w:val="nil"/>
              <w:left w:val="nil"/>
              <w:bottom w:val="nil"/>
              <w:right w:val="nil"/>
            </w:tcBorders>
            <w:shd w:val="clear" w:color="auto" w:fill="FFFFFF"/>
            <w:noWrap/>
            <w:vAlign w:val="center"/>
          </w:tcPr>
          <w:p w14:paraId="1157C283">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F1: Comorbidity</w:t>
            </w:r>
          </w:p>
        </w:tc>
        <w:tc>
          <w:tcPr>
            <w:tcW w:w="0" w:type="auto"/>
            <w:tcBorders>
              <w:top w:val="nil"/>
              <w:left w:val="nil"/>
              <w:bottom w:val="nil"/>
              <w:right w:val="nil"/>
            </w:tcBorders>
            <w:shd w:val="clear" w:color="auto" w:fill="FFFFFF"/>
            <w:noWrap/>
            <w:vAlign w:val="center"/>
          </w:tcPr>
          <w:p w14:paraId="12B91EA7">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5D19D3A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0.183</w:t>
            </w:r>
          </w:p>
        </w:tc>
        <w:tc>
          <w:tcPr>
            <w:tcW w:w="0" w:type="auto"/>
            <w:tcBorders>
              <w:top w:val="nil"/>
              <w:left w:val="nil"/>
              <w:bottom w:val="nil"/>
              <w:right w:val="nil"/>
            </w:tcBorders>
            <w:shd w:val="clear" w:color="auto" w:fill="FFFFFF"/>
            <w:noWrap/>
            <w:vAlign w:val="center"/>
          </w:tcPr>
          <w:p w14:paraId="6EC19319">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1523163B">
        <w:trPr>
          <w:trHeight w:val="278" w:hRule="atLeast"/>
          <w:jc w:val="center"/>
        </w:trPr>
        <w:tc>
          <w:tcPr>
            <w:tcW w:w="0" w:type="auto"/>
            <w:tcBorders>
              <w:top w:val="nil"/>
              <w:left w:val="nil"/>
              <w:bottom w:val="nil"/>
              <w:right w:val="nil"/>
            </w:tcBorders>
            <w:shd w:val="clear" w:color="auto" w:fill="FFFFFF"/>
            <w:noWrap/>
            <w:vAlign w:val="center"/>
          </w:tcPr>
          <w:p w14:paraId="6A386DC9">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77E8467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22230114">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0.183</w:t>
            </w:r>
          </w:p>
        </w:tc>
        <w:tc>
          <w:tcPr>
            <w:tcW w:w="0" w:type="auto"/>
            <w:tcBorders>
              <w:top w:val="nil"/>
              <w:left w:val="nil"/>
              <w:bottom w:val="nil"/>
              <w:right w:val="nil"/>
            </w:tcBorders>
            <w:shd w:val="clear" w:color="auto" w:fill="FFFFFF"/>
            <w:noWrap/>
            <w:vAlign w:val="center"/>
          </w:tcPr>
          <w:p w14:paraId="205F9EC1">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Negative</w:t>
            </w:r>
          </w:p>
        </w:tc>
      </w:tr>
      <w:tr w14:paraId="1B0B061A">
        <w:trPr>
          <w:trHeight w:val="278" w:hRule="atLeast"/>
          <w:jc w:val="center"/>
        </w:trPr>
        <w:tc>
          <w:tcPr>
            <w:tcW w:w="0" w:type="auto"/>
            <w:tcBorders>
              <w:top w:val="nil"/>
              <w:left w:val="nil"/>
              <w:bottom w:val="nil"/>
              <w:right w:val="nil"/>
            </w:tcBorders>
            <w:shd w:val="clear" w:color="auto" w:fill="FFFFFF"/>
            <w:noWrap/>
            <w:vAlign w:val="center"/>
          </w:tcPr>
          <w:p w14:paraId="56A0F802">
            <w:pPr>
              <w:widowControl/>
              <w:jc w:val="center"/>
              <w:textAlignment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ES2: Per capita household income</w:t>
            </w:r>
          </w:p>
        </w:tc>
        <w:tc>
          <w:tcPr>
            <w:tcW w:w="0" w:type="auto"/>
            <w:tcBorders>
              <w:top w:val="nil"/>
              <w:left w:val="nil"/>
              <w:bottom w:val="nil"/>
              <w:right w:val="nil"/>
            </w:tcBorders>
            <w:shd w:val="clear" w:color="auto" w:fill="FFFFFF"/>
            <w:noWrap/>
            <w:vAlign w:val="center"/>
          </w:tcPr>
          <w:p w14:paraId="3A33B0AE">
            <w:pPr>
              <w:widowControl/>
              <w:jc w:val="center"/>
              <w:textAlignment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ES3: Per capita household consumption</w:t>
            </w:r>
          </w:p>
        </w:tc>
        <w:tc>
          <w:tcPr>
            <w:tcW w:w="0" w:type="auto"/>
            <w:tcBorders>
              <w:top w:val="nil"/>
              <w:left w:val="nil"/>
              <w:bottom w:val="nil"/>
              <w:right w:val="nil"/>
            </w:tcBorders>
            <w:shd w:val="clear" w:color="auto" w:fill="FFFFFF"/>
            <w:noWrap/>
            <w:vAlign w:val="center"/>
          </w:tcPr>
          <w:p w14:paraId="0B696117">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0.18</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2DB3C7DD">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3340296C">
        <w:trPr>
          <w:trHeight w:val="278" w:hRule="atLeast"/>
          <w:jc w:val="center"/>
        </w:trPr>
        <w:tc>
          <w:tcPr>
            <w:tcW w:w="0" w:type="auto"/>
            <w:tcBorders>
              <w:top w:val="nil"/>
              <w:left w:val="nil"/>
              <w:bottom w:val="nil"/>
              <w:right w:val="nil"/>
            </w:tcBorders>
            <w:shd w:val="clear" w:color="auto" w:fill="FFFFFF"/>
            <w:noWrap/>
            <w:vAlign w:val="center"/>
          </w:tcPr>
          <w:p w14:paraId="17E1EB0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NBE2: Accommodation stability</w:t>
            </w:r>
          </w:p>
        </w:tc>
        <w:tc>
          <w:tcPr>
            <w:tcW w:w="0" w:type="auto"/>
            <w:tcBorders>
              <w:top w:val="nil"/>
              <w:left w:val="nil"/>
              <w:bottom w:val="nil"/>
              <w:right w:val="nil"/>
            </w:tcBorders>
            <w:shd w:val="clear" w:color="auto" w:fill="FFFFFF"/>
            <w:noWrap/>
            <w:vAlign w:val="center"/>
          </w:tcPr>
          <w:p w14:paraId="4F612B8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NBE3: Per capita housing area</w:t>
            </w:r>
          </w:p>
        </w:tc>
        <w:tc>
          <w:tcPr>
            <w:tcW w:w="0" w:type="auto"/>
            <w:tcBorders>
              <w:top w:val="nil"/>
              <w:left w:val="nil"/>
              <w:bottom w:val="nil"/>
              <w:right w:val="nil"/>
            </w:tcBorders>
            <w:shd w:val="clear" w:color="auto" w:fill="FFFFFF"/>
            <w:noWrap/>
            <w:vAlign w:val="center"/>
          </w:tcPr>
          <w:p w14:paraId="0FB70A40">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0.173</w:t>
            </w:r>
          </w:p>
        </w:tc>
        <w:tc>
          <w:tcPr>
            <w:tcW w:w="0" w:type="auto"/>
            <w:tcBorders>
              <w:top w:val="nil"/>
              <w:left w:val="nil"/>
              <w:bottom w:val="nil"/>
              <w:right w:val="nil"/>
            </w:tcBorders>
            <w:shd w:val="clear" w:color="auto" w:fill="FFFFFF"/>
            <w:noWrap/>
            <w:vAlign w:val="center"/>
          </w:tcPr>
          <w:p w14:paraId="41EDB7E7">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4CF491B7">
        <w:trPr>
          <w:trHeight w:val="278" w:hRule="atLeast"/>
          <w:jc w:val="center"/>
        </w:trPr>
        <w:tc>
          <w:tcPr>
            <w:tcW w:w="0" w:type="auto"/>
            <w:tcBorders>
              <w:top w:val="nil"/>
              <w:left w:val="nil"/>
              <w:bottom w:val="nil"/>
              <w:right w:val="nil"/>
            </w:tcBorders>
            <w:shd w:val="clear" w:color="auto" w:fill="FFFFFF"/>
            <w:noWrap/>
            <w:vAlign w:val="center"/>
          </w:tcPr>
          <w:p w14:paraId="1F0465D7">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0F348C1E">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2BB2E3B2">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0.16</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7DEA175C">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282892E0">
        <w:trPr>
          <w:trHeight w:val="278" w:hRule="atLeast"/>
          <w:jc w:val="center"/>
        </w:trPr>
        <w:tc>
          <w:tcPr>
            <w:tcW w:w="0" w:type="auto"/>
            <w:tcBorders>
              <w:top w:val="nil"/>
              <w:left w:val="nil"/>
              <w:bottom w:val="nil"/>
              <w:right w:val="nil"/>
            </w:tcBorders>
            <w:shd w:val="clear" w:color="auto" w:fill="FFFFFF"/>
            <w:noWrap/>
            <w:vAlign w:val="center"/>
          </w:tcPr>
          <w:p w14:paraId="7FB1CBB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NBE4: Housing quality</w:t>
            </w:r>
          </w:p>
        </w:tc>
        <w:tc>
          <w:tcPr>
            <w:tcW w:w="0" w:type="auto"/>
            <w:tcBorders>
              <w:top w:val="nil"/>
              <w:left w:val="nil"/>
              <w:bottom w:val="nil"/>
              <w:right w:val="nil"/>
            </w:tcBorders>
            <w:shd w:val="clear" w:color="auto" w:fill="FFFFFF"/>
            <w:noWrap/>
            <w:vAlign w:val="center"/>
          </w:tcPr>
          <w:p w14:paraId="40068D51">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2D7F9920">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0.16</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1ECAFEC0">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Positive</w:t>
            </w:r>
          </w:p>
        </w:tc>
      </w:tr>
      <w:tr w14:paraId="58074E45">
        <w:trPr>
          <w:trHeight w:val="278" w:hRule="atLeast"/>
          <w:jc w:val="center"/>
        </w:trPr>
        <w:tc>
          <w:tcPr>
            <w:tcW w:w="0" w:type="auto"/>
            <w:tcBorders>
              <w:top w:val="nil"/>
              <w:left w:val="nil"/>
              <w:bottom w:val="nil"/>
              <w:right w:val="nil"/>
            </w:tcBorders>
            <w:shd w:val="clear" w:color="auto" w:fill="FFFFFF"/>
            <w:noWrap/>
            <w:vAlign w:val="center"/>
          </w:tcPr>
          <w:p w14:paraId="2CD0B3A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ES3: Per capita household consumption</w:t>
            </w:r>
          </w:p>
        </w:tc>
        <w:tc>
          <w:tcPr>
            <w:tcW w:w="0" w:type="auto"/>
            <w:tcBorders>
              <w:top w:val="nil"/>
              <w:left w:val="nil"/>
              <w:bottom w:val="nil"/>
              <w:right w:val="nil"/>
            </w:tcBorders>
            <w:shd w:val="clear" w:color="auto" w:fill="FFFFFF"/>
            <w:noWrap/>
            <w:vAlign w:val="center"/>
          </w:tcPr>
          <w:p w14:paraId="0CF67CA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347BB2B0">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0.158</w:t>
            </w:r>
          </w:p>
        </w:tc>
        <w:tc>
          <w:tcPr>
            <w:tcW w:w="0" w:type="auto"/>
            <w:tcBorders>
              <w:top w:val="nil"/>
              <w:left w:val="nil"/>
              <w:bottom w:val="nil"/>
              <w:right w:val="nil"/>
            </w:tcBorders>
            <w:shd w:val="clear" w:color="auto" w:fill="FFFFFF"/>
            <w:noWrap/>
            <w:vAlign w:val="center"/>
          </w:tcPr>
          <w:p w14:paraId="3378A125">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4E067389">
        <w:trPr>
          <w:trHeight w:val="278" w:hRule="atLeast"/>
          <w:jc w:val="center"/>
        </w:trPr>
        <w:tc>
          <w:tcPr>
            <w:tcW w:w="0" w:type="auto"/>
            <w:tcBorders>
              <w:top w:val="nil"/>
              <w:left w:val="nil"/>
              <w:bottom w:val="nil"/>
              <w:right w:val="nil"/>
            </w:tcBorders>
            <w:shd w:val="clear" w:color="auto" w:fill="FFFFFF"/>
            <w:noWrap/>
            <w:vAlign w:val="center"/>
          </w:tcPr>
          <w:p w14:paraId="4F22B6B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6594878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3C09977E">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0.143</w:t>
            </w:r>
          </w:p>
        </w:tc>
        <w:tc>
          <w:tcPr>
            <w:tcW w:w="0" w:type="auto"/>
            <w:tcBorders>
              <w:top w:val="nil"/>
              <w:left w:val="nil"/>
              <w:bottom w:val="nil"/>
              <w:right w:val="nil"/>
            </w:tcBorders>
            <w:shd w:val="clear" w:color="auto" w:fill="FFFFFF"/>
            <w:noWrap/>
            <w:vAlign w:val="center"/>
          </w:tcPr>
          <w:p w14:paraId="77A6BA3A">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0EFF6EB9">
        <w:trPr>
          <w:trHeight w:val="278" w:hRule="atLeast"/>
          <w:jc w:val="center"/>
        </w:trPr>
        <w:tc>
          <w:tcPr>
            <w:tcW w:w="0" w:type="auto"/>
            <w:tcBorders>
              <w:top w:val="nil"/>
              <w:left w:val="nil"/>
              <w:bottom w:val="nil"/>
              <w:right w:val="nil"/>
            </w:tcBorders>
            <w:shd w:val="clear" w:color="auto" w:fill="FFFFFF"/>
            <w:noWrap/>
            <w:vAlign w:val="center"/>
          </w:tcPr>
          <w:p w14:paraId="43DBCC8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2EB5D8C3">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03FE0578">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0.141</w:t>
            </w:r>
          </w:p>
        </w:tc>
        <w:tc>
          <w:tcPr>
            <w:tcW w:w="0" w:type="auto"/>
            <w:tcBorders>
              <w:top w:val="nil"/>
              <w:left w:val="nil"/>
              <w:bottom w:val="nil"/>
              <w:right w:val="nil"/>
            </w:tcBorders>
            <w:shd w:val="clear" w:color="auto" w:fill="FFFFFF"/>
            <w:noWrap/>
            <w:vAlign w:val="center"/>
          </w:tcPr>
          <w:p w14:paraId="43DBAF94">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431CA0A1">
        <w:trPr>
          <w:trHeight w:val="356" w:hRule="atLeast"/>
          <w:jc w:val="center"/>
        </w:trPr>
        <w:tc>
          <w:tcPr>
            <w:tcW w:w="0" w:type="auto"/>
            <w:tcBorders>
              <w:top w:val="nil"/>
              <w:left w:val="nil"/>
              <w:bottom w:val="nil"/>
              <w:right w:val="nil"/>
            </w:tcBorders>
            <w:shd w:val="clear" w:color="auto" w:fill="FFFFFF"/>
            <w:noWrap/>
            <w:vAlign w:val="center"/>
          </w:tcPr>
          <w:p w14:paraId="0CAF5CD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5E8DC08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SCC2: Living alone</w:t>
            </w:r>
          </w:p>
        </w:tc>
        <w:tc>
          <w:tcPr>
            <w:tcW w:w="0" w:type="auto"/>
            <w:tcBorders>
              <w:top w:val="nil"/>
              <w:left w:val="nil"/>
              <w:bottom w:val="nil"/>
              <w:right w:val="nil"/>
            </w:tcBorders>
            <w:shd w:val="clear" w:color="auto" w:fill="FFFFFF"/>
            <w:noWrap/>
            <w:vAlign w:val="center"/>
          </w:tcPr>
          <w:p w14:paraId="78D4FE5D">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0.14</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7CF778EE">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0DBAF73F">
        <w:trPr>
          <w:trHeight w:val="90" w:hRule="atLeast"/>
          <w:jc w:val="center"/>
        </w:trPr>
        <w:tc>
          <w:tcPr>
            <w:tcW w:w="0" w:type="auto"/>
            <w:tcBorders>
              <w:top w:val="nil"/>
              <w:left w:val="nil"/>
              <w:bottom w:val="nil"/>
              <w:right w:val="nil"/>
            </w:tcBorders>
            <w:shd w:val="clear" w:color="auto" w:fill="FFFFFF"/>
            <w:noWrap/>
            <w:vAlign w:val="center"/>
          </w:tcPr>
          <w:p w14:paraId="1113ABE5">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HAQ3: Per capita number of health institutions</w:t>
            </w:r>
          </w:p>
        </w:tc>
        <w:tc>
          <w:tcPr>
            <w:tcW w:w="0" w:type="auto"/>
            <w:tcBorders>
              <w:top w:val="nil"/>
              <w:left w:val="nil"/>
              <w:bottom w:val="nil"/>
              <w:right w:val="nil"/>
            </w:tcBorders>
            <w:shd w:val="clear" w:color="auto" w:fill="FFFFFF"/>
            <w:noWrap/>
            <w:vAlign w:val="center"/>
          </w:tcPr>
          <w:p w14:paraId="6027A9D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NBE4: Housing quality</w:t>
            </w:r>
          </w:p>
        </w:tc>
        <w:tc>
          <w:tcPr>
            <w:tcW w:w="0" w:type="auto"/>
            <w:tcBorders>
              <w:top w:val="nil"/>
              <w:left w:val="nil"/>
              <w:bottom w:val="nil"/>
              <w:right w:val="nil"/>
            </w:tcBorders>
            <w:shd w:val="clear" w:color="auto" w:fill="FFFFFF"/>
            <w:noWrap/>
            <w:vAlign w:val="center"/>
          </w:tcPr>
          <w:p w14:paraId="23E339BE">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0.136</w:t>
            </w:r>
          </w:p>
        </w:tc>
        <w:tc>
          <w:tcPr>
            <w:tcW w:w="0" w:type="auto"/>
            <w:tcBorders>
              <w:top w:val="nil"/>
              <w:left w:val="nil"/>
              <w:bottom w:val="nil"/>
              <w:right w:val="nil"/>
            </w:tcBorders>
            <w:shd w:val="clear" w:color="auto" w:fill="FFFFFF"/>
            <w:noWrap/>
            <w:vAlign w:val="center"/>
          </w:tcPr>
          <w:p w14:paraId="43BE6FBA">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Negative</w:t>
            </w:r>
          </w:p>
        </w:tc>
      </w:tr>
      <w:tr w14:paraId="5A03C9EF">
        <w:trPr>
          <w:trHeight w:val="278" w:hRule="atLeast"/>
          <w:jc w:val="center"/>
        </w:trPr>
        <w:tc>
          <w:tcPr>
            <w:tcW w:w="0" w:type="auto"/>
            <w:tcBorders>
              <w:top w:val="nil"/>
              <w:left w:val="nil"/>
              <w:bottom w:val="nil"/>
              <w:right w:val="nil"/>
            </w:tcBorders>
            <w:shd w:val="clear" w:color="auto" w:fill="FFFFFF"/>
            <w:noWrap/>
            <w:vAlign w:val="center"/>
          </w:tcPr>
          <w:p w14:paraId="56FA16CD">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nil"/>
              <w:right w:val="nil"/>
            </w:tcBorders>
            <w:shd w:val="clear" w:color="auto" w:fill="FFFFFF"/>
            <w:noWrap/>
            <w:vAlign w:val="center"/>
          </w:tcPr>
          <w:p w14:paraId="09B10D4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SCC3: Social participation</w:t>
            </w:r>
          </w:p>
        </w:tc>
        <w:tc>
          <w:tcPr>
            <w:tcW w:w="0" w:type="auto"/>
            <w:tcBorders>
              <w:top w:val="nil"/>
              <w:left w:val="nil"/>
              <w:bottom w:val="nil"/>
              <w:right w:val="nil"/>
            </w:tcBorders>
            <w:shd w:val="clear" w:color="auto" w:fill="FFFFFF"/>
            <w:noWrap/>
            <w:vAlign w:val="center"/>
          </w:tcPr>
          <w:p w14:paraId="3C133F99">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0.133</w:t>
            </w:r>
          </w:p>
        </w:tc>
        <w:tc>
          <w:tcPr>
            <w:tcW w:w="0" w:type="auto"/>
            <w:tcBorders>
              <w:top w:val="nil"/>
              <w:left w:val="nil"/>
              <w:bottom w:val="nil"/>
              <w:right w:val="nil"/>
            </w:tcBorders>
            <w:shd w:val="clear" w:color="auto" w:fill="FFFFFF"/>
            <w:noWrap/>
            <w:vAlign w:val="center"/>
          </w:tcPr>
          <w:p w14:paraId="259D7D9E">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Negative</w:t>
            </w:r>
          </w:p>
        </w:tc>
      </w:tr>
      <w:tr w14:paraId="3F147212">
        <w:trPr>
          <w:trHeight w:val="278" w:hRule="atLeast"/>
          <w:jc w:val="center"/>
        </w:trPr>
        <w:tc>
          <w:tcPr>
            <w:tcW w:w="0" w:type="auto"/>
            <w:tcBorders>
              <w:top w:val="nil"/>
              <w:left w:val="nil"/>
              <w:bottom w:val="nil"/>
              <w:right w:val="nil"/>
            </w:tcBorders>
            <w:shd w:val="clear" w:color="auto" w:fill="FFFFFF"/>
            <w:noWrap/>
            <w:vAlign w:val="center"/>
          </w:tcPr>
          <w:p w14:paraId="5F9CC4F8">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2EBB678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EDU1: Education level</w:t>
            </w:r>
          </w:p>
        </w:tc>
        <w:tc>
          <w:tcPr>
            <w:tcW w:w="0" w:type="auto"/>
            <w:tcBorders>
              <w:top w:val="nil"/>
              <w:left w:val="nil"/>
              <w:bottom w:val="nil"/>
              <w:right w:val="nil"/>
            </w:tcBorders>
            <w:shd w:val="clear" w:color="auto" w:fill="FFFFFF"/>
            <w:noWrap/>
            <w:vAlign w:val="center"/>
          </w:tcPr>
          <w:p w14:paraId="47AFE081">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0.132</w:t>
            </w:r>
          </w:p>
        </w:tc>
        <w:tc>
          <w:tcPr>
            <w:tcW w:w="0" w:type="auto"/>
            <w:tcBorders>
              <w:top w:val="nil"/>
              <w:left w:val="nil"/>
              <w:bottom w:val="nil"/>
              <w:right w:val="nil"/>
            </w:tcBorders>
            <w:shd w:val="clear" w:color="auto" w:fill="FFFFFF"/>
            <w:noWrap/>
            <w:vAlign w:val="center"/>
          </w:tcPr>
          <w:p w14:paraId="425C5A19">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1C6ECB47">
        <w:trPr>
          <w:trHeight w:val="278" w:hRule="atLeast"/>
          <w:jc w:val="center"/>
        </w:trPr>
        <w:tc>
          <w:tcPr>
            <w:tcW w:w="0" w:type="auto"/>
            <w:tcBorders>
              <w:top w:val="nil"/>
              <w:left w:val="nil"/>
              <w:bottom w:val="nil"/>
              <w:right w:val="nil"/>
            </w:tcBorders>
            <w:shd w:val="clear" w:color="auto" w:fill="FFFFFF"/>
            <w:noWrap/>
            <w:vAlign w:val="center"/>
          </w:tcPr>
          <w:p w14:paraId="20DB7AD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NBE5: Air quality</w:t>
            </w:r>
          </w:p>
        </w:tc>
        <w:tc>
          <w:tcPr>
            <w:tcW w:w="0" w:type="auto"/>
            <w:tcBorders>
              <w:top w:val="nil"/>
              <w:left w:val="nil"/>
              <w:bottom w:val="nil"/>
              <w:right w:val="nil"/>
            </w:tcBorders>
            <w:shd w:val="clear" w:color="auto" w:fill="FFFFFF"/>
            <w:noWrap/>
            <w:vAlign w:val="center"/>
          </w:tcPr>
          <w:p w14:paraId="32918C28">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NBE6: Noise level</w:t>
            </w:r>
          </w:p>
        </w:tc>
        <w:tc>
          <w:tcPr>
            <w:tcW w:w="0" w:type="auto"/>
            <w:tcBorders>
              <w:top w:val="nil"/>
              <w:left w:val="nil"/>
              <w:bottom w:val="nil"/>
              <w:right w:val="nil"/>
            </w:tcBorders>
            <w:shd w:val="clear" w:color="auto" w:fill="FFFFFF"/>
            <w:noWrap/>
            <w:vAlign w:val="center"/>
          </w:tcPr>
          <w:p w14:paraId="31B977F7">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0.132</w:t>
            </w:r>
          </w:p>
        </w:tc>
        <w:tc>
          <w:tcPr>
            <w:tcW w:w="0" w:type="auto"/>
            <w:tcBorders>
              <w:top w:val="nil"/>
              <w:left w:val="nil"/>
              <w:bottom w:val="nil"/>
              <w:right w:val="nil"/>
            </w:tcBorders>
            <w:shd w:val="clear" w:color="auto" w:fill="FFFFFF"/>
            <w:noWrap/>
            <w:vAlign w:val="center"/>
          </w:tcPr>
          <w:p w14:paraId="0847846F">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77E75327">
        <w:trPr>
          <w:trHeight w:val="278" w:hRule="atLeast"/>
          <w:jc w:val="center"/>
        </w:trPr>
        <w:tc>
          <w:tcPr>
            <w:tcW w:w="0" w:type="auto"/>
            <w:tcBorders>
              <w:top w:val="nil"/>
              <w:left w:val="nil"/>
              <w:bottom w:val="nil"/>
              <w:right w:val="nil"/>
            </w:tcBorders>
            <w:shd w:val="clear" w:color="auto" w:fill="FFFFFF"/>
            <w:noWrap/>
            <w:vAlign w:val="center"/>
          </w:tcPr>
          <w:p w14:paraId="679B16B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F4: Depression</w:t>
            </w:r>
          </w:p>
        </w:tc>
        <w:tc>
          <w:tcPr>
            <w:tcW w:w="0" w:type="auto"/>
            <w:tcBorders>
              <w:top w:val="nil"/>
              <w:left w:val="nil"/>
              <w:bottom w:val="nil"/>
              <w:right w:val="nil"/>
            </w:tcBorders>
            <w:shd w:val="clear" w:color="auto" w:fill="FFFFFF"/>
            <w:noWrap/>
            <w:vAlign w:val="center"/>
          </w:tcPr>
          <w:p w14:paraId="76516D3A">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SCC1: Marriage</w:t>
            </w:r>
          </w:p>
        </w:tc>
        <w:tc>
          <w:tcPr>
            <w:tcW w:w="0" w:type="auto"/>
            <w:tcBorders>
              <w:top w:val="nil"/>
              <w:left w:val="nil"/>
              <w:bottom w:val="nil"/>
              <w:right w:val="nil"/>
            </w:tcBorders>
            <w:shd w:val="clear" w:color="auto" w:fill="FFFFFF"/>
            <w:noWrap/>
            <w:vAlign w:val="center"/>
          </w:tcPr>
          <w:p w14:paraId="21CD46D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0.129</w:t>
            </w:r>
          </w:p>
        </w:tc>
        <w:tc>
          <w:tcPr>
            <w:tcW w:w="0" w:type="auto"/>
            <w:tcBorders>
              <w:top w:val="nil"/>
              <w:left w:val="nil"/>
              <w:bottom w:val="nil"/>
              <w:right w:val="nil"/>
            </w:tcBorders>
            <w:shd w:val="clear" w:color="auto" w:fill="FFFFFF"/>
            <w:noWrap/>
            <w:vAlign w:val="center"/>
          </w:tcPr>
          <w:p w14:paraId="707F6E0B">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5A64C984">
        <w:trPr>
          <w:trHeight w:val="278" w:hRule="atLeast"/>
          <w:jc w:val="center"/>
        </w:trPr>
        <w:tc>
          <w:tcPr>
            <w:tcW w:w="0" w:type="auto"/>
            <w:tcBorders>
              <w:top w:val="nil"/>
              <w:left w:val="nil"/>
              <w:bottom w:val="nil"/>
              <w:right w:val="nil"/>
            </w:tcBorders>
            <w:shd w:val="clear" w:color="auto" w:fill="FFFFFF"/>
            <w:noWrap/>
            <w:vAlign w:val="center"/>
          </w:tcPr>
          <w:p w14:paraId="35EBCCC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F2: Self-reported health problems</w:t>
            </w:r>
          </w:p>
        </w:tc>
        <w:tc>
          <w:tcPr>
            <w:tcW w:w="0" w:type="auto"/>
            <w:tcBorders>
              <w:top w:val="nil"/>
              <w:left w:val="nil"/>
              <w:bottom w:val="nil"/>
              <w:right w:val="nil"/>
            </w:tcBorders>
            <w:shd w:val="clear" w:color="auto" w:fill="FFFFFF"/>
            <w:noWrap/>
            <w:vAlign w:val="center"/>
          </w:tcPr>
          <w:p w14:paraId="12EABD63">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HAQ2: Access to healthcare</w:t>
            </w:r>
          </w:p>
        </w:tc>
        <w:tc>
          <w:tcPr>
            <w:tcW w:w="0" w:type="auto"/>
            <w:tcBorders>
              <w:top w:val="nil"/>
              <w:left w:val="nil"/>
              <w:bottom w:val="nil"/>
              <w:right w:val="nil"/>
            </w:tcBorders>
            <w:shd w:val="clear" w:color="auto" w:fill="FFFFFF"/>
            <w:noWrap/>
            <w:vAlign w:val="center"/>
          </w:tcPr>
          <w:p w14:paraId="7BEC3E69">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0.121</w:t>
            </w:r>
          </w:p>
        </w:tc>
        <w:tc>
          <w:tcPr>
            <w:tcW w:w="0" w:type="auto"/>
            <w:tcBorders>
              <w:top w:val="nil"/>
              <w:left w:val="nil"/>
              <w:bottom w:val="nil"/>
              <w:right w:val="nil"/>
            </w:tcBorders>
            <w:shd w:val="clear" w:color="auto" w:fill="FFFFFF"/>
            <w:noWrap/>
            <w:vAlign w:val="center"/>
          </w:tcPr>
          <w:p w14:paraId="58E8393D">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Negative</w:t>
            </w:r>
          </w:p>
        </w:tc>
      </w:tr>
      <w:tr w14:paraId="5E47AF6F">
        <w:trPr>
          <w:trHeight w:val="278" w:hRule="atLeast"/>
          <w:jc w:val="center"/>
        </w:trPr>
        <w:tc>
          <w:tcPr>
            <w:tcW w:w="0" w:type="auto"/>
            <w:tcBorders>
              <w:top w:val="nil"/>
              <w:left w:val="nil"/>
              <w:bottom w:val="nil"/>
              <w:right w:val="nil"/>
            </w:tcBorders>
            <w:shd w:val="clear" w:color="auto" w:fill="FFFFFF"/>
            <w:noWrap/>
            <w:vAlign w:val="center"/>
          </w:tcPr>
          <w:p w14:paraId="2BC7DE9A">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ES1: Employment status</w:t>
            </w:r>
          </w:p>
        </w:tc>
        <w:tc>
          <w:tcPr>
            <w:tcW w:w="0" w:type="auto"/>
            <w:tcBorders>
              <w:top w:val="nil"/>
              <w:left w:val="nil"/>
              <w:bottom w:val="nil"/>
              <w:right w:val="nil"/>
            </w:tcBorders>
            <w:shd w:val="clear" w:color="auto" w:fill="FFFFFF"/>
            <w:noWrap/>
            <w:vAlign w:val="center"/>
          </w:tcPr>
          <w:p w14:paraId="2D591DBA">
            <w:pPr>
              <w:widowControl/>
              <w:jc w:val="center"/>
              <w:textAlignment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ES2: Per capita household income</w:t>
            </w:r>
          </w:p>
        </w:tc>
        <w:tc>
          <w:tcPr>
            <w:tcW w:w="0" w:type="auto"/>
            <w:tcBorders>
              <w:top w:val="nil"/>
              <w:left w:val="nil"/>
              <w:bottom w:val="nil"/>
              <w:right w:val="nil"/>
            </w:tcBorders>
            <w:shd w:val="clear" w:color="auto" w:fill="FFFFFF"/>
            <w:noWrap/>
            <w:vAlign w:val="center"/>
          </w:tcPr>
          <w:p w14:paraId="2755186C">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0.121</w:t>
            </w:r>
          </w:p>
        </w:tc>
        <w:tc>
          <w:tcPr>
            <w:tcW w:w="0" w:type="auto"/>
            <w:tcBorders>
              <w:top w:val="nil"/>
              <w:left w:val="nil"/>
              <w:bottom w:val="nil"/>
              <w:right w:val="nil"/>
            </w:tcBorders>
            <w:shd w:val="clear" w:color="auto" w:fill="FFFFFF"/>
            <w:noWrap/>
            <w:vAlign w:val="center"/>
          </w:tcPr>
          <w:p w14:paraId="17713965">
            <w:pPr>
              <w:widowControl/>
              <w:jc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DengXian" w:cs="Times New Roman Regular"/>
                <w:color w:val="000000"/>
                <w:kern w:val="0"/>
                <w:szCs w:val="21"/>
                <w:lang w:bidi="ar"/>
              </w:rPr>
              <w:t>-</w:t>
            </w:r>
          </w:p>
        </w:tc>
      </w:tr>
      <w:tr w14:paraId="37662149">
        <w:trPr>
          <w:trHeight w:val="278" w:hRule="atLeast"/>
          <w:jc w:val="center"/>
        </w:trPr>
        <w:tc>
          <w:tcPr>
            <w:tcW w:w="0" w:type="auto"/>
            <w:tcBorders>
              <w:top w:val="nil"/>
              <w:left w:val="nil"/>
              <w:bottom w:val="nil"/>
              <w:right w:val="nil"/>
            </w:tcBorders>
            <w:shd w:val="clear" w:color="auto" w:fill="FFFFFF"/>
            <w:noWrap/>
            <w:vAlign w:val="center"/>
          </w:tcPr>
          <w:p w14:paraId="245274A0">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247ED2D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SCC3: Social participation</w:t>
            </w:r>
          </w:p>
        </w:tc>
        <w:tc>
          <w:tcPr>
            <w:tcW w:w="0" w:type="auto"/>
            <w:tcBorders>
              <w:top w:val="nil"/>
              <w:left w:val="nil"/>
              <w:bottom w:val="nil"/>
              <w:right w:val="nil"/>
            </w:tcBorders>
            <w:shd w:val="clear" w:color="auto" w:fill="FFFFFF"/>
            <w:noWrap/>
            <w:vAlign w:val="center"/>
          </w:tcPr>
          <w:p w14:paraId="04DC8FCC">
            <w:pPr>
              <w:widowControl/>
              <w:jc w:val="center"/>
              <w:textAlignment w:val="center"/>
              <w:rPr>
                <w:rFonts w:hint="default" w:ascii="Times New Roman Regular" w:hAnsi="Times New Roman Regular" w:eastAsia="宋体" w:cs="Times New Roman Regular"/>
                <w:color w:val="000000"/>
                <w:kern w:val="0"/>
                <w:szCs w:val="21"/>
                <w:lang w:val="en-US" w:bidi="ar"/>
              </w:rPr>
            </w:pPr>
            <w:r>
              <w:rPr>
                <w:rFonts w:hint="eastAsia" w:ascii="Times New Roman Regular" w:hAnsi="Times New Roman Regular" w:eastAsia="宋体" w:cs="Times New Roman Regular"/>
                <w:color w:val="000000"/>
                <w:kern w:val="0"/>
                <w:szCs w:val="21"/>
                <w:lang w:bidi="ar"/>
              </w:rPr>
              <w:t>0.12</w:t>
            </w:r>
            <w:r>
              <w:rPr>
                <w:rFonts w:hint="default" w:ascii="Times New Roman Regular" w:hAnsi="Times New Roman Regular" w:eastAsia="宋体" w:cs="Times New Roman Regular"/>
                <w:color w:val="000000"/>
                <w:kern w:val="0"/>
                <w:szCs w:val="21"/>
                <w:lang w:val="en-US" w:bidi="ar"/>
              </w:rPr>
              <w:t>0</w:t>
            </w:r>
          </w:p>
        </w:tc>
        <w:tc>
          <w:tcPr>
            <w:tcW w:w="0" w:type="auto"/>
            <w:tcBorders>
              <w:top w:val="nil"/>
              <w:left w:val="nil"/>
              <w:bottom w:val="nil"/>
              <w:right w:val="nil"/>
            </w:tcBorders>
            <w:shd w:val="clear" w:color="auto" w:fill="FFFFFF"/>
            <w:noWrap/>
            <w:vAlign w:val="center"/>
          </w:tcPr>
          <w:p w14:paraId="578417CE">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0C0E64F7">
        <w:trPr>
          <w:trHeight w:val="278" w:hRule="atLeast"/>
          <w:jc w:val="center"/>
        </w:trPr>
        <w:tc>
          <w:tcPr>
            <w:tcW w:w="0" w:type="auto"/>
            <w:tcBorders>
              <w:top w:val="nil"/>
              <w:left w:val="nil"/>
              <w:bottom w:val="nil"/>
              <w:right w:val="nil"/>
            </w:tcBorders>
            <w:shd w:val="clear" w:color="auto" w:fill="FFFFFF"/>
            <w:noWrap/>
            <w:vAlign w:val="center"/>
          </w:tcPr>
          <w:p w14:paraId="50B76114">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HAQ3: Per capita number of health institutions</w:t>
            </w:r>
          </w:p>
        </w:tc>
        <w:tc>
          <w:tcPr>
            <w:tcW w:w="0" w:type="auto"/>
            <w:tcBorders>
              <w:top w:val="nil"/>
              <w:left w:val="nil"/>
              <w:bottom w:val="nil"/>
              <w:right w:val="nil"/>
            </w:tcBorders>
            <w:shd w:val="clear" w:color="auto" w:fill="FFFFFF"/>
            <w:noWrap/>
            <w:vAlign w:val="center"/>
          </w:tcPr>
          <w:p w14:paraId="4F7545A6">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NBE1: Residence</w:t>
            </w:r>
          </w:p>
        </w:tc>
        <w:tc>
          <w:tcPr>
            <w:tcW w:w="0" w:type="auto"/>
            <w:tcBorders>
              <w:top w:val="nil"/>
              <w:left w:val="nil"/>
              <w:bottom w:val="nil"/>
              <w:right w:val="nil"/>
            </w:tcBorders>
            <w:shd w:val="clear" w:color="auto" w:fill="FFFFFF"/>
            <w:noWrap/>
            <w:vAlign w:val="center"/>
          </w:tcPr>
          <w:p w14:paraId="34083598">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0.106</w:t>
            </w:r>
          </w:p>
        </w:tc>
        <w:tc>
          <w:tcPr>
            <w:tcW w:w="0" w:type="auto"/>
            <w:tcBorders>
              <w:top w:val="nil"/>
              <w:left w:val="nil"/>
              <w:bottom w:val="nil"/>
              <w:right w:val="nil"/>
            </w:tcBorders>
            <w:shd w:val="clear" w:color="auto" w:fill="FFFFFF"/>
            <w:noWrap/>
            <w:vAlign w:val="center"/>
          </w:tcPr>
          <w:p w14:paraId="16985781">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w:t>
            </w:r>
          </w:p>
        </w:tc>
      </w:tr>
      <w:tr w14:paraId="2BD868ED">
        <w:trPr>
          <w:trHeight w:val="278" w:hRule="atLeast"/>
          <w:jc w:val="center"/>
        </w:trPr>
        <w:tc>
          <w:tcPr>
            <w:tcW w:w="0" w:type="auto"/>
            <w:tcBorders>
              <w:top w:val="nil"/>
              <w:left w:val="nil"/>
              <w:bottom w:val="nil"/>
              <w:right w:val="nil"/>
            </w:tcBorders>
            <w:shd w:val="clear" w:color="auto" w:fill="FFFFFF"/>
            <w:noWrap/>
            <w:vAlign w:val="center"/>
          </w:tcPr>
          <w:p w14:paraId="5861077B">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F3: ADL/IADL functional disability</w:t>
            </w:r>
          </w:p>
        </w:tc>
        <w:tc>
          <w:tcPr>
            <w:tcW w:w="0" w:type="auto"/>
            <w:tcBorders>
              <w:top w:val="nil"/>
              <w:left w:val="nil"/>
              <w:bottom w:val="nil"/>
              <w:right w:val="nil"/>
            </w:tcBorders>
            <w:shd w:val="clear" w:color="auto" w:fill="FFFFFF"/>
            <w:noWrap/>
            <w:vAlign w:val="center"/>
          </w:tcPr>
          <w:p w14:paraId="0AB365DA">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HAQ2: Access to healthcare</w:t>
            </w:r>
          </w:p>
        </w:tc>
        <w:tc>
          <w:tcPr>
            <w:tcW w:w="0" w:type="auto"/>
            <w:tcBorders>
              <w:top w:val="nil"/>
              <w:left w:val="nil"/>
              <w:bottom w:val="nil"/>
              <w:right w:val="nil"/>
            </w:tcBorders>
            <w:shd w:val="clear" w:color="auto" w:fill="FFFFFF"/>
            <w:noWrap/>
            <w:vAlign w:val="center"/>
          </w:tcPr>
          <w:p w14:paraId="7916139E">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0.101</w:t>
            </w:r>
          </w:p>
        </w:tc>
        <w:tc>
          <w:tcPr>
            <w:tcW w:w="0" w:type="auto"/>
            <w:tcBorders>
              <w:top w:val="nil"/>
              <w:left w:val="nil"/>
              <w:bottom w:val="nil"/>
              <w:right w:val="nil"/>
            </w:tcBorders>
            <w:shd w:val="clear" w:color="auto" w:fill="FFFFFF"/>
            <w:noWrap/>
            <w:vAlign w:val="center"/>
          </w:tcPr>
          <w:p w14:paraId="1C016EFC">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r w14:paraId="15702766">
        <w:trPr>
          <w:trHeight w:val="278" w:hRule="atLeast"/>
          <w:jc w:val="center"/>
        </w:trPr>
        <w:tc>
          <w:tcPr>
            <w:tcW w:w="0" w:type="auto"/>
            <w:tcBorders>
              <w:top w:val="nil"/>
              <w:left w:val="nil"/>
              <w:bottom w:val="single" w:color="000000" w:sz="12" w:space="0"/>
              <w:right w:val="nil"/>
            </w:tcBorders>
            <w:shd w:val="clear" w:color="auto" w:fill="FFFFFF"/>
            <w:noWrap/>
            <w:vAlign w:val="center"/>
          </w:tcPr>
          <w:p w14:paraId="5C138412">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F5: Cognition deficits</w:t>
            </w:r>
          </w:p>
        </w:tc>
        <w:tc>
          <w:tcPr>
            <w:tcW w:w="0" w:type="auto"/>
            <w:tcBorders>
              <w:top w:val="nil"/>
              <w:left w:val="nil"/>
              <w:bottom w:val="single" w:color="000000" w:sz="12" w:space="0"/>
              <w:right w:val="nil"/>
            </w:tcBorders>
            <w:shd w:val="clear" w:color="auto" w:fill="FFFFFF"/>
            <w:noWrap/>
            <w:vAlign w:val="center"/>
          </w:tcPr>
          <w:p w14:paraId="12FAEEAF">
            <w:pPr>
              <w:widowControl/>
              <w:jc w:val="center"/>
              <w:textAlignment w:val="center"/>
              <w:rPr>
                <w:rFonts w:ascii="Times New Roman Regular" w:hAnsi="Times New Roman Regular" w:eastAsia="DengXian" w:cs="Times New Roman Regular"/>
                <w:color w:val="000000"/>
                <w:kern w:val="0"/>
                <w:szCs w:val="21"/>
                <w:lang w:bidi="ar"/>
              </w:rPr>
            </w:pPr>
            <w:r>
              <w:rPr>
                <w:rFonts w:ascii="Times New Roman Regular" w:hAnsi="Times New Roman Regular" w:eastAsia="宋体" w:cs="Times New Roman Regular"/>
                <w:color w:val="000000"/>
                <w:kern w:val="0"/>
                <w:szCs w:val="21"/>
                <w:lang w:bidi="ar"/>
              </w:rPr>
              <w:t>HAQ2: Access to healthcare</w:t>
            </w:r>
          </w:p>
        </w:tc>
        <w:tc>
          <w:tcPr>
            <w:tcW w:w="0" w:type="auto"/>
            <w:tcBorders>
              <w:top w:val="nil"/>
              <w:left w:val="nil"/>
              <w:bottom w:val="single" w:color="000000" w:sz="12" w:space="0"/>
              <w:right w:val="nil"/>
            </w:tcBorders>
            <w:shd w:val="clear" w:color="auto" w:fill="FFFFFF"/>
            <w:noWrap/>
            <w:vAlign w:val="center"/>
          </w:tcPr>
          <w:p w14:paraId="1EF78A96">
            <w:pPr>
              <w:widowControl/>
              <w:jc w:val="center"/>
              <w:textAlignment w:val="center"/>
              <w:rPr>
                <w:rFonts w:ascii="Times New Roman Regular" w:hAnsi="Times New Roman Regular" w:eastAsia="宋体" w:cs="Times New Roman Regular"/>
                <w:color w:val="000000"/>
                <w:kern w:val="0"/>
                <w:szCs w:val="21"/>
                <w:lang w:bidi="ar"/>
              </w:rPr>
            </w:pPr>
            <w:r>
              <w:rPr>
                <w:rFonts w:hint="eastAsia" w:ascii="Times New Roman Regular" w:hAnsi="Times New Roman Regular" w:eastAsia="宋体" w:cs="Times New Roman Regular"/>
                <w:color w:val="000000"/>
                <w:kern w:val="0"/>
                <w:szCs w:val="21"/>
                <w:lang w:bidi="ar"/>
              </w:rPr>
              <w:t>0.101</w:t>
            </w:r>
          </w:p>
        </w:tc>
        <w:tc>
          <w:tcPr>
            <w:tcW w:w="0" w:type="auto"/>
            <w:tcBorders>
              <w:top w:val="nil"/>
              <w:left w:val="nil"/>
              <w:bottom w:val="single" w:color="000000" w:sz="12" w:space="0"/>
              <w:right w:val="nil"/>
            </w:tcBorders>
            <w:shd w:val="clear" w:color="auto" w:fill="FFFFFF"/>
            <w:noWrap/>
            <w:vAlign w:val="center"/>
          </w:tcPr>
          <w:p w14:paraId="416F6FC9">
            <w:pPr>
              <w:widowControl/>
              <w:jc w:val="center"/>
              <w:rPr>
                <w:rFonts w:ascii="Times New Roman Regular" w:hAnsi="Times New Roman Regular" w:eastAsia="DengXian" w:cs="Times New Roman Regular"/>
                <w:color w:val="000000"/>
                <w:kern w:val="0"/>
                <w:szCs w:val="21"/>
                <w:lang w:bidi="ar"/>
              </w:rPr>
            </w:pPr>
            <w:r>
              <w:rPr>
                <w:rFonts w:hint="eastAsia" w:ascii="Times New Roman Regular" w:hAnsi="Times New Roman Regular" w:eastAsia="DengXian" w:cs="Times New Roman Regular"/>
                <w:color w:val="000000"/>
                <w:kern w:val="0"/>
                <w:szCs w:val="21"/>
                <w:lang w:bidi="ar"/>
              </w:rPr>
              <w:t>Positive</w:t>
            </w:r>
          </w:p>
        </w:tc>
      </w:tr>
    </w:tbl>
    <w:p w14:paraId="1632A4FC">
      <w:pPr>
        <w:widowControl/>
        <w:rPr>
          <w:rFonts w:ascii="Times New Roman" w:hAnsi="Times New Roman" w:eastAsia="DengXian" w:cs="Times New Roman"/>
          <w:i/>
          <w:iCs/>
          <w:color w:val="000000"/>
          <w:kern w:val="0"/>
          <w:szCs w:val="21"/>
        </w:rPr>
      </w:pPr>
      <w:r>
        <w:rPr>
          <w:rFonts w:hint="eastAsia" w:ascii="Times New Roman" w:hAnsi="Times New Roman" w:eastAsia="DengXian" w:cs="Times New Roman"/>
          <w:i/>
          <w:iCs/>
          <w:color w:val="000000"/>
          <w:kern w:val="0"/>
          <w:szCs w:val="21"/>
        </w:rPr>
        <w:t>Notes</w:t>
      </w:r>
      <w:r>
        <w:rPr>
          <w:rFonts w:ascii="Times New Roman" w:hAnsi="Times New Roman" w:eastAsia="DengXian" w:cs="Times New Roman"/>
          <w:i/>
          <w:iCs/>
          <w:color w:val="000000"/>
          <w:kern w:val="0"/>
          <w:szCs w:val="21"/>
        </w:rPr>
        <w:t>:</w:t>
      </w:r>
    </w:p>
    <w:p w14:paraId="1418367D">
      <w:pPr>
        <w:widowControl/>
        <w:rPr>
          <w:rFonts w:ascii="Times New Roman" w:hAnsi="Times New Roman" w:eastAsia="DengXian" w:cs="Times New Roman"/>
          <w:i/>
          <w:iCs/>
          <w:color w:val="000000"/>
          <w:kern w:val="0"/>
          <w:szCs w:val="21"/>
        </w:rPr>
      </w:pPr>
      <w:r>
        <w:rPr>
          <w:rFonts w:ascii="Times New Roman" w:hAnsi="Times New Roman" w:eastAsia="DengXian" w:cs="Times New Roman"/>
          <w:i/>
          <w:iCs/>
          <w:color w:val="000000"/>
          <w:kern w:val="0"/>
          <w:szCs w:val="21"/>
        </w:rPr>
        <w:t xml:space="preserve">Only edge weights </w:t>
      </w:r>
      <w:r>
        <w:rPr>
          <w:rFonts w:hint="eastAsia" w:ascii="Times New Roman" w:hAnsi="Times New Roman" w:eastAsia="DengXian" w:cs="Times New Roman"/>
          <w:i/>
          <w:iCs/>
          <w:color w:val="000000"/>
          <w:kern w:val="0"/>
          <w:szCs w:val="21"/>
        </w:rPr>
        <w:t>with an absolute value ≥0.100 are presented for clarity.</w:t>
      </w:r>
    </w:p>
    <w:p w14:paraId="3C1C6ABB">
      <w:pPr>
        <w:widowControl/>
        <w:rPr>
          <w:rFonts w:ascii="Times New Roman" w:hAnsi="Times New Roman" w:eastAsia="宋体" w:cs="Times New Roman"/>
          <w:kern w:val="0"/>
          <w:szCs w:val="21"/>
        </w:rPr>
      </w:pPr>
      <w:r>
        <w:rPr>
          <w:rFonts w:hint="eastAsia" w:ascii="Times New Roman" w:hAnsi="Times New Roman" w:eastAsia="DengXian" w:cs="Times New Roman"/>
          <w:color w:val="000000"/>
          <w:kern w:val="0"/>
          <w:szCs w:val="21"/>
        </w:rPr>
        <w:t>- indicates associations involving categorical variables with three or more levels, for which a specific positive or negative direction cannot be meaningfully interpreted.</w:t>
      </w:r>
    </w:p>
    <w:p w14:paraId="4BC19233">
      <w:pPr>
        <w:jc w:val="center"/>
        <w:rPr>
          <w:rFonts w:ascii="Times New Roman" w:hAnsi="Times New Roman" w:eastAsia="DengXian" w:cs="Times New Roman"/>
          <w:b/>
          <w:bCs/>
          <w:szCs w:val="21"/>
        </w:rPr>
      </w:pPr>
      <w:r>
        <w:drawing>
          <wp:inline distT="0" distB="0" distL="114300" distR="114300">
            <wp:extent cx="5039995" cy="3423285"/>
            <wp:effectExtent l="0" t="0" r="14605" b="5715"/>
            <wp:docPr id="40" name="图片 40" descr="Fig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FigS12"/>
                    <pic:cNvPicPr>
                      <a:picLocks noChangeAspect="1"/>
                    </pic:cNvPicPr>
                  </pic:nvPicPr>
                  <pic:blipFill>
                    <a:blip r:embed="rId16"/>
                    <a:stretch>
                      <a:fillRect/>
                    </a:stretch>
                  </pic:blipFill>
                  <pic:spPr>
                    <a:xfrm>
                      <a:off x="0" y="0"/>
                      <a:ext cx="5039995" cy="3423285"/>
                    </a:xfrm>
                    <a:prstGeom prst="rect">
                      <a:avLst/>
                    </a:prstGeom>
                  </pic:spPr>
                </pic:pic>
              </a:graphicData>
            </a:graphic>
          </wp:inline>
        </w:drawing>
      </w:r>
    </w:p>
    <w:p w14:paraId="2EB5F769">
      <w:pPr>
        <w:widowControl/>
        <w:rPr>
          <w:rFonts w:ascii="Times New Roman" w:hAnsi="Times New Roman" w:eastAsia="DengXian" w:cs="Times New Roman"/>
          <w:i/>
          <w:iCs/>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1</w:t>
      </w:r>
      <w:r>
        <w:rPr>
          <w:rFonts w:ascii="Times New Roman" w:hAnsi="Times New Roman" w:eastAsia="DengXian" w:cs="Times New Roman"/>
          <w:b/>
          <w:bCs/>
          <w:szCs w:val="21"/>
        </w:rPr>
        <w:t>2.</w:t>
      </w:r>
      <w:r>
        <w:rPr>
          <w:rFonts w:ascii="Times New Roman" w:hAnsi="Times New Roman" w:eastAsia="DengXian" w:cs="Times New Roman"/>
          <w:szCs w:val="21"/>
        </w:rPr>
        <w:t xml:space="preserve"> Accuracy analysis of estimated edge weights in the</w:t>
      </w:r>
      <w:r>
        <w:rPr>
          <w:rFonts w:hint="eastAsia" w:ascii="Times New Roman" w:hAnsi="Times New Roman" w:eastAsia="DengXian" w:cs="Times New Roman"/>
          <w:szCs w:val="21"/>
        </w:rPr>
        <w:t xml:space="preserve"> </w:t>
      </w:r>
      <w:r>
        <w:rPr>
          <w:rFonts w:hint="eastAsia" w:eastAsia="宋体" w:cs="Times New Roman"/>
          <w:kern w:val="0"/>
          <w:szCs w:val="21"/>
        </w:rPr>
        <w:t>i</w:t>
      </w:r>
      <w:r>
        <w:rPr>
          <w:rFonts w:hint="eastAsia" w:ascii="Times New Roman" w:hAnsi="Times New Roman" w:eastAsia="宋体" w:cs="Times New Roman"/>
          <w:kern w:val="0"/>
          <w:szCs w:val="21"/>
        </w:rPr>
        <w:t>ntegrated</w:t>
      </w:r>
      <w:r>
        <w:rPr>
          <w:rFonts w:ascii="Times New Roman" w:hAnsi="Times New Roman" w:eastAsia="DengXian" w:cs="Times New Roman"/>
          <w:szCs w:val="21"/>
        </w:rPr>
        <w:t xml:space="preserve"> network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54E9F6E0">
      <w:pPr>
        <w:jc w:val="center"/>
      </w:pPr>
    </w:p>
    <w:p w14:paraId="11819280">
      <w:pPr>
        <w:jc w:val="center"/>
        <w:rPr>
          <w:rFonts w:ascii="Times New Roman" w:hAnsi="Times New Roman" w:eastAsia="DengXian" w:cs="Times New Roman"/>
          <w:szCs w:val="21"/>
        </w:rPr>
      </w:pPr>
      <w:r>
        <w:drawing>
          <wp:inline distT="0" distB="0" distL="114300" distR="114300">
            <wp:extent cx="4679950" cy="3180080"/>
            <wp:effectExtent l="0" t="0" r="19050" b="20320"/>
            <wp:docPr id="7" name="图片 7" descr="Fig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13"/>
                    <pic:cNvPicPr>
                      <a:picLocks noChangeAspect="1"/>
                    </pic:cNvPicPr>
                  </pic:nvPicPr>
                  <pic:blipFill>
                    <a:blip r:embed="rId17"/>
                    <a:stretch>
                      <a:fillRect/>
                    </a:stretch>
                  </pic:blipFill>
                  <pic:spPr>
                    <a:xfrm>
                      <a:off x="0" y="0"/>
                      <a:ext cx="4679950" cy="3180080"/>
                    </a:xfrm>
                    <a:prstGeom prst="rect">
                      <a:avLst/>
                    </a:prstGeom>
                  </pic:spPr>
                </pic:pic>
              </a:graphicData>
            </a:graphic>
          </wp:inline>
        </w:drawing>
      </w:r>
    </w:p>
    <w:p w14:paraId="2272E832">
      <w:pPr>
        <w:widowControl/>
        <w:rPr>
          <w:rFonts w:ascii="Times New Roman" w:hAnsi="Times New Roman" w:eastAsia="DengXian" w:cs="Times New Roman"/>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1</w:t>
      </w:r>
      <w:r>
        <w:rPr>
          <w:rFonts w:ascii="Times New Roman" w:hAnsi="Times New Roman" w:eastAsia="DengXian" w:cs="Times New Roman"/>
          <w:b/>
          <w:bCs/>
          <w:szCs w:val="21"/>
        </w:rPr>
        <w:t xml:space="preserve">3. </w:t>
      </w:r>
      <w:r>
        <w:rPr>
          <w:rFonts w:ascii="Times New Roman" w:hAnsi="Times New Roman" w:eastAsia="DengXian" w:cs="Times New Roman"/>
          <w:szCs w:val="21"/>
        </w:rPr>
        <w:t xml:space="preserve">Stability analysis of centrality indices in the </w:t>
      </w:r>
      <w:r>
        <w:rPr>
          <w:rFonts w:hint="eastAsia" w:eastAsia="宋体" w:cs="Times New Roman"/>
          <w:kern w:val="0"/>
          <w:szCs w:val="21"/>
        </w:rPr>
        <w:t>i</w:t>
      </w:r>
      <w:r>
        <w:rPr>
          <w:rFonts w:hint="eastAsia" w:ascii="Times New Roman" w:hAnsi="Times New Roman" w:eastAsia="宋体" w:cs="Times New Roman"/>
          <w:kern w:val="0"/>
          <w:szCs w:val="21"/>
        </w:rPr>
        <w:t xml:space="preserve">ntegrated </w:t>
      </w:r>
      <w:r>
        <w:rPr>
          <w:rFonts w:ascii="Times New Roman" w:hAnsi="Times New Roman" w:eastAsia="DengXian" w:cs="Times New Roman"/>
          <w:szCs w:val="21"/>
        </w:rPr>
        <w:t>network</w:t>
      </w:r>
      <w:r>
        <w:rPr>
          <w:rFonts w:hint="eastAsia" w:ascii="Times New Roman" w:hAnsi="Times New Roman" w:eastAsia="DengXian" w:cs="Times New Roman"/>
          <w:szCs w:val="21"/>
        </w:rPr>
        <w:t xml:space="preserve"> </w:t>
      </w:r>
      <w:r>
        <w:rPr>
          <w:rFonts w:ascii="Times New Roman" w:hAnsi="Times New Roman" w:eastAsia="DengXian" w:cs="Times New Roman"/>
          <w:szCs w:val="21"/>
        </w:rPr>
        <w:t xml:space="preserve">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 xml:space="preserve">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w:t>
      </w:r>
      <w:r>
        <w:rPr>
          <w:rFonts w:hint="eastAsia" w:ascii="Times New Roman" w:hAnsi="Times New Roman" w:eastAsia="DengXian" w:cs="Times New Roman"/>
          <w:i/>
          <w:iCs/>
          <w:szCs w:val="21"/>
        </w:rPr>
        <w:t xml:space="preserve">CS </w:t>
      </w:r>
      <w:r>
        <w:rPr>
          <w:rFonts w:ascii="Times New Roman" w:hAnsi="Times New Roman" w:eastAsia="DengXian" w:cs="Times New Roman"/>
          <w:i/>
          <w:iCs/>
          <w:szCs w:val="21"/>
        </w:rPr>
        <w:t>coefficient</w:t>
      </w:r>
      <w:r>
        <w:rPr>
          <w:rFonts w:hint="eastAsia" w:ascii="Times New Roman" w:hAnsi="Times New Roman" w:eastAsia="DengXian" w:cs="Times New Roman"/>
          <w:i/>
          <w:iCs/>
          <w:szCs w:val="21"/>
        </w:rPr>
        <w:t xml:space="preserve"> was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r>
        <w:rPr>
          <w:rFonts w:hint="eastAsia" w:ascii="Times New Roman" w:hAnsi="Times New Roman" w:eastAsia="DengXian" w:cs="Times New Roman"/>
          <w:i/>
          <w:iCs/>
          <w:szCs w:val="21"/>
        </w:rPr>
        <w:t>.</w:t>
      </w:r>
    </w:p>
    <w:p w14:paraId="5306391A">
      <w:pPr>
        <w:jc w:val="center"/>
      </w:pPr>
    </w:p>
    <w:p w14:paraId="6469EA61">
      <w:pPr>
        <w:jc w:val="center"/>
        <w:rPr>
          <w:rFonts w:ascii="Times New Roman" w:hAnsi="Times New Roman" w:eastAsia="DengXian" w:cs="Times New Roman"/>
          <w:szCs w:val="21"/>
        </w:rPr>
      </w:pPr>
      <w:r>
        <w:drawing>
          <wp:inline distT="0" distB="0" distL="114300" distR="114300">
            <wp:extent cx="5039995" cy="3512185"/>
            <wp:effectExtent l="0" t="0" r="14605" b="18415"/>
            <wp:docPr id="25" name="图片 25" descr="Fig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S14"/>
                    <pic:cNvPicPr>
                      <a:picLocks noChangeAspect="1"/>
                    </pic:cNvPicPr>
                  </pic:nvPicPr>
                  <pic:blipFill>
                    <a:blip r:embed="rId18"/>
                    <a:srcRect l="10254" b="14764"/>
                    <a:stretch>
                      <a:fillRect/>
                    </a:stretch>
                  </pic:blipFill>
                  <pic:spPr>
                    <a:xfrm>
                      <a:off x="0" y="0"/>
                      <a:ext cx="5039995" cy="3512185"/>
                    </a:xfrm>
                    <a:prstGeom prst="rect">
                      <a:avLst/>
                    </a:prstGeom>
                  </pic:spPr>
                </pic:pic>
              </a:graphicData>
            </a:graphic>
          </wp:inline>
        </w:drawing>
      </w:r>
    </w:p>
    <w:p w14:paraId="229697A0">
      <w:pPr>
        <w:pStyle w:val="9"/>
        <w:widowControl/>
        <w:jc w:val="both"/>
      </w:pPr>
      <w:r>
        <w:rPr>
          <w:rFonts w:ascii="Times New Roman" w:hAnsi="Times New Roman" w:eastAsia="DengXian"/>
          <w:b/>
          <w:bCs/>
          <w:kern w:val="2"/>
          <w:sz w:val="21"/>
          <w:szCs w:val="21"/>
        </w:rPr>
        <w:t>Figure S</w:t>
      </w:r>
      <w:r>
        <w:rPr>
          <w:rFonts w:hint="eastAsia" w:ascii="Times New Roman" w:hAnsi="Times New Roman" w:eastAsia="DengXian"/>
          <w:b/>
          <w:bCs/>
          <w:kern w:val="2"/>
          <w:sz w:val="21"/>
          <w:szCs w:val="21"/>
        </w:rPr>
        <w:t>1</w:t>
      </w:r>
      <w:r>
        <w:rPr>
          <w:rFonts w:ascii="Times New Roman" w:hAnsi="Times New Roman" w:eastAsia="DengXian"/>
          <w:b/>
          <w:bCs/>
          <w:kern w:val="2"/>
          <w:sz w:val="21"/>
          <w:szCs w:val="21"/>
        </w:rPr>
        <w:t>4.</w:t>
      </w:r>
      <w:r>
        <w:rPr>
          <w:rFonts w:ascii="Times New Roman" w:hAnsi="Times New Roman" w:eastAsia="DengXian"/>
          <w:kern w:val="2"/>
          <w:sz w:val="21"/>
          <w:szCs w:val="21"/>
        </w:rPr>
        <w:t xml:space="preserve"> Edge weight difference test for </w:t>
      </w:r>
      <w:r>
        <w:rPr>
          <w:rFonts w:ascii="Times New Roman" w:hAnsi="Times New Roman" w:eastAsia="DengXian"/>
          <w:sz w:val="21"/>
          <w:szCs w:val="21"/>
        </w:rPr>
        <w:t xml:space="preserve">the </w:t>
      </w:r>
      <w:r>
        <w:rPr>
          <w:rFonts w:hint="eastAsia" w:eastAsia="宋体"/>
          <w:sz w:val="21"/>
          <w:szCs w:val="21"/>
        </w:rPr>
        <w:t>i</w:t>
      </w:r>
      <w:r>
        <w:rPr>
          <w:rFonts w:hint="eastAsia" w:ascii="Times New Roman" w:hAnsi="Times New Roman" w:eastAsia="宋体"/>
          <w:sz w:val="21"/>
          <w:szCs w:val="21"/>
        </w:rPr>
        <w:t xml:space="preserve">ntegrated </w:t>
      </w:r>
      <w:r>
        <w:rPr>
          <w:rFonts w:ascii="Times New Roman" w:hAnsi="Times New Roman" w:eastAsia="DengXian"/>
          <w:sz w:val="21"/>
          <w:szCs w:val="21"/>
        </w:rPr>
        <w:t>network</w:t>
      </w:r>
      <w:r>
        <w:rPr>
          <w:rFonts w:ascii="Times New Roman" w:hAnsi="Times New Roman" w:eastAsia="DengXian"/>
          <w:kern w:val="2"/>
          <w:sz w:val="21"/>
          <w:szCs w:val="21"/>
        </w:rPr>
        <w:t xml:space="preserve">. </w:t>
      </w:r>
      <w:r>
        <w:rPr>
          <w:rFonts w:ascii="Times New Roman" w:hAnsi="Times New Roman" w:eastAsia="DengXian"/>
          <w:i/>
          <w:iCs/>
          <w:kern w:val="2"/>
          <w:sz w:val="21"/>
          <w:szCs w:val="21"/>
        </w:rPr>
        <w:t>Note: This heatmap presents the results of nonparametric bootstrap difference tests comparing all pairs of edge weights in the domain-level network. Each row and column corresponds to a specific edge. Black cells indicate statistically significant differences between the corresponding edge weights (p &lt; 0.05), while gray cells indicate non-significant differences. This analysis helps identify whether certain associations are significantly stronger or weaker than others within the network structure.</w:t>
      </w:r>
    </w:p>
    <w:p w14:paraId="7E8E39E3">
      <w:pPr>
        <w:jc w:val="center"/>
        <w:rPr>
          <w:rFonts w:hint="default"/>
          <w:szCs w:val="21"/>
          <w:lang w:val="en-US"/>
        </w:rPr>
      </w:pPr>
      <w:r>
        <w:rPr>
          <w:rFonts w:hint="default"/>
          <w:szCs w:val="21"/>
          <w:lang w:val="en-US"/>
        </w:rPr>
        <w:drawing>
          <wp:inline distT="0" distB="0" distL="114300" distR="114300">
            <wp:extent cx="4834255" cy="3547745"/>
            <wp:effectExtent l="0" t="0" r="17145" b="8255"/>
            <wp:docPr id="29" name="图片 29" descr="Fig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igS15"/>
                    <pic:cNvPicPr>
                      <a:picLocks noChangeAspect="1"/>
                    </pic:cNvPicPr>
                  </pic:nvPicPr>
                  <pic:blipFill>
                    <a:blip r:embed="rId19"/>
                    <a:stretch>
                      <a:fillRect/>
                    </a:stretch>
                  </pic:blipFill>
                  <pic:spPr>
                    <a:xfrm>
                      <a:off x="0" y="0"/>
                      <a:ext cx="4834255" cy="3547745"/>
                    </a:xfrm>
                    <a:prstGeom prst="rect">
                      <a:avLst/>
                    </a:prstGeom>
                  </pic:spPr>
                </pic:pic>
              </a:graphicData>
            </a:graphic>
          </wp:inline>
        </w:drawing>
      </w:r>
    </w:p>
    <w:p w14:paraId="2B4F8366">
      <w:pPr>
        <w:pStyle w:val="2"/>
        <w:spacing w:line="240" w:lineRule="auto"/>
        <w:rPr>
          <w:rFonts w:ascii="Times New Roman" w:hAnsi="Times New Roman" w:eastAsia="DengXian" w:cs="Times New Roman"/>
          <w:b w:val="0"/>
          <w:bCs w:val="0"/>
          <w:i/>
          <w:iCs/>
          <w:color w:val="auto"/>
          <w:kern w:val="2"/>
          <w:sz w:val="21"/>
          <w:szCs w:val="21"/>
        </w:rPr>
      </w:pPr>
      <w:r>
        <w:rPr>
          <w:rFonts w:ascii="Times New Roman" w:hAnsi="Times New Roman" w:eastAsia="DengXian"/>
          <w:color w:val="auto"/>
          <w:kern w:val="2"/>
          <w:sz w:val="21"/>
          <w:szCs w:val="21"/>
        </w:rPr>
        <w:t>Figure S</w:t>
      </w:r>
      <w:r>
        <w:rPr>
          <w:rFonts w:hint="eastAsia" w:ascii="Times New Roman" w:hAnsi="Times New Roman" w:eastAsia="DengXian"/>
          <w:color w:val="auto"/>
          <w:kern w:val="2"/>
          <w:sz w:val="21"/>
          <w:szCs w:val="21"/>
        </w:rPr>
        <w:t>1</w:t>
      </w:r>
      <w:r>
        <w:rPr>
          <w:rFonts w:ascii="Times New Roman" w:hAnsi="Times New Roman" w:eastAsia="DengXian"/>
          <w:color w:val="auto"/>
          <w:kern w:val="2"/>
          <w:sz w:val="21"/>
          <w:szCs w:val="21"/>
        </w:rPr>
        <w:t xml:space="preserve">5. </w:t>
      </w:r>
      <w:bookmarkStart w:id="0" w:name="_GoBack"/>
      <w:r>
        <w:rPr>
          <w:rFonts w:ascii="Times New Roman" w:hAnsi="Times New Roman" w:eastAsia="DengXian" w:cs="Times New Roman"/>
          <w:b w:val="0"/>
          <w:bCs w:val="0"/>
          <w:i w:val="0"/>
          <w:iCs w:val="0"/>
          <w:color w:val="auto"/>
          <w:kern w:val="2"/>
          <w:sz w:val="21"/>
          <w:szCs w:val="21"/>
        </w:rPr>
        <w:t xml:space="preserve">Node strength difference test in the integrated network. </w:t>
      </w:r>
      <w:bookmarkEnd w:id="0"/>
      <w:r>
        <w:rPr>
          <w:rFonts w:ascii="Times New Roman" w:hAnsi="Times New Roman" w:eastAsia="DengXian" w:cs="Times New Roman"/>
          <w:b w:val="0"/>
          <w:bCs w:val="0"/>
          <w:i/>
          <w:iCs/>
          <w:color w:val="auto"/>
          <w:kern w:val="2"/>
          <w:sz w:val="21"/>
          <w:szCs w:val="21"/>
        </w:rPr>
        <w:t>Note: This heatmap shows the results of nonparametric bootstrap difference tests comparing node strength centrality values across all nodes in the domain-level network. Each row and column corresponds to a node, and each cell represents a pairwise comparison of node strength. Black cells indicate statistically significant differences in node strength between the respective node pair (p &lt; 0.05), while gray cells indicate non-significant differences. This test helps identify which nodes are significantly more central than others in the network.</w:t>
      </w:r>
    </w:p>
    <w:p w14:paraId="64630CF9"/>
    <w:p w14:paraId="13332A68">
      <w:pPr>
        <w:widowControl/>
        <w:jc w:val="center"/>
        <w:rPr>
          <w:rFonts w:asciiTheme="majorBidi" w:hAnsiTheme="majorBidi" w:cstheme="majorBidi"/>
          <w:color w:val="C00000"/>
          <w:szCs w:val="21"/>
        </w:rPr>
      </w:pPr>
      <w:r>
        <w:rPr>
          <w:rFonts w:asciiTheme="majorBidi" w:hAnsiTheme="majorBidi" w:cstheme="majorBidi"/>
          <w:color w:val="C00000"/>
          <w:szCs w:val="21"/>
        </w:rPr>
        <w:drawing>
          <wp:inline distT="0" distB="0" distL="114300" distR="114300">
            <wp:extent cx="6136005" cy="3160395"/>
            <wp:effectExtent l="0" t="0" r="0" b="0"/>
            <wp:docPr id="15" name="图片 15" descr="Fig Integrated_Bridge_Edge rem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 Integrated_Bridge_Edge removal"/>
                    <pic:cNvPicPr>
                      <a:picLocks noChangeAspect="1"/>
                    </pic:cNvPicPr>
                  </pic:nvPicPr>
                  <pic:blipFill>
                    <a:blip r:embed="rId20"/>
                    <a:srcRect r="7522"/>
                    <a:stretch>
                      <a:fillRect/>
                    </a:stretch>
                  </pic:blipFill>
                  <pic:spPr>
                    <a:xfrm>
                      <a:off x="0" y="0"/>
                      <a:ext cx="6136005" cy="3160395"/>
                    </a:xfrm>
                    <a:prstGeom prst="rect">
                      <a:avLst/>
                    </a:prstGeom>
                  </pic:spPr>
                </pic:pic>
              </a:graphicData>
            </a:graphic>
          </wp:inline>
        </w:drawing>
      </w:r>
    </w:p>
    <w:p w14:paraId="0D48C220">
      <w:pPr>
        <w:widowControl/>
        <w:rPr>
          <w:rFonts w:ascii="Times New Roman Italic" w:hAnsi="Times New Roman Italic" w:eastAsia="宋体" w:cs="Times New Roman Italic"/>
          <w:i/>
          <w:iCs/>
          <w:kern w:val="0"/>
          <w:sz w:val="21"/>
          <w:szCs w:val="21"/>
        </w:rPr>
      </w:pPr>
      <w:r>
        <w:rPr>
          <w:rFonts w:ascii="Times New Roman Bold" w:hAnsi="Times New Roman Bold" w:eastAsia="DengXian" w:cs="Times New Roman Bold"/>
          <w:b/>
          <w:bCs/>
          <w:kern w:val="28"/>
          <w:sz w:val="21"/>
          <w:szCs w:val="21"/>
        </w:rPr>
        <w:t>Figure S16.</w:t>
      </w:r>
      <w:r>
        <w:rPr>
          <w:rFonts w:ascii="Times New Roman Bold" w:hAnsi="Times New Roman Bold" w:eastAsia="宋体" w:cs="Times New Roman Bold"/>
          <w:b/>
          <w:bCs/>
          <w:kern w:val="0"/>
          <w:sz w:val="21"/>
          <w:szCs w:val="21"/>
        </w:rPr>
        <w:t xml:space="preserve"> </w:t>
      </w:r>
      <w:r>
        <w:rPr>
          <w:rFonts w:ascii="Times New Roman" w:hAnsi="Times New Roman" w:eastAsia="宋体" w:cs="Times New Roman"/>
          <w:kern w:val="0"/>
          <w:sz w:val="21"/>
          <w:szCs w:val="21"/>
        </w:rPr>
        <w:t xml:space="preserve">Bridge strength in the integrated variable-level network after removing the </w:t>
      </w:r>
      <w:r>
        <w:rPr>
          <w:rFonts w:ascii="Times New Roman" w:hAnsi="Times New Roman" w:eastAsia="DengXian" w:cs="Times New Roman"/>
          <w:kern w:val="28"/>
          <w:sz w:val="21"/>
          <w:szCs w:val="21"/>
        </w:rPr>
        <w:t xml:space="preserve">the edge between </w:t>
      </w:r>
      <w:r>
        <w:rPr>
          <w:rFonts w:ascii="Times New Roman" w:hAnsi="Times New Roman" w:eastAsia="宋体" w:cs="Times New Roman"/>
          <w:kern w:val="0"/>
          <w:sz w:val="21"/>
          <w:szCs w:val="21"/>
        </w:rPr>
        <w:t xml:space="preserve">education level </w:t>
      </w:r>
      <w:r>
        <w:rPr>
          <w:rFonts w:ascii="Times New Roman" w:hAnsi="Times New Roman" w:eastAsia="DengXian" w:cs="Times New Roman"/>
          <w:kern w:val="28"/>
          <w:sz w:val="21"/>
          <w:szCs w:val="21"/>
        </w:rPr>
        <w:t xml:space="preserve">and cognition. </w:t>
      </w:r>
      <w:r>
        <w:rPr>
          <w:rFonts w:ascii="Times New Roman Italic" w:hAnsi="Times New Roman Italic" w:eastAsia="宋体" w:cs="Times New Roman Italic"/>
          <w:i/>
          <w:iCs/>
          <w:kern w:val="0"/>
          <w:sz w:val="21"/>
          <w:szCs w:val="21"/>
        </w:rPr>
        <w:t>Notes: The edge connecting education level and cognition was set to zero in the estimated weighted adjacency matrix, while all other edge weights and the original community assignment were retained. Bridge strength was then recalculated to assess whether the bridge strength of education level and cognition was primarily driven by their direct association.</w:t>
      </w:r>
    </w:p>
    <w:p w14:paraId="28E8C92C">
      <w:pPr>
        <w:rPr>
          <w:rFonts w:asciiTheme="majorBidi" w:hAnsiTheme="majorBidi" w:cstheme="majorBidi"/>
          <w:color w:val="C00000"/>
          <w:szCs w:val="21"/>
        </w:rPr>
      </w:pPr>
    </w:p>
    <w:p w14:paraId="2581B48D">
      <w:pPr>
        <w:pStyle w:val="2"/>
        <w:rPr>
          <w:rFonts w:asciiTheme="majorBidi" w:hAnsiTheme="majorBidi" w:cstheme="majorBidi"/>
          <w:color w:val="auto"/>
          <w:kern w:val="2"/>
          <w:szCs w:val="24"/>
        </w:rPr>
      </w:pPr>
      <w:r>
        <w:rPr>
          <w:rFonts w:hint="eastAsia" w:asciiTheme="majorBidi" w:hAnsiTheme="majorBidi" w:cstheme="majorBidi"/>
          <w:color w:val="auto"/>
          <w:kern w:val="2"/>
          <w:szCs w:val="24"/>
          <w:lang w:val="en-US" w:eastAsia="zh-CN"/>
        </w:rPr>
        <w:t>Result S1</w:t>
      </w:r>
      <w:r>
        <w:rPr>
          <w:rFonts w:asciiTheme="majorBidi" w:hAnsiTheme="majorBidi" w:cstheme="majorBidi"/>
          <w:color w:val="auto"/>
          <w:kern w:val="2"/>
          <w:szCs w:val="24"/>
        </w:rPr>
        <w:t>. SDoH Variables to Frailty Domain Network</w:t>
      </w:r>
    </w:p>
    <w:p w14:paraId="5209176A">
      <w:pPr>
        <w:spacing w:line="360" w:lineRule="auto"/>
        <w:rPr>
          <w:rFonts w:ascii="Times New Roman" w:hAnsi="Times New Roman" w:eastAsia="DengXian" w:cs="Times New Roman"/>
          <w:sz w:val="24"/>
          <w:highlight w:val="none"/>
        </w:rPr>
      </w:pPr>
      <w:r>
        <w:rPr>
          <w:rFonts w:ascii="Times New Roman" w:hAnsi="Times New Roman" w:eastAsia="DengXian" w:cs="Times New Roman"/>
          <w:sz w:val="24"/>
          <w:highlight w:val="none"/>
        </w:rPr>
        <w:t>To explore associations between specific SDoH variables and frailty domains, subnetworks were constructed for each SDoH domain (</w:t>
      </w:r>
      <w:r>
        <w:rPr>
          <w:rFonts w:ascii="Times New Roman" w:hAnsi="Times New Roman" w:eastAsia="DengXian" w:cs="Times New Roman"/>
          <w:b/>
          <w:bCs/>
          <w:sz w:val="24"/>
          <w:highlight w:val="none"/>
        </w:rPr>
        <w:t>Figures S1</w:t>
      </w:r>
      <w:r>
        <w:rPr>
          <w:rFonts w:hint="eastAsia" w:ascii="Times New Roman" w:hAnsi="Times New Roman" w:eastAsia="DengXian" w:cs="Times New Roman"/>
          <w:b/>
          <w:bCs/>
          <w:sz w:val="24"/>
          <w:highlight w:val="none"/>
          <w:lang w:val="en-US" w:eastAsia="zh-CN"/>
        </w:rPr>
        <w:t>7</w:t>
      </w:r>
      <w:r>
        <w:rPr>
          <w:rFonts w:ascii="Times New Roman" w:hAnsi="Times New Roman" w:eastAsia="DengXian" w:cs="Times New Roman"/>
          <w:b/>
          <w:bCs/>
          <w:sz w:val="24"/>
          <w:highlight w:val="none"/>
        </w:rPr>
        <w:t>A-S1</w:t>
      </w:r>
      <w:r>
        <w:rPr>
          <w:rFonts w:hint="eastAsia" w:ascii="Times New Roman" w:hAnsi="Times New Roman" w:eastAsia="DengXian" w:cs="Times New Roman"/>
          <w:b/>
          <w:bCs/>
          <w:sz w:val="24"/>
          <w:highlight w:val="none"/>
          <w:lang w:val="en-US" w:eastAsia="zh-CN"/>
        </w:rPr>
        <w:t>7</w:t>
      </w:r>
      <w:r>
        <w:rPr>
          <w:rFonts w:ascii="Times New Roman" w:hAnsi="Times New Roman" w:eastAsia="DengXian" w:cs="Times New Roman"/>
          <w:b/>
          <w:bCs/>
          <w:sz w:val="24"/>
          <w:highlight w:val="none"/>
        </w:rPr>
        <w:t>E</w:t>
      </w:r>
      <w:r>
        <w:rPr>
          <w:rFonts w:ascii="Times New Roman" w:hAnsi="Times New Roman" w:eastAsia="DengXian" w:cs="Times New Roman"/>
          <w:sz w:val="24"/>
          <w:highlight w:val="none"/>
        </w:rPr>
        <w:t xml:space="preserve">). Details of node centrality measures, accuracy, and stability assessments are presented in </w:t>
      </w:r>
      <w:r>
        <w:rPr>
          <w:rFonts w:ascii="Times New Roman" w:hAnsi="Times New Roman" w:eastAsia="DengXian" w:cs="Times New Roman"/>
          <w:b/>
          <w:bCs/>
          <w:sz w:val="24"/>
          <w:highlight w:val="none"/>
        </w:rPr>
        <w:t>Figures S</w:t>
      </w:r>
      <w:r>
        <w:rPr>
          <w:rFonts w:hint="eastAsia" w:ascii="Times New Roman" w:hAnsi="Times New Roman" w:eastAsia="DengXian" w:cs="Times New Roman"/>
          <w:b/>
          <w:bCs/>
          <w:sz w:val="24"/>
          <w:highlight w:val="none"/>
          <w:lang w:val="en-US" w:eastAsia="zh-CN"/>
        </w:rPr>
        <w:t>18</w:t>
      </w:r>
      <w:r>
        <w:rPr>
          <w:rFonts w:ascii="Times New Roman" w:hAnsi="Times New Roman" w:eastAsia="DengXian" w:cs="Times New Roman"/>
          <w:b/>
          <w:bCs/>
          <w:sz w:val="24"/>
          <w:highlight w:val="none"/>
        </w:rPr>
        <w:t>-S</w:t>
      </w:r>
      <w:r>
        <w:rPr>
          <w:rFonts w:hint="eastAsia" w:ascii="Times New Roman" w:hAnsi="Times New Roman" w:eastAsia="DengXian" w:cs="Times New Roman"/>
          <w:b/>
          <w:bCs/>
          <w:sz w:val="24"/>
          <w:highlight w:val="none"/>
          <w:lang w:val="en-US" w:eastAsia="zh-CN"/>
        </w:rPr>
        <w:t>32</w:t>
      </w:r>
      <w:r>
        <w:rPr>
          <w:rFonts w:ascii="Times New Roman" w:hAnsi="Times New Roman" w:eastAsia="DengXian" w:cs="Times New Roman"/>
          <w:sz w:val="24"/>
          <w:highlight w:val="none"/>
        </w:rPr>
        <w:t xml:space="preserve">. </w:t>
      </w:r>
    </w:p>
    <w:p w14:paraId="086B5F07">
      <w:pPr>
        <w:spacing w:line="360" w:lineRule="auto"/>
        <w:rPr>
          <w:rFonts w:ascii="Times New Roman" w:hAnsi="Times New Roman" w:eastAsia="DengXian" w:cs="Times New Roman"/>
          <w:sz w:val="24"/>
          <w:highlight w:val="none"/>
        </w:rPr>
      </w:pPr>
    </w:p>
    <w:p w14:paraId="29C00CC3">
      <w:pPr>
        <w:spacing w:line="360" w:lineRule="auto"/>
        <w:jc w:val="both"/>
      </w:pPr>
      <w:r>
        <w:rPr>
          <w:rFonts w:hint="eastAsia" w:ascii="Times New Roman" w:hAnsi="Times New Roman" w:eastAsia="DengXian" w:cs="Times New Roman"/>
          <w:sz w:val="24"/>
          <w:highlight w:val="none"/>
        </w:rPr>
        <w:t>In the Economic Stability subnetwork, the strongest SDoH-frailty association was between employment status and self-reported health problems (edge weight = 0.333). In the Education Access and Quality subnetwork, education level was most strongly associated with cognition deficits (0.802). In the Health Care Access and Quality subnetwork, access to healthcare showed the strongest association, with a negative edge to comorbidity (0.338). In the Neighborhood and Built Environment subnetwork, residence was most strongly associated with cognition deficits (0.256). In the Social and Community Context subnetwork, living alone was most strongly associated with ADL/IADL functional disability (0.348).</w:t>
      </w:r>
      <w:r>
        <w:rPr>
          <w:rFonts w:hint="eastAsia" w:ascii="Times New Roman" w:hAnsi="Times New Roman" w:eastAsia="DengXian" w:cs="Times New Roman"/>
          <w:sz w:val="24"/>
          <w:highlight w:val="none"/>
          <w:lang w:val="en-US" w:eastAsia="zh-CN"/>
        </w:rPr>
        <w:t xml:space="preserve"> </w:t>
      </w:r>
      <w:r>
        <w:rPr>
          <w:rFonts w:ascii="Times New Roman" w:hAnsi="Times New Roman" w:eastAsia="DengXian" w:cs="Times New Roman"/>
          <w:sz w:val="24"/>
          <w:highlight w:val="none"/>
        </w:rPr>
        <w:t>These findings offer a structural overview of the relationships between individual variables in each SDoH domain and frailty.</w:t>
      </w:r>
      <w:r>
        <w:rPr>
          <w:rFonts w:hint="eastAsia" w:ascii="Times New Roman" w:hAnsi="Times New Roman" w:eastAsia="DengXian" w:cs="Times New Roman"/>
          <w:sz w:val="24"/>
        </w:rPr>
        <w:t xml:space="preserve"> </w:t>
      </w:r>
      <w:r>
        <w:rPr>
          <w:rFonts w:ascii="Segoe UI" w:hAnsi="Segoe UI" w:eastAsia="Segoe UI" w:cs="Segoe UI"/>
          <w:sz w:val="16"/>
          <w:szCs w:val="16"/>
          <w:shd w:val="clear" w:color="auto" w:fill="FFFFFF"/>
        </w:rPr>
        <w:t xml:space="preserve"> </w:t>
      </w:r>
    </w:p>
    <w:p w14:paraId="380CB8C3">
      <w:pPr>
        <w:spacing w:line="360" w:lineRule="auto"/>
        <w:jc w:val="center"/>
      </w:pPr>
      <w:r>
        <w:drawing>
          <wp:inline distT="0" distB="0" distL="114300" distR="114300">
            <wp:extent cx="6635115" cy="3160395"/>
            <wp:effectExtent l="0" t="0" r="19685" b="14605"/>
            <wp:docPr id="16" name="图片 16" descr="Fig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S15"/>
                    <pic:cNvPicPr>
                      <a:picLocks noChangeAspect="1"/>
                    </pic:cNvPicPr>
                  </pic:nvPicPr>
                  <pic:blipFill>
                    <a:blip r:embed="rId21"/>
                    <a:stretch>
                      <a:fillRect/>
                    </a:stretch>
                  </pic:blipFill>
                  <pic:spPr>
                    <a:xfrm>
                      <a:off x="0" y="0"/>
                      <a:ext cx="6635115" cy="3160395"/>
                    </a:xfrm>
                    <a:prstGeom prst="rect">
                      <a:avLst/>
                    </a:prstGeom>
                  </pic:spPr>
                </pic:pic>
              </a:graphicData>
            </a:graphic>
          </wp:inline>
        </w:drawing>
      </w:r>
    </w:p>
    <w:p w14:paraId="4E0AECA7">
      <w:pPr>
        <w:rPr>
          <w:rFonts w:ascii="Times New Roman" w:hAnsi="Times New Roman" w:eastAsia="宋体" w:cs="Times New Roman"/>
          <w:i/>
          <w:iCs/>
          <w:kern w:val="0"/>
          <w:szCs w:val="21"/>
        </w:rPr>
      </w:pPr>
      <w:r>
        <w:rPr>
          <w:rFonts w:ascii="Times New Roman" w:hAnsi="Times New Roman" w:eastAsia="DengXian" w:cs="Times New Roman"/>
          <w:b/>
          <w:bCs/>
          <w:szCs w:val="21"/>
          <w:highlight w:val="none"/>
        </w:rPr>
        <w:t xml:space="preserve">Figure </w:t>
      </w:r>
      <w:r>
        <w:rPr>
          <w:rFonts w:hint="eastAsia" w:ascii="Times New Roman" w:hAnsi="Times New Roman" w:eastAsia="DengXian" w:cs="Times New Roman"/>
          <w:b/>
          <w:bCs/>
          <w:szCs w:val="21"/>
          <w:highlight w:val="none"/>
        </w:rPr>
        <w:t>S1</w:t>
      </w:r>
      <w:r>
        <w:rPr>
          <w:rFonts w:ascii="Times New Roman" w:hAnsi="Times New Roman" w:eastAsia="DengXian" w:cs="Times New Roman"/>
          <w:b/>
          <w:bCs/>
          <w:szCs w:val="21"/>
          <w:highlight w:val="none"/>
        </w:rPr>
        <w:t>7</w:t>
      </w:r>
      <w:r>
        <w:rPr>
          <w:rFonts w:hint="eastAsia" w:eastAsia="DengXian" w:cs="Times New Roman"/>
          <w:b/>
          <w:bCs/>
          <w:szCs w:val="21"/>
          <w:highlight w:val="none"/>
        </w:rPr>
        <w:t xml:space="preserve">. </w:t>
      </w:r>
      <w:r>
        <w:rPr>
          <w:rFonts w:ascii="Times New Roman" w:hAnsi="Times New Roman" w:eastAsia="宋体" w:cs="Times New Roman"/>
          <w:kern w:val="0"/>
          <w:szCs w:val="21"/>
        </w:rPr>
        <w:t>Subnetworks between frailty domains and variables</w:t>
      </w:r>
      <w:r>
        <w:rPr>
          <w:rFonts w:hint="eastAsia" w:ascii="Times New Roman" w:hAnsi="Times New Roman" w:eastAsia="宋体" w:cs="Times New Roman"/>
          <w:kern w:val="0"/>
          <w:szCs w:val="21"/>
        </w:rPr>
        <w:t xml:space="preserve"> in the specific SDoH domains</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 xml:space="preserve">(A) </w:t>
      </w:r>
      <w:r>
        <w:rPr>
          <w:rFonts w:hint="eastAsia" w:ascii="Times New Roman" w:hAnsi="Times New Roman" w:eastAsia="宋体" w:cs="Times New Roman"/>
          <w:kern w:val="0"/>
          <w:szCs w:val="21"/>
        </w:rPr>
        <w:t>Economic Stability</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 xml:space="preserve">(B) </w:t>
      </w:r>
      <w:r>
        <w:rPr>
          <w:rFonts w:hint="eastAsia" w:ascii="Times New Roman" w:hAnsi="Times New Roman" w:eastAsia="宋体" w:cs="Times New Roman"/>
          <w:kern w:val="0"/>
          <w:szCs w:val="21"/>
        </w:rPr>
        <w:t>Education Access and Quality</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 xml:space="preserve">(C) </w:t>
      </w:r>
      <w:r>
        <w:rPr>
          <w:rFonts w:hint="eastAsia" w:ascii="Times New Roman" w:hAnsi="Times New Roman" w:eastAsia="宋体" w:cs="Times New Roman"/>
          <w:kern w:val="0"/>
          <w:szCs w:val="21"/>
        </w:rPr>
        <w:t>Health Care Access and Quality</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(D) Neighborhood and Built Environment;</w:t>
      </w:r>
      <w:r>
        <w:rPr>
          <w:rFonts w:hint="eastAsia" w:ascii="Times New Roman" w:hAnsi="Times New Roman" w:eastAsia="宋体" w:cs="Times New Roman"/>
          <w:kern w:val="0"/>
          <w:szCs w:val="21"/>
        </w:rPr>
        <w:t xml:space="preserve"> and </w:t>
      </w:r>
      <w:r>
        <w:rPr>
          <w:rFonts w:ascii="Times New Roman" w:hAnsi="Times New Roman" w:eastAsia="宋体" w:cs="Times New Roman"/>
          <w:kern w:val="0"/>
          <w:szCs w:val="21"/>
        </w:rPr>
        <w:t xml:space="preserve">(E) </w:t>
      </w:r>
      <w:r>
        <w:rPr>
          <w:rFonts w:hint="eastAsia" w:ascii="Times New Roman" w:hAnsi="Times New Roman" w:eastAsia="宋体" w:cs="Times New Roman"/>
          <w:kern w:val="0"/>
          <w:szCs w:val="21"/>
        </w:rPr>
        <w:t>Social and Community Con</w:t>
      </w:r>
      <w:r>
        <w:rPr>
          <w:rFonts w:hint="default" w:ascii="Times New Roman" w:hAnsi="Times New Roman" w:eastAsia="宋体" w:cs="Times New Roman"/>
          <w:i/>
          <w:iCs/>
          <w:kern w:val="0"/>
          <w:szCs w:val="21"/>
        </w:rPr>
        <w:t>text</w:t>
      </w:r>
      <w:r>
        <w:rPr>
          <w:rFonts w:ascii="Times New Roman" w:hAnsi="Times New Roman" w:eastAsia="宋体" w:cs="Times New Roman"/>
          <w:i/>
          <w:iCs/>
          <w:kern w:val="0"/>
          <w:szCs w:val="21"/>
        </w:rPr>
        <w:t>.</w:t>
      </w:r>
      <w:r>
        <w:rPr>
          <w:rFonts w:hint="default" w:ascii="Times New Roman" w:hAnsi="Times New Roman" w:eastAsia="宋体" w:cs="Times New Roman"/>
          <w:i/>
          <w:iCs/>
          <w:kern w:val="0"/>
          <w:szCs w:val="21"/>
        </w:rPr>
        <w:t xml:space="preserve"> </w:t>
      </w:r>
      <w:r>
        <w:rPr>
          <w:rFonts w:ascii="Times New Roman" w:hAnsi="Times New Roman" w:eastAsia="宋体" w:cs="Times New Roman"/>
          <w:i/>
          <w:iCs/>
          <w:kern w:val="0"/>
          <w:szCs w:val="21"/>
        </w:rPr>
        <w:t>Notes:</w:t>
      </w:r>
      <w:r>
        <w:rPr>
          <w:rFonts w:hint="default" w:ascii="Times New Roman" w:hAnsi="Times New Roman" w:eastAsia="宋体" w:cs="Times New Roman"/>
          <w:i/>
          <w:iCs/>
          <w:kern w:val="0"/>
          <w:szCs w:val="21"/>
          <w:lang w:val="en-US" w:eastAsia="zh-CN"/>
        </w:rPr>
        <w:t xml:space="preserve"> </w:t>
      </w:r>
      <w:r>
        <w:rPr>
          <w:rFonts w:ascii="Times New Roman" w:hAnsi="Times New Roman" w:eastAsia="宋体" w:cs="Times New Roman"/>
          <w:i/>
          <w:iCs/>
          <w:kern w:val="0"/>
          <w:sz w:val="21"/>
          <w:szCs w:val="21"/>
        </w:rPr>
        <w:t xml:space="preserve">Thicker edges indicate stronger relationships; only edge weights </w:t>
      </w:r>
      <w:r>
        <w:rPr>
          <w:rFonts w:hint="default" w:ascii="Times New Roman" w:hAnsi="Times New Roman" w:eastAsia="宋体" w:cs="Times New Roman"/>
          <w:i/>
          <w:iCs/>
          <w:kern w:val="0"/>
          <w:sz w:val="21"/>
          <w:szCs w:val="21"/>
        </w:rPr>
        <w:t>with an absolute value ≥0.100 are presented for clarity.</w:t>
      </w:r>
      <w:r>
        <w:rPr>
          <w:rFonts w:ascii="Times New Roman" w:hAnsi="Times New Roman" w:eastAsia="宋体" w:cs="Times New Roman"/>
          <w:i/>
          <w:iCs/>
          <w:kern w:val="0"/>
          <w:szCs w:val="21"/>
        </w:rPr>
        <w:t xml:space="preserve"> Positive edges are shown in green, negative edges are shown in red, and the edges connecting categorical variables with more than 2 categories</w:t>
      </w:r>
      <w:r>
        <w:rPr>
          <w:rFonts w:hint="eastAsia" w:ascii="Times New Roman" w:hAnsi="Times New Roman" w:eastAsia="宋体" w:cs="Times New Roman"/>
          <w:i/>
          <w:iCs/>
          <w:kern w:val="0"/>
          <w:szCs w:val="21"/>
        </w:rPr>
        <w:t xml:space="preserve"> and other variables (</w:t>
      </w:r>
      <w:r>
        <w:rPr>
          <w:rFonts w:ascii="Times New Roman" w:hAnsi="Times New Roman" w:eastAsia="宋体" w:cs="Times New Roman"/>
          <w:i/>
          <w:iCs/>
          <w:kern w:val="0"/>
          <w:szCs w:val="21"/>
        </w:rPr>
        <w:t xml:space="preserve">both with other categorical variables and with </w:t>
      </w:r>
      <w:r>
        <w:rPr>
          <w:rFonts w:hint="eastAsia" w:ascii="Times New Roman" w:hAnsi="Times New Roman" w:eastAsia="宋体" w:cs="Times New Roman"/>
          <w:i/>
          <w:iCs/>
          <w:kern w:val="0"/>
          <w:szCs w:val="21"/>
        </w:rPr>
        <w:t>continuous</w:t>
      </w:r>
      <w:r>
        <w:rPr>
          <w:rFonts w:ascii="Times New Roman" w:hAnsi="Times New Roman" w:eastAsia="宋体" w:cs="Times New Roman"/>
          <w:i/>
          <w:iCs/>
          <w:kern w:val="0"/>
          <w:szCs w:val="21"/>
        </w:rPr>
        <w:t xml:space="preserve"> variables</w:t>
      </w:r>
      <w:r>
        <w:rPr>
          <w:rFonts w:hint="eastAsia" w:ascii="Times New Roman" w:hAnsi="Times New Roman" w:eastAsia="宋体" w:cs="Times New Roman"/>
          <w:i/>
          <w:iCs/>
          <w:kern w:val="0"/>
          <w:szCs w:val="21"/>
        </w:rPr>
        <w:t>)</w:t>
      </w:r>
      <w:r>
        <w:rPr>
          <w:rFonts w:ascii="Times New Roman" w:hAnsi="Times New Roman" w:eastAsia="宋体" w:cs="Times New Roman"/>
          <w:i/>
          <w:iCs/>
          <w:kern w:val="0"/>
          <w:szCs w:val="21"/>
        </w:rPr>
        <w:t xml:space="preserve"> are shown in gray.</w:t>
      </w:r>
      <w:r>
        <w:rPr>
          <w:rFonts w:hint="eastAsia" w:ascii="Times New Roman" w:hAnsi="Times New Roman" w:eastAsia="宋体" w:cs="Times New Roman"/>
          <w:i/>
          <w:iCs/>
          <w:kern w:val="0"/>
          <w:szCs w:val="21"/>
        </w:rPr>
        <w:t xml:space="preserve"> Higher values in each frailty domain indicate </w:t>
      </w:r>
      <w:r>
        <w:rPr>
          <w:rFonts w:ascii="Times New Roman" w:hAnsi="Times New Roman" w:eastAsia="宋体" w:cs="Times New Roman"/>
          <w:i/>
          <w:iCs/>
          <w:kern w:val="0"/>
          <w:szCs w:val="21"/>
        </w:rPr>
        <w:t>worse conditions</w:t>
      </w:r>
      <w:r>
        <w:rPr>
          <w:rFonts w:hint="eastAsia" w:ascii="Times New Roman" w:hAnsi="Times New Roman" w:eastAsia="宋体" w:cs="Times New Roman"/>
          <w:i/>
          <w:iCs/>
          <w:kern w:val="0"/>
          <w:szCs w:val="21"/>
        </w:rPr>
        <w:t>. Higher values for each SDoH variable indicate better conditions except air quality, noise level, and extreme climate; higher values for air quality, noise level, and extreme climate indicate worse conditions.</w:t>
      </w:r>
    </w:p>
    <w:p w14:paraId="39EC2EC5"/>
    <w:p w14:paraId="091E9B71">
      <w:pPr>
        <w:pStyle w:val="2"/>
        <w:rPr>
          <w:rFonts w:ascii="Times New Roman" w:hAnsi="Times New Roman" w:cs="Times New Roman"/>
          <w:sz w:val="21"/>
          <w:szCs w:val="21"/>
        </w:rPr>
        <w:sectPr>
          <w:pgSz w:w="11906" w:h="16838"/>
          <w:pgMar w:top="720" w:right="720" w:bottom="720" w:left="720" w:header="851" w:footer="992" w:gutter="0"/>
          <w:cols w:space="425" w:num="1"/>
          <w:docGrid w:type="lines" w:linePitch="312" w:charSpace="0"/>
        </w:sectPr>
      </w:pPr>
    </w:p>
    <w:p w14:paraId="7BF85432">
      <w:pPr>
        <w:pStyle w:val="2"/>
        <w:rPr>
          <w:rFonts w:ascii="Times New Roman" w:hAnsi="Times New Roman" w:cs="Times New Roman"/>
          <w:sz w:val="21"/>
          <w:szCs w:val="21"/>
        </w:rPr>
      </w:pPr>
      <w:r>
        <w:rPr>
          <w:rFonts w:ascii="Times New Roman" w:hAnsi="Times New Roman" w:cs="Times New Roman"/>
          <w:sz w:val="21"/>
          <w:szCs w:val="21"/>
        </w:rPr>
        <w:t>Economic Stability</w:t>
      </w:r>
    </w:p>
    <w:p w14:paraId="547BA08A">
      <w:pPr>
        <w:jc w:val="center"/>
        <w:rPr>
          <w:szCs w:val="21"/>
        </w:rPr>
      </w:pPr>
      <w:r>
        <w:rPr>
          <w:szCs w:val="21"/>
        </w:rPr>
        <w:drawing>
          <wp:inline distT="0" distB="0" distL="114300" distR="114300">
            <wp:extent cx="6346190" cy="3001645"/>
            <wp:effectExtent l="0" t="0" r="3810" b="20955"/>
            <wp:docPr id="17" name="图片 17" descr="Fig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S16"/>
                    <pic:cNvPicPr>
                      <a:picLocks noChangeAspect="1"/>
                    </pic:cNvPicPr>
                  </pic:nvPicPr>
                  <pic:blipFill>
                    <a:blip r:embed="rId22"/>
                    <a:srcRect l="12767" t="3858" r="18375" b="27768"/>
                    <a:stretch>
                      <a:fillRect/>
                    </a:stretch>
                  </pic:blipFill>
                  <pic:spPr>
                    <a:xfrm>
                      <a:off x="0" y="0"/>
                      <a:ext cx="6346190" cy="3001645"/>
                    </a:xfrm>
                    <a:prstGeom prst="rect">
                      <a:avLst/>
                    </a:prstGeom>
                  </pic:spPr>
                </pic:pic>
              </a:graphicData>
            </a:graphic>
          </wp:inline>
        </w:drawing>
      </w:r>
    </w:p>
    <w:p w14:paraId="25CAC186">
      <w:pPr>
        <w:pStyle w:val="8"/>
        <w:spacing w:after="0"/>
        <w:rPr>
          <w:rFonts w:eastAsia="DengXian" w:cs="Times New Roman"/>
          <w:kern w:val="0"/>
          <w:sz w:val="21"/>
          <w:szCs w:val="21"/>
        </w:rPr>
      </w:pPr>
      <w:r>
        <w:rPr>
          <w:rFonts w:eastAsia="宋体" w:cs="Times New Roman"/>
          <w:kern w:val="0"/>
          <w:sz w:val="21"/>
          <w:szCs w:val="21"/>
        </w:rPr>
        <w:t>Figure S</w:t>
      </w:r>
      <w:r>
        <w:rPr>
          <w:rFonts w:hint="eastAsia" w:eastAsia="宋体" w:cs="Times New Roman"/>
          <w:kern w:val="0"/>
          <w:sz w:val="21"/>
          <w:szCs w:val="21"/>
        </w:rPr>
        <w:t>1</w:t>
      </w:r>
      <w:r>
        <w:rPr>
          <w:rFonts w:eastAsia="宋体" w:cs="Times New Roman"/>
          <w:kern w:val="0"/>
          <w:sz w:val="21"/>
          <w:szCs w:val="21"/>
        </w:rPr>
        <w:t xml:space="preserve">8. </w:t>
      </w:r>
      <w:r>
        <w:rPr>
          <w:rFonts w:eastAsia="DengXian" w:cs="Times New Roman"/>
          <w:b w:val="0"/>
          <w:bCs w:val="0"/>
          <w:sz w:val="21"/>
          <w:szCs w:val="21"/>
        </w:rPr>
        <w:t xml:space="preserve">Centrality indices for </w:t>
      </w:r>
      <w:r>
        <w:rPr>
          <w:rFonts w:eastAsia="宋体" w:cs="Times New Roman"/>
          <w:b w:val="0"/>
          <w:bCs w:val="0"/>
          <w:kern w:val="0"/>
          <w:sz w:val="21"/>
          <w:szCs w:val="21"/>
        </w:rPr>
        <w:t>the network of frailty domains and Economic Stability variables</w:t>
      </w:r>
      <w:r>
        <w:rPr>
          <w:rFonts w:eastAsia="DengXian" w:cs="Times New Roman"/>
          <w:b w:val="0"/>
          <w:bCs w:val="0"/>
          <w:sz w:val="21"/>
          <w:szCs w:val="21"/>
        </w:rPr>
        <w:t>.</w:t>
      </w:r>
    </w:p>
    <w:p w14:paraId="22237F23">
      <w:pPr>
        <w:widowControl/>
        <w:spacing w:line="360" w:lineRule="auto"/>
        <w:jc w:val="center"/>
        <w:rPr>
          <w:szCs w:val="21"/>
        </w:rPr>
      </w:pPr>
      <w:r>
        <w:drawing>
          <wp:inline distT="0" distB="0" distL="114300" distR="114300">
            <wp:extent cx="5039995" cy="3423285"/>
            <wp:effectExtent l="0" t="0" r="14605" b="5715"/>
            <wp:docPr id="28" name="图片 28" descr="Fig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igs19"/>
                    <pic:cNvPicPr>
                      <a:picLocks noChangeAspect="1"/>
                    </pic:cNvPicPr>
                  </pic:nvPicPr>
                  <pic:blipFill>
                    <a:blip r:embed="rId23"/>
                    <a:stretch>
                      <a:fillRect/>
                    </a:stretch>
                  </pic:blipFill>
                  <pic:spPr>
                    <a:xfrm>
                      <a:off x="0" y="0"/>
                      <a:ext cx="5039995" cy="3423285"/>
                    </a:xfrm>
                    <a:prstGeom prst="rect">
                      <a:avLst/>
                    </a:prstGeom>
                  </pic:spPr>
                </pic:pic>
              </a:graphicData>
            </a:graphic>
          </wp:inline>
        </w:drawing>
      </w:r>
    </w:p>
    <w:p w14:paraId="1D4C6582">
      <w:pPr>
        <w:widowControl/>
        <w:rPr>
          <w:rFonts w:ascii="Times New Roman" w:hAnsi="Times New Roman" w:eastAsia="DengXian" w:cs="Times New Roman"/>
          <w:i/>
          <w:iCs/>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1</w:t>
      </w:r>
      <w:r>
        <w:rPr>
          <w:rFonts w:ascii="Times New Roman" w:hAnsi="Times New Roman" w:eastAsia="DengXian" w:cs="Times New Roman"/>
          <w:b/>
          <w:bCs/>
          <w:szCs w:val="21"/>
        </w:rPr>
        <w:t>9.</w:t>
      </w:r>
      <w:r>
        <w:rPr>
          <w:rFonts w:ascii="Times New Roman" w:hAnsi="Times New Roman" w:eastAsia="DengXian" w:cs="Times New Roman"/>
          <w:szCs w:val="21"/>
        </w:rPr>
        <w:t xml:space="preserve"> Accuracy analysis of estimated edge weights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Economic Stability variables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frailty domains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2C61685F">
      <w:pPr>
        <w:jc w:val="center"/>
        <w:rPr>
          <w:rFonts w:ascii="Times New Roman" w:hAnsi="Times New Roman" w:eastAsia="DengXian" w:cs="Times New Roman"/>
          <w:szCs w:val="21"/>
        </w:rPr>
      </w:pPr>
      <w:r>
        <w:drawing>
          <wp:inline distT="0" distB="0" distL="114300" distR="114300">
            <wp:extent cx="5039995" cy="3423285"/>
            <wp:effectExtent l="0" t="0" r="14605" b="5715"/>
            <wp:docPr id="10" name="图片 10" descr="Fig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20"/>
                    <pic:cNvPicPr>
                      <a:picLocks noChangeAspect="1"/>
                    </pic:cNvPicPr>
                  </pic:nvPicPr>
                  <pic:blipFill>
                    <a:blip r:embed="rId24"/>
                    <a:stretch>
                      <a:fillRect/>
                    </a:stretch>
                  </pic:blipFill>
                  <pic:spPr>
                    <a:xfrm>
                      <a:off x="0" y="0"/>
                      <a:ext cx="5039995" cy="3423285"/>
                    </a:xfrm>
                    <a:prstGeom prst="rect">
                      <a:avLst/>
                    </a:prstGeom>
                  </pic:spPr>
                </pic:pic>
              </a:graphicData>
            </a:graphic>
          </wp:inline>
        </w:drawing>
      </w:r>
    </w:p>
    <w:p w14:paraId="12793B80">
      <w:pPr>
        <w:widowControl/>
        <w:rPr>
          <w:rFonts w:ascii="Times New Roman" w:hAnsi="Times New Roman" w:eastAsia="DengXian" w:cs="Times New Roman"/>
          <w:i/>
          <w:iCs/>
          <w:szCs w:val="21"/>
        </w:rPr>
      </w:pPr>
      <w:r>
        <w:rPr>
          <w:rFonts w:ascii="Times New Roman" w:hAnsi="Times New Roman" w:eastAsia="DengXian" w:cs="Times New Roman"/>
          <w:b/>
          <w:bCs/>
          <w:szCs w:val="21"/>
        </w:rPr>
        <w:t xml:space="preserve">Figure S20. </w:t>
      </w:r>
      <w:r>
        <w:rPr>
          <w:rFonts w:ascii="Times New Roman" w:hAnsi="Times New Roman" w:eastAsia="DengXian" w:cs="Times New Roman"/>
          <w:szCs w:val="21"/>
        </w:rPr>
        <w:t xml:space="preserve">Stability analysis of centrality indices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Economic Stability variables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 xml:space="preserve">frailty domains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CS 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r>
        <w:rPr>
          <w:rFonts w:hint="eastAsia" w:ascii="Times New Roman" w:hAnsi="Times New Roman" w:eastAsia="DengXian" w:cs="Times New Roman"/>
          <w:i/>
          <w:iCs/>
          <w:szCs w:val="21"/>
        </w:rPr>
        <w:t>.</w:t>
      </w:r>
    </w:p>
    <w:p w14:paraId="60CF4888">
      <w:pPr>
        <w:rPr>
          <w:rFonts w:ascii="Times New Roman" w:hAnsi="Times New Roman" w:eastAsia="DengXian" w:cs="Times New Roman"/>
          <w:b/>
          <w:bCs/>
          <w:szCs w:val="21"/>
        </w:rPr>
      </w:pPr>
    </w:p>
    <w:p w14:paraId="6408D159">
      <w:pPr>
        <w:rPr>
          <w:rFonts w:ascii="Times New Roman" w:hAnsi="Times New Roman" w:cs="Times New Roman"/>
          <w:szCs w:val="21"/>
        </w:rPr>
      </w:pPr>
    </w:p>
    <w:p w14:paraId="41541EE5">
      <w:pPr>
        <w:pStyle w:val="2"/>
        <w:rPr>
          <w:rFonts w:ascii="Times New Roman" w:hAnsi="Times New Roman" w:cs="Times New Roman"/>
          <w:sz w:val="21"/>
          <w:szCs w:val="21"/>
        </w:rPr>
      </w:pPr>
      <w:r>
        <w:rPr>
          <w:rFonts w:ascii="Times New Roman" w:hAnsi="Times New Roman" w:cs="Times New Roman"/>
          <w:sz w:val="21"/>
          <w:szCs w:val="21"/>
        </w:rPr>
        <w:t>Education Access and Quality</w:t>
      </w:r>
    </w:p>
    <w:p w14:paraId="14561E3C">
      <w:pPr>
        <w:pStyle w:val="8"/>
        <w:jc w:val="center"/>
      </w:pPr>
      <w:r>
        <w:rPr>
          <w:rFonts w:eastAsia="宋体" w:cs="Times New Roman"/>
          <w:b w:val="0"/>
          <w:bCs w:val="0"/>
          <w:kern w:val="0"/>
          <w:sz w:val="21"/>
          <w:szCs w:val="21"/>
        </w:rPr>
        <w:drawing>
          <wp:inline distT="0" distB="0" distL="114300" distR="114300">
            <wp:extent cx="5805170" cy="3045460"/>
            <wp:effectExtent l="0" t="0" r="11430" b="2540"/>
            <wp:docPr id="18" name="图片 18" descr="Fig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S21"/>
                    <pic:cNvPicPr>
                      <a:picLocks noChangeAspect="1"/>
                    </pic:cNvPicPr>
                  </pic:nvPicPr>
                  <pic:blipFill>
                    <a:blip r:embed="rId25"/>
                    <a:srcRect l="18633" t="8077" r="17073" b="21117"/>
                    <a:stretch>
                      <a:fillRect/>
                    </a:stretch>
                  </pic:blipFill>
                  <pic:spPr>
                    <a:xfrm>
                      <a:off x="0" y="0"/>
                      <a:ext cx="5805170" cy="3045460"/>
                    </a:xfrm>
                    <a:prstGeom prst="rect">
                      <a:avLst/>
                    </a:prstGeom>
                  </pic:spPr>
                </pic:pic>
              </a:graphicData>
            </a:graphic>
          </wp:inline>
        </w:drawing>
      </w:r>
    </w:p>
    <w:p w14:paraId="46D2B1A6">
      <w:pPr>
        <w:pStyle w:val="8"/>
        <w:spacing w:after="0"/>
        <w:rPr>
          <w:rFonts w:eastAsia="宋体" w:cs="Times New Roman"/>
          <w:b w:val="0"/>
          <w:color w:val="000000"/>
          <w:kern w:val="0"/>
          <w:sz w:val="21"/>
          <w:szCs w:val="21"/>
        </w:rPr>
      </w:pPr>
      <w:r>
        <w:rPr>
          <w:rFonts w:eastAsia="DengXian" w:cs="Times New Roman"/>
          <w:sz w:val="21"/>
          <w:szCs w:val="21"/>
        </w:rPr>
        <w:t xml:space="preserve">Figure S21. </w:t>
      </w:r>
      <w:r>
        <w:rPr>
          <w:rFonts w:eastAsia="DengXian" w:cs="Times New Roman"/>
          <w:b w:val="0"/>
          <w:bCs w:val="0"/>
          <w:sz w:val="21"/>
          <w:szCs w:val="21"/>
        </w:rPr>
        <w:t xml:space="preserve">Centrality indices for </w:t>
      </w:r>
      <w:r>
        <w:rPr>
          <w:rFonts w:eastAsia="宋体" w:cs="Times New Roman"/>
          <w:b w:val="0"/>
          <w:bCs w:val="0"/>
          <w:kern w:val="0"/>
          <w:sz w:val="21"/>
          <w:szCs w:val="21"/>
        </w:rPr>
        <w:t>the network of frailty domains and Education Access and Quality variable</w:t>
      </w:r>
      <w:r>
        <w:rPr>
          <w:rFonts w:eastAsia="DengXian" w:cs="Times New Roman"/>
          <w:b w:val="0"/>
          <w:bCs w:val="0"/>
          <w:sz w:val="21"/>
          <w:szCs w:val="21"/>
        </w:rPr>
        <w:t>.</w:t>
      </w:r>
    </w:p>
    <w:p w14:paraId="1BF5FC95">
      <w:pPr>
        <w:spacing w:line="360" w:lineRule="auto"/>
        <w:jc w:val="center"/>
        <w:rPr>
          <w:szCs w:val="21"/>
        </w:rPr>
      </w:pPr>
    </w:p>
    <w:p w14:paraId="2C1E2910">
      <w:pPr>
        <w:spacing w:line="360" w:lineRule="auto"/>
        <w:jc w:val="center"/>
        <w:rPr>
          <w:szCs w:val="21"/>
        </w:rPr>
      </w:pPr>
      <w:r>
        <w:drawing>
          <wp:inline distT="0" distB="0" distL="114300" distR="114300">
            <wp:extent cx="5039995" cy="3423285"/>
            <wp:effectExtent l="0" t="0" r="14605" b="5715"/>
            <wp:docPr id="30" name="图片 30" descr="Fig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igS22"/>
                    <pic:cNvPicPr>
                      <a:picLocks noChangeAspect="1"/>
                    </pic:cNvPicPr>
                  </pic:nvPicPr>
                  <pic:blipFill>
                    <a:blip r:embed="rId26"/>
                    <a:stretch>
                      <a:fillRect/>
                    </a:stretch>
                  </pic:blipFill>
                  <pic:spPr>
                    <a:xfrm>
                      <a:off x="0" y="0"/>
                      <a:ext cx="5039995" cy="3423285"/>
                    </a:xfrm>
                    <a:prstGeom prst="rect">
                      <a:avLst/>
                    </a:prstGeom>
                  </pic:spPr>
                </pic:pic>
              </a:graphicData>
            </a:graphic>
          </wp:inline>
        </w:drawing>
      </w:r>
    </w:p>
    <w:p w14:paraId="584C66F6">
      <w:pPr>
        <w:widowControl/>
        <w:rPr>
          <w:rFonts w:ascii="Times New Roman" w:hAnsi="Times New Roman" w:eastAsia="DengXian" w:cs="Times New Roman"/>
          <w:i/>
          <w:iCs/>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2</w:t>
      </w:r>
      <w:r>
        <w:rPr>
          <w:rFonts w:ascii="Times New Roman" w:hAnsi="Times New Roman" w:eastAsia="DengXian" w:cs="Times New Roman"/>
          <w:b/>
          <w:bCs/>
          <w:szCs w:val="21"/>
        </w:rPr>
        <w:t>2.</w:t>
      </w:r>
      <w:r>
        <w:rPr>
          <w:rFonts w:ascii="Times New Roman" w:hAnsi="Times New Roman" w:eastAsia="DengXian" w:cs="Times New Roman"/>
          <w:szCs w:val="21"/>
        </w:rPr>
        <w:t xml:space="preserve"> Accuracy analysis of estimated edge weights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hint="eastAsia" w:ascii="Times New Roman" w:hAnsi="Times New Roman" w:eastAsia="DengXian" w:cs="Times New Roman"/>
          <w:szCs w:val="21"/>
        </w:rPr>
        <w:t>Education</w:t>
      </w:r>
      <w:r>
        <w:rPr>
          <w:rFonts w:ascii="Times New Roman" w:hAnsi="Times New Roman" w:eastAsia="DengXian" w:cs="Times New Roman"/>
          <w:szCs w:val="21"/>
        </w:rPr>
        <w:t xml:space="preserve"> variable</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frailty domains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213E98F6">
      <w:pPr>
        <w:jc w:val="center"/>
        <w:rPr>
          <w:szCs w:val="21"/>
        </w:rPr>
      </w:pPr>
      <w:r>
        <w:drawing>
          <wp:inline distT="0" distB="0" distL="114300" distR="114300">
            <wp:extent cx="5039995" cy="3423285"/>
            <wp:effectExtent l="0" t="0" r="14605" b="5715"/>
            <wp:docPr id="21" name="图片 21" descr="Fig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S23"/>
                    <pic:cNvPicPr>
                      <a:picLocks noChangeAspect="1"/>
                    </pic:cNvPicPr>
                  </pic:nvPicPr>
                  <pic:blipFill>
                    <a:blip r:embed="rId27"/>
                    <a:stretch>
                      <a:fillRect/>
                    </a:stretch>
                  </pic:blipFill>
                  <pic:spPr>
                    <a:xfrm>
                      <a:off x="0" y="0"/>
                      <a:ext cx="5039995" cy="3423285"/>
                    </a:xfrm>
                    <a:prstGeom prst="rect">
                      <a:avLst/>
                    </a:prstGeom>
                  </pic:spPr>
                </pic:pic>
              </a:graphicData>
            </a:graphic>
          </wp:inline>
        </w:drawing>
      </w:r>
    </w:p>
    <w:p w14:paraId="50A84FD0">
      <w:pPr>
        <w:widowControl/>
        <w:rPr>
          <w:rFonts w:ascii="Times New Roman" w:hAnsi="Times New Roman" w:eastAsia="宋体" w:cs="Times New Roman"/>
          <w:i/>
          <w:iCs/>
          <w:kern w:val="0"/>
          <w:szCs w:val="21"/>
        </w:rPr>
        <w:sectPr>
          <w:pgSz w:w="11906" w:h="16838"/>
          <w:pgMar w:top="720" w:right="720" w:bottom="720" w:left="720" w:header="851" w:footer="992" w:gutter="0"/>
          <w:cols w:space="425" w:num="1"/>
          <w:docGrid w:type="lines" w:linePitch="312" w:charSpace="0"/>
        </w:sectPr>
      </w:pPr>
      <w:r>
        <w:rPr>
          <w:rFonts w:ascii="Times New Roman" w:hAnsi="Times New Roman" w:eastAsia="DengXian" w:cs="Times New Roman"/>
          <w:b/>
          <w:bCs/>
          <w:szCs w:val="21"/>
        </w:rPr>
        <w:t xml:space="preserve">Figure S23. </w:t>
      </w:r>
      <w:r>
        <w:rPr>
          <w:rFonts w:ascii="Times New Roman" w:hAnsi="Times New Roman" w:eastAsia="DengXian" w:cs="Times New Roman"/>
          <w:szCs w:val="21"/>
        </w:rPr>
        <w:t xml:space="preserve">Stability analysis of centrality indices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hint="eastAsia" w:ascii="Times New Roman" w:hAnsi="Times New Roman" w:eastAsia="DengXian" w:cs="Times New Roman"/>
          <w:szCs w:val="21"/>
        </w:rPr>
        <w:t>Education</w:t>
      </w:r>
      <w:r>
        <w:rPr>
          <w:rFonts w:ascii="Times New Roman" w:hAnsi="Times New Roman" w:eastAsia="DengXian" w:cs="Times New Roman"/>
          <w:szCs w:val="21"/>
        </w:rPr>
        <w:t xml:space="preserve"> variable</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 xml:space="preserve">frailty domains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 xml:space="preserve">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w:t>
      </w:r>
      <w:r>
        <w:rPr>
          <w:rFonts w:hint="eastAsia" w:ascii="Times New Roman" w:hAnsi="Times New Roman" w:eastAsia="DengXian" w:cs="Times New Roman"/>
          <w:i/>
          <w:iCs/>
          <w:szCs w:val="21"/>
        </w:rPr>
        <w:t xml:space="preserve">CS </w:t>
      </w:r>
      <w:r>
        <w:rPr>
          <w:rFonts w:ascii="Times New Roman" w:hAnsi="Times New Roman" w:eastAsia="DengXian" w:cs="Times New Roman"/>
          <w:i/>
          <w:iCs/>
          <w:szCs w:val="21"/>
        </w:rPr>
        <w:t>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r>
        <w:rPr>
          <w:rFonts w:hint="eastAsia" w:ascii="Times New Roman" w:hAnsi="Times New Roman" w:eastAsia="DengXian" w:cs="Times New Roman"/>
          <w:i/>
          <w:iCs/>
          <w:szCs w:val="21"/>
        </w:rPr>
        <w:t>.</w:t>
      </w:r>
    </w:p>
    <w:p w14:paraId="3930F049">
      <w:pPr>
        <w:pStyle w:val="2"/>
        <w:rPr>
          <w:rFonts w:ascii="Times New Roman" w:hAnsi="Times New Roman" w:cs="Times New Roman"/>
          <w:sz w:val="21"/>
          <w:szCs w:val="21"/>
        </w:rPr>
      </w:pPr>
      <w:r>
        <w:rPr>
          <w:rFonts w:ascii="Times New Roman" w:hAnsi="Times New Roman" w:cs="Times New Roman"/>
          <w:sz w:val="21"/>
          <w:szCs w:val="21"/>
        </w:rPr>
        <w:t>Healthcare Access and Quality</w:t>
      </w:r>
    </w:p>
    <w:p w14:paraId="04114E9C">
      <w:pPr>
        <w:jc w:val="center"/>
        <w:rPr>
          <w:szCs w:val="21"/>
        </w:rPr>
      </w:pPr>
      <w:r>
        <w:rPr>
          <w:szCs w:val="21"/>
        </w:rPr>
        <w:drawing>
          <wp:inline distT="0" distB="0" distL="114300" distR="114300">
            <wp:extent cx="5843270" cy="2921000"/>
            <wp:effectExtent l="0" t="0" r="24130" b="0"/>
            <wp:docPr id="19" name="图片 19" descr="Fig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S24"/>
                    <pic:cNvPicPr>
                      <a:picLocks noChangeAspect="1"/>
                    </pic:cNvPicPr>
                  </pic:nvPicPr>
                  <pic:blipFill>
                    <a:blip r:embed="rId28"/>
                    <a:srcRect l="13322" t="7997" r="19878" b="21901"/>
                    <a:stretch>
                      <a:fillRect/>
                    </a:stretch>
                  </pic:blipFill>
                  <pic:spPr>
                    <a:xfrm>
                      <a:off x="0" y="0"/>
                      <a:ext cx="5843270" cy="2921000"/>
                    </a:xfrm>
                    <a:prstGeom prst="rect">
                      <a:avLst/>
                    </a:prstGeom>
                  </pic:spPr>
                </pic:pic>
              </a:graphicData>
            </a:graphic>
          </wp:inline>
        </w:drawing>
      </w:r>
    </w:p>
    <w:p w14:paraId="2C534D6E">
      <w:pPr>
        <w:pStyle w:val="8"/>
        <w:spacing w:after="0"/>
        <w:rPr>
          <w:rFonts w:eastAsia="宋体" w:cs="Times New Roman"/>
          <w:kern w:val="0"/>
          <w:sz w:val="21"/>
          <w:szCs w:val="21"/>
        </w:rPr>
      </w:pPr>
      <w:r>
        <w:rPr>
          <w:rFonts w:eastAsia="宋体" w:cs="Times New Roman"/>
          <w:kern w:val="0"/>
          <w:sz w:val="21"/>
          <w:szCs w:val="21"/>
        </w:rPr>
        <w:t>Figure S</w:t>
      </w:r>
      <w:r>
        <w:rPr>
          <w:rFonts w:hint="eastAsia" w:eastAsia="宋体" w:cs="Times New Roman"/>
          <w:kern w:val="0"/>
          <w:sz w:val="21"/>
          <w:szCs w:val="21"/>
        </w:rPr>
        <w:t>2</w:t>
      </w:r>
      <w:r>
        <w:rPr>
          <w:rFonts w:eastAsia="宋体" w:cs="Times New Roman"/>
          <w:kern w:val="0"/>
          <w:sz w:val="21"/>
          <w:szCs w:val="21"/>
        </w:rPr>
        <w:t xml:space="preserve">4. </w:t>
      </w:r>
      <w:r>
        <w:rPr>
          <w:rFonts w:eastAsia="DengXian" w:cs="Times New Roman"/>
          <w:b w:val="0"/>
          <w:bCs w:val="0"/>
          <w:sz w:val="21"/>
          <w:szCs w:val="21"/>
        </w:rPr>
        <w:t xml:space="preserve">Centrality indices for </w:t>
      </w:r>
      <w:r>
        <w:rPr>
          <w:rFonts w:eastAsia="宋体" w:cs="Times New Roman"/>
          <w:b w:val="0"/>
          <w:bCs w:val="0"/>
          <w:kern w:val="0"/>
          <w:sz w:val="21"/>
          <w:szCs w:val="21"/>
        </w:rPr>
        <w:t>the network of frailty domains and Healthcare Access and Quality variables.</w:t>
      </w:r>
    </w:p>
    <w:p w14:paraId="4530AB74">
      <w:pPr>
        <w:spacing w:line="360" w:lineRule="auto"/>
        <w:jc w:val="center"/>
        <w:rPr>
          <w:rFonts w:ascii="Times New Roman" w:hAnsi="Times New Roman" w:cs="Times New Roman"/>
          <w:szCs w:val="21"/>
        </w:rPr>
      </w:pPr>
      <w:r>
        <w:drawing>
          <wp:inline distT="0" distB="0" distL="114300" distR="114300">
            <wp:extent cx="5039995" cy="3423285"/>
            <wp:effectExtent l="0" t="0" r="14605" b="5715"/>
            <wp:docPr id="35" name="图片 35" descr="Fig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igS25"/>
                    <pic:cNvPicPr>
                      <a:picLocks noChangeAspect="1"/>
                    </pic:cNvPicPr>
                  </pic:nvPicPr>
                  <pic:blipFill>
                    <a:blip r:embed="rId29"/>
                    <a:stretch>
                      <a:fillRect/>
                    </a:stretch>
                  </pic:blipFill>
                  <pic:spPr>
                    <a:xfrm>
                      <a:off x="0" y="0"/>
                      <a:ext cx="5039995" cy="3423285"/>
                    </a:xfrm>
                    <a:prstGeom prst="rect">
                      <a:avLst/>
                    </a:prstGeom>
                  </pic:spPr>
                </pic:pic>
              </a:graphicData>
            </a:graphic>
          </wp:inline>
        </w:drawing>
      </w:r>
    </w:p>
    <w:p w14:paraId="1BF44A26">
      <w:pPr>
        <w:widowControl/>
        <w:rPr>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2</w:t>
      </w:r>
      <w:r>
        <w:rPr>
          <w:rFonts w:ascii="Times New Roman" w:hAnsi="Times New Roman" w:eastAsia="DengXian" w:cs="Times New Roman"/>
          <w:b/>
          <w:bCs/>
          <w:szCs w:val="21"/>
        </w:rPr>
        <w:t>5.</w:t>
      </w:r>
      <w:r>
        <w:rPr>
          <w:rFonts w:ascii="Times New Roman" w:hAnsi="Times New Roman" w:eastAsia="DengXian" w:cs="Times New Roman"/>
          <w:szCs w:val="21"/>
        </w:rPr>
        <w:t xml:space="preserve"> Accuracy analysis of estimated edge weights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Healthcare Access and Quality variables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frailty domains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276681E0">
      <w:pPr>
        <w:jc w:val="center"/>
        <w:rPr>
          <w:szCs w:val="21"/>
        </w:rPr>
      </w:pPr>
      <w:r>
        <w:drawing>
          <wp:inline distT="0" distB="0" distL="114300" distR="114300">
            <wp:extent cx="5039995" cy="3423285"/>
            <wp:effectExtent l="0" t="0" r="14605" b="5715"/>
            <wp:docPr id="14" name="图片 14" descr="FigS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S26"/>
                    <pic:cNvPicPr>
                      <a:picLocks noChangeAspect="1"/>
                    </pic:cNvPicPr>
                  </pic:nvPicPr>
                  <pic:blipFill>
                    <a:blip r:embed="rId30"/>
                    <a:stretch>
                      <a:fillRect/>
                    </a:stretch>
                  </pic:blipFill>
                  <pic:spPr>
                    <a:xfrm>
                      <a:off x="0" y="0"/>
                      <a:ext cx="5039995" cy="3423285"/>
                    </a:xfrm>
                    <a:prstGeom prst="rect">
                      <a:avLst/>
                    </a:prstGeom>
                  </pic:spPr>
                </pic:pic>
              </a:graphicData>
            </a:graphic>
          </wp:inline>
        </w:drawing>
      </w:r>
    </w:p>
    <w:p w14:paraId="4E9D70F3">
      <w:pPr>
        <w:widowControl/>
        <w:rPr>
          <w:rFonts w:ascii="Times New Roman" w:hAnsi="Times New Roman" w:eastAsia="DengXian" w:cs="Times New Roman"/>
          <w:i/>
          <w:iCs/>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2</w:t>
      </w:r>
      <w:r>
        <w:rPr>
          <w:rFonts w:ascii="Times New Roman" w:hAnsi="Times New Roman" w:eastAsia="DengXian" w:cs="Times New Roman"/>
          <w:b/>
          <w:bCs/>
          <w:szCs w:val="21"/>
        </w:rPr>
        <w:t xml:space="preserve">6. </w:t>
      </w:r>
      <w:r>
        <w:rPr>
          <w:rFonts w:ascii="Times New Roman" w:hAnsi="Times New Roman" w:eastAsia="DengXian" w:cs="Times New Roman"/>
          <w:szCs w:val="21"/>
        </w:rPr>
        <w:t xml:space="preserve">Stability analysis of centrality indices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 xml:space="preserve">Healthcare Access and Quality </w:t>
      </w:r>
      <w:r>
        <w:rPr>
          <w:rFonts w:ascii="Times New Roman" w:hAnsi="Times New Roman" w:eastAsia="DengXian" w:cs="Times New Roman"/>
          <w:szCs w:val="21"/>
        </w:rPr>
        <w:t>variable</w:t>
      </w:r>
      <w:r>
        <w:rPr>
          <w:rFonts w:hint="eastAsia" w:ascii="Times New Roman" w:hAnsi="Times New Roman" w:eastAsia="DengXian" w:cs="Times New Roman"/>
          <w:szCs w:val="21"/>
          <w:lang w:val="en-US" w:eastAsia="zh-CN"/>
        </w:rPr>
        <w:t>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 xml:space="preserve">frailty domains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 xml:space="preserve">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w:t>
      </w:r>
      <w:r>
        <w:rPr>
          <w:rFonts w:hint="eastAsia" w:ascii="Times New Roman" w:hAnsi="Times New Roman" w:eastAsia="DengXian" w:cs="Times New Roman"/>
          <w:i/>
          <w:iCs/>
          <w:szCs w:val="21"/>
        </w:rPr>
        <w:t xml:space="preserve">CS </w:t>
      </w:r>
      <w:r>
        <w:rPr>
          <w:rFonts w:ascii="Times New Roman" w:hAnsi="Times New Roman" w:eastAsia="DengXian" w:cs="Times New Roman"/>
          <w:i/>
          <w:iCs/>
          <w:szCs w:val="21"/>
        </w:rPr>
        <w:t>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r>
        <w:rPr>
          <w:rFonts w:hint="eastAsia" w:ascii="Times New Roman" w:hAnsi="Times New Roman" w:eastAsia="DengXian" w:cs="Times New Roman"/>
          <w:i/>
          <w:iCs/>
          <w:szCs w:val="21"/>
        </w:rPr>
        <w:t>.</w:t>
      </w:r>
    </w:p>
    <w:p w14:paraId="0BF16D2D">
      <w:pPr>
        <w:widowControl/>
        <w:rPr>
          <w:rFonts w:ascii="Times New Roman" w:hAnsi="Times New Roman" w:eastAsia="DengXian" w:cs="Times New Roman"/>
          <w:i/>
          <w:iCs/>
          <w:szCs w:val="21"/>
        </w:rPr>
      </w:pPr>
    </w:p>
    <w:p w14:paraId="20646B2D">
      <w:pPr>
        <w:pStyle w:val="2"/>
        <w:rPr>
          <w:szCs w:val="21"/>
        </w:rPr>
      </w:pPr>
      <w:r>
        <w:rPr>
          <w:rFonts w:ascii="Times New Roman" w:hAnsi="Times New Roman" w:cs="Times New Roman"/>
          <w:sz w:val="21"/>
          <w:szCs w:val="21"/>
        </w:rPr>
        <w:t>Neighborhood and Built Environment</w:t>
      </w:r>
    </w:p>
    <w:p w14:paraId="5624D5BD">
      <w:pPr>
        <w:jc w:val="center"/>
        <w:rPr>
          <w:szCs w:val="21"/>
        </w:rPr>
      </w:pPr>
      <w:r>
        <w:rPr>
          <w:szCs w:val="21"/>
        </w:rPr>
        <w:drawing>
          <wp:inline distT="0" distB="0" distL="114300" distR="114300">
            <wp:extent cx="5842000" cy="3185160"/>
            <wp:effectExtent l="0" t="0" r="0" b="15240"/>
            <wp:docPr id="1" name="图片 1" descr="Fig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27"/>
                    <pic:cNvPicPr>
                      <a:picLocks noChangeAspect="1"/>
                    </pic:cNvPicPr>
                  </pic:nvPicPr>
                  <pic:blipFill>
                    <a:blip r:embed="rId31"/>
                    <a:srcRect l="13858" t="4722" r="11063" b="9343"/>
                    <a:stretch>
                      <a:fillRect/>
                    </a:stretch>
                  </pic:blipFill>
                  <pic:spPr>
                    <a:xfrm>
                      <a:off x="0" y="0"/>
                      <a:ext cx="5842000" cy="3185160"/>
                    </a:xfrm>
                    <a:prstGeom prst="rect">
                      <a:avLst/>
                    </a:prstGeom>
                  </pic:spPr>
                </pic:pic>
              </a:graphicData>
            </a:graphic>
          </wp:inline>
        </w:drawing>
      </w:r>
    </w:p>
    <w:p w14:paraId="21910FF0">
      <w:pPr>
        <w:widowControl/>
        <w:rPr>
          <w:rFonts w:ascii="Times New Roman" w:hAnsi="Times New Roman" w:eastAsia="DengXian" w:cs="Times New Roman"/>
          <w:szCs w:val="21"/>
        </w:rPr>
        <w:sectPr>
          <w:pgSz w:w="11906" w:h="16838"/>
          <w:pgMar w:top="720" w:right="720" w:bottom="720" w:left="720" w:header="851" w:footer="992" w:gutter="0"/>
          <w:cols w:space="425" w:num="1"/>
          <w:docGrid w:type="lines" w:linePitch="312" w:charSpace="0"/>
        </w:sectPr>
      </w:pPr>
      <w:r>
        <w:rPr>
          <w:rFonts w:ascii="Times New Roman Bold" w:hAnsi="Times New Roman Bold" w:eastAsia="DengXian" w:cs="Times New Roman Bold"/>
          <w:b/>
          <w:bCs/>
          <w:szCs w:val="21"/>
        </w:rPr>
        <w:t xml:space="preserve">Figure S27. </w:t>
      </w:r>
      <w:r>
        <w:rPr>
          <w:rFonts w:ascii="Times New Roman" w:hAnsi="Times New Roman" w:eastAsia="DengXian" w:cs="Times New Roman"/>
          <w:szCs w:val="21"/>
        </w:rPr>
        <w:t>Centrality indices for the network of frailty domains and Neighborhood and Built Environment variables.</w:t>
      </w:r>
    </w:p>
    <w:p w14:paraId="61789528">
      <w:pPr>
        <w:widowControl/>
        <w:spacing w:line="360" w:lineRule="auto"/>
        <w:jc w:val="center"/>
        <w:rPr>
          <w:szCs w:val="21"/>
        </w:rPr>
      </w:pPr>
      <w:r>
        <w:drawing>
          <wp:inline distT="0" distB="0" distL="114300" distR="114300">
            <wp:extent cx="5039995" cy="3423285"/>
            <wp:effectExtent l="0" t="0" r="14605" b="5715"/>
            <wp:docPr id="38" name="图片 38" descr="Fig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igS28"/>
                    <pic:cNvPicPr>
                      <a:picLocks noChangeAspect="1"/>
                    </pic:cNvPicPr>
                  </pic:nvPicPr>
                  <pic:blipFill>
                    <a:blip r:embed="rId32"/>
                    <a:stretch>
                      <a:fillRect/>
                    </a:stretch>
                  </pic:blipFill>
                  <pic:spPr>
                    <a:xfrm>
                      <a:off x="0" y="0"/>
                      <a:ext cx="5039995" cy="3423285"/>
                    </a:xfrm>
                    <a:prstGeom prst="rect">
                      <a:avLst/>
                    </a:prstGeom>
                  </pic:spPr>
                </pic:pic>
              </a:graphicData>
            </a:graphic>
          </wp:inline>
        </w:drawing>
      </w:r>
    </w:p>
    <w:p w14:paraId="6779F2CA">
      <w:pPr>
        <w:widowControl/>
        <w:jc w:val="left"/>
        <w:rPr>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2</w:t>
      </w:r>
      <w:r>
        <w:rPr>
          <w:rFonts w:ascii="Times New Roman" w:hAnsi="Times New Roman" w:eastAsia="DengXian" w:cs="Times New Roman"/>
          <w:b/>
          <w:bCs/>
          <w:szCs w:val="21"/>
        </w:rPr>
        <w:t>8.</w:t>
      </w:r>
      <w:r>
        <w:rPr>
          <w:rFonts w:ascii="Times New Roman" w:hAnsi="Times New Roman" w:eastAsia="DengXian" w:cs="Times New Roman"/>
          <w:szCs w:val="21"/>
        </w:rPr>
        <w:t xml:space="preserve"> Accuracy analysis of estimated edge weights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Neighborhood and Built Environment variables</w:t>
      </w:r>
      <w:r>
        <w:rPr>
          <w:rFonts w:hint="eastAsia" w:ascii="Times New Roman" w:hAnsi="Times New Roman" w:eastAsia="宋体" w:cs="Times New Roman"/>
          <w:kern w:val="0"/>
          <w:szCs w:val="21"/>
        </w:rPr>
        <w:t xml:space="preserve"> </w:t>
      </w:r>
      <w:r>
        <w:rPr>
          <w:rFonts w:hint="eastAsia" w:ascii="Times New Roman" w:hAnsi="Times New Roman" w:eastAsia="DengXian" w:cs="Times New Roman"/>
          <w:szCs w:val="21"/>
        </w:rPr>
        <w:t xml:space="preserve">and </w:t>
      </w:r>
      <w:r>
        <w:rPr>
          <w:rFonts w:ascii="Times New Roman" w:hAnsi="Times New Roman" w:eastAsia="DengXian" w:cs="Times New Roman"/>
          <w:szCs w:val="21"/>
        </w:rPr>
        <w:t>frailty domains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5A5773DB">
      <w:pPr>
        <w:jc w:val="center"/>
        <w:rPr>
          <w:szCs w:val="21"/>
        </w:rPr>
      </w:pPr>
      <w:r>
        <w:drawing>
          <wp:inline distT="0" distB="0" distL="114300" distR="114300">
            <wp:extent cx="4679950" cy="3178810"/>
            <wp:effectExtent l="0" t="0" r="19050" b="21590"/>
            <wp:docPr id="12" name="图片 12" descr="Fig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S29"/>
                    <pic:cNvPicPr>
                      <a:picLocks noChangeAspect="1"/>
                    </pic:cNvPicPr>
                  </pic:nvPicPr>
                  <pic:blipFill>
                    <a:blip r:embed="rId33"/>
                    <a:stretch>
                      <a:fillRect/>
                    </a:stretch>
                  </pic:blipFill>
                  <pic:spPr>
                    <a:xfrm>
                      <a:off x="0" y="0"/>
                      <a:ext cx="4679950" cy="3178810"/>
                    </a:xfrm>
                    <a:prstGeom prst="rect">
                      <a:avLst/>
                    </a:prstGeom>
                  </pic:spPr>
                </pic:pic>
              </a:graphicData>
            </a:graphic>
          </wp:inline>
        </w:drawing>
      </w:r>
    </w:p>
    <w:p w14:paraId="1DA977C3">
      <w:pPr>
        <w:widowControl/>
        <w:rPr>
          <w:rFonts w:ascii="Times New Roman" w:hAnsi="Times New Roman" w:cs="Times New Roman"/>
          <w:szCs w:val="21"/>
        </w:rPr>
      </w:pPr>
      <w:r>
        <w:rPr>
          <w:rFonts w:ascii="Times New Roman" w:hAnsi="Times New Roman" w:eastAsia="DengXian" w:cs="Times New Roman"/>
          <w:b/>
          <w:bCs/>
          <w:szCs w:val="21"/>
        </w:rPr>
        <w:t>Figure S</w:t>
      </w:r>
      <w:r>
        <w:rPr>
          <w:rFonts w:hint="eastAsia" w:ascii="Times New Roman" w:hAnsi="Times New Roman" w:eastAsia="DengXian" w:cs="Times New Roman"/>
          <w:b/>
          <w:bCs/>
          <w:szCs w:val="21"/>
        </w:rPr>
        <w:t>2</w:t>
      </w:r>
      <w:r>
        <w:rPr>
          <w:rFonts w:ascii="Times New Roman" w:hAnsi="Times New Roman" w:eastAsia="DengXian" w:cs="Times New Roman"/>
          <w:b/>
          <w:bCs/>
          <w:szCs w:val="21"/>
        </w:rPr>
        <w:t xml:space="preserve">9. </w:t>
      </w:r>
      <w:r>
        <w:rPr>
          <w:rFonts w:ascii="Times New Roman" w:hAnsi="Times New Roman" w:eastAsia="DengXian" w:cs="Times New Roman"/>
          <w:szCs w:val="21"/>
        </w:rPr>
        <w:t xml:space="preserve">Stability analysis of centrality indices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Neighborhood and Built Environment variables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 xml:space="preserve">frailty domains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 xml:space="preserve">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w:t>
      </w:r>
      <w:r>
        <w:rPr>
          <w:rFonts w:hint="eastAsia" w:ascii="Times New Roman" w:hAnsi="Times New Roman" w:eastAsia="DengXian" w:cs="Times New Roman"/>
          <w:i/>
          <w:iCs/>
          <w:szCs w:val="21"/>
        </w:rPr>
        <w:t xml:space="preserve">CS </w:t>
      </w:r>
      <w:r>
        <w:rPr>
          <w:rFonts w:ascii="Times New Roman" w:hAnsi="Times New Roman" w:eastAsia="DengXian" w:cs="Times New Roman"/>
          <w:i/>
          <w:iCs/>
          <w:szCs w:val="21"/>
        </w:rPr>
        <w:t>coefficient</w:t>
      </w:r>
      <w:r>
        <w:rPr>
          <w:rFonts w:hint="eastAsia" w:ascii="Times New Roman" w:hAnsi="Times New Roman" w:eastAsia="DengXian" w:cs="Times New Roman"/>
          <w:i/>
          <w:iCs/>
          <w:szCs w:val="21"/>
        </w:rPr>
        <w:t xml:space="preserve"> was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p>
    <w:p w14:paraId="00F400E3">
      <w:pPr>
        <w:pStyle w:val="2"/>
        <w:rPr>
          <w:rFonts w:ascii="Times New Roman" w:hAnsi="Times New Roman" w:cs="Times New Roman"/>
          <w:sz w:val="21"/>
          <w:szCs w:val="21"/>
        </w:rPr>
      </w:pPr>
      <w:r>
        <w:rPr>
          <w:rFonts w:ascii="Times New Roman" w:hAnsi="Times New Roman" w:cs="Times New Roman"/>
          <w:sz w:val="21"/>
          <w:szCs w:val="21"/>
        </w:rPr>
        <w:t xml:space="preserve">Social and Community Context </w:t>
      </w:r>
    </w:p>
    <w:p w14:paraId="0799DEA4">
      <w:pPr>
        <w:jc w:val="center"/>
        <w:rPr>
          <w:szCs w:val="21"/>
        </w:rPr>
      </w:pPr>
      <w:r>
        <w:rPr>
          <w:szCs w:val="21"/>
        </w:rPr>
        <w:drawing>
          <wp:inline distT="0" distB="0" distL="114300" distR="114300">
            <wp:extent cx="5934710" cy="3345815"/>
            <wp:effectExtent l="0" t="0" r="8890" b="6985"/>
            <wp:docPr id="22" name="图片 22" descr="Fig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S30"/>
                    <pic:cNvPicPr>
                      <a:picLocks noChangeAspect="1"/>
                    </pic:cNvPicPr>
                  </pic:nvPicPr>
                  <pic:blipFill>
                    <a:blip r:embed="rId34"/>
                    <a:srcRect l="10566" t="5425" r="15935" b="7595"/>
                    <a:stretch>
                      <a:fillRect/>
                    </a:stretch>
                  </pic:blipFill>
                  <pic:spPr>
                    <a:xfrm>
                      <a:off x="0" y="0"/>
                      <a:ext cx="5934710" cy="3345815"/>
                    </a:xfrm>
                    <a:prstGeom prst="rect">
                      <a:avLst/>
                    </a:prstGeom>
                  </pic:spPr>
                </pic:pic>
              </a:graphicData>
            </a:graphic>
          </wp:inline>
        </w:drawing>
      </w:r>
    </w:p>
    <w:p w14:paraId="203716C0">
      <w:pPr>
        <w:pStyle w:val="8"/>
        <w:spacing w:after="0"/>
        <w:rPr>
          <w:rFonts w:eastAsia="宋体" w:cs="Times New Roman"/>
          <w:kern w:val="0"/>
          <w:sz w:val="21"/>
          <w:szCs w:val="21"/>
        </w:rPr>
      </w:pPr>
      <w:r>
        <w:rPr>
          <w:rFonts w:eastAsia="宋体" w:cs="Times New Roman"/>
          <w:kern w:val="0"/>
          <w:sz w:val="21"/>
          <w:szCs w:val="21"/>
        </w:rPr>
        <w:t>Figure S30</w:t>
      </w:r>
      <w:r>
        <w:rPr>
          <w:rFonts w:hint="eastAsia" w:eastAsia="宋体" w:cs="Times New Roman"/>
          <w:kern w:val="0"/>
          <w:sz w:val="21"/>
          <w:szCs w:val="21"/>
        </w:rPr>
        <w:t>.</w:t>
      </w:r>
      <w:r>
        <w:rPr>
          <w:rFonts w:eastAsia="宋体" w:cs="Times New Roman"/>
          <w:kern w:val="0"/>
          <w:sz w:val="21"/>
          <w:szCs w:val="21"/>
        </w:rPr>
        <w:t xml:space="preserve"> </w:t>
      </w:r>
      <w:r>
        <w:rPr>
          <w:rFonts w:eastAsia="DengXian" w:cs="Times New Roman"/>
          <w:b w:val="0"/>
          <w:bCs w:val="0"/>
          <w:sz w:val="21"/>
          <w:szCs w:val="21"/>
        </w:rPr>
        <w:t xml:space="preserve">Centrality indices for </w:t>
      </w:r>
      <w:r>
        <w:rPr>
          <w:rFonts w:eastAsia="宋体" w:cs="Times New Roman"/>
          <w:b w:val="0"/>
          <w:bCs w:val="0"/>
          <w:kern w:val="0"/>
          <w:sz w:val="21"/>
          <w:szCs w:val="21"/>
        </w:rPr>
        <w:t>the network of frailty domains and Social and Community Context variables.</w:t>
      </w:r>
    </w:p>
    <w:p w14:paraId="3AFE92BA">
      <w:pPr>
        <w:pStyle w:val="9"/>
        <w:widowControl/>
        <w:spacing w:beforeAutospacing="0" w:afterAutospacing="0" w:line="360" w:lineRule="auto"/>
        <w:jc w:val="center"/>
        <w:rPr>
          <w:sz w:val="21"/>
          <w:szCs w:val="21"/>
        </w:rPr>
      </w:pPr>
      <w:r>
        <w:drawing>
          <wp:inline distT="0" distB="0" distL="114300" distR="114300">
            <wp:extent cx="5039995" cy="3423285"/>
            <wp:effectExtent l="0" t="0" r="14605" b="5715"/>
            <wp:docPr id="39" name="图片 39" descr="FigS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FigS31"/>
                    <pic:cNvPicPr>
                      <a:picLocks noChangeAspect="1"/>
                    </pic:cNvPicPr>
                  </pic:nvPicPr>
                  <pic:blipFill>
                    <a:blip r:embed="rId32"/>
                    <a:stretch>
                      <a:fillRect/>
                    </a:stretch>
                  </pic:blipFill>
                  <pic:spPr>
                    <a:xfrm>
                      <a:off x="0" y="0"/>
                      <a:ext cx="5039995" cy="3423285"/>
                    </a:xfrm>
                    <a:prstGeom prst="rect">
                      <a:avLst/>
                    </a:prstGeom>
                  </pic:spPr>
                </pic:pic>
              </a:graphicData>
            </a:graphic>
          </wp:inline>
        </w:drawing>
      </w:r>
    </w:p>
    <w:p w14:paraId="0E270680">
      <w:pPr>
        <w:widowControl/>
        <w:rPr>
          <w:rFonts w:ascii="Times New Roman" w:hAnsi="Times New Roman" w:eastAsia="DengXian" w:cs="Times New Roman"/>
          <w:i/>
          <w:iCs/>
          <w:szCs w:val="21"/>
        </w:rPr>
      </w:pPr>
      <w:r>
        <w:rPr>
          <w:rFonts w:ascii="Times New Roman" w:hAnsi="Times New Roman" w:eastAsia="DengXian" w:cs="Times New Roman"/>
          <w:b/>
          <w:bCs/>
          <w:szCs w:val="21"/>
        </w:rPr>
        <w:t>Figure S31.</w:t>
      </w:r>
      <w:r>
        <w:rPr>
          <w:rFonts w:ascii="Times New Roman" w:hAnsi="Times New Roman" w:eastAsia="DengXian" w:cs="Times New Roman"/>
          <w:szCs w:val="21"/>
        </w:rPr>
        <w:t xml:space="preserve"> Accuracy analysis of estimated edge weights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Social and Community Context variables</w:t>
      </w:r>
      <w:r>
        <w:rPr>
          <w:rFonts w:hint="eastAsia" w:ascii="Times New Roman" w:hAnsi="Times New Roman" w:eastAsia="宋体" w:cs="Times New Roman"/>
          <w:kern w:val="0"/>
          <w:szCs w:val="21"/>
        </w:rPr>
        <w:t xml:space="preserve"> </w:t>
      </w:r>
      <w:r>
        <w:rPr>
          <w:rFonts w:hint="eastAsia" w:ascii="Times New Roman" w:hAnsi="Times New Roman" w:eastAsia="DengXian" w:cs="Times New Roman"/>
          <w:szCs w:val="21"/>
        </w:rPr>
        <w:t xml:space="preserve">and </w:t>
      </w:r>
      <w:r>
        <w:rPr>
          <w:rFonts w:ascii="Times New Roman" w:hAnsi="Times New Roman" w:eastAsia="DengXian" w:cs="Times New Roman"/>
          <w:szCs w:val="21"/>
        </w:rPr>
        <w:t>frailty domains using bootstrapped confidence intervals.</w:t>
      </w:r>
      <w:r>
        <w:rPr>
          <w:rFonts w:ascii="Times New Roman" w:hAnsi="Times New Roman" w:eastAsia="DengXian" w:cs="Times New Roman"/>
          <w:i/>
          <w:iCs/>
          <w:szCs w:val="21"/>
        </w:rPr>
        <w:t xml:space="preserve"> Notes: The vertical axis lists each edge between each pair of nodes, and the horizontal axis indicates the estimated edge weights. The black dots represent the edge weights. The gray shaded areas represent the 95% bootstrapped confidence intervals, indicating the variability and precision of each estimated edge weight. Narrower intervals suggest more stable and reliable associations between domains.</w:t>
      </w:r>
    </w:p>
    <w:p w14:paraId="1EBB010E">
      <w:pPr>
        <w:jc w:val="center"/>
        <w:rPr>
          <w:rFonts w:hint="eastAsia" w:ascii="Times New Roman" w:hAnsi="Times New Roman" w:cs="Times New Roman" w:eastAsiaTheme="minorEastAsia"/>
          <w:szCs w:val="21"/>
          <w:lang w:eastAsia="zh-CN"/>
        </w:rPr>
      </w:pPr>
      <w:r>
        <w:drawing>
          <wp:inline distT="0" distB="0" distL="114300" distR="114300">
            <wp:extent cx="5039995" cy="3423285"/>
            <wp:effectExtent l="0" t="0" r="14605" b="5715"/>
            <wp:docPr id="20" name="图片 20" descr="Fig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S32"/>
                    <pic:cNvPicPr>
                      <a:picLocks noChangeAspect="1"/>
                    </pic:cNvPicPr>
                  </pic:nvPicPr>
                  <pic:blipFill>
                    <a:blip r:embed="rId35"/>
                    <a:stretch>
                      <a:fillRect/>
                    </a:stretch>
                  </pic:blipFill>
                  <pic:spPr>
                    <a:xfrm>
                      <a:off x="0" y="0"/>
                      <a:ext cx="5039995" cy="3423285"/>
                    </a:xfrm>
                    <a:prstGeom prst="rect">
                      <a:avLst/>
                    </a:prstGeom>
                  </pic:spPr>
                </pic:pic>
              </a:graphicData>
            </a:graphic>
          </wp:inline>
        </w:drawing>
      </w:r>
    </w:p>
    <w:p w14:paraId="65CB4118">
      <w:pPr>
        <w:widowControl/>
        <w:rPr>
          <w:rFonts w:asciiTheme="majorBidi" w:hAnsiTheme="majorBidi" w:cstheme="majorBidi"/>
          <w:b/>
          <w:bCs/>
          <w:color w:val="C00000"/>
          <w:szCs w:val="21"/>
        </w:rPr>
      </w:pPr>
      <w:r>
        <w:rPr>
          <w:rFonts w:ascii="Times New Roman" w:hAnsi="Times New Roman" w:eastAsia="DengXian" w:cs="Times New Roman"/>
          <w:b/>
          <w:bCs/>
          <w:szCs w:val="21"/>
        </w:rPr>
        <w:t>Figure S32</w:t>
      </w:r>
      <w:r>
        <w:rPr>
          <w:rFonts w:hint="eastAsia" w:ascii="Times New Roman" w:hAnsi="Times New Roman" w:eastAsia="DengXian" w:cs="Times New Roman"/>
          <w:b/>
          <w:bCs/>
          <w:szCs w:val="21"/>
        </w:rPr>
        <w:t xml:space="preserve">. </w:t>
      </w:r>
      <w:r>
        <w:rPr>
          <w:rFonts w:ascii="Times New Roman" w:hAnsi="Times New Roman" w:eastAsia="DengXian" w:cs="Times New Roman"/>
          <w:szCs w:val="21"/>
        </w:rPr>
        <w:t xml:space="preserve">Stability analysis of centrality indices in the network </w:t>
      </w:r>
      <w:r>
        <w:rPr>
          <w:rFonts w:hint="eastAsia" w:ascii="Times New Roman" w:hAnsi="Times New Roman" w:eastAsia="DengXian" w:cs="Times New Roman"/>
          <w:szCs w:val="21"/>
        </w:rPr>
        <w:t>connecting</w:t>
      </w:r>
      <w:r>
        <w:rPr>
          <w:rFonts w:ascii="Times New Roman" w:hAnsi="Times New Roman" w:eastAsia="DengXian" w:cs="Times New Roman"/>
          <w:szCs w:val="21"/>
        </w:rPr>
        <w:t xml:space="preserve"> </w:t>
      </w:r>
      <w:r>
        <w:rPr>
          <w:rFonts w:ascii="Times New Roman" w:hAnsi="Times New Roman" w:eastAsia="宋体" w:cs="Times New Roman"/>
          <w:kern w:val="0"/>
          <w:szCs w:val="21"/>
        </w:rPr>
        <w:t>Social and Community Context variables</w:t>
      </w:r>
      <w:r>
        <w:rPr>
          <w:rFonts w:hint="eastAsia" w:ascii="Times New Roman" w:hAnsi="Times New Roman" w:eastAsia="DengXian" w:cs="Times New Roman"/>
          <w:szCs w:val="21"/>
        </w:rPr>
        <w:t xml:space="preserve"> and </w:t>
      </w:r>
      <w:r>
        <w:rPr>
          <w:rFonts w:ascii="Times New Roman" w:hAnsi="Times New Roman" w:eastAsia="DengXian" w:cs="Times New Roman"/>
          <w:szCs w:val="21"/>
        </w:rPr>
        <w:t xml:space="preserve">frailty domains using case-dropping bootstrap. </w:t>
      </w:r>
      <w:r>
        <w:rPr>
          <w:rFonts w:ascii="Times New Roman" w:hAnsi="Times New Roman" w:eastAsia="DengXian" w:cs="Times New Roman"/>
          <w:i/>
          <w:iCs/>
          <w:szCs w:val="21"/>
        </w:rPr>
        <w:t>Note: The plot presents the correlation stability (CS) coefficients for three centrality indices: strength (blue), closeness (green), and betweenness (red).</w:t>
      </w:r>
      <w:r>
        <w:rPr>
          <w:rFonts w:hint="eastAsia" w:ascii="Times New Roman" w:hAnsi="Times New Roman" w:eastAsia="DengXian" w:cs="Times New Roman"/>
          <w:i/>
          <w:iCs/>
          <w:szCs w:val="21"/>
        </w:rPr>
        <w:t xml:space="preserve"> </w:t>
      </w:r>
      <w:r>
        <w:rPr>
          <w:rFonts w:ascii="Times New Roman" w:hAnsi="Times New Roman" w:eastAsia="DengXian" w:cs="Times New Roman"/>
          <w:i/>
          <w:iCs/>
          <w:szCs w:val="21"/>
        </w:rPr>
        <w:t xml:space="preserve">The x-axis represents the proportion of cases retained in each bootstrap sample, while the y-axis indicates the average correlation between centrality values in the subset and the full sample. Colored lines show the mean correlations, and shaded areas represent 95% confidence intervals. Dots along the curves indicate the estimated correlation at each sampling proportion. The </w:t>
      </w:r>
      <w:r>
        <w:rPr>
          <w:rFonts w:hint="eastAsia" w:ascii="Times New Roman" w:hAnsi="Times New Roman" w:eastAsia="DengXian" w:cs="Times New Roman"/>
          <w:i/>
          <w:iCs/>
          <w:szCs w:val="21"/>
        </w:rPr>
        <w:t xml:space="preserve">CS </w:t>
      </w:r>
      <w:r>
        <w:rPr>
          <w:rFonts w:ascii="Times New Roman" w:hAnsi="Times New Roman" w:eastAsia="DengXian" w:cs="Times New Roman"/>
          <w:i/>
          <w:iCs/>
          <w:szCs w:val="21"/>
        </w:rPr>
        <w:t>coefficient w</w:t>
      </w:r>
      <w:r>
        <w:rPr>
          <w:rFonts w:hint="eastAsia" w:ascii="Times New Roman" w:hAnsi="Times New Roman" w:eastAsia="DengXian" w:cs="Times New Roman"/>
          <w:i/>
          <w:iCs/>
          <w:szCs w:val="21"/>
        </w:rPr>
        <w:t>as</w:t>
      </w:r>
      <w:r>
        <w:rPr>
          <w:rFonts w:ascii="Times New Roman" w:hAnsi="Times New Roman" w:eastAsia="DengXian" w:cs="Times New Roman"/>
          <w:i/>
          <w:iCs/>
          <w:szCs w:val="21"/>
        </w:rPr>
        <w:t xml:space="preserve"> 0.</w:t>
      </w:r>
      <w:r>
        <w:rPr>
          <w:rFonts w:hint="eastAsia" w:ascii="Times New Roman" w:hAnsi="Times New Roman" w:eastAsia="DengXian" w:cs="Times New Roman"/>
          <w:i/>
          <w:iCs/>
          <w:szCs w:val="21"/>
        </w:rPr>
        <w:t>75</w:t>
      </w:r>
      <w:r>
        <w:rPr>
          <w:rFonts w:ascii="Times New Roman" w:hAnsi="Times New Roman" w:eastAsia="DengXian" w:cs="Times New Roman"/>
          <w:i/>
          <w:iCs/>
          <w:szCs w:val="21"/>
        </w:rPr>
        <w:t xml:space="preserve"> for strength</w:t>
      </w:r>
      <w:r>
        <w:rPr>
          <w:rFonts w:hint="eastAsia" w:ascii="Times New Roman" w:hAnsi="Times New Roman" w:eastAsia="DengXian" w:cs="Times New Roman"/>
          <w:i/>
          <w:iCs/>
          <w:szCs w:val="21"/>
        </w:rPr>
        <w:t>.</w:t>
      </w:r>
    </w:p>
    <w:p w14:paraId="4C134420">
      <w:pPr>
        <w:rPr>
          <w:rFonts w:ascii="Times New Roman" w:hAnsi="Times New Roman" w:eastAsia="DengXian"/>
          <w:i/>
          <w:iCs/>
          <w:szCs w:val="21"/>
        </w:rPr>
      </w:pPr>
      <w:r>
        <w:rPr>
          <w:rFonts w:asciiTheme="majorBidi" w:hAnsiTheme="majorBidi" w:cstheme="majorBidi"/>
          <w:b/>
          <w:bCs/>
          <w:color w:val="C00000"/>
          <w:szCs w:val="21"/>
        </w:rPr>
        <w:br w:type="page"/>
      </w:r>
    </w:p>
    <w:p w14:paraId="4528AB04">
      <w:pPr>
        <w:pStyle w:val="8"/>
        <w:spacing w:after="0" w:line="240" w:lineRule="auto"/>
        <w:rPr>
          <w:rFonts w:cs="Times New Roman" w:eastAsiaTheme="minorEastAsia"/>
          <w:color w:val="C00000"/>
          <w:kern w:val="2"/>
          <w:sz w:val="21"/>
          <w:szCs w:val="21"/>
        </w:rPr>
      </w:pPr>
      <w:r>
        <w:rPr>
          <w:rFonts w:hint="eastAsia" w:cs="Times New Roman" w:eastAsiaTheme="minorEastAsia"/>
          <w:color w:val="C00000"/>
          <w:kern w:val="2"/>
          <w:sz w:val="21"/>
          <w:szCs w:val="21"/>
        </w:rPr>
        <w:t>Sensitivity analysis</w:t>
      </w:r>
    </w:p>
    <w:p w14:paraId="0D48C32E">
      <w:pPr>
        <w:widowControl/>
        <w:jc w:val="left"/>
        <w:rPr>
          <w:rFonts w:ascii="Times New Roman Regular" w:hAnsi="Times New Roman Regular" w:eastAsia="宋体" w:cs="Times New Roman Regular"/>
          <w:szCs w:val="21"/>
          <w:lang w:bidi="ar"/>
        </w:rPr>
      </w:pPr>
      <w:r>
        <w:rPr>
          <w:rFonts w:ascii="Times New Roman Regular" w:hAnsi="Times New Roman Regular" w:eastAsia="宋体" w:cs="Times New Roman Regular"/>
          <w:b/>
          <w:bCs/>
          <w:szCs w:val="21"/>
          <w:lang w:bidi="ar"/>
        </w:rPr>
        <w:t>Table S9.</w:t>
      </w:r>
      <w:r>
        <w:rPr>
          <w:rFonts w:ascii="Times New Roman Regular" w:hAnsi="Times New Roman Regular" w:eastAsia="宋体" w:cs="Times New Roman Regular"/>
          <w:szCs w:val="21"/>
          <w:lang w:bidi="ar"/>
        </w:rPr>
        <w:t xml:space="preserve"> Comparison of characteristics between participants included in the complete-case sensitivity analysis (n = 7492) and those excluded due to missing FI component or SDoH indicator data (n = 3162).</w:t>
      </w:r>
    </w:p>
    <w:tbl>
      <w:tblPr>
        <w:tblStyle w:val="12"/>
        <w:tblW w:w="531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54"/>
        <w:gridCol w:w="1994"/>
        <w:gridCol w:w="1864"/>
        <w:gridCol w:w="1300"/>
        <w:gridCol w:w="984"/>
        <w:gridCol w:w="1265"/>
      </w:tblGrid>
      <w:tr w14:paraId="0D48C338">
        <w:trPr>
          <w:jc w:val="center"/>
        </w:trPr>
        <w:tc>
          <w:tcPr>
            <w:tcW w:w="1739" w:type="pct"/>
            <w:tcBorders>
              <w:top w:val="single" w:color="000000" w:sz="12" w:space="0"/>
              <w:left w:val="nil"/>
              <w:bottom w:val="single" w:color="000000" w:sz="4" w:space="0"/>
              <w:right w:val="nil"/>
              <w:tl2br w:val="nil"/>
            </w:tcBorders>
            <w:shd w:val="clear" w:color="auto" w:fill="FFFFFF"/>
            <w:vAlign w:val="center"/>
          </w:tcPr>
          <w:p w14:paraId="0D48C32F">
            <w:pPr>
              <w:jc w:val="center"/>
              <w:rPr>
                <w:rFonts w:ascii="Times New Roman" w:hAnsi="Times New Roman" w:cs="Times New Roman"/>
                <w:szCs w:val="21"/>
              </w:rPr>
            </w:pPr>
            <w:r>
              <w:rPr>
                <w:rFonts w:ascii="Times New Roman" w:hAnsi="Times New Roman" w:cs="Times New Roman"/>
                <w:b/>
                <w:szCs w:val="21"/>
              </w:rPr>
              <w:t>Variable</w:t>
            </w:r>
            <w:r>
              <w:rPr>
                <w:rFonts w:hint="eastAsia" w:ascii="Times New Roman" w:hAnsi="Times New Roman" w:cs="Times New Roman"/>
                <w:b/>
                <w:szCs w:val="21"/>
              </w:rPr>
              <w:t>s</w:t>
            </w:r>
          </w:p>
        </w:tc>
        <w:tc>
          <w:tcPr>
            <w:tcW w:w="877" w:type="pct"/>
            <w:tcBorders>
              <w:top w:val="single" w:color="000000" w:sz="12" w:space="0"/>
              <w:left w:val="nil"/>
              <w:bottom w:val="single" w:color="000000" w:sz="4" w:space="0"/>
              <w:right w:val="nil"/>
            </w:tcBorders>
            <w:shd w:val="clear" w:color="auto" w:fill="FFFFFF"/>
            <w:vAlign w:val="center"/>
          </w:tcPr>
          <w:p w14:paraId="0D48C330">
            <w:pPr>
              <w:jc w:val="center"/>
              <w:rPr>
                <w:rFonts w:ascii="Times New Roman" w:hAnsi="Times New Roman"/>
                <w:b/>
                <w:color w:val="000000"/>
              </w:rPr>
            </w:pPr>
            <w:r>
              <w:rPr>
                <w:rFonts w:hint="eastAsia" w:ascii="Times New Roman" w:hAnsi="Times New Roman"/>
                <w:b/>
                <w:color w:val="000000"/>
              </w:rPr>
              <w:t xml:space="preserve">Included in the complete-case sensitivity analysis </w:t>
            </w:r>
          </w:p>
          <w:p w14:paraId="0D48C331">
            <w:pPr>
              <w:jc w:val="center"/>
              <w:rPr>
                <w:rFonts w:ascii="Times New Roman" w:hAnsi="Times New Roman" w:cs="Times New Roman"/>
                <w:szCs w:val="21"/>
              </w:rPr>
            </w:pPr>
            <w:r>
              <w:rPr>
                <w:rFonts w:hint="eastAsia" w:ascii="Times New Roman" w:hAnsi="Times New Roman"/>
                <w:b/>
                <w:color w:val="000000"/>
              </w:rPr>
              <w:t>(n = 7492)</w:t>
            </w:r>
          </w:p>
        </w:tc>
        <w:tc>
          <w:tcPr>
            <w:tcW w:w="820" w:type="pct"/>
            <w:tcBorders>
              <w:top w:val="single" w:color="000000" w:sz="12" w:space="0"/>
              <w:left w:val="nil"/>
              <w:bottom w:val="single" w:color="000000" w:sz="4" w:space="0"/>
              <w:right w:val="nil"/>
            </w:tcBorders>
            <w:shd w:val="clear" w:color="auto" w:fill="FFFFFF"/>
            <w:vAlign w:val="center"/>
          </w:tcPr>
          <w:p w14:paraId="0D48C332">
            <w:pPr>
              <w:jc w:val="center"/>
              <w:rPr>
                <w:rFonts w:ascii="Times New Roman" w:hAnsi="Times New Roman"/>
                <w:b/>
                <w:color w:val="000000"/>
              </w:rPr>
            </w:pPr>
            <w:r>
              <w:rPr>
                <w:rFonts w:hint="eastAsia" w:ascii="Times New Roman" w:hAnsi="Times New Roman"/>
                <w:b/>
                <w:color w:val="000000"/>
              </w:rPr>
              <w:t>Excluded from the complete-case sensitivity analysis</w:t>
            </w:r>
          </w:p>
          <w:p w14:paraId="0D48C333">
            <w:pPr>
              <w:jc w:val="center"/>
              <w:rPr>
                <w:rFonts w:ascii="Times New Roman" w:hAnsi="Times New Roman" w:cs="Times New Roman"/>
                <w:b/>
                <w:bCs/>
                <w:szCs w:val="21"/>
              </w:rPr>
            </w:pPr>
            <w:r>
              <w:rPr>
                <w:rFonts w:hint="eastAsia" w:ascii="Times New Roman" w:hAnsi="Times New Roman"/>
                <w:b/>
                <w:color w:val="000000"/>
              </w:rPr>
              <w:t>(n = 3162)</w:t>
            </w:r>
          </w:p>
        </w:tc>
        <w:tc>
          <w:tcPr>
            <w:tcW w:w="572" w:type="pct"/>
            <w:tcBorders>
              <w:top w:val="single" w:color="000000" w:sz="12" w:space="0"/>
              <w:left w:val="nil"/>
              <w:bottom w:val="single" w:color="000000" w:sz="4" w:space="0"/>
              <w:right w:val="nil"/>
            </w:tcBorders>
            <w:shd w:val="clear" w:color="auto" w:fill="FFFFFF"/>
            <w:vAlign w:val="center"/>
          </w:tcPr>
          <w:p w14:paraId="0D48C334">
            <w:pPr>
              <w:widowControl/>
              <w:jc w:val="center"/>
              <w:rPr>
                <w:rFonts w:ascii="Times New Roman" w:hAnsi="Times New Roman"/>
                <w:b/>
                <w:color w:val="000000"/>
              </w:rPr>
            </w:pPr>
            <w:r>
              <w:rPr>
                <w:rFonts w:hint="eastAsia" w:ascii="Times New Roman" w:hAnsi="Times New Roman"/>
                <w:b/>
                <w:color w:val="000000"/>
              </w:rPr>
              <w:t>Missing in excluded</w:t>
            </w:r>
          </w:p>
          <w:p w14:paraId="0D48C335">
            <w:pPr>
              <w:widowControl/>
              <w:jc w:val="center"/>
              <w:rPr>
                <w:rFonts w:ascii="Times New Roman" w:hAnsi="Times New Roman"/>
                <w:b/>
                <w:i/>
                <w:color w:val="000000"/>
                <w:szCs w:val="21"/>
              </w:rPr>
            </w:pPr>
            <w:r>
              <w:rPr>
                <w:rFonts w:ascii="Times New Roman" w:hAnsi="Times New Roman"/>
                <w:b/>
                <w:color w:val="000000"/>
              </w:rPr>
              <w:t>(</w:t>
            </w:r>
            <w:r>
              <w:rPr>
                <w:rFonts w:hint="eastAsia" w:ascii="Times New Roman" w:hAnsi="Times New Roman"/>
                <w:b/>
                <w:color w:val="000000"/>
              </w:rPr>
              <w:t>n (%)</w:t>
            </w:r>
            <w:r>
              <w:rPr>
                <w:rFonts w:ascii="Times New Roman" w:hAnsi="Times New Roman"/>
                <w:b/>
                <w:color w:val="000000"/>
              </w:rPr>
              <w:t>)</w:t>
            </w:r>
          </w:p>
        </w:tc>
        <w:tc>
          <w:tcPr>
            <w:tcW w:w="433" w:type="pct"/>
            <w:tcBorders>
              <w:top w:val="single" w:color="000000" w:sz="12" w:space="0"/>
              <w:left w:val="nil"/>
              <w:bottom w:val="single" w:color="000000" w:sz="4" w:space="0"/>
              <w:right w:val="nil"/>
            </w:tcBorders>
            <w:shd w:val="clear" w:color="auto" w:fill="FFFFFF"/>
            <w:vAlign w:val="center"/>
          </w:tcPr>
          <w:p w14:paraId="0D48C336">
            <w:pPr>
              <w:jc w:val="center"/>
              <w:rPr>
                <w:rFonts w:ascii="Times New Roman" w:hAnsi="Times New Roman" w:cs="Times New Roman"/>
                <w:b/>
                <w:bCs/>
                <w:szCs w:val="21"/>
              </w:rPr>
            </w:pPr>
            <w:r>
              <w:rPr>
                <w:rFonts w:ascii="Times New Roman" w:hAnsi="Times New Roman"/>
                <w:b/>
                <w:i/>
                <w:color w:val="000000"/>
                <w:szCs w:val="21"/>
              </w:rPr>
              <w:t>χ</w:t>
            </w:r>
            <w:r>
              <w:rPr>
                <w:rFonts w:hint="eastAsia" w:ascii="Times New Roman" w:hAnsi="Times New Roman"/>
                <w:b/>
                <w:i/>
                <w:color w:val="000000"/>
                <w:szCs w:val="21"/>
                <w:vertAlign w:val="superscript"/>
              </w:rPr>
              <w:t>2</w:t>
            </w:r>
            <w:r>
              <w:rPr>
                <w:rFonts w:hint="eastAsia" w:ascii="Times New Roman" w:hAnsi="Times New Roman"/>
                <w:b/>
                <w:i/>
                <w:color w:val="000000"/>
                <w:szCs w:val="21"/>
              </w:rPr>
              <w:t>/Z</w:t>
            </w:r>
          </w:p>
        </w:tc>
        <w:tc>
          <w:tcPr>
            <w:tcW w:w="556" w:type="pct"/>
            <w:tcBorders>
              <w:top w:val="single" w:color="000000" w:sz="12" w:space="0"/>
              <w:left w:val="nil"/>
              <w:bottom w:val="single" w:color="000000" w:sz="4" w:space="0"/>
              <w:right w:val="nil"/>
            </w:tcBorders>
            <w:shd w:val="clear" w:color="auto" w:fill="FFFFFF"/>
            <w:vAlign w:val="center"/>
          </w:tcPr>
          <w:p w14:paraId="0D48C337">
            <w:pPr>
              <w:jc w:val="center"/>
              <w:rPr>
                <w:rFonts w:ascii="Times New Roman" w:hAnsi="Times New Roman" w:cs="Times New Roman"/>
                <w:b/>
                <w:bCs/>
                <w:szCs w:val="21"/>
              </w:rPr>
            </w:pPr>
            <w:r>
              <w:rPr>
                <w:rFonts w:hint="eastAsia" w:ascii="Times New Roman" w:hAnsi="Times New Roman"/>
                <w:b/>
                <w:i/>
                <w:color w:val="000000"/>
                <w:szCs w:val="21"/>
              </w:rPr>
              <w:t>P</w:t>
            </w:r>
          </w:p>
        </w:tc>
      </w:tr>
      <w:tr w14:paraId="0D48C33F">
        <w:trPr>
          <w:trHeight w:val="90" w:hRule="atLeast"/>
          <w:jc w:val="center"/>
        </w:trPr>
        <w:tc>
          <w:tcPr>
            <w:tcW w:w="1739" w:type="pct"/>
            <w:tcBorders>
              <w:top w:val="single" w:color="000000" w:sz="4" w:space="0"/>
              <w:left w:val="nil"/>
              <w:bottom w:val="nil"/>
              <w:right w:val="nil"/>
            </w:tcBorders>
            <w:shd w:val="clear" w:color="auto" w:fill="FFFFFF"/>
          </w:tcPr>
          <w:p w14:paraId="0D48C339">
            <w:pPr>
              <w:rPr>
                <w:rFonts w:ascii="Times New Roman" w:hAnsi="Times New Roman" w:cs="Times New Roman"/>
                <w:szCs w:val="21"/>
              </w:rPr>
            </w:pPr>
            <w:r>
              <w:rPr>
                <w:rFonts w:ascii="Times New Roman" w:hAnsi="Times New Roman" w:cs="Times New Roman"/>
                <w:b/>
                <w:bCs/>
                <w:szCs w:val="21"/>
              </w:rPr>
              <w:t>Demographics</w:t>
            </w:r>
          </w:p>
        </w:tc>
        <w:tc>
          <w:tcPr>
            <w:tcW w:w="877" w:type="pct"/>
            <w:tcBorders>
              <w:top w:val="single" w:color="000000" w:sz="4" w:space="0"/>
              <w:left w:val="nil"/>
              <w:bottom w:val="nil"/>
              <w:right w:val="nil"/>
            </w:tcBorders>
            <w:shd w:val="clear" w:color="auto" w:fill="FFFFFF"/>
          </w:tcPr>
          <w:p w14:paraId="0D48C33A">
            <w:pPr>
              <w:jc w:val="center"/>
              <w:rPr>
                <w:rFonts w:ascii="Times New Roman" w:hAnsi="Times New Roman" w:cs="Times New Roman"/>
                <w:szCs w:val="21"/>
              </w:rPr>
            </w:pPr>
          </w:p>
        </w:tc>
        <w:tc>
          <w:tcPr>
            <w:tcW w:w="820" w:type="pct"/>
            <w:tcBorders>
              <w:top w:val="single" w:color="000000" w:sz="4" w:space="0"/>
              <w:left w:val="nil"/>
              <w:bottom w:val="nil"/>
              <w:right w:val="nil"/>
            </w:tcBorders>
            <w:shd w:val="clear" w:color="auto" w:fill="FFFFFF"/>
          </w:tcPr>
          <w:p w14:paraId="0D48C33B">
            <w:pPr>
              <w:jc w:val="center"/>
              <w:rPr>
                <w:rFonts w:ascii="Times New Roman" w:hAnsi="Times New Roman" w:cs="Times New Roman"/>
                <w:szCs w:val="21"/>
              </w:rPr>
            </w:pPr>
          </w:p>
        </w:tc>
        <w:tc>
          <w:tcPr>
            <w:tcW w:w="572" w:type="pct"/>
            <w:tcBorders>
              <w:top w:val="single" w:color="000000" w:sz="4" w:space="0"/>
              <w:left w:val="nil"/>
              <w:bottom w:val="nil"/>
              <w:right w:val="nil"/>
            </w:tcBorders>
            <w:shd w:val="clear" w:color="auto" w:fill="FFFFFF"/>
          </w:tcPr>
          <w:p w14:paraId="0D48C33C">
            <w:pPr>
              <w:jc w:val="center"/>
              <w:rPr>
                <w:rFonts w:ascii="Times New Roman" w:hAnsi="Times New Roman" w:cs="Times New Roman"/>
                <w:szCs w:val="21"/>
              </w:rPr>
            </w:pPr>
          </w:p>
        </w:tc>
        <w:tc>
          <w:tcPr>
            <w:tcW w:w="433" w:type="pct"/>
            <w:tcBorders>
              <w:top w:val="single" w:color="000000" w:sz="4" w:space="0"/>
              <w:left w:val="nil"/>
              <w:bottom w:val="nil"/>
              <w:right w:val="nil"/>
            </w:tcBorders>
            <w:shd w:val="clear" w:color="auto" w:fill="FFFFFF"/>
          </w:tcPr>
          <w:p w14:paraId="0D48C33D">
            <w:pPr>
              <w:jc w:val="center"/>
              <w:rPr>
                <w:rFonts w:ascii="Times New Roman" w:hAnsi="Times New Roman" w:cs="Times New Roman"/>
                <w:szCs w:val="21"/>
              </w:rPr>
            </w:pPr>
          </w:p>
        </w:tc>
        <w:tc>
          <w:tcPr>
            <w:tcW w:w="556" w:type="pct"/>
            <w:tcBorders>
              <w:top w:val="single" w:color="000000" w:sz="4" w:space="0"/>
              <w:left w:val="nil"/>
              <w:bottom w:val="nil"/>
              <w:right w:val="nil"/>
            </w:tcBorders>
            <w:shd w:val="clear" w:color="auto" w:fill="FFFFFF"/>
          </w:tcPr>
          <w:p w14:paraId="0D48C33E">
            <w:pPr>
              <w:jc w:val="center"/>
              <w:rPr>
                <w:rFonts w:ascii="Times New Roman" w:hAnsi="Times New Roman" w:cs="Times New Roman"/>
                <w:szCs w:val="21"/>
              </w:rPr>
            </w:pPr>
          </w:p>
        </w:tc>
      </w:tr>
      <w:tr w14:paraId="0D48C346">
        <w:trPr>
          <w:trHeight w:val="90" w:hRule="atLeast"/>
          <w:jc w:val="center"/>
        </w:trPr>
        <w:tc>
          <w:tcPr>
            <w:tcW w:w="1739" w:type="pct"/>
            <w:tcBorders>
              <w:top w:val="nil"/>
              <w:left w:val="nil"/>
              <w:bottom w:val="nil"/>
              <w:right w:val="nil"/>
            </w:tcBorders>
            <w:shd w:val="clear" w:color="auto" w:fill="FFFFFF"/>
          </w:tcPr>
          <w:p w14:paraId="0D48C340">
            <w:pPr>
              <w:rPr>
                <w:rFonts w:ascii="Times New Roman" w:hAnsi="Times New Roman" w:cs="Times New Roman"/>
                <w:szCs w:val="21"/>
              </w:rPr>
            </w:pPr>
            <w:r>
              <w:rPr>
                <w:rFonts w:ascii="Times New Roman" w:hAnsi="Times New Roman" w:cs="Times New Roman"/>
                <w:szCs w:val="21"/>
              </w:rPr>
              <w:t>Age</w:t>
            </w:r>
            <w:r>
              <w:rPr>
                <w:rFonts w:hint="eastAsia" w:ascii="Times New Roman" w:hAnsi="Times New Roman" w:cs="Times New Roman"/>
                <w:szCs w:val="21"/>
              </w:rPr>
              <w:t xml:space="preserve"> (years)</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341">
            <w:pPr>
              <w:jc w:val="center"/>
              <w:rPr>
                <w:rFonts w:ascii="Times New Roman" w:hAnsi="Times New Roman" w:cs="Times New Roman"/>
                <w:szCs w:val="21"/>
              </w:rPr>
            </w:pPr>
            <w:r>
              <w:rPr>
                <w:rFonts w:hint="eastAsia" w:ascii="Times New Roman" w:hAnsi="Times New Roman" w:cs="Times New Roman"/>
                <w:szCs w:val="21"/>
              </w:rPr>
              <w:t>67.00 (</w:t>
            </w:r>
            <w:r>
              <w:rPr>
                <w:rFonts w:ascii="Times New Roman" w:hAnsi="Times New Roman" w:cs="Times New Roman"/>
                <w:szCs w:val="21"/>
              </w:rPr>
              <w:t>8.00, 63.00-71.00</w:t>
            </w:r>
            <w:r>
              <w:rPr>
                <w:rFonts w:hint="eastAsia" w:ascii="Times New Roman" w:hAnsi="Times New Roman" w:cs="Times New Roman"/>
                <w:szCs w:val="21"/>
              </w:rPr>
              <w:t>)</w:t>
            </w:r>
          </w:p>
        </w:tc>
        <w:tc>
          <w:tcPr>
            <w:tcW w:w="820" w:type="pct"/>
            <w:tcBorders>
              <w:top w:val="nil"/>
              <w:left w:val="nil"/>
              <w:bottom w:val="nil"/>
              <w:right w:val="nil"/>
            </w:tcBorders>
            <w:shd w:val="clear" w:color="auto" w:fill="FFFFFF"/>
          </w:tcPr>
          <w:p w14:paraId="0D48C342">
            <w:pPr>
              <w:jc w:val="center"/>
              <w:rPr>
                <w:rFonts w:ascii="Times New Roman" w:hAnsi="Times New Roman" w:cs="Times New Roman"/>
                <w:szCs w:val="21"/>
              </w:rPr>
            </w:pPr>
            <w:r>
              <w:rPr>
                <w:rFonts w:ascii="Times New Roman" w:hAnsi="Times New Roman" w:cs="Times New Roman"/>
                <w:szCs w:val="21"/>
              </w:rPr>
              <w:t>70.00</w:t>
            </w:r>
            <w:r>
              <w:rPr>
                <w:rFonts w:hint="eastAsia" w:ascii="Times New Roman" w:hAnsi="Times New Roman" w:cs="Times New Roman"/>
                <w:szCs w:val="21"/>
              </w:rPr>
              <w:t xml:space="preserve"> (</w:t>
            </w:r>
            <w:r>
              <w:rPr>
                <w:rFonts w:ascii="Times New Roman" w:hAnsi="Times New Roman" w:cs="Times New Roman"/>
                <w:szCs w:val="21"/>
              </w:rPr>
              <w:t>13.00, 65.00-78.00</w:t>
            </w:r>
            <w:r>
              <w:rPr>
                <w:rFonts w:hint="eastAsia" w:ascii="Times New Roman" w:hAnsi="Times New Roman" w:cs="Times New Roman"/>
                <w:szCs w:val="21"/>
              </w:rPr>
              <w:t>)</w:t>
            </w:r>
          </w:p>
        </w:tc>
        <w:tc>
          <w:tcPr>
            <w:tcW w:w="572" w:type="pct"/>
            <w:tcBorders>
              <w:top w:val="nil"/>
              <w:left w:val="nil"/>
              <w:bottom w:val="nil"/>
              <w:right w:val="nil"/>
            </w:tcBorders>
            <w:shd w:val="clear" w:color="auto" w:fill="FFFFFF"/>
          </w:tcPr>
          <w:p w14:paraId="0D48C343">
            <w:pPr>
              <w:jc w:val="center"/>
              <w:rPr>
                <w:rFonts w:ascii="Times New Roman" w:hAnsi="Times New Roman" w:cs="Times New Roman"/>
                <w:szCs w:val="21"/>
              </w:rPr>
            </w:pPr>
            <w:r>
              <w:rPr>
                <w:rFonts w:ascii="Times New Roman" w:hAnsi="Times New Roman" w:cs="Times New Roman"/>
                <w:szCs w:val="21"/>
              </w:rPr>
              <w:t>0 (0.0)</w:t>
            </w:r>
          </w:p>
        </w:tc>
        <w:tc>
          <w:tcPr>
            <w:tcW w:w="433" w:type="pct"/>
            <w:tcBorders>
              <w:top w:val="nil"/>
              <w:left w:val="nil"/>
              <w:bottom w:val="nil"/>
              <w:right w:val="nil"/>
            </w:tcBorders>
            <w:shd w:val="clear" w:color="auto" w:fill="FFFFFF"/>
          </w:tcPr>
          <w:p w14:paraId="0D48C344">
            <w:pPr>
              <w:jc w:val="center"/>
              <w:rPr>
                <w:rFonts w:ascii="Times New Roman" w:hAnsi="Times New Roman" w:cs="Times New Roman"/>
                <w:szCs w:val="21"/>
              </w:rPr>
            </w:pPr>
            <w:r>
              <w:rPr>
                <w:rFonts w:hint="eastAsia" w:ascii="Times New Roman" w:hAnsi="Times New Roman" w:cs="Times New Roman"/>
                <w:szCs w:val="21"/>
              </w:rPr>
              <w:t>-23.</w:t>
            </w:r>
            <w:r>
              <w:rPr>
                <w:rFonts w:ascii="Times New Roman" w:hAnsi="Times New Roman" w:cs="Times New Roman"/>
                <w:szCs w:val="21"/>
              </w:rPr>
              <w:t>854</w:t>
            </w:r>
          </w:p>
        </w:tc>
        <w:tc>
          <w:tcPr>
            <w:tcW w:w="556" w:type="pct"/>
            <w:tcBorders>
              <w:top w:val="nil"/>
              <w:left w:val="nil"/>
              <w:bottom w:val="nil"/>
              <w:right w:val="nil"/>
            </w:tcBorders>
            <w:shd w:val="clear" w:color="auto" w:fill="FFFFFF"/>
          </w:tcPr>
          <w:p w14:paraId="0D48C345">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34D">
        <w:trPr>
          <w:jc w:val="center"/>
        </w:trPr>
        <w:tc>
          <w:tcPr>
            <w:tcW w:w="1739" w:type="pct"/>
            <w:tcBorders>
              <w:top w:val="nil"/>
              <w:left w:val="nil"/>
              <w:bottom w:val="nil"/>
              <w:right w:val="nil"/>
            </w:tcBorders>
            <w:shd w:val="clear" w:color="auto" w:fill="FFFFFF"/>
          </w:tcPr>
          <w:p w14:paraId="0D48C347">
            <w:pPr>
              <w:rPr>
                <w:rFonts w:ascii="Times New Roman" w:hAnsi="Times New Roman" w:cs="Times New Roman"/>
                <w:szCs w:val="21"/>
              </w:rPr>
            </w:pPr>
            <w:r>
              <w:rPr>
                <w:rFonts w:ascii="Times New Roman" w:hAnsi="Times New Roman" w:cs="Times New Roman"/>
                <w:szCs w:val="21"/>
              </w:rPr>
              <w:t>Gender</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48">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49">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4A">
            <w:pPr>
              <w:jc w:val="center"/>
              <w:rPr>
                <w:rFonts w:ascii="Times New Roman" w:hAnsi="Times New Roman" w:cs="Times New Roman"/>
                <w:szCs w:val="21"/>
              </w:rPr>
            </w:pPr>
            <w:r>
              <w:rPr>
                <w:rFonts w:ascii="Times New Roman" w:hAnsi="Times New Roman" w:cs="Times New Roman"/>
                <w:szCs w:val="21"/>
              </w:rPr>
              <w:t>0 (0.0)</w:t>
            </w:r>
          </w:p>
        </w:tc>
        <w:tc>
          <w:tcPr>
            <w:tcW w:w="433" w:type="pct"/>
            <w:tcBorders>
              <w:top w:val="nil"/>
              <w:left w:val="nil"/>
              <w:bottom w:val="nil"/>
              <w:right w:val="nil"/>
            </w:tcBorders>
            <w:shd w:val="clear" w:color="auto" w:fill="FFFFFF"/>
          </w:tcPr>
          <w:p w14:paraId="0D48C34B">
            <w:pPr>
              <w:jc w:val="center"/>
              <w:rPr>
                <w:rFonts w:ascii="Times New Roman" w:hAnsi="Times New Roman" w:cs="Times New Roman"/>
                <w:szCs w:val="21"/>
              </w:rPr>
            </w:pPr>
            <w:r>
              <w:rPr>
                <w:rFonts w:ascii="Times New Roman" w:hAnsi="Times New Roman" w:cs="Times New Roman"/>
                <w:szCs w:val="21"/>
              </w:rPr>
              <w:t>76.687</w:t>
            </w:r>
          </w:p>
        </w:tc>
        <w:tc>
          <w:tcPr>
            <w:tcW w:w="556" w:type="pct"/>
            <w:tcBorders>
              <w:top w:val="nil"/>
              <w:left w:val="nil"/>
              <w:bottom w:val="nil"/>
              <w:right w:val="nil"/>
            </w:tcBorders>
            <w:shd w:val="clear" w:color="auto" w:fill="FFFFFF"/>
          </w:tcPr>
          <w:p w14:paraId="0D48C34C">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354">
        <w:trPr>
          <w:jc w:val="center"/>
        </w:trPr>
        <w:tc>
          <w:tcPr>
            <w:tcW w:w="1739" w:type="pct"/>
            <w:tcBorders>
              <w:top w:val="nil"/>
              <w:left w:val="nil"/>
              <w:bottom w:val="nil"/>
              <w:right w:val="nil"/>
            </w:tcBorders>
            <w:shd w:val="clear" w:color="auto" w:fill="FFFFFF"/>
          </w:tcPr>
          <w:p w14:paraId="0D48C34E">
            <w:pPr>
              <w:ind w:firstLine="210" w:firstLineChars="100"/>
              <w:rPr>
                <w:rFonts w:ascii="Times New Roman" w:hAnsi="Times New Roman" w:cs="Times New Roman"/>
                <w:szCs w:val="21"/>
              </w:rPr>
            </w:pPr>
            <w:r>
              <w:rPr>
                <w:rFonts w:ascii="Times New Roman" w:hAnsi="Times New Roman" w:cs="Times New Roman"/>
                <w:szCs w:val="21"/>
              </w:rPr>
              <w:t>Male</w:t>
            </w:r>
          </w:p>
        </w:tc>
        <w:tc>
          <w:tcPr>
            <w:tcW w:w="877" w:type="pct"/>
            <w:tcBorders>
              <w:top w:val="nil"/>
              <w:left w:val="nil"/>
              <w:bottom w:val="nil"/>
              <w:right w:val="nil"/>
            </w:tcBorders>
            <w:shd w:val="clear" w:color="auto" w:fill="FFFFFF"/>
          </w:tcPr>
          <w:p w14:paraId="0D48C34F">
            <w:pPr>
              <w:jc w:val="center"/>
              <w:rPr>
                <w:rFonts w:ascii="Times New Roman" w:hAnsi="Times New Roman" w:cs="Times New Roman"/>
                <w:szCs w:val="21"/>
              </w:rPr>
            </w:pPr>
            <w:r>
              <w:rPr>
                <w:rFonts w:ascii="Times New Roman" w:hAnsi="Times New Roman" w:cs="Times New Roman"/>
                <w:szCs w:val="21"/>
              </w:rPr>
              <w:t>3830 (51.1)</w:t>
            </w:r>
          </w:p>
        </w:tc>
        <w:tc>
          <w:tcPr>
            <w:tcW w:w="820" w:type="pct"/>
            <w:tcBorders>
              <w:top w:val="nil"/>
              <w:left w:val="nil"/>
              <w:bottom w:val="nil"/>
              <w:right w:val="nil"/>
            </w:tcBorders>
            <w:shd w:val="clear" w:color="auto" w:fill="FFFFFF"/>
          </w:tcPr>
          <w:p w14:paraId="0D48C350">
            <w:pPr>
              <w:jc w:val="center"/>
              <w:rPr>
                <w:rFonts w:ascii="Times New Roman" w:hAnsi="Times New Roman" w:cs="Times New Roman"/>
                <w:szCs w:val="21"/>
              </w:rPr>
            </w:pPr>
            <w:r>
              <w:rPr>
                <w:rFonts w:ascii="Times New Roman" w:hAnsi="Times New Roman" w:cs="Times New Roman"/>
                <w:szCs w:val="21"/>
              </w:rPr>
              <w:t>1323 (41.8)</w:t>
            </w:r>
          </w:p>
        </w:tc>
        <w:tc>
          <w:tcPr>
            <w:tcW w:w="572" w:type="pct"/>
            <w:tcBorders>
              <w:top w:val="nil"/>
              <w:left w:val="nil"/>
              <w:bottom w:val="nil"/>
              <w:right w:val="nil"/>
            </w:tcBorders>
            <w:shd w:val="clear" w:color="auto" w:fill="FFFFFF"/>
          </w:tcPr>
          <w:p w14:paraId="0D48C351">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52">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53">
            <w:pPr>
              <w:jc w:val="center"/>
              <w:rPr>
                <w:rFonts w:ascii="Times New Roman" w:hAnsi="Times New Roman" w:cs="Times New Roman"/>
                <w:b/>
                <w:bCs/>
                <w:szCs w:val="21"/>
              </w:rPr>
            </w:pPr>
          </w:p>
        </w:tc>
      </w:tr>
      <w:tr w14:paraId="0D48C35B">
        <w:trPr>
          <w:trHeight w:val="90" w:hRule="atLeast"/>
          <w:jc w:val="center"/>
        </w:trPr>
        <w:tc>
          <w:tcPr>
            <w:tcW w:w="1739" w:type="pct"/>
            <w:tcBorders>
              <w:top w:val="nil"/>
              <w:left w:val="nil"/>
              <w:bottom w:val="nil"/>
              <w:right w:val="nil"/>
            </w:tcBorders>
            <w:shd w:val="clear" w:color="auto" w:fill="FFFFFF"/>
          </w:tcPr>
          <w:p w14:paraId="0D48C355">
            <w:pPr>
              <w:ind w:firstLine="210" w:firstLineChars="100"/>
              <w:rPr>
                <w:rFonts w:ascii="Times New Roman" w:hAnsi="Times New Roman" w:cs="Times New Roman"/>
                <w:szCs w:val="21"/>
              </w:rPr>
            </w:pPr>
            <w:r>
              <w:rPr>
                <w:rFonts w:ascii="Times New Roman" w:hAnsi="Times New Roman" w:cs="Times New Roman"/>
                <w:szCs w:val="21"/>
              </w:rPr>
              <w:t>Female</w:t>
            </w:r>
          </w:p>
        </w:tc>
        <w:tc>
          <w:tcPr>
            <w:tcW w:w="877" w:type="pct"/>
            <w:tcBorders>
              <w:top w:val="nil"/>
              <w:left w:val="nil"/>
              <w:bottom w:val="nil"/>
              <w:right w:val="nil"/>
            </w:tcBorders>
            <w:shd w:val="clear" w:color="auto" w:fill="FFFFFF"/>
          </w:tcPr>
          <w:p w14:paraId="0D48C356">
            <w:pPr>
              <w:jc w:val="center"/>
              <w:rPr>
                <w:rFonts w:ascii="Times New Roman" w:hAnsi="Times New Roman" w:cs="Times New Roman"/>
                <w:szCs w:val="21"/>
              </w:rPr>
            </w:pPr>
            <w:r>
              <w:rPr>
                <w:rFonts w:ascii="Times New Roman" w:hAnsi="Times New Roman" w:cs="Times New Roman"/>
                <w:szCs w:val="21"/>
              </w:rPr>
              <w:t>3662 (48.9)</w:t>
            </w:r>
          </w:p>
        </w:tc>
        <w:tc>
          <w:tcPr>
            <w:tcW w:w="820" w:type="pct"/>
            <w:tcBorders>
              <w:top w:val="nil"/>
              <w:left w:val="nil"/>
              <w:bottom w:val="nil"/>
              <w:right w:val="nil"/>
            </w:tcBorders>
            <w:shd w:val="clear" w:color="auto" w:fill="FFFFFF"/>
          </w:tcPr>
          <w:p w14:paraId="0D48C357">
            <w:pPr>
              <w:jc w:val="center"/>
              <w:rPr>
                <w:rFonts w:ascii="Times New Roman" w:hAnsi="Times New Roman" w:cs="Times New Roman"/>
                <w:szCs w:val="21"/>
              </w:rPr>
            </w:pPr>
            <w:r>
              <w:rPr>
                <w:rFonts w:ascii="Times New Roman" w:hAnsi="Times New Roman" w:cs="Times New Roman"/>
                <w:szCs w:val="21"/>
              </w:rPr>
              <w:t>1839 (58.2)</w:t>
            </w:r>
          </w:p>
        </w:tc>
        <w:tc>
          <w:tcPr>
            <w:tcW w:w="572" w:type="pct"/>
            <w:tcBorders>
              <w:top w:val="nil"/>
              <w:left w:val="nil"/>
              <w:bottom w:val="nil"/>
              <w:right w:val="nil"/>
            </w:tcBorders>
            <w:shd w:val="clear" w:color="auto" w:fill="FFFFFF"/>
          </w:tcPr>
          <w:p w14:paraId="0D48C358">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59">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5A">
            <w:pPr>
              <w:jc w:val="center"/>
              <w:rPr>
                <w:rFonts w:ascii="Times New Roman" w:hAnsi="Times New Roman" w:cs="Times New Roman"/>
                <w:b/>
                <w:bCs/>
                <w:szCs w:val="21"/>
              </w:rPr>
            </w:pPr>
          </w:p>
        </w:tc>
      </w:tr>
      <w:tr w14:paraId="0D48C362">
        <w:trPr>
          <w:trHeight w:val="90" w:hRule="atLeast"/>
          <w:jc w:val="center"/>
        </w:trPr>
        <w:tc>
          <w:tcPr>
            <w:tcW w:w="1739" w:type="pct"/>
            <w:tcBorders>
              <w:top w:val="nil"/>
              <w:left w:val="nil"/>
              <w:bottom w:val="nil"/>
              <w:right w:val="nil"/>
            </w:tcBorders>
            <w:shd w:val="clear" w:color="auto" w:fill="FFFFFF"/>
          </w:tcPr>
          <w:p w14:paraId="0D48C35C">
            <w:pPr>
              <w:rPr>
                <w:rFonts w:ascii="Times New Roman" w:hAnsi="Times New Roman" w:cs="Times New Roman"/>
                <w:szCs w:val="21"/>
              </w:rPr>
            </w:pPr>
            <w:r>
              <w:rPr>
                <w:rFonts w:hint="eastAsia" w:ascii="Times New Roman" w:hAnsi="Times New Roman" w:cs="Times New Roman"/>
                <w:b/>
                <w:bCs/>
                <w:szCs w:val="21"/>
              </w:rPr>
              <w:t>Economic Stability</w:t>
            </w:r>
          </w:p>
        </w:tc>
        <w:tc>
          <w:tcPr>
            <w:tcW w:w="877" w:type="pct"/>
            <w:tcBorders>
              <w:top w:val="nil"/>
              <w:left w:val="nil"/>
              <w:bottom w:val="nil"/>
              <w:right w:val="nil"/>
            </w:tcBorders>
            <w:shd w:val="clear" w:color="auto" w:fill="FFFFFF"/>
          </w:tcPr>
          <w:p w14:paraId="0D48C35D">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5E">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5F">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60">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61">
            <w:pPr>
              <w:jc w:val="center"/>
              <w:rPr>
                <w:rFonts w:ascii="Times New Roman" w:hAnsi="Times New Roman" w:cs="Times New Roman"/>
                <w:b/>
                <w:bCs/>
                <w:szCs w:val="21"/>
              </w:rPr>
            </w:pPr>
          </w:p>
        </w:tc>
      </w:tr>
      <w:tr w14:paraId="0D48C369">
        <w:trPr>
          <w:jc w:val="center"/>
        </w:trPr>
        <w:tc>
          <w:tcPr>
            <w:tcW w:w="3955" w:type="dxa"/>
            <w:tcBorders>
              <w:top w:val="nil"/>
              <w:left w:val="nil"/>
              <w:bottom w:val="nil"/>
              <w:right w:val="nil"/>
            </w:tcBorders>
            <w:shd w:val="clear" w:color="auto" w:fill="FFFFFF"/>
          </w:tcPr>
          <w:p w14:paraId="0D48C363">
            <w:pPr>
              <w:rPr>
                <w:rFonts w:ascii="Times New Roman" w:hAnsi="Times New Roman" w:cs="Times New Roman"/>
                <w:szCs w:val="21"/>
              </w:rPr>
            </w:pPr>
            <w:r>
              <w:rPr>
                <w:rFonts w:ascii="Times New Roman" w:hAnsi="Times New Roman" w:eastAsia="宋体" w:cs="Times New Roman"/>
                <w:kern w:val="0"/>
                <w:szCs w:val="21"/>
                <w:lang w:bidi="ar"/>
              </w:rPr>
              <w:t>Employment status</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64">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65">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66">
            <w:pPr>
              <w:jc w:val="center"/>
              <w:rPr>
                <w:rFonts w:ascii="Times New Roman" w:hAnsi="Times New Roman" w:cs="Times New Roman"/>
                <w:szCs w:val="21"/>
              </w:rPr>
            </w:pPr>
            <w:r>
              <w:rPr>
                <w:rFonts w:ascii="Times New Roman" w:hAnsi="Times New Roman" w:cs="Times New Roman"/>
                <w:szCs w:val="21"/>
              </w:rPr>
              <w:t>0 (0.0)</w:t>
            </w:r>
          </w:p>
        </w:tc>
        <w:tc>
          <w:tcPr>
            <w:tcW w:w="433" w:type="pct"/>
            <w:tcBorders>
              <w:top w:val="nil"/>
              <w:left w:val="nil"/>
              <w:bottom w:val="nil"/>
              <w:right w:val="nil"/>
            </w:tcBorders>
            <w:shd w:val="clear" w:color="auto" w:fill="FFFFFF"/>
          </w:tcPr>
          <w:p w14:paraId="0D48C367">
            <w:pPr>
              <w:jc w:val="center"/>
              <w:rPr>
                <w:rFonts w:ascii="Times New Roman" w:hAnsi="Times New Roman" w:cs="Times New Roman"/>
                <w:szCs w:val="21"/>
              </w:rPr>
            </w:pPr>
            <w:r>
              <w:rPr>
                <w:rFonts w:ascii="Times New Roman" w:hAnsi="Times New Roman" w:cs="Times New Roman"/>
                <w:szCs w:val="21"/>
              </w:rPr>
              <w:t>202.552</w:t>
            </w:r>
          </w:p>
        </w:tc>
        <w:tc>
          <w:tcPr>
            <w:tcW w:w="556" w:type="pct"/>
            <w:tcBorders>
              <w:top w:val="nil"/>
              <w:left w:val="nil"/>
              <w:bottom w:val="nil"/>
              <w:right w:val="nil"/>
            </w:tcBorders>
            <w:shd w:val="clear" w:color="auto" w:fill="FFFFFF"/>
          </w:tcPr>
          <w:p w14:paraId="0D48C368">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370">
        <w:trPr>
          <w:jc w:val="center"/>
        </w:trPr>
        <w:tc>
          <w:tcPr>
            <w:tcW w:w="3955" w:type="dxa"/>
            <w:tcBorders>
              <w:top w:val="nil"/>
              <w:left w:val="nil"/>
              <w:bottom w:val="nil"/>
              <w:right w:val="nil"/>
            </w:tcBorders>
            <w:shd w:val="clear" w:color="auto" w:fill="FFFFFF"/>
          </w:tcPr>
          <w:p w14:paraId="0D48C36A">
            <w:pPr>
              <w:widowControl/>
              <w:ind w:firstLine="210" w:firstLineChars="100"/>
              <w:jc w:val="left"/>
              <w:rPr>
                <w:rFonts w:ascii="Times New Roman" w:hAnsi="Times New Roman" w:cs="Times New Roman"/>
                <w:szCs w:val="21"/>
              </w:rPr>
            </w:pPr>
            <w:r>
              <w:rPr>
                <w:rFonts w:ascii="Times New Roman" w:hAnsi="Times New Roman" w:eastAsia="宋体" w:cs="Times New Roman"/>
                <w:kern w:val="0"/>
                <w:szCs w:val="21"/>
                <w:lang w:bidi="ar"/>
              </w:rPr>
              <w:t>Employed in the agricultural sector</w:t>
            </w:r>
          </w:p>
        </w:tc>
        <w:tc>
          <w:tcPr>
            <w:tcW w:w="877" w:type="pct"/>
            <w:tcBorders>
              <w:top w:val="nil"/>
              <w:left w:val="nil"/>
              <w:bottom w:val="nil"/>
              <w:right w:val="nil"/>
            </w:tcBorders>
            <w:shd w:val="clear" w:color="auto" w:fill="FFFFFF"/>
          </w:tcPr>
          <w:p w14:paraId="0D48C36B">
            <w:pPr>
              <w:jc w:val="center"/>
              <w:rPr>
                <w:rFonts w:ascii="Times New Roman" w:hAnsi="Times New Roman" w:cs="Times New Roman"/>
                <w:szCs w:val="21"/>
              </w:rPr>
            </w:pPr>
            <w:r>
              <w:rPr>
                <w:rFonts w:ascii="Times New Roman" w:hAnsi="Times New Roman" w:cs="Times New Roman"/>
                <w:szCs w:val="21"/>
              </w:rPr>
              <w:t>3528 (47.1)</w:t>
            </w:r>
          </w:p>
        </w:tc>
        <w:tc>
          <w:tcPr>
            <w:tcW w:w="820" w:type="pct"/>
            <w:tcBorders>
              <w:top w:val="nil"/>
              <w:left w:val="nil"/>
              <w:bottom w:val="nil"/>
              <w:right w:val="nil"/>
            </w:tcBorders>
            <w:shd w:val="clear" w:color="auto" w:fill="FFFFFF"/>
          </w:tcPr>
          <w:p w14:paraId="0D48C36C">
            <w:pPr>
              <w:jc w:val="center"/>
              <w:rPr>
                <w:rFonts w:ascii="Times New Roman" w:hAnsi="Times New Roman" w:cs="Times New Roman"/>
                <w:szCs w:val="21"/>
              </w:rPr>
            </w:pPr>
            <w:r>
              <w:rPr>
                <w:rFonts w:hint="eastAsia" w:ascii="Times New Roman" w:hAnsi="Times New Roman" w:cs="Times New Roman"/>
                <w:szCs w:val="21"/>
              </w:rPr>
              <w:t xml:space="preserve">1102 </w:t>
            </w:r>
            <w:r>
              <w:rPr>
                <w:rFonts w:ascii="Times New Roman" w:hAnsi="Times New Roman" w:cs="Times New Roman"/>
                <w:szCs w:val="21"/>
              </w:rPr>
              <w:t>(34.9)</w:t>
            </w:r>
          </w:p>
        </w:tc>
        <w:tc>
          <w:tcPr>
            <w:tcW w:w="572" w:type="pct"/>
            <w:tcBorders>
              <w:top w:val="nil"/>
              <w:left w:val="nil"/>
              <w:bottom w:val="nil"/>
              <w:right w:val="nil"/>
            </w:tcBorders>
            <w:shd w:val="clear" w:color="auto" w:fill="FFFFFF"/>
          </w:tcPr>
          <w:p w14:paraId="0D48C36D">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6E">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6F">
            <w:pPr>
              <w:jc w:val="center"/>
              <w:rPr>
                <w:rFonts w:ascii="Times New Roman" w:hAnsi="Times New Roman" w:cs="Times New Roman"/>
                <w:b/>
                <w:bCs/>
                <w:szCs w:val="21"/>
              </w:rPr>
            </w:pPr>
          </w:p>
        </w:tc>
      </w:tr>
      <w:tr w14:paraId="0D48C377">
        <w:trPr>
          <w:jc w:val="center"/>
        </w:trPr>
        <w:tc>
          <w:tcPr>
            <w:tcW w:w="3955" w:type="dxa"/>
            <w:tcBorders>
              <w:top w:val="nil"/>
              <w:left w:val="nil"/>
              <w:bottom w:val="nil"/>
              <w:right w:val="nil"/>
            </w:tcBorders>
            <w:shd w:val="clear" w:color="auto" w:fill="FFFFFF"/>
          </w:tcPr>
          <w:p w14:paraId="0D48C371">
            <w:pPr>
              <w:widowControl/>
              <w:ind w:firstLine="210" w:firstLineChars="100"/>
              <w:jc w:val="left"/>
              <w:rPr>
                <w:rFonts w:ascii="Times New Roman" w:hAnsi="Times New Roman" w:cs="Times New Roman"/>
                <w:szCs w:val="21"/>
              </w:rPr>
            </w:pPr>
            <w:r>
              <w:rPr>
                <w:rFonts w:ascii="Times New Roman" w:hAnsi="Times New Roman" w:eastAsia="宋体" w:cs="Times New Roman"/>
                <w:kern w:val="0"/>
                <w:szCs w:val="21"/>
                <w:lang w:bidi="ar"/>
              </w:rPr>
              <w:t>Employed in non-agricultural sector</w:t>
            </w:r>
          </w:p>
        </w:tc>
        <w:tc>
          <w:tcPr>
            <w:tcW w:w="877" w:type="pct"/>
            <w:tcBorders>
              <w:top w:val="nil"/>
              <w:left w:val="nil"/>
              <w:bottom w:val="nil"/>
              <w:right w:val="nil"/>
            </w:tcBorders>
            <w:shd w:val="clear" w:color="auto" w:fill="FFFFFF"/>
          </w:tcPr>
          <w:p w14:paraId="0D48C372">
            <w:pPr>
              <w:jc w:val="center"/>
              <w:rPr>
                <w:rFonts w:ascii="Times New Roman" w:hAnsi="Times New Roman" w:cs="Times New Roman"/>
                <w:szCs w:val="21"/>
              </w:rPr>
            </w:pPr>
            <w:r>
              <w:rPr>
                <w:rFonts w:ascii="Times New Roman" w:hAnsi="Times New Roman" w:cs="Times New Roman"/>
                <w:szCs w:val="21"/>
              </w:rPr>
              <w:t>654 (8.7)</w:t>
            </w:r>
          </w:p>
        </w:tc>
        <w:tc>
          <w:tcPr>
            <w:tcW w:w="820" w:type="pct"/>
            <w:tcBorders>
              <w:top w:val="nil"/>
              <w:left w:val="nil"/>
              <w:bottom w:val="nil"/>
              <w:right w:val="nil"/>
            </w:tcBorders>
            <w:shd w:val="clear" w:color="auto" w:fill="FFFFFF"/>
          </w:tcPr>
          <w:p w14:paraId="0D48C373">
            <w:pPr>
              <w:jc w:val="center"/>
              <w:rPr>
                <w:rFonts w:ascii="Times New Roman" w:hAnsi="Times New Roman" w:cs="Times New Roman"/>
                <w:szCs w:val="21"/>
              </w:rPr>
            </w:pPr>
            <w:r>
              <w:rPr>
                <w:rFonts w:ascii="Times New Roman" w:hAnsi="Times New Roman" w:cs="Times New Roman"/>
                <w:szCs w:val="21"/>
              </w:rPr>
              <w:t>187 (5.9)</w:t>
            </w:r>
          </w:p>
        </w:tc>
        <w:tc>
          <w:tcPr>
            <w:tcW w:w="572" w:type="pct"/>
            <w:tcBorders>
              <w:top w:val="nil"/>
              <w:left w:val="nil"/>
              <w:bottom w:val="nil"/>
              <w:right w:val="nil"/>
            </w:tcBorders>
            <w:shd w:val="clear" w:color="auto" w:fill="FFFFFF"/>
          </w:tcPr>
          <w:p w14:paraId="0D48C374">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75">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76">
            <w:pPr>
              <w:jc w:val="center"/>
              <w:rPr>
                <w:rFonts w:ascii="Times New Roman" w:hAnsi="Times New Roman" w:cs="Times New Roman"/>
                <w:b/>
                <w:bCs/>
                <w:szCs w:val="21"/>
              </w:rPr>
            </w:pPr>
          </w:p>
        </w:tc>
      </w:tr>
      <w:tr w14:paraId="0D48C37E">
        <w:trPr>
          <w:jc w:val="center"/>
        </w:trPr>
        <w:tc>
          <w:tcPr>
            <w:tcW w:w="1739" w:type="pct"/>
            <w:tcBorders>
              <w:top w:val="nil"/>
              <w:left w:val="nil"/>
              <w:bottom w:val="nil"/>
              <w:right w:val="nil"/>
            </w:tcBorders>
            <w:shd w:val="clear" w:color="auto" w:fill="FFFFFF"/>
          </w:tcPr>
          <w:p w14:paraId="0D48C378">
            <w:pPr>
              <w:ind w:firstLine="210" w:firstLineChars="100"/>
              <w:rPr>
                <w:rFonts w:ascii="Times New Roman" w:hAnsi="Times New Roman" w:eastAsia="宋体" w:cs="Times New Roman"/>
                <w:szCs w:val="21"/>
              </w:rPr>
            </w:pPr>
            <w:r>
              <w:rPr>
                <w:rFonts w:ascii="Times New Roman" w:hAnsi="Times New Roman" w:eastAsia="宋体" w:cs="Times New Roman"/>
                <w:kern w:val="0"/>
                <w:szCs w:val="21"/>
                <w:lang w:bidi="ar"/>
              </w:rPr>
              <w:t>Not employed/retired</w:t>
            </w:r>
          </w:p>
        </w:tc>
        <w:tc>
          <w:tcPr>
            <w:tcW w:w="877" w:type="pct"/>
            <w:tcBorders>
              <w:top w:val="nil"/>
              <w:left w:val="nil"/>
              <w:bottom w:val="nil"/>
              <w:right w:val="nil"/>
            </w:tcBorders>
            <w:shd w:val="clear" w:color="auto" w:fill="FFFFFF"/>
          </w:tcPr>
          <w:p w14:paraId="0D48C379">
            <w:pPr>
              <w:jc w:val="center"/>
              <w:rPr>
                <w:rFonts w:ascii="Times New Roman" w:hAnsi="Times New Roman" w:cs="Times New Roman"/>
                <w:szCs w:val="21"/>
              </w:rPr>
            </w:pPr>
            <w:r>
              <w:rPr>
                <w:rFonts w:ascii="Times New Roman" w:hAnsi="Times New Roman" w:cs="Times New Roman"/>
                <w:szCs w:val="21"/>
              </w:rPr>
              <w:t>3310 (44.2)</w:t>
            </w:r>
          </w:p>
        </w:tc>
        <w:tc>
          <w:tcPr>
            <w:tcW w:w="820" w:type="pct"/>
            <w:tcBorders>
              <w:top w:val="nil"/>
              <w:left w:val="nil"/>
              <w:bottom w:val="nil"/>
              <w:right w:val="nil"/>
            </w:tcBorders>
            <w:shd w:val="clear" w:color="auto" w:fill="FFFFFF"/>
          </w:tcPr>
          <w:p w14:paraId="0D48C37A">
            <w:pPr>
              <w:jc w:val="center"/>
              <w:rPr>
                <w:rFonts w:ascii="Times New Roman" w:hAnsi="Times New Roman" w:cs="Times New Roman"/>
                <w:szCs w:val="21"/>
              </w:rPr>
            </w:pPr>
            <w:r>
              <w:rPr>
                <w:rFonts w:ascii="Times New Roman" w:hAnsi="Times New Roman" w:cs="Times New Roman"/>
                <w:szCs w:val="21"/>
              </w:rPr>
              <w:t>1873 (59.2)</w:t>
            </w:r>
          </w:p>
        </w:tc>
        <w:tc>
          <w:tcPr>
            <w:tcW w:w="572" w:type="pct"/>
            <w:tcBorders>
              <w:top w:val="nil"/>
              <w:left w:val="nil"/>
              <w:bottom w:val="nil"/>
              <w:right w:val="nil"/>
            </w:tcBorders>
            <w:shd w:val="clear" w:color="auto" w:fill="FFFFFF"/>
          </w:tcPr>
          <w:p w14:paraId="0D48C37B">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7C">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7D">
            <w:pPr>
              <w:jc w:val="center"/>
              <w:rPr>
                <w:rFonts w:ascii="Times New Roman" w:hAnsi="Times New Roman" w:cs="Times New Roman"/>
                <w:b/>
                <w:bCs/>
                <w:szCs w:val="21"/>
              </w:rPr>
            </w:pPr>
          </w:p>
        </w:tc>
      </w:tr>
      <w:tr w14:paraId="0D48C385">
        <w:trPr>
          <w:trHeight w:val="90" w:hRule="atLeast"/>
          <w:jc w:val="center"/>
        </w:trPr>
        <w:tc>
          <w:tcPr>
            <w:tcW w:w="1739" w:type="pct"/>
            <w:tcBorders>
              <w:top w:val="nil"/>
              <w:left w:val="nil"/>
              <w:bottom w:val="nil"/>
              <w:right w:val="nil"/>
            </w:tcBorders>
            <w:shd w:val="clear" w:color="auto" w:fill="FFFFFF"/>
          </w:tcPr>
          <w:p w14:paraId="0D48C37F">
            <w:pPr>
              <w:rPr>
                <w:rFonts w:ascii="Times New Roman" w:hAnsi="Times New Roman" w:cs="Times New Roman"/>
                <w:szCs w:val="21"/>
              </w:rPr>
            </w:pPr>
            <w:r>
              <w:rPr>
                <w:rFonts w:ascii="Times New Roman" w:hAnsi="Times New Roman" w:eastAsia="宋体" w:cs="Times New Roman"/>
                <w:kern w:val="0"/>
                <w:szCs w:val="21"/>
                <w:lang w:bidi="ar"/>
              </w:rPr>
              <w:t>Per capita household income</w:t>
            </w:r>
            <w:r>
              <w:rPr>
                <w:rFonts w:ascii="Times New Roman" w:hAnsi="Times New Roman" w:cs="Times New Roman"/>
                <w:szCs w:val="21"/>
              </w:rPr>
              <w:t xml:space="preserve"> (RMB)</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380">
            <w:pPr>
              <w:jc w:val="center"/>
              <w:rPr>
                <w:rFonts w:ascii="Times New Roman" w:hAnsi="Times New Roman" w:cs="Times New Roman"/>
                <w:szCs w:val="21"/>
              </w:rPr>
            </w:pPr>
            <w:r>
              <w:rPr>
                <w:rFonts w:ascii="Times New Roman" w:hAnsi="Times New Roman" w:cs="Times New Roman"/>
                <w:szCs w:val="21"/>
              </w:rPr>
              <w:t>10000.00 (28682.50, 3165.00-31847.50)</w:t>
            </w:r>
          </w:p>
        </w:tc>
        <w:tc>
          <w:tcPr>
            <w:tcW w:w="820" w:type="pct"/>
            <w:tcBorders>
              <w:top w:val="nil"/>
              <w:left w:val="nil"/>
              <w:bottom w:val="nil"/>
              <w:right w:val="nil"/>
            </w:tcBorders>
            <w:shd w:val="clear" w:color="auto" w:fill="FFFFFF"/>
          </w:tcPr>
          <w:p w14:paraId="0D48C381">
            <w:pPr>
              <w:jc w:val="center"/>
              <w:rPr>
                <w:rFonts w:ascii="Times New Roman" w:hAnsi="Times New Roman" w:cs="Times New Roman"/>
                <w:szCs w:val="21"/>
              </w:rPr>
            </w:pPr>
            <w:r>
              <w:rPr>
                <w:rFonts w:ascii="Times New Roman" w:hAnsi="Times New Roman" w:cs="Times New Roman"/>
                <w:szCs w:val="21"/>
              </w:rPr>
              <w:t>5618.00 (15670.12, 2154.88-17825.00)</w:t>
            </w:r>
          </w:p>
        </w:tc>
        <w:tc>
          <w:tcPr>
            <w:tcW w:w="572" w:type="pct"/>
            <w:tcBorders>
              <w:top w:val="nil"/>
              <w:left w:val="nil"/>
              <w:bottom w:val="nil"/>
              <w:right w:val="nil"/>
            </w:tcBorders>
            <w:shd w:val="clear" w:color="auto" w:fill="FFFFFF"/>
          </w:tcPr>
          <w:p w14:paraId="0D48C382">
            <w:pPr>
              <w:jc w:val="center"/>
              <w:rPr>
                <w:rFonts w:ascii="Times New Roman" w:hAnsi="Times New Roman" w:cs="Times New Roman"/>
                <w:szCs w:val="21"/>
              </w:rPr>
            </w:pPr>
            <w:r>
              <w:rPr>
                <w:rFonts w:hint="eastAsia" w:ascii="Times New Roman" w:hAnsi="Times New Roman" w:cs="Times New Roman"/>
                <w:szCs w:val="21"/>
              </w:rPr>
              <w:t xml:space="preserve">378 </w:t>
            </w:r>
            <w:r>
              <w:rPr>
                <w:rFonts w:ascii="Times New Roman" w:hAnsi="Times New Roman" w:cs="Times New Roman"/>
                <w:szCs w:val="21"/>
              </w:rPr>
              <w:t>(12.0)</w:t>
            </w:r>
          </w:p>
        </w:tc>
        <w:tc>
          <w:tcPr>
            <w:tcW w:w="433" w:type="pct"/>
            <w:tcBorders>
              <w:top w:val="nil"/>
              <w:left w:val="nil"/>
              <w:bottom w:val="nil"/>
              <w:right w:val="nil"/>
            </w:tcBorders>
            <w:shd w:val="clear" w:color="auto" w:fill="FFFFFF"/>
          </w:tcPr>
          <w:p w14:paraId="0D48C383">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5.159</w:t>
            </w:r>
          </w:p>
        </w:tc>
        <w:tc>
          <w:tcPr>
            <w:tcW w:w="556" w:type="pct"/>
            <w:tcBorders>
              <w:top w:val="nil"/>
              <w:left w:val="nil"/>
              <w:bottom w:val="nil"/>
              <w:right w:val="nil"/>
            </w:tcBorders>
            <w:shd w:val="clear" w:color="auto" w:fill="FFFFFF"/>
          </w:tcPr>
          <w:p w14:paraId="0D48C384">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38C">
        <w:trPr>
          <w:jc w:val="center"/>
        </w:trPr>
        <w:tc>
          <w:tcPr>
            <w:tcW w:w="1739" w:type="pct"/>
            <w:tcBorders>
              <w:top w:val="nil"/>
              <w:left w:val="nil"/>
              <w:bottom w:val="nil"/>
              <w:right w:val="nil"/>
            </w:tcBorders>
            <w:shd w:val="clear" w:color="auto" w:fill="FFFFFF"/>
          </w:tcPr>
          <w:p w14:paraId="0D48C386">
            <w:pPr>
              <w:rPr>
                <w:rFonts w:ascii="Times New Roman" w:hAnsi="Times New Roman" w:eastAsia="宋体" w:cs="Times New Roman"/>
                <w:szCs w:val="21"/>
              </w:rPr>
            </w:pPr>
            <w:r>
              <w:rPr>
                <w:rFonts w:ascii="Times New Roman" w:hAnsi="Times New Roman" w:eastAsia="宋体" w:cs="Times New Roman"/>
                <w:kern w:val="0"/>
                <w:szCs w:val="21"/>
                <w:lang w:bidi="ar"/>
              </w:rPr>
              <w:t>Per capita household consumption (RMB)</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387">
            <w:pPr>
              <w:jc w:val="center"/>
              <w:rPr>
                <w:rFonts w:ascii="Times New Roman" w:hAnsi="Times New Roman" w:cs="Times New Roman"/>
                <w:szCs w:val="21"/>
              </w:rPr>
            </w:pPr>
            <w:r>
              <w:rPr>
                <w:rFonts w:ascii="Times New Roman" w:hAnsi="Times New Roman" w:cs="Times New Roman"/>
                <w:szCs w:val="21"/>
              </w:rPr>
              <w:t>7200.00 (8400.00, 3600.00-12000.00)</w:t>
            </w:r>
          </w:p>
        </w:tc>
        <w:tc>
          <w:tcPr>
            <w:tcW w:w="820" w:type="pct"/>
            <w:tcBorders>
              <w:top w:val="nil"/>
              <w:left w:val="nil"/>
              <w:bottom w:val="nil"/>
              <w:right w:val="nil"/>
            </w:tcBorders>
            <w:shd w:val="clear" w:color="auto" w:fill="FFFFFF"/>
          </w:tcPr>
          <w:p w14:paraId="0D48C388">
            <w:pPr>
              <w:jc w:val="center"/>
              <w:rPr>
                <w:rFonts w:ascii="Times New Roman" w:hAnsi="Times New Roman" w:cs="Times New Roman"/>
                <w:szCs w:val="21"/>
              </w:rPr>
            </w:pPr>
            <w:r>
              <w:rPr>
                <w:rFonts w:ascii="Times New Roman" w:hAnsi="Times New Roman" w:cs="Times New Roman"/>
                <w:szCs w:val="21"/>
              </w:rPr>
              <w:t>6000.00 (9000.00, 3000.00-12000.00)</w:t>
            </w:r>
          </w:p>
        </w:tc>
        <w:tc>
          <w:tcPr>
            <w:tcW w:w="572" w:type="pct"/>
            <w:tcBorders>
              <w:top w:val="nil"/>
              <w:left w:val="nil"/>
              <w:bottom w:val="nil"/>
              <w:right w:val="nil"/>
            </w:tcBorders>
            <w:shd w:val="clear" w:color="auto" w:fill="FFFFFF"/>
          </w:tcPr>
          <w:p w14:paraId="0D48C389">
            <w:pPr>
              <w:jc w:val="center"/>
              <w:rPr>
                <w:rFonts w:ascii="Times New Roman" w:hAnsi="Times New Roman" w:cs="Times New Roman"/>
                <w:szCs w:val="21"/>
              </w:rPr>
            </w:pPr>
            <w:r>
              <w:rPr>
                <w:rFonts w:ascii="Times New Roman" w:hAnsi="Times New Roman" w:cs="Times New Roman"/>
                <w:szCs w:val="21"/>
              </w:rPr>
              <w:t>32 (1.0)</w:t>
            </w:r>
          </w:p>
        </w:tc>
        <w:tc>
          <w:tcPr>
            <w:tcW w:w="433" w:type="pct"/>
            <w:tcBorders>
              <w:top w:val="nil"/>
              <w:left w:val="nil"/>
              <w:bottom w:val="nil"/>
              <w:right w:val="nil"/>
            </w:tcBorders>
            <w:shd w:val="clear" w:color="auto" w:fill="FFFFFF"/>
          </w:tcPr>
          <w:p w14:paraId="0D48C38A">
            <w:pPr>
              <w:jc w:val="center"/>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7.249</w:t>
            </w:r>
          </w:p>
        </w:tc>
        <w:tc>
          <w:tcPr>
            <w:tcW w:w="556" w:type="pct"/>
            <w:tcBorders>
              <w:top w:val="nil"/>
              <w:left w:val="nil"/>
              <w:bottom w:val="nil"/>
              <w:right w:val="nil"/>
            </w:tcBorders>
            <w:shd w:val="clear" w:color="auto" w:fill="FFFFFF"/>
          </w:tcPr>
          <w:p w14:paraId="0D48C38B">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393">
        <w:trPr>
          <w:jc w:val="center"/>
        </w:trPr>
        <w:tc>
          <w:tcPr>
            <w:tcW w:w="1739" w:type="pct"/>
            <w:tcBorders>
              <w:top w:val="nil"/>
              <w:left w:val="nil"/>
              <w:bottom w:val="nil"/>
              <w:right w:val="nil"/>
            </w:tcBorders>
            <w:shd w:val="clear" w:color="auto" w:fill="FFFFFF"/>
          </w:tcPr>
          <w:p w14:paraId="0D48C38D">
            <w:pPr>
              <w:rPr>
                <w:rFonts w:ascii="Times New Roman" w:hAnsi="Times New Roman" w:cs="Times New Roman"/>
                <w:szCs w:val="21"/>
              </w:rPr>
            </w:pPr>
            <w:r>
              <w:rPr>
                <w:rFonts w:hint="eastAsia" w:ascii="Times New Roman" w:hAnsi="Times New Roman" w:eastAsia="宋体" w:cs="Times New Roman"/>
                <w:b/>
                <w:bCs/>
                <w:kern w:val="0"/>
                <w:szCs w:val="21"/>
                <w:lang w:bidi="ar"/>
              </w:rPr>
              <w:t>Education Access and Quality</w:t>
            </w:r>
          </w:p>
        </w:tc>
        <w:tc>
          <w:tcPr>
            <w:tcW w:w="877" w:type="pct"/>
            <w:tcBorders>
              <w:top w:val="nil"/>
              <w:left w:val="nil"/>
              <w:bottom w:val="nil"/>
              <w:right w:val="nil"/>
            </w:tcBorders>
            <w:shd w:val="clear" w:color="auto" w:fill="FFFFFF"/>
          </w:tcPr>
          <w:p w14:paraId="0D48C38E">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8F">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90">
            <w:pP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91">
            <w:pP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92">
            <w:pPr>
              <w:jc w:val="center"/>
              <w:rPr>
                <w:rFonts w:ascii="Times New Roman" w:hAnsi="Times New Roman" w:cs="Times New Roman"/>
                <w:b/>
                <w:bCs/>
                <w:szCs w:val="21"/>
              </w:rPr>
            </w:pPr>
          </w:p>
        </w:tc>
      </w:tr>
      <w:tr w14:paraId="0D48C39A">
        <w:trPr>
          <w:jc w:val="center"/>
        </w:trPr>
        <w:tc>
          <w:tcPr>
            <w:tcW w:w="1739" w:type="pct"/>
            <w:tcBorders>
              <w:top w:val="nil"/>
              <w:left w:val="nil"/>
              <w:bottom w:val="nil"/>
              <w:right w:val="nil"/>
            </w:tcBorders>
            <w:shd w:val="clear" w:color="auto" w:fill="FFFFFF"/>
          </w:tcPr>
          <w:p w14:paraId="0D48C394">
            <w:pPr>
              <w:rPr>
                <w:rFonts w:ascii="Times New Roman" w:hAnsi="Times New Roman" w:cs="Times New Roman"/>
                <w:szCs w:val="21"/>
              </w:rPr>
            </w:pPr>
            <w:r>
              <w:rPr>
                <w:rFonts w:ascii="Times New Roman" w:hAnsi="Times New Roman" w:cs="Times New Roman"/>
                <w:szCs w:val="21"/>
              </w:rPr>
              <w:t>Education level</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95">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96">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97">
            <w:pPr>
              <w:widowControl/>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398">
            <w:pPr>
              <w:jc w:val="center"/>
              <w:rPr>
                <w:rFonts w:ascii="Times New Roman" w:hAnsi="Times New Roman" w:cs="Times New Roman"/>
                <w:szCs w:val="21"/>
              </w:rPr>
            </w:pPr>
            <w:r>
              <w:rPr>
                <w:rFonts w:ascii="Times New Roman" w:hAnsi="Times New Roman" w:cs="Times New Roman"/>
                <w:szCs w:val="21"/>
              </w:rPr>
              <w:t>722.976</w:t>
            </w:r>
          </w:p>
        </w:tc>
        <w:tc>
          <w:tcPr>
            <w:tcW w:w="556" w:type="pct"/>
            <w:tcBorders>
              <w:top w:val="nil"/>
              <w:left w:val="nil"/>
              <w:bottom w:val="nil"/>
              <w:right w:val="nil"/>
            </w:tcBorders>
            <w:shd w:val="clear" w:color="auto" w:fill="FFFFFF"/>
          </w:tcPr>
          <w:p w14:paraId="0D48C399">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3A1">
        <w:trPr>
          <w:jc w:val="center"/>
        </w:trPr>
        <w:tc>
          <w:tcPr>
            <w:tcW w:w="1739" w:type="pct"/>
            <w:tcBorders>
              <w:top w:val="nil"/>
              <w:left w:val="nil"/>
              <w:bottom w:val="nil"/>
              <w:right w:val="nil"/>
            </w:tcBorders>
            <w:shd w:val="clear" w:color="auto" w:fill="FFFFFF"/>
          </w:tcPr>
          <w:p w14:paraId="0D48C39B">
            <w:pPr>
              <w:ind w:firstLine="210" w:firstLineChars="100"/>
              <w:rPr>
                <w:rFonts w:ascii="Times New Roman" w:hAnsi="Times New Roman" w:cs="Times New Roman"/>
                <w:szCs w:val="21"/>
              </w:rPr>
            </w:pPr>
            <w:r>
              <w:rPr>
                <w:rFonts w:ascii="Times New Roman" w:hAnsi="Times New Roman" w:cs="Times New Roman"/>
                <w:szCs w:val="21"/>
              </w:rPr>
              <w:t>No formal education</w:t>
            </w:r>
          </w:p>
        </w:tc>
        <w:tc>
          <w:tcPr>
            <w:tcW w:w="877" w:type="pct"/>
            <w:tcBorders>
              <w:top w:val="nil"/>
              <w:left w:val="nil"/>
              <w:bottom w:val="nil"/>
              <w:right w:val="nil"/>
            </w:tcBorders>
            <w:shd w:val="clear" w:color="auto" w:fill="FFFFFF"/>
          </w:tcPr>
          <w:p w14:paraId="0D48C39C">
            <w:pPr>
              <w:jc w:val="center"/>
              <w:rPr>
                <w:rFonts w:ascii="Times New Roman" w:hAnsi="Times New Roman" w:cs="Times New Roman"/>
                <w:szCs w:val="21"/>
              </w:rPr>
            </w:pPr>
            <w:r>
              <w:rPr>
                <w:rFonts w:ascii="Times New Roman" w:hAnsi="Times New Roman" w:cs="Times New Roman"/>
                <w:szCs w:val="21"/>
              </w:rPr>
              <w:t>1745 (23.3)</w:t>
            </w:r>
          </w:p>
        </w:tc>
        <w:tc>
          <w:tcPr>
            <w:tcW w:w="820" w:type="pct"/>
            <w:tcBorders>
              <w:top w:val="nil"/>
              <w:left w:val="nil"/>
              <w:bottom w:val="nil"/>
              <w:right w:val="nil"/>
            </w:tcBorders>
            <w:shd w:val="clear" w:color="auto" w:fill="FFFFFF"/>
          </w:tcPr>
          <w:p w14:paraId="0D48C39D">
            <w:pPr>
              <w:jc w:val="center"/>
              <w:rPr>
                <w:rFonts w:ascii="Times New Roman" w:hAnsi="Times New Roman" w:cs="Times New Roman"/>
                <w:szCs w:val="21"/>
              </w:rPr>
            </w:pPr>
            <w:r>
              <w:rPr>
                <w:rFonts w:ascii="Times New Roman" w:hAnsi="Times New Roman" w:cs="Times New Roman"/>
                <w:szCs w:val="21"/>
              </w:rPr>
              <w:t>1522 (48.1)</w:t>
            </w:r>
          </w:p>
        </w:tc>
        <w:tc>
          <w:tcPr>
            <w:tcW w:w="572" w:type="pct"/>
            <w:tcBorders>
              <w:top w:val="nil"/>
              <w:left w:val="nil"/>
              <w:bottom w:val="nil"/>
              <w:right w:val="nil"/>
            </w:tcBorders>
            <w:shd w:val="clear" w:color="auto" w:fill="FFFFFF"/>
          </w:tcPr>
          <w:p w14:paraId="0D48C39E">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9F">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A0">
            <w:pPr>
              <w:jc w:val="center"/>
              <w:rPr>
                <w:rFonts w:ascii="Times New Roman" w:hAnsi="Times New Roman" w:cs="Times New Roman"/>
                <w:b/>
                <w:bCs/>
                <w:szCs w:val="21"/>
              </w:rPr>
            </w:pPr>
          </w:p>
        </w:tc>
      </w:tr>
      <w:tr w14:paraId="0D48C3A8">
        <w:trPr>
          <w:jc w:val="center"/>
        </w:trPr>
        <w:tc>
          <w:tcPr>
            <w:tcW w:w="1739" w:type="pct"/>
            <w:tcBorders>
              <w:top w:val="nil"/>
              <w:left w:val="nil"/>
              <w:bottom w:val="nil"/>
              <w:right w:val="nil"/>
            </w:tcBorders>
            <w:shd w:val="clear" w:color="auto" w:fill="FFFFFF"/>
          </w:tcPr>
          <w:p w14:paraId="0D48C3A2">
            <w:pPr>
              <w:ind w:firstLine="210" w:firstLineChars="100"/>
              <w:rPr>
                <w:rFonts w:ascii="Times New Roman" w:hAnsi="Times New Roman" w:cs="Times New Roman"/>
                <w:szCs w:val="21"/>
              </w:rPr>
            </w:pPr>
            <w:r>
              <w:rPr>
                <w:rFonts w:ascii="Times New Roman" w:hAnsi="Times New Roman" w:cs="Times New Roman"/>
                <w:szCs w:val="21"/>
              </w:rPr>
              <w:t xml:space="preserve">Primary school </w:t>
            </w:r>
          </w:p>
        </w:tc>
        <w:tc>
          <w:tcPr>
            <w:tcW w:w="877" w:type="pct"/>
            <w:tcBorders>
              <w:top w:val="nil"/>
              <w:left w:val="nil"/>
              <w:bottom w:val="nil"/>
              <w:right w:val="nil"/>
            </w:tcBorders>
            <w:shd w:val="clear" w:color="auto" w:fill="FFFFFF"/>
          </w:tcPr>
          <w:p w14:paraId="0D48C3A3">
            <w:pPr>
              <w:jc w:val="center"/>
              <w:rPr>
                <w:rFonts w:ascii="Times New Roman" w:hAnsi="Times New Roman" w:cs="Times New Roman"/>
                <w:szCs w:val="21"/>
              </w:rPr>
            </w:pPr>
            <w:r>
              <w:rPr>
                <w:rFonts w:ascii="Times New Roman" w:hAnsi="Times New Roman" w:cs="Times New Roman"/>
                <w:szCs w:val="21"/>
              </w:rPr>
              <w:t>3467 (46.3)</w:t>
            </w:r>
          </w:p>
        </w:tc>
        <w:tc>
          <w:tcPr>
            <w:tcW w:w="820" w:type="pct"/>
            <w:tcBorders>
              <w:top w:val="nil"/>
              <w:left w:val="nil"/>
              <w:bottom w:val="nil"/>
              <w:right w:val="nil"/>
            </w:tcBorders>
            <w:shd w:val="clear" w:color="auto" w:fill="FFFFFF"/>
          </w:tcPr>
          <w:p w14:paraId="0D48C3A4">
            <w:pPr>
              <w:jc w:val="center"/>
              <w:rPr>
                <w:rFonts w:ascii="Times New Roman" w:hAnsi="Times New Roman" w:cs="Times New Roman"/>
                <w:szCs w:val="21"/>
              </w:rPr>
            </w:pPr>
            <w:r>
              <w:rPr>
                <w:rFonts w:ascii="Times New Roman" w:hAnsi="Times New Roman" w:cs="Times New Roman"/>
                <w:szCs w:val="21"/>
              </w:rPr>
              <w:t>1194 (37.8)</w:t>
            </w:r>
          </w:p>
        </w:tc>
        <w:tc>
          <w:tcPr>
            <w:tcW w:w="572" w:type="pct"/>
            <w:tcBorders>
              <w:top w:val="nil"/>
              <w:left w:val="nil"/>
              <w:bottom w:val="nil"/>
              <w:right w:val="nil"/>
            </w:tcBorders>
            <w:shd w:val="clear" w:color="auto" w:fill="FFFFFF"/>
          </w:tcPr>
          <w:p w14:paraId="0D48C3A5">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A6">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A7">
            <w:pPr>
              <w:jc w:val="center"/>
              <w:rPr>
                <w:rFonts w:ascii="Times New Roman" w:hAnsi="Times New Roman" w:cs="Times New Roman"/>
                <w:b/>
                <w:bCs/>
                <w:szCs w:val="21"/>
              </w:rPr>
            </w:pPr>
          </w:p>
        </w:tc>
      </w:tr>
      <w:tr w14:paraId="0D48C3AF">
        <w:trPr>
          <w:jc w:val="center"/>
        </w:trPr>
        <w:tc>
          <w:tcPr>
            <w:tcW w:w="1739" w:type="pct"/>
            <w:tcBorders>
              <w:top w:val="nil"/>
              <w:left w:val="nil"/>
              <w:bottom w:val="nil"/>
              <w:right w:val="nil"/>
            </w:tcBorders>
            <w:shd w:val="clear" w:color="auto" w:fill="FFFFFF"/>
          </w:tcPr>
          <w:p w14:paraId="0D48C3A9">
            <w:pPr>
              <w:ind w:firstLine="210" w:firstLineChars="100"/>
              <w:rPr>
                <w:rFonts w:ascii="Times New Roman" w:hAnsi="Times New Roman" w:cs="Times New Roman"/>
                <w:szCs w:val="21"/>
              </w:rPr>
            </w:pPr>
            <w:r>
              <w:rPr>
                <w:rFonts w:ascii="Times New Roman" w:hAnsi="Times New Roman" w:cs="Times New Roman"/>
                <w:szCs w:val="21"/>
              </w:rPr>
              <w:t>Middle school</w:t>
            </w:r>
          </w:p>
        </w:tc>
        <w:tc>
          <w:tcPr>
            <w:tcW w:w="877" w:type="pct"/>
            <w:tcBorders>
              <w:top w:val="nil"/>
              <w:left w:val="nil"/>
              <w:bottom w:val="nil"/>
              <w:right w:val="nil"/>
            </w:tcBorders>
            <w:shd w:val="clear" w:color="auto" w:fill="FFFFFF"/>
          </w:tcPr>
          <w:p w14:paraId="0D48C3AA">
            <w:pPr>
              <w:jc w:val="center"/>
              <w:rPr>
                <w:rFonts w:ascii="Times New Roman" w:hAnsi="Times New Roman" w:cs="Times New Roman"/>
                <w:szCs w:val="21"/>
              </w:rPr>
            </w:pPr>
            <w:r>
              <w:rPr>
                <w:rFonts w:ascii="Times New Roman" w:hAnsi="Times New Roman" w:cs="Times New Roman"/>
                <w:szCs w:val="21"/>
              </w:rPr>
              <w:t>1940 (25.9)</w:t>
            </w:r>
          </w:p>
        </w:tc>
        <w:tc>
          <w:tcPr>
            <w:tcW w:w="820" w:type="pct"/>
            <w:tcBorders>
              <w:top w:val="nil"/>
              <w:left w:val="nil"/>
              <w:bottom w:val="nil"/>
              <w:right w:val="nil"/>
            </w:tcBorders>
            <w:shd w:val="clear" w:color="auto" w:fill="FFFFFF"/>
          </w:tcPr>
          <w:p w14:paraId="0D48C3AB">
            <w:pPr>
              <w:jc w:val="center"/>
              <w:rPr>
                <w:rFonts w:ascii="Times New Roman" w:hAnsi="Times New Roman" w:cs="Times New Roman"/>
                <w:szCs w:val="21"/>
              </w:rPr>
            </w:pPr>
            <w:r>
              <w:rPr>
                <w:rFonts w:ascii="Times New Roman" w:hAnsi="Times New Roman" w:cs="Times New Roman"/>
                <w:szCs w:val="21"/>
              </w:rPr>
              <w:t>352 (11.1)</w:t>
            </w:r>
          </w:p>
        </w:tc>
        <w:tc>
          <w:tcPr>
            <w:tcW w:w="572" w:type="pct"/>
            <w:tcBorders>
              <w:top w:val="nil"/>
              <w:left w:val="nil"/>
              <w:bottom w:val="nil"/>
              <w:right w:val="nil"/>
            </w:tcBorders>
            <w:shd w:val="clear" w:color="auto" w:fill="FFFFFF"/>
          </w:tcPr>
          <w:p w14:paraId="0D48C3AC">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AD">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AE">
            <w:pPr>
              <w:jc w:val="center"/>
              <w:rPr>
                <w:rFonts w:ascii="Times New Roman" w:hAnsi="Times New Roman" w:cs="Times New Roman"/>
                <w:b/>
                <w:bCs/>
                <w:szCs w:val="21"/>
              </w:rPr>
            </w:pPr>
          </w:p>
        </w:tc>
      </w:tr>
      <w:tr w14:paraId="0D48C3B6">
        <w:trPr>
          <w:jc w:val="center"/>
        </w:trPr>
        <w:tc>
          <w:tcPr>
            <w:tcW w:w="1739" w:type="pct"/>
            <w:tcBorders>
              <w:top w:val="nil"/>
              <w:left w:val="nil"/>
              <w:bottom w:val="nil"/>
              <w:right w:val="nil"/>
            </w:tcBorders>
            <w:shd w:val="clear" w:color="auto" w:fill="FFFFFF"/>
          </w:tcPr>
          <w:p w14:paraId="0D48C3B0">
            <w:pPr>
              <w:ind w:firstLine="210" w:firstLineChars="100"/>
              <w:rPr>
                <w:rFonts w:ascii="Times New Roman" w:hAnsi="Times New Roman" w:cs="Times New Roman"/>
                <w:szCs w:val="21"/>
              </w:rPr>
            </w:pPr>
            <w:r>
              <w:rPr>
                <w:rFonts w:ascii="Times New Roman" w:hAnsi="Times New Roman" w:cs="Times New Roman"/>
                <w:szCs w:val="21"/>
              </w:rPr>
              <w:t>Secondary vocational school and above</w:t>
            </w:r>
          </w:p>
        </w:tc>
        <w:tc>
          <w:tcPr>
            <w:tcW w:w="877" w:type="pct"/>
            <w:tcBorders>
              <w:top w:val="nil"/>
              <w:left w:val="nil"/>
              <w:bottom w:val="nil"/>
              <w:right w:val="nil"/>
            </w:tcBorders>
            <w:shd w:val="clear" w:color="auto" w:fill="FFFFFF"/>
          </w:tcPr>
          <w:p w14:paraId="0D48C3B1">
            <w:pPr>
              <w:jc w:val="center"/>
              <w:rPr>
                <w:rFonts w:ascii="Times New Roman" w:hAnsi="Times New Roman" w:cs="Times New Roman"/>
                <w:szCs w:val="21"/>
              </w:rPr>
            </w:pPr>
            <w:r>
              <w:rPr>
                <w:rFonts w:ascii="Times New Roman" w:hAnsi="Times New Roman" w:cs="Times New Roman"/>
                <w:szCs w:val="21"/>
              </w:rPr>
              <w:t>340 (4.5)</w:t>
            </w:r>
          </w:p>
        </w:tc>
        <w:tc>
          <w:tcPr>
            <w:tcW w:w="820" w:type="pct"/>
            <w:tcBorders>
              <w:top w:val="nil"/>
              <w:left w:val="nil"/>
              <w:bottom w:val="nil"/>
              <w:right w:val="nil"/>
            </w:tcBorders>
            <w:shd w:val="clear" w:color="auto" w:fill="FFFFFF"/>
          </w:tcPr>
          <w:p w14:paraId="0D48C3B2">
            <w:pPr>
              <w:jc w:val="center"/>
              <w:rPr>
                <w:rFonts w:ascii="Times New Roman" w:hAnsi="Times New Roman" w:cs="Times New Roman"/>
                <w:szCs w:val="21"/>
              </w:rPr>
            </w:pPr>
            <w:r>
              <w:rPr>
                <w:rFonts w:ascii="Times New Roman" w:hAnsi="Times New Roman" w:cs="Times New Roman"/>
                <w:szCs w:val="21"/>
              </w:rPr>
              <w:t>94 (3.0)</w:t>
            </w:r>
          </w:p>
        </w:tc>
        <w:tc>
          <w:tcPr>
            <w:tcW w:w="572" w:type="pct"/>
            <w:tcBorders>
              <w:top w:val="nil"/>
              <w:left w:val="nil"/>
              <w:bottom w:val="nil"/>
              <w:right w:val="nil"/>
            </w:tcBorders>
            <w:shd w:val="clear" w:color="auto" w:fill="FFFFFF"/>
          </w:tcPr>
          <w:p w14:paraId="0D48C3B3">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B4">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B5">
            <w:pPr>
              <w:jc w:val="center"/>
              <w:rPr>
                <w:rFonts w:ascii="Times New Roman" w:hAnsi="Times New Roman" w:cs="Times New Roman"/>
                <w:b/>
                <w:bCs/>
                <w:szCs w:val="21"/>
              </w:rPr>
            </w:pPr>
          </w:p>
        </w:tc>
      </w:tr>
      <w:tr w14:paraId="0D48C3BD">
        <w:trPr>
          <w:jc w:val="center"/>
        </w:trPr>
        <w:tc>
          <w:tcPr>
            <w:tcW w:w="1739" w:type="pct"/>
            <w:tcBorders>
              <w:top w:val="nil"/>
              <w:left w:val="nil"/>
              <w:bottom w:val="nil"/>
              <w:right w:val="nil"/>
            </w:tcBorders>
            <w:shd w:val="clear" w:color="auto" w:fill="FFFFFF"/>
          </w:tcPr>
          <w:p w14:paraId="0D48C3B7">
            <w:pPr>
              <w:rPr>
                <w:rFonts w:ascii="Times New Roman" w:hAnsi="Times New Roman" w:cs="Times New Roman"/>
                <w:szCs w:val="21"/>
              </w:rPr>
            </w:pPr>
            <w:r>
              <w:rPr>
                <w:rFonts w:hint="eastAsia" w:ascii="Times New Roman" w:hAnsi="Times New Roman" w:eastAsia="宋体" w:cs="Times New Roman"/>
                <w:b/>
                <w:bCs/>
                <w:kern w:val="0"/>
                <w:szCs w:val="21"/>
                <w:lang w:bidi="ar"/>
              </w:rPr>
              <w:t>Health Care Access and Quality</w:t>
            </w:r>
          </w:p>
        </w:tc>
        <w:tc>
          <w:tcPr>
            <w:tcW w:w="877" w:type="pct"/>
            <w:tcBorders>
              <w:top w:val="nil"/>
              <w:left w:val="nil"/>
              <w:bottom w:val="nil"/>
              <w:right w:val="nil"/>
            </w:tcBorders>
            <w:shd w:val="clear" w:color="auto" w:fill="FFFFFF"/>
          </w:tcPr>
          <w:p w14:paraId="0D48C3B8">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B9">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BA">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BB">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BC">
            <w:pPr>
              <w:jc w:val="center"/>
              <w:rPr>
                <w:rFonts w:ascii="Times New Roman" w:hAnsi="Times New Roman" w:cs="Times New Roman"/>
                <w:b/>
                <w:bCs/>
                <w:szCs w:val="21"/>
              </w:rPr>
            </w:pPr>
          </w:p>
        </w:tc>
      </w:tr>
      <w:tr w14:paraId="0D48C3C4">
        <w:trPr>
          <w:jc w:val="center"/>
        </w:trPr>
        <w:tc>
          <w:tcPr>
            <w:tcW w:w="1739" w:type="pct"/>
            <w:tcBorders>
              <w:top w:val="nil"/>
              <w:left w:val="nil"/>
              <w:bottom w:val="nil"/>
              <w:right w:val="nil"/>
            </w:tcBorders>
            <w:shd w:val="clear" w:color="auto" w:fill="FFFFFF"/>
          </w:tcPr>
          <w:p w14:paraId="0D48C3BE">
            <w:pPr>
              <w:rPr>
                <w:rFonts w:ascii="Times New Roman" w:hAnsi="Times New Roman" w:cs="Times New Roman"/>
                <w:szCs w:val="21"/>
              </w:rPr>
            </w:pPr>
            <w:r>
              <w:rPr>
                <w:rFonts w:ascii="Times New Roman" w:hAnsi="Times New Roman" w:eastAsia="宋体" w:cs="Times New Roman"/>
                <w:kern w:val="0"/>
                <w:szCs w:val="21"/>
                <w:lang w:bidi="ar"/>
              </w:rPr>
              <w:t>Health insurance</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BF">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C0">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C1">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3C2">
            <w:pPr>
              <w:jc w:val="center"/>
              <w:rPr>
                <w:rFonts w:ascii="Times New Roman" w:hAnsi="Times New Roman" w:cs="Times New Roman"/>
                <w:szCs w:val="21"/>
              </w:rPr>
            </w:pPr>
            <w:r>
              <w:rPr>
                <w:rFonts w:ascii="Times New Roman" w:hAnsi="Times New Roman" w:cs="Times New Roman"/>
                <w:szCs w:val="21"/>
              </w:rPr>
              <w:t>68.004</w:t>
            </w:r>
          </w:p>
        </w:tc>
        <w:tc>
          <w:tcPr>
            <w:tcW w:w="556" w:type="pct"/>
            <w:tcBorders>
              <w:top w:val="nil"/>
              <w:left w:val="nil"/>
              <w:bottom w:val="nil"/>
              <w:right w:val="nil"/>
            </w:tcBorders>
            <w:shd w:val="clear" w:color="auto" w:fill="FFFFFF"/>
          </w:tcPr>
          <w:p w14:paraId="0D48C3C3">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3CB">
        <w:trPr>
          <w:jc w:val="center"/>
        </w:trPr>
        <w:tc>
          <w:tcPr>
            <w:tcW w:w="1739" w:type="pct"/>
            <w:tcBorders>
              <w:top w:val="nil"/>
              <w:left w:val="nil"/>
              <w:bottom w:val="nil"/>
              <w:right w:val="nil"/>
            </w:tcBorders>
            <w:shd w:val="clear" w:color="auto" w:fill="FFFFFF"/>
          </w:tcPr>
          <w:p w14:paraId="0D48C3C5">
            <w:pPr>
              <w:widowControl/>
              <w:ind w:firstLine="210" w:firstLineChars="100"/>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Uninsured</w:t>
            </w:r>
          </w:p>
        </w:tc>
        <w:tc>
          <w:tcPr>
            <w:tcW w:w="877" w:type="pct"/>
            <w:tcBorders>
              <w:top w:val="nil"/>
              <w:left w:val="nil"/>
              <w:bottom w:val="nil"/>
              <w:right w:val="nil"/>
            </w:tcBorders>
            <w:shd w:val="clear" w:color="auto" w:fill="FFFFFF"/>
          </w:tcPr>
          <w:p w14:paraId="0D48C3C6">
            <w:pPr>
              <w:jc w:val="center"/>
              <w:rPr>
                <w:rFonts w:ascii="Times New Roman" w:hAnsi="Times New Roman" w:cs="Times New Roman"/>
                <w:szCs w:val="21"/>
              </w:rPr>
            </w:pPr>
            <w:r>
              <w:rPr>
                <w:rFonts w:ascii="Times New Roman" w:hAnsi="Times New Roman" w:cs="Times New Roman"/>
                <w:szCs w:val="21"/>
              </w:rPr>
              <w:t>318 (4.2)</w:t>
            </w:r>
          </w:p>
        </w:tc>
        <w:tc>
          <w:tcPr>
            <w:tcW w:w="820" w:type="pct"/>
            <w:tcBorders>
              <w:top w:val="nil"/>
              <w:left w:val="nil"/>
              <w:bottom w:val="nil"/>
              <w:right w:val="nil"/>
            </w:tcBorders>
            <w:shd w:val="clear" w:color="auto" w:fill="FFFFFF"/>
          </w:tcPr>
          <w:p w14:paraId="0D48C3C7">
            <w:pPr>
              <w:jc w:val="center"/>
              <w:rPr>
                <w:rFonts w:ascii="Times New Roman" w:hAnsi="Times New Roman" w:cs="Times New Roman"/>
                <w:szCs w:val="21"/>
              </w:rPr>
            </w:pPr>
            <w:r>
              <w:rPr>
                <w:rFonts w:ascii="Times New Roman" w:hAnsi="Times New Roman" w:cs="Times New Roman"/>
                <w:szCs w:val="21"/>
              </w:rPr>
              <w:t>255 (8.1)</w:t>
            </w:r>
          </w:p>
        </w:tc>
        <w:tc>
          <w:tcPr>
            <w:tcW w:w="572" w:type="pct"/>
            <w:tcBorders>
              <w:top w:val="nil"/>
              <w:left w:val="nil"/>
              <w:bottom w:val="nil"/>
              <w:right w:val="nil"/>
            </w:tcBorders>
            <w:shd w:val="clear" w:color="auto" w:fill="FFFFFF"/>
          </w:tcPr>
          <w:p w14:paraId="0D48C3C8">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C9">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CA">
            <w:pPr>
              <w:jc w:val="center"/>
              <w:rPr>
                <w:rFonts w:ascii="Times New Roman" w:hAnsi="Times New Roman" w:cs="Times New Roman"/>
                <w:b/>
                <w:bCs/>
                <w:szCs w:val="21"/>
              </w:rPr>
            </w:pPr>
          </w:p>
        </w:tc>
      </w:tr>
      <w:tr w14:paraId="0D48C3D2">
        <w:trPr>
          <w:jc w:val="center"/>
        </w:trPr>
        <w:tc>
          <w:tcPr>
            <w:tcW w:w="1739" w:type="pct"/>
            <w:tcBorders>
              <w:top w:val="nil"/>
              <w:left w:val="nil"/>
              <w:bottom w:val="nil"/>
              <w:right w:val="nil"/>
            </w:tcBorders>
            <w:shd w:val="clear" w:color="auto" w:fill="FFFFFF"/>
          </w:tcPr>
          <w:p w14:paraId="0D48C3CC">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kern w:val="0"/>
                <w:szCs w:val="21"/>
                <w:lang w:bidi="ar"/>
              </w:rPr>
              <w:t>Private</w:t>
            </w:r>
          </w:p>
        </w:tc>
        <w:tc>
          <w:tcPr>
            <w:tcW w:w="877" w:type="pct"/>
            <w:tcBorders>
              <w:top w:val="nil"/>
              <w:left w:val="nil"/>
              <w:bottom w:val="nil"/>
              <w:right w:val="nil"/>
            </w:tcBorders>
            <w:shd w:val="clear" w:color="auto" w:fill="FFFFFF"/>
          </w:tcPr>
          <w:p w14:paraId="0D48C3CD">
            <w:pPr>
              <w:jc w:val="center"/>
              <w:rPr>
                <w:rFonts w:ascii="Times New Roman" w:hAnsi="Times New Roman" w:cs="Times New Roman"/>
                <w:szCs w:val="21"/>
              </w:rPr>
            </w:pPr>
            <w:r>
              <w:rPr>
                <w:rFonts w:ascii="Times New Roman" w:hAnsi="Times New Roman" w:cs="Times New Roman"/>
                <w:szCs w:val="21"/>
              </w:rPr>
              <w:t>98 (1.3)</w:t>
            </w:r>
          </w:p>
        </w:tc>
        <w:tc>
          <w:tcPr>
            <w:tcW w:w="820" w:type="pct"/>
            <w:tcBorders>
              <w:top w:val="nil"/>
              <w:left w:val="nil"/>
              <w:bottom w:val="nil"/>
              <w:right w:val="nil"/>
            </w:tcBorders>
            <w:shd w:val="clear" w:color="auto" w:fill="FFFFFF"/>
          </w:tcPr>
          <w:p w14:paraId="0D48C3CE">
            <w:pPr>
              <w:jc w:val="center"/>
              <w:rPr>
                <w:rFonts w:ascii="Times New Roman" w:hAnsi="Times New Roman" w:cs="Times New Roman"/>
                <w:szCs w:val="21"/>
              </w:rPr>
            </w:pPr>
            <w:r>
              <w:rPr>
                <w:rFonts w:ascii="Times New Roman" w:hAnsi="Times New Roman" w:cs="Times New Roman"/>
                <w:szCs w:val="21"/>
              </w:rPr>
              <w:t>56 (1.8)</w:t>
            </w:r>
          </w:p>
        </w:tc>
        <w:tc>
          <w:tcPr>
            <w:tcW w:w="572" w:type="pct"/>
            <w:tcBorders>
              <w:top w:val="nil"/>
              <w:left w:val="nil"/>
              <w:bottom w:val="nil"/>
              <w:right w:val="nil"/>
            </w:tcBorders>
            <w:shd w:val="clear" w:color="auto" w:fill="FFFFFF"/>
          </w:tcPr>
          <w:p w14:paraId="0D48C3CF">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D0">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D1">
            <w:pPr>
              <w:jc w:val="center"/>
              <w:rPr>
                <w:rFonts w:ascii="Times New Roman" w:hAnsi="Times New Roman" w:cs="Times New Roman"/>
                <w:b/>
                <w:bCs/>
                <w:szCs w:val="21"/>
              </w:rPr>
            </w:pPr>
          </w:p>
        </w:tc>
      </w:tr>
      <w:tr w14:paraId="0D48C3D9">
        <w:trPr>
          <w:jc w:val="center"/>
        </w:trPr>
        <w:tc>
          <w:tcPr>
            <w:tcW w:w="1739" w:type="pct"/>
            <w:tcBorders>
              <w:top w:val="nil"/>
              <w:left w:val="nil"/>
              <w:bottom w:val="nil"/>
              <w:right w:val="nil"/>
            </w:tcBorders>
            <w:shd w:val="clear" w:color="auto" w:fill="FFFFFF"/>
          </w:tcPr>
          <w:p w14:paraId="0D48C3D3">
            <w:pPr>
              <w:widowControl/>
              <w:ind w:firstLine="210" w:firstLineChars="100"/>
              <w:jc w:val="left"/>
              <w:rPr>
                <w:rFonts w:ascii="Times New Roman" w:hAnsi="Times New Roman" w:eastAsia="宋体" w:cs="Times New Roman"/>
                <w:szCs w:val="21"/>
              </w:rPr>
            </w:pPr>
            <w:r>
              <w:rPr>
                <w:rFonts w:ascii="Times New Roman" w:hAnsi="Times New Roman" w:eastAsia="宋体" w:cs="Times New Roman"/>
                <w:kern w:val="0"/>
                <w:szCs w:val="21"/>
                <w:lang w:bidi="ar"/>
              </w:rPr>
              <w:t>Public or government</w:t>
            </w:r>
          </w:p>
        </w:tc>
        <w:tc>
          <w:tcPr>
            <w:tcW w:w="877" w:type="pct"/>
            <w:tcBorders>
              <w:top w:val="nil"/>
              <w:left w:val="nil"/>
              <w:bottom w:val="nil"/>
              <w:right w:val="nil"/>
            </w:tcBorders>
            <w:shd w:val="clear" w:color="auto" w:fill="FFFFFF"/>
          </w:tcPr>
          <w:p w14:paraId="0D48C3D4">
            <w:pPr>
              <w:jc w:val="center"/>
              <w:rPr>
                <w:rFonts w:ascii="Times New Roman" w:hAnsi="Times New Roman" w:cs="Times New Roman"/>
                <w:szCs w:val="21"/>
              </w:rPr>
            </w:pPr>
            <w:r>
              <w:rPr>
                <w:rFonts w:ascii="Times New Roman" w:hAnsi="Times New Roman" w:cs="Times New Roman"/>
                <w:szCs w:val="21"/>
              </w:rPr>
              <w:t>7076 (94.4)</w:t>
            </w:r>
          </w:p>
        </w:tc>
        <w:tc>
          <w:tcPr>
            <w:tcW w:w="820" w:type="pct"/>
            <w:tcBorders>
              <w:top w:val="nil"/>
              <w:left w:val="nil"/>
              <w:bottom w:val="nil"/>
              <w:right w:val="nil"/>
            </w:tcBorders>
            <w:shd w:val="clear" w:color="auto" w:fill="FFFFFF"/>
          </w:tcPr>
          <w:p w14:paraId="0D48C3D5">
            <w:pPr>
              <w:jc w:val="center"/>
              <w:rPr>
                <w:rFonts w:ascii="Times New Roman" w:hAnsi="Times New Roman" w:cs="Times New Roman"/>
                <w:szCs w:val="21"/>
              </w:rPr>
            </w:pPr>
            <w:r>
              <w:rPr>
                <w:rFonts w:ascii="Times New Roman" w:hAnsi="Times New Roman" w:cs="Times New Roman"/>
                <w:szCs w:val="21"/>
              </w:rPr>
              <w:t>2851 (90.2)</w:t>
            </w:r>
          </w:p>
        </w:tc>
        <w:tc>
          <w:tcPr>
            <w:tcW w:w="572" w:type="pct"/>
            <w:tcBorders>
              <w:top w:val="nil"/>
              <w:left w:val="nil"/>
              <w:bottom w:val="nil"/>
              <w:right w:val="nil"/>
            </w:tcBorders>
            <w:shd w:val="clear" w:color="auto" w:fill="FFFFFF"/>
          </w:tcPr>
          <w:p w14:paraId="0D48C3D6">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D7">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D8">
            <w:pPr>
              <w:jc w:val="center"/>
              <w:rPr>
                <w:rFonts w:ascii="Times New Roman" w:hAnsi="Times New Roman" w:cs="Times New Roman"/>
                <w:b/>
                <w:bCs/>
                <w:szCs w:val="21"/>
              </w:rPr>
            </w:pPr>
          </w:p>
        </w:tc>
      </w:tr>
      <w:tr w14:paraId="0D48C3E0">
        <w:trPr>
          <w:jc w:val="center"/>
        </w:trPr>
        <w:tc>
          <w:tcPr>
            <w:tcW w:w="1739" w:type="pct"/>
            <w:tcBorders>
              <w:top w:val="nil"/>
              <w:left w:val="nil"/>
              <w:bottom w:val="nil"/>
              <w:right w:val="nil"/>
            </w:tcBorders>
            <w:shd w:val="clear" w:color="auto" w:fill="FFFFFF"/>
          </w:tcPr>
          <w:p w14:paraId="0D48C3DA">
            <w:pPr>
              <w:tabs>
                <w:tab w:val="center" w:pos="1869"/>
              </w:tabs>
              <w:rPr>
                <w:rFonts w:ascii="Times New Roman" w:hAnsi="Times New Roman" w:cs="Times New Roman"/>
                <w:szCs w:val="21"/>
              </w:rPr>
            </w:pPr>
            <w:r>
              <w:rPr>
                <w:rFonts w:ascii="Times New Roman" w:hAnsi="Times New Roman" w:eastAsia="宋体" w:cs="Times New Roman"/>
                <w:kern w:val="0"/>
                <w:szCs w:val="21"/>
                <w:lang w:bidi="ar"/>
              </w:rPr>
              <w:t>Access to healthcare</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DB">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DC">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DD">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3DE">
            <w:pPr>
              <w:jc w:val="center"/>
              <w:rPr>
                <w:rFonts w:ascii="Times New Roman" w:hAnsi="Times New Roman" w:cs="Times New Roman"/>
                <w:szCs w:val="21"/>
              </w:rPr>
            </w:pPr>
            <w:r>
              <w:rPr>
                <w:rFonts w:ascii="Times New Roman" w:hAnsi="Times New Roman" w:cs="Times New Roman"/>
                <w:szCs w:val="21"/>
              </w:rPr>
              <w:t>11.772</w:t>
            </w:r>
          </w:p>
        </w:tc>
        <w:tc>
          <w:tcPr>
            <w:tcW w:w="556" w:type="pct"/>
            <w:tcBorders>
              <w:top w:val="nil"/>
              <w:left w:val="nil"/>
              <w:bottom w:val="nil"/>
              <w:right w:val="nil"/>
            </w:tcBorders>
            <w:shd w:val="clear" w:color="auto" w:fill="FFFFFF"/>
          </w:tcPr>
          <w:p w14:paraId="0D48C3DF">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3E7">
        <w:trPr>
          <w:jc w:val="center"/>
        </w:trPr>
        <w:tc>
          <w:tcPr>
            <w:tcW w:w="1739" w:type="pct"/>
            <w:tcBorders>
              <w:top w:val="nil"/>
              <w:left w:val="nil"/>
              <w:bottom w:val="nil"/>
              <w:right w:val="nil"/>
            </w:tcBorders>
            <w:shd w:val="clear" w:color="auto" w:fill="FFFFFF"/>
          </w:tcPr>
          <w:p w14:paraId="0D48C3E1">
            <w:pPr>
              <w:widowControl/>
              <w:ind w:firstLine="210" w:firstLineChars="100"/>
              <w:jc w:val="left"/>
              <w:rPr>
                <w:rFonts w:ascii="Times New Roman" w:hAnsi="Times New Roman" w:cs="Times New Roman"/>
                <w:szCs w:val="21"/>
              </w:rPr>
            </w:pPr>
            <w:r>
              <w:rPr>
                <w:rFonts w:ascii="Times New Roman" w:hAnsi="Times New Roman" w:eastAsia="宋体" w:cs="Times New Roman"/>
                <w:kern w:val="0"/>
                <w:szCs w:val="21"/>
                <w:lang w:bidi="ar"/>
              </w:rPr>
              <w:t>Inaccessible</w:t>
            </w:r>
          </w:p>
        </w:tc>
        <w:tc>
          <w:tcPr>
            <w:tcW w:w="877" w:type="pct"/>
            <w:tcBorders>
              <w:top w:val="nil"/>
              <w:left w:val="nil"/>
              <w:bottom w:val="nil"/>
              <w:right w:val="nil"/>
            </w:tcBorders>
            <w:shd w:val="clear" w:color="auto" w:fill="FFFFFF"/>
          </w:tcPr>
          <w:p w14:paraId="0D48C3E2">
            <w:pPr>
              <w:jc w:val="center"/>
              <w:rPr>
                <w:rFonts w:ascii="Times New Roman" w:hAnsi="Times New Roman" w:cs="Times New Roman"/>
                <w:szCs w:val="21"/>
              </w:rPr>
            </w:pPr>
            <w:r>
              <w:rPr>
                <w:rFonts w:ascii="Times New Roman" w:hAnsi="Times New Roman" w:cs="Times New Roman"/>
                <w:szCs w:val="21"/>
              </w:rPr>
              <w:t>843 (11.3)</w:t>
            </w:r>
          </w:p>
        </w:tc>
        <w:tc>
          <w:tcPr>
            <w:tcW w:w="820" w:type="pct"/>
            <w:tcBorders>
              <w:top w:val="nil"/>
              <w:left w:val="nil"/>
              <w:bottom w:val="nil"/>
              <w:right w:val="nil"/>
            </w:tcBorders>
            <w:shd w:val="clear" w:color="auto" w:fill="FFFFFF"/>
          </w:tcPr>
          <w:p w14:paraId="0D48C3E3">
            <w:pPr>
              <w:jc w:val="center"/>
              <w:rPr>
                <w:rFonts w:ascii="Times New Roman" w:hAnsi="Times New Roman" w:cs="Times New Roman"/>
                <w:szCs w:val="21"/>
              </w:rPr>
            </w:pPr>
            <w:r>
              <w:rPr>
                <w:rFonts w:ascii="Times New Roman" w:hAnsi="Times New Roman" w:cs="Times New Roman"/>
                <w:szCs w:val="21"/>
              </w:rPr>
              <w:t>285 (9.0)</w:t>
            </w:r>
          </w:p>
        </w:tc>
        <w:tc>
          <w:tcPr>
            <w:tcW w:w="572" w:type="pct"/>
            <w:tcBorders>
              <w:top w:val="nil"/>
              <w:left w:val="nil"/>
              <w:bottom w:val="nil"/>
              <w:right w:val="nil"/>
            </w:tcBorders>
            <w:shd w:val="clear" w:color="auto" w:fill="FFFFFF"/>
          </w:tcPr>
          <w:p w14:paraId="0D48C3E4">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E5">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E6">
            <w:pPr>
              <w:jc w:val="center"/>
              <w:rPr>
                <w:rFonts w:ascii="Times New Roman" w:hAnsi="Times New Roman" w:cs="Times New Roman"/>
                <w:b/>
                <w:bCs/>
                <w:szCs w:val="21"/>
              </w:rPr>
            </w:pPr>
          </w:p>
        </w:tc>
      </w:tr>
      <w:tr w14:paraId="0D48C3EE">
        <w:trPr>
          <w:jc w:val="center"/>
        </w:trPr>
        <w:tc>
          <w:tcPr>
            <w:tcW w:w="1739" w:type="pct"/>
            <w:tcBorders>
              <w:top w:val="nil"/>
              <w:left w:val="nil"/>
              <w:bottom w:val="nil"/>
              <w:right w:val="nil"/>
            </w:tcBorders>
            <w:shd w:val="clear" w:color="auto" w:fill="FFFFFF"/>
          </w:tcPr>
          <w:p w14:paraId="0D48C3E8">
            <w:pPr>
              <w:widowControl/>
              <w:ind w:firstLine="210" w:firstLineChars="100"/>
              <w:jc w:val="left"/>
              <w:rPr>
                <w:rFonts w:ascii="Times New Roman" w:hAnsi="Times New Roman" w:cs="Times New Roman"/>
                <w:szCs w:val="21"/>
              </w:rPr>
            </w:pPr>
            <w:r>
              <w:rPr>
                <w:rFonts w:ascii="Times New Roman" w:hAnsi="Times New Roman" w:eastAsia="宋体" w:cs="Times New Roman"/>
                <w:kern w:val="0"/>
                <w:szCs w:val="21"/>
                <w:lang w:bidi="ar"/>
              </w:rPr>
              <w:t>Accessible</w:t>
            </w:r>
          </w:p>
        </w:tc>
        <w:tc>
          <w:tcPr>
            <w:tcW w:w="877" w:type="pct"/>
            <w:tcBorders>
              <w:top w:val="nil"/>
              <w:left w:val="nil"/>
              <w:bottom w:val="nil"/>
              <w:right w:val="nil"/>
            </w:tcBorders>
            <w:shd w:val="clear" w:color="auto" w:fill="FFFFFF"/>
          </w:tcPr>
          <w:p w14:paraId="0D48C3E9">
            <w:pPr>
              <w:jc w:val="center"/>
              <w:rPr>
                <w:rFonts w:ascii="Times New Roman" w:hAnsi="Times New Roman" w:cs="Times New Roman"/>
                <w:szCs w:val="21"/>
              </w:rPr>
            </w:pPr>
            <w:r>
              <w:rPr>
                <w:rFonts w:ascii="Times New Roman" w:hAnsi="Times New Roman" w:cs="Times New Roman"/>
                <w:szCs w:val="21"/>
              </w:rPr>
              <w:t>6649 (88.7)</w:t>
            </w:r>
          </w:p>
        </w:tc>
        <w:tc>
          <w:tcPr>
            <w:tcW w:w="820" w:type="pct"/>
            <w:tcBorders>
              <w:top w:val="nil"/>
              <w:left w:val="nil"/>
              <w:bottom w:val="nil"/>
              <w:right w:val="nil"/>
            </w:tcBorders>
            <w:shd w:val="clear" w:color="auto" w:fill="FFFFFF"/>
          </w:tcPr>
          <w:p w14:paraId="0D48C3EA">
            <w:pPr>
              <w:jc w:val="center"/>
              <w:rPr>
                <w:rFonts w:ascii="Times New Roman" w:hAnsi="Times New Roman" w:cs="Times New Roman"/>
                <w:szCs w:val="21"/>
              </w:rPr>
            </w:pPr>
            <w:r>
              <w:rPr>
                <w:rFonts w:ascii="Times New Roman" w:hAnsi="Times New Roman" w:cs="Times New Roman"/>
                <w:szCs w:val="21"/>
              </w:rPr>
              <w:t>2877 (91.0)</w:t>
            </w:r>
          </w:p>
        </w:tc>
        <w:tc>
          <w:tcPr>
            <w:tcW w:w="572" w:type="pct"/>
            <w:tcBorders>
              <w:top w:val="nil"/>
              <w:left w:val="nil"/>
              <w:bottom w:val="nil"/>
              <w:right w:val="nil"/>
            </w:tcBorders>
            <w:shd w:val="clear" w:color="auto" w:fill="FFFFFF"/>
          </w:tcPr>
          <w:p w14:paraId="0D48C3EB">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EC">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ED">
            <w:pPr>
              <w:jc w:val="center"/>
              <w:rPr>
                <w:rFonts w:ascii="Times New Roman" w:hAnsi="Times New Roman" w:cs="Times New Roman"/>
                <w:b/>
                <w:bCs/>
                <w:szCs w:val="21"/>
              </w:rPr>
            </w:pPr>
          </w:p>
        </w:tc>
      </w:tr>
      <w:tr w14:paraId="0D48C3F5">
        <w:trPr>
          <w:trHeight w:val="90" w:hRule="atLeast"/>
          <w:jc w:val="center"/>
        </w:trPr>
        <w:tc>
          <w:tcPr>
            <w:tcW w:w="1739" w:type="pct"/>
            <w:tcBorders>
              <w:top w:val="nil"/>
              <w:left w:val="nil"/>
              <w:bottom w:val="nil"/>
              <w:right w:val="nil"/>
            </w:tcBorders>
            <w:shd w:val="clear" w:color="auto" w:fill="FFFFFF"/>
          </w:tcPr>
          <w:p w14:paraId="0D48C3EF">
            <w:pPr>
              <w:rPr>
                <w:rFonts w:ascii="Times New Roman" w:hAnsi="Times New Roman" w:eastAsia="宋体" w:cs="Times New Roman"/>
                <w:szCs w:val="21"/>
              </w:rPr>
            </w:pPr>
            <w:r>
              <w:rPr>
                <w:rFonts w:ascii="Times New Roman" w:hAnsi="Times New Roman" w:eastAsia="宋体" w:cs="Times New Roman"/>
                <w:kern w:val="0"/>
                <w:szCs w:val="21"/>
                <w:lang w:bidi="ar"/>
              </w:rPr>
              <w:t>Per capita number of health institutions</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3F0">
            <w:pPr>
              <w:jc w:val="center"/>
              <w:rPr>
                <w:rFonts w:ascii="Times New Roman" w:hAnsi="Times New Roman" w:cs="Times New Roman"/>
                <w:szCs w:val="21"/>
              </w:rPr>
            </w:pPr>
            <w:r>
              <w:rPr>
                <w:rFonts w:ascii="Times New Roman" w:hAnsi="Times New Roman" w:cs="Times New Roman"/>
                <w:szCs w:val="21"/>
              </w:rPr>
              <w:t>8.05 (3.83, 5.42-9.25)</w:t>
            </w:r>
          </w:p>
        </w:tc>
        <w:tc>
          <w:tcPr>
            <w:tcW w:w="820" w:type="pct"/>
            <w:tcBorders>
              <w:top w:val="nil"/>
              <w:left w:val="nil"/>
              <w:bottom w:val="nil"/>
              <w:right w:val="nil"/>
            </w:tcBorders>
            <w:shd w:val="clear" w:color="auto" w:fill="FFFFFF"/>
          </w:tcPr>
          <w:p w14:paraId="0D48C3F1">
            <w:pPr>
              <w:jc w:val="center"/>
              <w:rPr>
                <w:rFonts w:ascii="Times New Roman" w:hAnsi="Times New Roman" w:cs="Times New Roman"/>
                <w:szCs w:val="21"/>
              </w:rPr>
            </w:pPr>
            <w:r>
              <w:rPr>
                <w:rFonts w:ascii="Times New Roman" w:hAnsi="Times New Roman" w:cs="Times New Roman"/>
                <w:szCs w:val="21"/>
              </w:rPr>
              <w:t>7.12 (3.33, 5.28-8.61)</w:t>
            </w:r>
          </w:p>
        </w:tc>
        <w:tc>
          <w:tcPr>
            <w:tcW w:w="572" w:type="pct"/>
            <w:tcBorders>
              <w:top w:val="nil"/>
              <w:left w:val="nil"/>
              <w:bottom w:val="nil"/>
              <w:right w:val="nil"/>
            </w:tcBorders>
            <w:shd w:val="clear" w:color="auto" w:fill="FFFFFF"/>
          </w:tcPr>
          <w:p w14:paraId="0D48C3F2">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3F3">
            <w:pPr>
              <w:jc w:val="center"/>
              <w:rPr>
                <w:rFonts w:ascii="Times New Roman" w:hAnsi="Times New Roman" w:cs="Times New Roman"/>
                <w:szCs w:val="21"/>
              </w:rPr>
            </w:pPr>
            <w:r>
              <w:rPr>
                <w:rFonts w:hint="eastAsia" w:ascii="Times New Roman" w:hAnsi="Times New Roman" w:cs="Times New Roman"/>
                <w:szCs w:val="21"/>
              </w:rPr>
              <w:t>-8.0</w:t>
            </w:r>
            <w:r>
              <w:rPr>
                <w:rFonts w:ascii="Times New Roman" w:hAnsi="Times New Roman" w:cs="Times New Roman"/>
                <w:szCs w:val="21"/>
              </w:rPr>
              <w:t>61</w:t>
            </w:r>
          </w:p>
        </w:tc>
        <w:tc>
          <w:tcPr>
            <w:tcW w:w="556" w:type="pct"/>
            <w:tcBorders>
              <w:top w:val="nil"/>
              <w:left w:val="nil"/>
              <w:bottom w:val="nil"/>
              <w:right w:val="nil"/>
            </w:tcBorders>
            <w:shd w:val="clear" w:color="auto" w:fill="FFFFFF"/>
          </w:tcPr>
          <w:p w14:paraId="0D48C3F4">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3FC">
        <w:trPr>
          <w:trHeight w:val="90" w:hRule="atLeast"/>
          <w:jc w:val="center"/>
        </w:trPr>
        <w:tc>
          <w:tcPr>
            <w:tcW w:w="1739" w:type="pct"/>
            <w:tcBorders>
              <w:top w:val="nil"/>
              <w:left w:val="nil"/>
              <w:bottom w:val="nil"/>
              <w:right w:val="nil"/>
            </w:tcBorders>
            <w:shd w:val="clear" w:color="auto" w:fill="FFFFFF"/>
          </w:tcPr>
          <w:p w14:paraId="0D48C3F6">
            <w:pPr>
              <w:widowControl/>
              <w:jc w:val="left"/>
              <w:rPr>
                <w:rFonts w:ascii="Times New Roman" w:hAnsi="Times New Roman" w:cs="Times New Roman"/>
                <w:szCs w:val="21"/>
              </w:rPr>
            </w:pPr>
            <w:r>
              <w:rPr>
                <w:rFonts w:ascii="Times New Roman" w:hAnsi="Times New Roman" w:eastAsia="宋体" w:cs="Times New Roman"/>
                <w:b/>
                <w:bCs/>
                <w:kern w:val="0"/>
                <w:szCs w:val="21"/>
                <w:lang w:bidi="ar"/>
              </w:rPr>
              <w:t>Neighborhood and built environment</w:t>
            </w:r>
          </w:p>
        </w:tc>
        <w:tc>
          <w:tcPr>
            <w:tcW w:w="877" w:type="pct"/>
            <w:tcBorders>
              <w:top w:val="nil"/>
              <w:left w:val="nil"/>
              <w:bottom w:val="nil"/>
              <w:right w:val="nil"/>
            </w:tcBorders>
            <w:shd w:val="clear" w:color="auto" w:fill="FFFFFF"/>
          </w:tcPr>
          <w:p w14:paraId="0D48C3F7">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F8">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3F9">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3FA">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3FB">
            <w:pPr>
              <w:jc w:val="center"/>
              <w:rPr>
                <w:rFonts w:ascii="Times New Roman" w:hAnsi="Times New Roman" w:cs="Times New Roman"/>
                <w:b/>
                <w:bCs/>
                <w:szCs w:val="21"/>
              </w:rPr>
            </w:pPr>
          </w:p>
        </w:tc>
      </w:tr>
      <w:tr w14:paraId="0D48C403">
        <w:trPr>
          <w:jc w:val="center"/>
        </w:trPr>
        <w:tc>
          <w:tcPr>
            <w:tcW w:w="1739" w:type="pct"/>
            <w:tcBorders>
              <w:top w:val="nil"/>
              <w:left w:val="nil"/>
              <w:bottom w:val="nil"/>
              <w:right w:val="nil"/>
            </w:tcBorders>
            <w:shd w:val="clear" w:color="auto" w:fill="FFFFFF"/>
          </w:tcPr>
          <w:p w14:paraId="0D48C3FD">
            <w:pPr>
              <w:rPr>
                <w:rFonts w:ascii="Times New Roman" w:hAnsi="Times New Roman" w:cs="Times New Roman"/>
                <w:szCs w:val="21"/>
              </w:rPr>
            </w:pPr>
            <w:r>
              <w:rPr>
                <w:rFonts w:ascii="Times New Roman" w:hAnsi="Times New Roman" w:cs="Times New Roman"/>
                <w:szCs w:val="21"/>
              </w:rPr>
              <w:t>Residence</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3FE">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3FF">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00">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01">
            <w:pPr>
              <w:jc w:val="center"/>
              <w:rPr>
                <w:rFonts w:ascii="Times New Roman" w:hAnsi="Times New Roman" w:cs="Times New Roman"/>
                <w:szCs w:val="21"/>
              </w:rPr>
            </w:pPr>
            <w:r>
              <w:rPr>
                <w:rFonts w:ascii="Times New Roman" w:hAnsi="Times New Roman" w:cs="Times New Roman"/>
                <w:szCs w:val="21"/>
              </w:rPr>
              <w:t>50.042</w:t>
            </w:r>
          </w:p>
        </w:tc>
        <w:tc>
          <w:tcPr>
            <w:tcW w:w="556" w:type="pct"/>
            <w:tcBorders>
              <w:top w:val="nil"/>
              <w:left w:val="nil"/>
              <w:bottom w:val="nil"/>
              <w:right w:val="nil"/>
            </w:tcBorders>
            <w:shd w:val="clear" w:color="auto" w:fill="FFFFFF"/>
          </w:tcPr>
          <w:p w14:paraId="0D48C402">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40A">
        <w:trPr>
          <w:trHeight w:val="90" w:hRule="atLeast"/>
          <w:jc w:val="center"/>
        </w:trPr>
        <w:tc>
          <w:tcPr>
            <w:tcW w:w="1739" w:type="pct"/>
            <w:tcBorders>
              <w:top w:val="nil"/>
              <w:left w:val="nil"/>
              <w:bottom w:val="nil"/>
              <w:right w:val="nil"/>
            </w:tcBorders>
            <w:shd w:val="clear" w:color="auto" w:fill="FFFFFF"/>
          </w:tcPr>
          <w:p w14:paraId="0D48C404">
            <w:pPr>
              <w:ind w:firstLine="210" w:firstLineChars="100"/>
              <w:rPr>
                <w:rFonts w:ascii="Times New Roman" w:hAnsi="Times New Roman" w:cs="Times New Roman"/>
                <w:szCs w:val="21"/>
              </w:rPr>
            </w:pPr>
            <w:r>
              <w:rPr>
                <w:rFonts w:ascii="Times New Roman" w:hAnsi="Times New Roman" w:cs="Times New Roman"/>
                <w:szCs w:val="21"/>
              </w:rPr>
              <w:t>Rural are</w:t>
            </w:r>
            <w:r>
              <w:rPr>
                <w:rFonts w:hint="eastAsia" w:ascii="Times New Roman" w:hAnsi="Times New Roman" w:cs="Times New Roman"/>
                <w:szCs w:val="21"/>
              </w:rPr>
              <w:t>a</w:t>
            </w:r>
          </w:p>
        </w:tc>
        <w:tc>
          <w:tcPr>
            <w:tcW w:w="877" w:type="pct"/>
            <w:tcBorders>
              <w:top w:val="nil"/>
              <w:left w:val="nil"/>
              <w:bottom w:val="nil"/>
              <w:right w:val="nil"/>
            </w:tcBorders>
            <w:shd w:val="clear" w:color="auto" w:fill="FFFFFF"/>
          </w:tcPr>
          <w:p w14:paraId="0D48C405">
            <w:pPr>
              <w:jc w:val="center"/>
              <w:rPr>
                <w:rFonts w:ascii="Times New Roman" w:hAnsi="Times New Roman" w:cs="Times New Roman"/>
                <w:szCs w:val="21"/>
              </w:rPr>
            </w:pPr>
            <w:r>
              <w:rPr>
                <w:rFonts w:ascii="Times New Roman" w:hAnsi="Times New Roman" w:cs="Times New Roman"/>
                <w:szCs w:val="21"/>
              </w:rPr>
              <w:t>4771 (63.7)</w:t>
            </w:r>
          </w:p>
        </w:tc>
        <w:tc>
          <w:tcPr>
            <w:tcW w:w="820" w:type="pct"/>
            <w:tcBorders>
              <w:top w:val="nil"/>
              <w:left w:val="nil"/>
              <w:bottom w:val="nil"/>
              <w:right w:val="nil"/>
            </w:tcBorders>
            <w:shd w:val="clear" w:color="auto" w:fill="FFFFFF"/>
          </w:tcPr>
          <w:p w14:paraId="0D48C406">
            <w:pPr>
              <w:jc w:val="center"/>
              <w:rPr>
                <w:rFonts w:ascii="Times New Roman" w:hAnsi="Times New Roman" w:cs="Times New Roman"/>
                <w:szCs w:val="21"/>
              </w:rPr>
            </w:pPr>
            <w:r>
              <w:rPr>
                <w:rFonts w:ascii="Times New Roman" w:hAnsi="Times New Roman" w:cs="Times New Roman"/>
                <w:szCs w:val="21"/>
              </w:rPr>
              <w:t>2227 (70.4)</w:t>
            </w:r>
          </w:p>
        </w:tc>
        <w:tc>
          <w:tcPr>
            <w:tcW w:w="572" w:type="pct"/>
            <w:tcBorders>
              <w:top w:val="nil"/>
              <w:left w:val="nil"/>
              <w:bottom w:val="nil"/>
              <w:right w:val="nil"/>
            </w:tcBorders>
            <w:shd w:val="clear" w:color="auto" w:fill="FFFFFF"/>
          </w:tcPr>
          <w:p w14:paraId="0D48C407">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08">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09">
            <w:pPr>
              <w:jc w:val="center"/>
              <w:rPr>
                <w:rFonts w:ascii="Times New Roman" w:hAnsi="Times New Roman" w:cs="Times New Roman"/>
                <w:b/>
                <w:bCs/>
                <w:szCs w:val="21"/>
              </w:rPr>
            </w:pPr>
          </w:p>
        </w:tc>
      </w:tr>
      <w:tr w14:paraId="0D48C411">
        <w:trPr>
          <w:trHeight w:val="90" w:hRule="atLeast"/>
          <w:jc w:val="center"/>
        </w:trPr>
        <w:tc>
          <w:tcPr>
            <w:tcW w:w="1739" w:type="pct"/>
            <w:tcBorders>
              <w:top w:val="nil"/>
              <w:left w:val="nil"/>
              <w:bottom w:val="nil"/>
              <w:right w:val="nil"/>
            </w:tcBorders>
            <w:shd w:val="clear" w:color="auto" w:fill="FFFFFF"/>
          </w:tcPr>
          <w:p w14:paraId="0D48C40B">
            <w:pPr>
              <w:ind w:firstLine="210" w:firstLineChars="100"/>
              <w:rPr>
                <w:rFonts w:ascii="Times New Roman" w:hAnsi="Times New Roman" w:cs="Times New Roman"/>
                <w:szCs w:val="21"/>
              </w:rPr>
            </w:pPr>
            <w:r>
              <w:rPr>
                <w:rFonts w:ascii="Times New Roman" w:hAnsi="Times New Roman" w:cs="Times New Roman"/>
                <w:szCs w:val="21"/>
              </w:rPr>
              <w:t>Peri-urban area</w:t>
            </w:r>
            <w:r>
              <w:rPr>
                <w:rFonts w:hint="eastAsia" w:ascii="Times New Roman" w:hAnsi="Times New Roman" w:cs="Times New Roman"/>
                <w:szCs w:val="21"/>
              </w:rPr>
              <w:t xml:space="preserve"> </w:t>
            </w:r>
            <w:r>
              <w:rPr>
                <w:rFonts w:ascii="Times New Roman" w:hAnsi="Times New Roman" w:eastAsia="DengXian" w:cs="Times New Roman"/>
                <w:b/>
                <w:bCs/>
                <w:szCs w:val="21"/>
              </w:rPr>
              <w:t xml:space="preserve"> </w:t>
            </w:r>
          </w:p>
        </w:tc>
        <w:tc>
          <w:tcPr>
            <w:tcW w:w="877" w:type="pct"/>
            <w:tcBorders>
              <w:top w:val="nil"/>
              <w:left w:val="nil"/>
              <w:bottom w:val="nil"/>
              <w:right w:val="nil"/>
            </w:tcBorders>
            <w:shd w:val="clear" w:color="auto" w:fill="FFFFFF"/>
          </w:tcPr>
          <w:p w14:paraId="0D48C40C">
            <w:pPr>
              <w:jc w:val="center"/>
              <w:rPr>
                <w:rFonts w:ascii="Times New Roman" w:hAnsi="Times New Roman" w:cs="Times New Roman"/>
                <w:szCs w:val="21"/>
              </w:rPr>
            </w:pPr>
            <w:r>
              <w:rPr>
                <w:rFonts w:ascii="Times New Roman" w:hAnsi="Times New Roman" w:cs="Times New Roman"/>
                <w:szCs w:val="21"/>
              </w:rPr>
              <w:t>821 (25.4)</w:t>
            </w:r>
          </w:p>
        </w:tc>
        <w:tc>
          <w:tcPr>
            <w:tcW w:w="820" w:type="pct"/>
            <w:tcBorders>
              <w:top w:val="nil"/>
              <w:left w:val="nil"/>
              <w:bottom w:val="nil"/>
              <w:right w:val="nil"/>
            </w:tcBorders>
            <w:shd w:val="clear" w:color="auto" w:fill="FFFFFF"/>
          </w:tcPr>
          <w:p w14:paraId="0D48C40D">
            <w:pPr>
              <w:jc w:val="center"/>
              <w:rPr>
                <w:rFonts w:ascii="Times New Roman" w:hAnsi="Times New Roman" w:cs="Times New Roman"/>
                <w:szCs w:val="21"/>
              </w:rPr>
            </w:pPr>
            <w:r>
              <w:rPr>
                <w:rFonts w:ascii="Times New Roman" w:hAnsi="Times New Roman" w:cs="Times New Roman"/>
                <w:szCs w:val="21"/>
              </w:rPr>
              <w:t>321 (10.2)</w:t>
            </w:r>
          </w:p>
        </w:tc>
        <w:tc>
          <w:tcPr>
            <w:tcW w:w="572" w:type="pct"/>
            <w:tcBorders>
              <w:top w:val="nil"/>
              <w:left w:val="nil"/>
              <w:bottom w:val="nil"/>
              <w:right w:val="nil"/>
            </w:tcBorders>
            <w:shd w:val="clear" w:color="auto" w:fill="FFFFFF"/>
          </w:tcPr>
          <w:p w14:paraId="0D48C40E">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0F">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10">
            <w:pPr>
              <w:jc w:val="center"/>
              <w:rPr>
                <w:rFonts w:ascii="Times New Roman" w:hAnsi="Times New Roman" w:cs="Times New Roman"/>
                <w:b/>
                <w:bCs/>
                <w:szCs w:val="21"/>
              </w:rPr>
            </w:pPr>
          </w:p>
        </w:tc>
      </w:tr>
      <w:tr w14:paraId="0D48C418">
        <w:trPr>
          <w:jc w:val="center"/>
        </w:trPr>
        <w:tc>
          <w:tcPr>
            <w:tcW w:w="1739" w:type="pct"/>
            <w:tcBorders>
              <w:top w:val="nil"/>
              <w:left w:val="nil"/>
              <w:bottom w:val="nil"/>
              <w:right w:val="nil"/>
            </w:tcBorders>
            <w:shd w:val="clear" w:color="auto" w:fill="FFFFFF"/>
          </w:tcPr>
          <w:p w14:paraId="0D48C412">
            <w:pPr>
              <w:ind w:firstLine="210" w:firstLineChars="100"/>
              <w:rPr>
                <w:rFonts w:ascii="Times New Roman" w:hAnsi="Times New Roman" w:cs="Times New Roman"/>
                <w:szCs w:val="21"/>
              </w:rPr>
            </w:pPr>
            <w:r>
              <w:rPr>
                <w:rFonts w:ascii="Times New Roman" w:hAnsi="Times New Roman" w:cs="Times New Roman"/>
                <w:szCs w:val="21"/>
              </w:rPr>
              <w:t>Urban area</w:t>
            </w:r>
          </w:p>
        </w:tc>
        <w:tc>
          <w:tcPr>
            <w:tcW w:w="877" w:type="pct"/>
            <w:tcBorders>
              <w:top w:val="nil"/>
              <w:left w:val="nil"/>
              <w:bottom w:val="nil"/>
              <w:right w:val="nil"/>
            </w:tcBorders>
            <w:shd w:val="clear" w:color="auto" w:fill="FFFFFF"/>
          </w:tcPr>
          <w:p w14:paraId="0D48C413">
            <w:pPr>
              <w:jc w:val="center"/>
              <w:rPr>
                <w:rFonts w:ascii="Times New Roman" w:hAnsi="Times New Roman" w:cs="Times New Roman"/>
                <w:szCs w:val="21"/>
              </w:rPr>
            </w:pPr>
            <w:r>
              <w:rPr>
                <w:rFonts w:ascii="Times New Roman" w:hAnsi="Times New Roman" w:cs="Times New Roman"/>
                <w:szCs w:val="21"/>
              </w:rPr>
              <w:t>1900 (25.4)</w:t>
            </w:r>
          </w:p>
        </w:tc>
        <w:tc>
          <w:tcPr>
            <w:tcW w:w="820" w:type="pct"/>
            <w:tcBorders>
              <w:top w:val="nil"/>
              <w:left w:val="nil"/>
              <w:bottom w:val="nil"/>
              <w:right w:val="nil"/>
            </w:tcBorders>
            <w:shd w:val="clear" w:color="auto" w:fill="FFFFFF"/>
          </w:tcPr>
          <w:p w14:paraId="0D48C414">
            <w:pPr>
              <w:jc w:val="center"/>
              <w:rPr>
                <w:rFonts w:ascii="Times New Roman" w:hAnsi="Times New Roman" w:cs="Times New Roman"/>
                <w:szCs w:val="21"/>
              </w:rPr>
            </w:pPr>
            <w:r>
              <w:rPr>
                <w:rFonts w:ascii="Times New Roman" w:hAnsi="Times New Roman" w:cs="Times New Roman"/>
                <w:szCs w:val="21"/>
              </w:rPr>
              <w:t>614 (19.4)</w:t>
            </w:r>
          </w:p>
        </w:tc>
        <w:tc>
          <w:tcPr>
            <w:tcW w:w="572" w:type="pct"/>
            <w:tcBorders>
              <w:top w:val="nil"/>
              <w:left w:val="nil"/>
              <w:bottom w:val="nil"/>
              <w:right w:val="nil"/>
            </w:tcBorders>
            <w:shd w:val="clear" w:color="auto" w:fill="FFFFFF"/>
          </w:tcPr>
          <w:p w14:paraId="0D48C415">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16">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17">
            <w:pPr>
              <w:jc w:val="center"/>
              <w:rPr>
                <w:rFonts w:ascii="Times New Roman" w:hAnsi="Times New Roman" w:cs="Times New Roman"/>
                <w:b/>
                <w:bCs/>
                <w:szCs w:val="21"/>
              </w:rPr>
            </w:pPr>
          </w:p>
        </w:tc>
      </w:tr>
      <w:tr w14:paraId="0D48C41F">
        <w:trPr>
          <w:jc w:val="center"/>
        </w:trPr>
        <w:tc>
          <w:tcPr>
            <w:tcW w:w="1739" w:type="pct"/>
            <w:tcBorders>
              <w:top w:val="nil"/>
              <w:left w:val="nil"/>
              <w:bottom w:val="nil"/>
              <w:right w:val="nil"/>
            </w:tcBorders>
            <w:shd w:val="clear" w:color="auto" w:fill="FFFFFF"/>
          </w:tcPr>
          <w:p w14:paraId="0D48C419">
            <w:pPr>
              <w:rPr>
                <w:rFonts w:ascii="Times New Roman" w:hAnsi="Times New Roman" w:cs="Times New Roman"/>
                <w:szCs w:val="21"/>
              </w:rPr>
            </w:pPr>
            <w:r>
              <w:rPr>
                <w:rFonts w:ascii="Times New Roman" w:hAnsi="Times New Roman" w:eastAsia="宋体" w:cs="Times New Roman"/>
                <w:kern w:val="0"/>
                <w:szCs w:val="21"/>
                <w:lang w:bidi="ar"/>
              </w:rPr>
              <w:t>Accommodation stability</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41A">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41B">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1C">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1D">
            <w:pPr>
              <w:jc w:val="center"/>
              <w:rPr>
                <w:rFonts w:ascii="Times New Roman" w:hAnsi="Times New Roman" w:cs="Times New Roman"/>
                <w:szCs w:val="21"/>
              </w:rPr>
            </w:pPr>
            <w:r>
              <w:rPr>
                <w:rFonts w:ascii="Times New Roman" w:hAnsi="Times New Roman" w:cs="Times New Roman"/>
                <w:szCs w:val="21"/>
              </w:rPr>
              <w:t>26.480</w:t>
            </w:r>
          </w:p>
        </w:tc>
        <w:tc>
          <w:tcPr>
            <w:tcW w:w="556" w:type="pct"/>
            <w:tcBorders>
              <w:top w:val="nil"/>
              <w:left w:val="nil"/>
              <w:bottom w:val="nil"/>
              <w:right w:val="nil"/>
            </w:tcBorders>
            <w:shd w:val="clear" w:color="auto" w:fill="FFFFFF"/>
          </w:tcPr>
          <w:p w14:paraId="0D48C41E">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426">
        <w:trPr>
          <w:jc w:val="center"/>
        </w:trPr>
        <w:tc>
          <w:tcPr>
            <w:tcW w:w="1739" w:type="pct"/>
            <w:tcBorders>
              <w:top w:val="nil"/>
              <w:left w:val="nil"/>
              <w:bottom w:val="nil"/>
              <w:right w:val="nil"/>
            </w:tcBorders>
            <w:shd w:val="clear" w:color="auto" w:fill="FFFFFF"/>
          </w:tcPr>
          <w:p w14:paraId="0D48C420">
            <w:pPr>
              <w:widowControl/>
              <w:ind w:firstLine="210" w:firstLineChars="100"/>
              <w:jc w:val="left"/>
              <w:rPr>
                <w:rFonts w:ascii="Times New Roman" w:hAnsi="Times New Roman" w:cs="Times New Roman"/>
                <w:szCs w:val="21"/>
              </w:rPr>
            </w:pPr>
            <w:r>
              <w:rPr>
                <w:rFonts w:ascii="Times New Roman" w:hAnsi="Times New Roman" w:eastAsia="宋体" w:cs="Times New Roman"/>
                <w:kern w:val="0"/>
                <w:szCs w:val="21"/>
                <w:lang w:bidi="ar"/>
              </w:rPr>
              <w:t>Rent or other arrangement</w:t>
            </w:r>
          </w:p>
        </w:tc>
        <w:tc>
          <w:tcPr>
            <w:tcW w:w="877" w:type="pct"/>
            <w:tcBorders>
              <w:top w:val="nil"/>
              <w:left w:val="nil"/>
              <w:bottom w:val="nil"/>
              <w:right w:val="nil"/>
            </w:tcBorders>
            <w:shd w:val="clear" w:color="auto" w:fill="FFFFFF"/>
          </w:tcPr>
          <w:p w14:paraId="0D48C421">
            <w:pPr>
              <w:jc w:val="center"/>
              <w:rPr>
                <w:rFonts w:ascii="Times New Roman" w:hAnsi="Times New Roman" w:cs="Times New Roman"/>
                <w:szCs w:val="21"/>
              </w:rPr>
            </w:pPr>
            <w:r>
              <w:rPr>
                <w:rFonts w:ascii="Times New Roman" w:hAnsi="Times New Roman" w:cs="Times New Roman"/>
                <w:szCs w:val="21"/>
              </w:rPr>
              <w:t>728 (9.7)</w:t>
            </w:r>
          </w:p>
        </w:tc>
        <w:tc>
          <w:tcPr>
            <w:tcW w:w="820" w:type="pct"/>
            <w:tcBorders>
              <w:top w:val="nil"/>
              <w:left w:val="nil"/>
              <w:bottom w:val="nil"/>
              <w:right w:val="nil"/>
            </w:tcBorders>
            <w:shd w:val="clear" w:color="auto" w:fill="FFFFFF"/>
          </w:tcPr>
          <w:p w14:paraId="0D48C422">
            <w:pPr>
              <w:jc w:val="center"/>
              <w:rPr>
                <w:rFonts w:ascii="Times New Roman" w:hAnsi="Times New Roman" w:cs="Times New Roman"/>
                <w:szCs w:val="21"/>
              </w:rPr>
            </w:pPr>
            <w:r>
              <w:rPr>
                <w:rFonts w:ascii="Times New Roman" w:hAnsi="Times New Roman" w:cs="Times New Roman"/>
                <w:szCs w:val="21"/>
              </w:rPr>
              <w:t>414 (13.1)</w:t>
            </w:r>
          </w:p>
        </w:tc>
        <w:tc>
          <w:tcPr>
            <w:tcW w:w="572" w:type="pct"/>
            <w:tcBorders>
              <w:top w:val="nil"/>
              <w:left w:val="nil"/>
              <w:bottom w:val="nil"/>
              <w:right w:val="nil"/>
            </w:tcBorders>
            <w:shd w:val="clear" w:color="auto" w:fill="FFFFFF"/>
          </w:tcPr>
          <w:p w14:paraId="0D48C423">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24">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25">
            <w:pPr>
              <w:jc w:val="center"/>
              <w:rPr>
                <w:rFonts w:ascii="Times New Roman" w:hAnsi="Times New Roman" w:cs="Times New Roman"/>
                <w:szCs w:val="21"/>
              </w:rPr>
            </w:pPr>
          </w:p>
        </w:tc>
      </w:tr>
      <w:tr w14:paraId="0D48C42D">
        <w:trPr>
          <w:jc w:val="center"/>
        </w:trPr>
        <w:tc>
          <w:tcPr>
            <w:tcW w:w="1739" w:type="pct"/>
            <w:tcBorders>
              <w:top w:val="nil"/>
              <w:left w:val="nil"/>
              <w:bottom w:val="nil"/>
              <w:right w:val="nil"/>
            </w:tcBorders>
            <w:shd w:val="clear" w:color="auto" w:fill="FFFFFF"/>
          </w:tcPr>
          <w:p w14:paraId="0D48C427">
            <w:pPr>
              <w:ind w:firstLine="210" w:firstLineChars="100"/>
              <w:rPr>
                <w:rFonts w:ascii="Times New Roman" w:hAnsi="Times New Roman" w:cs="Times New Roman"/>
                <w:szCs w:val="21"/>
              </w:rPr>
            </w:pPr>
            <w:r>
              <w:rPr>
                <w:rFonts w:ascii="Times New Roman" w:hAnsi="Times New Roman" w:eastAsia="宋体" w:cs="Times New Roman"/>
                <w:kern w:val="0"/>
                <w:szCs w:val="21"/>
                <w:lang w:bidi="ar"/>
              </w:rPr>
              <w:t>Own home</w:t>
            </w:r>
          </w:p>
        </w:tc>
        <w:tc>
          <w:tcPr>
            <w:tcW w:w="877" w:type="pct"/>
            <w:tcBorders>
              <w:top w:val="nil"/>
              <w:left w:val="nil"/>
              <w:bottom w:val="nil"/>
              <w:right w:val="nil"/>
            </w:tcBorders>
            <w:shd w:val="clear" w:color="auto" w:fill="FFFFFF"/>
          </w:tcPr>
          <w:p w14:paraId="0D48C428">
            <w:pPr>
              <w:jc w:val="center"/>
              <w:rPr>
                <w:rFonts w:ascii="Times New Roman" w:hAnsi="Times New Roman" w:cs="Times New Roman"/>
                <w:szCs w:val="21"/>
              </w:rPr>
            </w:pPr>
            <w:r>
              <w:rPr>
                <w:rFonts w:ascii="Times New Roman" w:hAnsi="Times New Roman" w:cs="Times New Roman"/>
                <w:szCs w:val="21"/>
              </w:rPr>
              <w:t>6764 (90.3)</w:t>
            </w:r>
          </w:p>
        </w:tc>
        <w:tc>
          <w:tcPr>
            <w:tcW w:w="820" w:type="pct"/>
            <w:tcBorders>
              <w:top w:val="nil"/>
              <w:left w:val="nil"/>
              <w:bottom w:val="nil"/>
              <w:right w:val="nil"/>
            </w:tcBorders>
            <w:shd w:val="clear" w:color="auto" w:fill="FFFFFF"/>
          </w:tcPr>
          <w:p w14:paraId="0D48C429">
            <w:pPr>
              <w:jc w:val="center"/>
              <w:rPr>
                <w:rFonts w:ascii="Times New Roman" w:hAnsi="Times New Roman" w:cs="Times New Roman"/>
                <w:szCs w:val="21"/>
              </w:rPr>
            </w:pPr>
            <w:r>
              <w:rPr>
                <w:rFonts w:ascii="Times New Roman" w:hAnsi="Times New Roman" w:cs="Times New Roman"/>
                <w:szCs w:val="21"/>
              </w:rPr>
              <w:t>2748 (86.9)</w:t>
            </w:r>
          </w:p>
        </w:tc>
        <w:tc>
          <w:tcPr>
            <w:tcW w:w="572" w:type="pct"/>
            <w:tcBorders>
              <w:top w:val="nil"/>
              <w:left w:val="nil"/>
              <w:bottom w:val="nil"/>
              <w:right w:val="nil"/>
            </w:tcBorders>
            <w:shd w:val="clear" w:color="auto" w:fill="FFFFFF"/>
          </w:tcPr>
          <w:p w14:paraId="0D48C42A">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2B">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2C">
            <w:pPr>
              <w:jc w:val="center"/>
              <w:rPr>
                <w:rFonts w:ascii="Times New Roman" w:hAnsi="Times New Roman" w:cs="Times New Roman"/>
                <w:szCs w:val="21"/>
              </w:rPr>
            </w:pPr>
          </w:p>
        </w:tc>
      </w:tr>
      <w:tr w14:paraId="0D48C434">
        <w:trPr>
          <w:jc w:val="center"/>
        </w:trPr>
        <w:tc>
          <w:tcPr>
            <w:tcW w:w="1739" w:type="pct"/>
            <w:tcBorders>
              <w:top w:val="nil"/>
              <w:left w:val="nil"/>
              <w:bottom w:val="nil"/>
              <w:right w:val="nil"/>
            </w:tcBorders>
            <w:shd w:val="clear" w:color="auto" w:fill="FFFFFF"/>
          </w:tcPr>
          <w:p w14:paraId="0D48C42E">
            <w:pPr>
              <w:rPr>
                <w:rFonts w:ascii="Times New Roman" w:hAnsi="Times New Roman" w:eastAsia="宋体" w:cs="Times New Roman"/>
                <w:szCs w:val="21"/>
              </w:rPr>
            </w:pPr>
            <w:r>
              <w:rPr>
                <w:rFonts w:ascii="Times New Roman" w:hAnsi="Times New Roman" w:eastAsia="宋体" w:cs="Times New Roman"/>
                <w:kern w:val="0"/>
                <w:szCs w:val="21"/>
                <w:lang w:bidi="ar"/>
              </w:rPr>
              <w:t>Per capita housing area</w:t>
            </w:r>
            <w:r>
              <w:rPr>
                <w:rFonts w:hint="eastAsia" w:ascii="Times New Roman" w:hAnsi="Times New Roman" w:eastAsia="宋体" w:cs="Times New Roman"/>
                <w:kern w:val="0"/>
                <w:szCs w:val="21"/>
                <w:lang w:bidi="ar"/>
              </w:rPr>
              <w:t xml:space="preserve"> (m</w:t>
            </w:r>
            <w:r>
              <w:rPr>
                <w:rFonts w:hint="eastAsia" w:ascii="Times New Roman" w:hAnsi="Times New Roman" w:eastAsia="宋体" w:cs="Times New Roman"/>
                <w:kern w:val="0"/>
                <w:szCs w:val="21"/>
                <w:vertAlign w:val="superscript"/>
                <w:lang w:bidi="ar"/>
              </w:rPr>
              <w:t>2</w:t>
            </w:r>
            <w:r>
              <w:rPr>
                <w:rFonts w:hint="eastAsia" w:ascii="Times New Roman" w:hAnsi="Times New Roman" w:eastAsia="宋体" w:cs="Times New Roman"/>
                <w:kern w:val="0"/>
                <w:szCs w:val="21"/>
                <w:lang w:bidi="ar"/>
              </w:rPr>
              <w:t>)</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42F">
            <w:pPr>
              <w:jc w:val="cente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8.50 (45.00, 30.00-75.00</w:t>
            </w:r>
            <w:r>
              <w:rPr>
                <w:rFonts w:hint="eastAsia" w:ascii="Times New Roman" w:hAnsi="Times New Roman" w:cs="Times New Roman"/>
                <w:szCs w:val="21"/>
              </w:rPr>
              <w:t>)</w:t>
            </w:r>
          </w:p>
        </w:tc>
        <w:tc>
          <w:tcPr>
            <w:tcW w:w="820" w:type="pct"/>
            <w:tcBorders>
              <w:top w:val="nil"/>
              <w:left w:val="nil"/>
              <w:bottom w:val="nil"/>
              <w:right w:val="nil"/>
            </w:tcBorders>
            <w:shd w:val="clear" w:color="auto" w:fill="FFFFFF"/>
          </w:tcPr>
          <w:p w14:paraId="0D48C430">
            <w:pPr>
              <w:jc w:val="center"/>
              <w:rPr>
                <w:rFonts w:ascii="Times New Roman" w:hAnsi="Times New Roman" w:cs="Times New Roman"/>
                <w:szCs w:val="21"/>
              </w:rPr>
            </w:pPr>
            <w:r>
              <w:rPr>
                <w:rFonts w:hint="eastAsia" w:ascii="Times New Roman" w:hAnsi="Times New Roman" w:cs="Times New Roman"/>
                <w:szCs w:val="21"/>
              </w:rPr>
              <w:t>45.</w:t>
            </w:r>
            <w:r>
              <w:rPr>
                <w:rFonts w:ascii="Times New Roman" w:hAnsi="Times New Roman" w:cs="Times New Roman"/>
                <w:szCs w:val="21"/>
              </w:rPr>
              <w:t>00</w:t>
            </w:r>
            <w:r>
              <w:rPr>
                <w:rFonts w:hint="eastAsia" w:ascii="Times New Roman" w:hAnsi="Times New Roman" w:cs="Times New Roman"/>
                <w:szCs w:val="21"/>
              </w:rPr>
              <w:t xml:space="preserve"> (</w:t>
            </w:r>
            <w:r>
              <w:rPr>
                <w:rFonts w:ascii="Times New Roman" w:hAnsi="Times New Roman" w:cs="Times New Roman"/>
                <w:szCs w:val="21"/>
              </w:rPr>
              <w:t>47.46, 26.67-74.13</w:t>
            </w:r>
            <w:r>
              <w:rPr>
                <w:rFonts w:hint="eastAsia" w:ascii="Times New Roman" w:hAnsi="Times New Roman" w:cs="Times New Roman"/>
                <w:szCs w:val="21"/>
              </w:rPr>
              <w:t>)</w:t>
            </w:r>
          </w:p>
        </w:tc>
        <w:tc>
          <w:tcPr>
            <w:tcW w:w="572" w:type="pct"/>
            <w:tcBorders>
              <w:top w:val="nil"/>
              <w:left w:val="nil"/>
              <w:bottom w:val="nil"/>
              <w:right w:val="nil"/>
            </w:tcBorders>
            <w:shd w:val="clear" w:color="auto" w:fill="FFFFFF"/>
          </w:tcPr>
          <w:p w14:paraId="0D48C431">
            <w:pPr>
              <w:jc w:val="center"/>
              <w:rPr>
                <w:rFonts w:ascii="Times New Roman" w:hAnsi="Times New Roman" w:cs="Times New Roman"/>
                <w:szCs w:val="21"/>
              </w:rPr>
            </w:pPr>
            <w:r>
              <w:rPr>
                <w:rFonts w:ascii="Times New Roman" w:hAnsi="Times New Roman" w:cs="Times New Roman"/>
                <w:szCs w:val="21"/>
              </w:rPr>
              <w:t>34 (1.1)</w:t>
            </w:r>
          </w:p>
        </w:tc>
        <w:tc>
          <w:tcPr>
            <w:tcW w:w="433" w:type="pct"/>
            <w:tcBorders>
              <w:top w:val="nil"/>
              <w:left w:val="nil"/>
              <w:bottom w:val="nil"/>
              <w:right w:val="nil"/>
            </w:tcBorders>
            <w:shd w:val="clear" w:color="auto" w:fill="FFFFFF"/>
          </w:tcPr>
          <w:p w14:paraId="0D48C432">
            <w:pPr>
              <w:jc w:val="center"/>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3.550</w:t>
            </w:r>
          </w:p>
        </w:tc>
        <w:tc>
          <w:tcPr>
            <w:tcW w:w="556" w:type="pct"/>
            <w:tcBorders>
              <w:top w:val="nil"/>
              <w:left w:val="nil"/>
              <w:bottom w:val="nil"/>
              <w:right w:val="nil"/>
            </w:tcBorders>
            <w:shd w:val="clear" w:color="auto" w:fill="FFFFFF"/>
          </w:tcPr>
          <w:p w14:paraId="0D48C433">
            <w:pPr>
              <w:jc w:val="center"/>
              <w:rPr>
                <w:rFonts w:ascii="Times New Roman" w:hAnsi="Times New Roman" w:cs="Times New Roman"/>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43B">
        <w:trPr>
          <w:jc w:val="center"/>
        </w:trPr>
        <w:tc>
          <w:tcPr>
            <w:tcW w:w="1739" w:type="pct"/>
            <w:tcBorders>
              <w:top w:val="nil"/>
              <w:left w:val="nil"/>
              <w:bottom w:val="nil"/>
              <w:right w:val="nil"/>
            </w:tcBorders>
            <w:shd w:val="clear" w:color="auto" w:fill="FFFFFF"/>
          </w:tcPr>
          <w:p w14:paraId="0D48C435">
            <w:pPr>
              <w:rPr>
                <w:rFonts w:ascii="Times New Roman" w:hAnsi="Times New Roman" w:eastAsia="宋体" w:cs="Times New Roman"/>
                <w:szCs w:val="21"/>
              </w:rPr>
            </w:pPr>
            <w:r>
              <w:rPr>
                <w:rFonts w:ascii="Times New Roman" w:hAnsi="Times New Roman" w:eastAsia="宋体" w:cs="Times New Roman"/>
                <w:kern w:val="0"/>
                <w:szCs w:val="21"/>
                <w:lang w:bidi="ar"/>
              </w:rPr>
              <w:t>Housing quality</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436">
            <w:pPr>
              <w:jc w:val="center"/>
              <w:rPr>
                <w:rFonts w:ascii="Times New Roman" w:hAnsi="Times New Roman" w:cs="Times New Roman"/>
                <w:szCs w:val="21"/>
              </w:rPr>
            </w:pPr>
            <w:r>
              <w:rPr>
                <w:rFonts w:hint="eastAsia" w:ascii="Times New Roman" w:hAnsi="Times New Roman" w:cs="Times New Roman"/>
                <w:szCs w:val="21"/>
              </w:rPr>
              <w:t>4.00 (1.00</w:t>
            </w:r>
            <w:r>
              <w:rPr>
                <w:rFonts w:ascii="Times New Roman" w:hAnsi="Times New Roman" w:cs="Times New Roman"/>
                <w:szCs w:val="21"/>
              </w:rPr>
              <w:t>, 4.00-5.00</w:t>
            </w:r>
            <w:r>
              <w:rPr>
                <w:rFonts w:hint="eastAsia" w:ascii="Times New Roman" w:hAnsi="Times New Roman" w:cs="Times New Roman"/>
                <w:szCs w:val="21"/>
              </w:rPr>
              <w:t>)</w:t>
            </w:r>
          </w:p>
        </w:tc>
        <w:tc>
          <w:tcPr>
            <w:tcW w:w="820" w:type="pct"/>
            <w:tcBorders>
              <w:top w:val="nil"/>
              <w:left w:val="nil"/>
              <w:bottom w:val="nil"/>
              <w:right w:val="nil"/>
            </w:tcBorders>
            <w:shd w:val="clear" w:color="auto" w:fill="FFFFFF"/>
          </w:tcPr>
          <w:p w14:paraId="0D48C437">
            <w:pPr>
              <w:jc w:val="center"/>
              <w:rPr>
                <w:rFonts w:ascii="Times New Roman" w:hAnsi="Times New Roman" w:cs="Times New Roman"/>
                <w:szCs w:val="21"/>
              </w:rPr>
            </w:pPr>
            <w:r>
              <w:rPr>
                <w:rFonts w:hint="eastAsia" w:ascii="Times New Roman" w:hAnsi="Times New Roman" w:cs="Times New Roman"/>
                <w:szCs w:val="21"/>
              </w:rPr>
              <w:t>4.00 (1.00</w:t>
            </w:r>
            <w:r>
              <w:rPr>
                <w:rFonts w:ascii="Times New Roman" w:hAnsi="Times New Roman" w:cs="Times New Roman"/>
                <w:szCs w:val="21"/>
              </w:rPr>
              <w:t>, 4.00-5.00</w:t>
            </w:r>
            <w:r>
              <w:rPr>
                <w:rFonts w:hint="eastAsia" w:ascii="Times New Roman" w:hAnsi="Times New Roman" w:cs="Times New Roman"/>
                <w:szCs w:val="21"/>
              </w:rPr>
              <w:t>)</w:t>
            </w:r>
          </w:p>
        </w:tc>
        <w:tc>
          <w:tcPr>
            <w:tcW w:w="572" w:type="pct"/>
            <w:tcBorders>
              <w:top w:val="nil"/>
              <w:left w:val="nil"/>
              <w:bottom w:val="nil"/>
              <w:right w:val="nil"/>
            </w:tcBorders>
            <w:shd w:val="clear" w:color="auto" w:fill="FFFFFF"/>
          </w:tcPr>
          <w:p w14:paraId="0D48C438">
            <w:pPr>
              <w:jc w:val="center"/>
              <w:rPr>
                <w:rFonts w:ascii="Times New Roman" w:hAnsi="Times New Roman" w:cs="Times New Roman"/>
                <w:szCs w:val="21"/>
              </w:rPr>
            </w:pPr>
            <w:r>
              <w:rPr>
                <w:rFonts w:ascii="Times New Roman" w:hAnsi="Times New Roman" w:cs="Times New Roman"/>
                <w:szCs w:val="21"/>
              </w:rPr>
              <w:t>35 (1.1)</w:t>
            </w:r>
          </w:p>
        </w:tc>
        <w:tc>
          <w:tcPr>
            <w:tcW w:w="433" w:type="pct"/>
            <w:tcBorders>
              <w:top w:val="nil"/>
              <w:left w:val="nil"/>
              <w:bottom w:val="nil"/>
              <w:right w:val="nil"/>
            </w:tcBorders>
            <w:shd w:val="clear" w:color="auto" w:fill="FFFFFF"/>
          </w:tcPr>
          <w:p w14:paraId="0D48C439">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360</w:t>
            </w:r>
          </w:p>
        </w:tc>
        <w:tc>
          <w:tcPr>
            <w:tcW w:w="556" w:type="pct"/>
            <w:tcBorders>
              <w:top w:val="nil"/>
              <w:left w:val="nil"/>
              <w:bottom w:val="nil"/>
              <w:right w:val="nil"/>
            </w:tcBorders>
            <w:shd w:val="clear" w:color="auto" w:fill="FFFFFF"/>
          </w:tcPr>
          <w:p w14:paraId="0D48C43A">
            <w:pPr>
              <w:jc w:val="center"/>
              <w:rPr>
                <w:rFonts w:ascii="Times New Roman" w:hAnsi="Times New Roman" w:cs="Times New Roman"/>
                <w:b/>
                <w:bCs/>
                <w:szCs w:val="21"/>
              </w:rPr>
            </w:pPr>
            <w:r>
              <w:rPr>
                <w:rFonts w:hint="eastAsia" w:ascii="Times New Roman" w:hAnsi="Times New Roman" w:cs="Times New Roman"/>
                <w:b/>
                <w:bCs/>
                <w:szCs w:val="21"/>
              </w:rPr>
              <w:t>0.0</w:t>
            </w:r>
            <w:r>
              <w:rPr>
                <w:rFonts w:ascii="Times New Roman" w:hAnsi="Times New Roman" w:cs="Times New Roman"/>
                <w:b/>
                <w:bCs/>
                <w:szCs w:val="21"/>
              </w:rPr>
              <w:t>18</w:t>
            </w:r>
            <w:r>
              <w:rPr>
                <w:rFonts w:ascii="Times New Roman" w:hAnsi="Times New Roman" w:cs="Times New Roman"/>
                <w:szCs w:val="21"/>
                <w:vertAlign w:val="superscript"/>
              </w:rPr>
              <w:t>c</w:t>
            </w:r>
          </w:p>
        </w:tc>
      </w:tr>
      <w:tr w14:paraId="0D48C442">
        <w:trPr>
          <w:trHeight w:val="90" w:hRule="atLeast"/>
          <w:jc w:val="center"/>
        </w:trPr>
        <w:tc>
          <w:tcPr>
            <w:tcW w:w="1739" w:type="pct"/>
            <w:tcBorders>
              <w:top w:val="nil"/>
              <w:left w:val="nil"/>
              <w:bottom w:val="nil"/>
              <w:right w:val="nil"/>
            </w:tcBorders>
            <w:shd w:val="clear" w:color="auto" w:fill="FFFFFF"/>
          </w:tcPr>
          <w:p w14:paraId="0D48C43C">
            <w:pPr>
              <w:rPr>
                <w:rFonts w:ascii="Times New Roman" w:hAnsi="Times New Roman" w:eastAsia="宋体" w:cs="Times New Roman"/>
                <w:szCs w:val="21"/>
              </w:rPr>
            </w:pPr>
            <w:r>
              <w:rPr>
                <w:rFonts w:hint="eastAsia" w:ascii="Times New Roman" w:hAnsi="Times New Roman" w:eastAsia="宋体" w:cs="Times New Roman"/>
                <w:kern w:val="0"/>
                <w:szCs w:val="21"/>
                <w:lang w:bidi="ar"/>
              </w:rPr>
              <w:t>Air quality (AQI)</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43D">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8.25</w:t>
            </w:r>
            <w:r>
              <w:rPr>
                <w:rFonts w:hint="eastAsia" w:ascii="Times New Roman" w:hAnsi="Times New Roman" w:cs="Times New Roman"/>
                <w:szCs w:val="21"/>
              </w:rPr>
              <w:t xml:space="preserve"> (</w:t>
            </w:r>
            <w:r>
              <w:rPr>
                <w:rFonts w:ascii="Times New Roman" w:hAnsi="Times New Roman" w:cs="Times New Roman"/>
                <w:szCs w:val="21"/>
              </w:rPr>
              <w:t>28.92, 57.00-85.92</w:t>
            </w:r>
            <w:r>
              <w:rPr>
                <w:rFonts w:hint="eastAsia" w:ascii="Times New Roman" w:hAnsi="Times New Roman" w:cs="Times New Roman"/>
                <w:szCs w:val="21"/>
              </w:rPr>
              <w:t>)</w:t>
            </w:r>
          </w:p>
        </w:tc>
        <w:tc>
          <w:tcPr>
            <w:tcW w:w="820" w:type="pct"/>
            <w:tcBorders>
              <w:top w:val="nil"/>
              <w:left w:val="nil"/>
              <w:bottom w:val="nil"/>
              <w:right w:val="nil"/>
            </w:tcBorders>
            <w:shd w:val="clear" w:color="auto" w:fill="FFFFFF"/>
          </w:tcPr>
          <w:p w14:paraId="0D48C43E">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5.08</w:t>
            </w:r>
            <w:r>
              <w:rPr>
                <w:rFonts w:hint="eastAsia" w:ascii="Times New Roman" w:hAnsi="Times New Roman" w:cs="Times New Roman"/>
                <w:szCs w:val="21"/>
              </w:rPr>
              <w:t xml:space="preserve"> (</w:t>
            </w:r>
            <w:r>
              <w:rPr>
                <w:rFonts w:ascii="Times New Roman" w:hAnsi="Times New Roman" w:cs="Times New Roman"/>
                <w:szCs w:val="21"/>
              </w:rPr>
              <w:t>21.00, 56.33-77.33</w:t>
            </w:r>
            <w:r>
              <w:rPr>
                <w:rFonts w:hint="eastAsia" w:ascii="Times New Roman" w:hAnsi="Times New Roman" w:cs="Times New Roman"/>
                <w:szCs w:val="21"/>
              </w:rPr>
              <w:t>)</w:t>
            </w:r>
          </w:p>
        </w:tc>
        <w:tc>
          <w:tcPr>
            <w:tcW w:w="572" w:type="pct"/>
            <w:tcBorders>
              <w:top w:val="nil"/>
              <w:left w:val="nil"/>
              <w:bottom w:val="nil"/>
              <w:right w:val="nil"/>
            </w:tcBorders>
            <w:shd w:val="clear" w:color="auto" w:fill="FFFFFF"/>
          </w:tcPr>
          <w:p w14:paraId="0D48C43F">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40">
            <w:pPr>
              <w:jc w:val="center"/>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5.954</w:t>
            </w:r>
          </w:p>
        </w:tc>
        <w:tc>
          <w:tcPr>
            <w:tcW w:w="556" w:type="pct"/>
            <w:tcBorders>
              <w:top w:val="nil"/>
              <w:left w:val="nil"/>
              <w:bottom w:val="nil"/>
              <w:right w:val="nil"/>
            </w:tcBorders>
            <w:shd w:val="clear" w:color="auto" w:fill="FFFFFF"/>
          </w:tcPr>
          <w:p w14:paraId="0D48C441">
            <w:pPr>
              <w:jc w:val="center"/>
              <w:rPr>
                <w:rFonts w:ascii="Times New Roman" w:hAnsi="Times New Roman" w:cs="Times New Roman"/>
                <w:b/>
                <w:bCs/>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c</w:t>
            </w:r>
          </w:p>
        </w:tc>
      </w:tr>
      <w:tr w14:paraId="0D48C449">
        <w:trPr>
          <w:jc w:val="center"/>
        </w:trPr>
        <w:tc>
          <w:tcPr>
            <w:tcW w:w="1739" w:type="pct"/>
            <w:tcBorders>
              <w:top w:val="nil"/>
              <w:left w:val="nil"/>
              <w:bottom w:val="nil"/>
              <w:right w:val="nil"/>
            </w:tcBorders>
            <w:shd w:val="clear" w:color="auto" w:fill="FFFFFF"/>
          </w:tcPr>
          <w:p w14:paraId="0D48C443">
            <w:pPr>
              <w:rPr>
                <w:rFonts w:ascii="Times New Roman" w:hAnsi="Times New Roman" w:eastAsia="宋体" w:cs="Times New Roman"/>
                <w:szCs w:val="21"/>
              </w:rPr>
            </w:pPr>
            <w:r>
              <w:rPr>
                <w:rFonts w:hint="eastAsia" w:ascii="Times New Roman" w:hAnsi="Times New Roman" w:eastAsia="宋体" w:cs="Times New Roman"/>
                <w:kern w:val="0"/>
                <w:szCs w:val="21"/>
                <w:lang w:bidi="ar"/>
              </w:rPr>
              <w:t>N</w:t>
            </w:r>
            <w:r>
              <w:rPr>
                <w:rFonts w:ascii="Times New Roman" w:hAnsi="Times New Roman" w:eastAsia="宋体" w:cs="Times New Roman"/>
                <w:kern w:val="0"/>
                <w:szCs w:val="21"/>
                <w:lang w:bidi="ar"/>
              </w:rPr>
              <w:t>oise level</w:t>
            </w:r>
            <w:r>
              <w:rPr>
                <w:rFonts w:hint="eastAsia" w:ascii="Times New Roman" w:hAnsi="Times New Roman" w:eastAsia="宋体" w:cs="Times New Roman"/>
                <w:kern w:val="0"/>
                <w:szCs w:val="21"/>
                <w:lang w:bidi="ar"/>
              </w:rPr>
              <w:t xml:space="preserve"> (Leq, dB(A))</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444">
            <w:pPr>
              <w:jc w:val="center"/>
              <w:rPr>
                <w:rFonts w:ascii="Times New Roman" w:hAnsi="Times New Roman" w:eastAsia="宋体" w:cs="Times New Roman"/>
                <w:szCs w:val="21"/>
              </w:rPr>
            </w:pPr>
            <w:r>
              <w:rPr>
                <w:rFonts w:hint="eastAsia" w:ascii="Times New Roman" w:hAnsi="Times New Roman" w:eastAsia="宋体" w:cs="Times New Roman"/>
                <w:szCs w:val="21"/>
              </w:rPr>
              <w:t>54.60 (</w:t>
            </w:r>
            <w:r>
              <w:rPr>
                <w:rFonts w:ascii="Times New Roman" w:hAnsi="Times New Roman" w:eastAsia="宋体" w:cs="Times New Roman"/>
                <w:szCs w:val="21"/>
              </w:rPr>
              <w:t>1.90, 53.80-55.70</w:t>
            </w:r>
            <w:r>
              <w:rPr>
                <w:rFonts w:hint="eastAsia" w:ascii="Times New Roman" w:hAnsi="Times New Roman" w:eastAsia="宋体" w:cs="Times New Roman"/>
                <w:szCs w:val="21"/>
              </w:rPr>
              <w:t>)</w:t>
            </w:r>
          </w:p>
        </w:tc>
        <w:tc>
          <w:tcPr>
            <w:tcW w:w="820" w:type="pct"/>
            <w:tcBorders>
              <w:top w:val="nil"/>
              <w:left w:val="nil"/>
              <w:bottom w:val="nil"/>
              <w:right w:val="nil"/>
            </w:tcBorders>
            <w:shd w:val="clear" w:color="auto" w:fill="FFFFFF"/>
          </w:tcPr>
          <w:p w14:paraId="0D48C445">
            <w:pPr>
              <w:jc w:val="center"/>
              <w:rPr>
                <w:rFonts w:ascii="Times New Roman" w:hAnsi="Times New Roman" w:eastAsia="宋体" w:cs="Times New Roman"/>
                <w:szCs w:val="21"/>
              </w:rPr>
            </w:pPr>
            <w:r>
              <w:rPr>
                <w:rFonts w:hint="eastAsia" w:ascii="Times New Roman" w:hAnsi="Times New Roman" w:eastAsia="宋体" w:cs="Times New Roman"/>
                <w:szCs w:val="21"/>
              </w:rPr>
              <w:t>54.60 (</w:t>
            </w:r>
            <w:r>
              <w:rPr>
                <w:rFonts w:ascii="Times New Roman" w:hAnsi="Times New Roman" w:eastAsia="宋体" w:cs="Times New Roman"/>
                <w:szCs w:val="21"/>
              </w:rPr>
              <w:t>1.90, 53.80-55.70</w:t>
            </w:r>
            <w:r>
              <w:rPr>
                <w:rFonts w:hint="eastAsia" w:ascii="Times New Roman" w:hAnsi="Times New Roman" w:eastAsia="宋体" w:cs="Times New Roman"/>
                <w:szCs w:val="21"/>
              </w:rPr>
              <w:t>)</w:t>
            </w:r>
          </w:p>
        </w:tc>
        <w:tc>
          <w:tcPr>
            <w:tcW w:w="572" w:type="pct"/>
            <w:tcBorders>
              <w:top w:val="nil"/>
              <w:left w:val="nil"/>
              <w:bottom w:val="nil"/>
              <w:right w:val="nil"/>
            </w:tcBorders>
            <w:shd w:val="clear" w:color="auto" w:fill="FFFFFF"/>
          </w:tcPr>
          <w:p w14:paraId="0D48C446">
            <w:pPr>
              <w:jc w:val="center"/>
              <w:rPr>
                <w:rFonts w:ascii="Times New Roman" w:hAnsi="Times New Roman" w:eastAsia="宋体"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47">
            <w:pPr>
              <w:jc w:val="center"/>
              <w:rPr>
                <w:rFonts w:ascii="Times New Roman" w:hAnsi="Times New Roman" w:eastAsia="宋体" w:cs="Times New Roman"/>
                <w:szCs w:val="21"/>
              </w:rPr>
            </w:pPr>
            <w:r>
              <w:rPr>
                <w:rFonts w:hint="eastAsia" w:ascii="Times New Roman" w:hAnsi="Times New Roman" w:eastAsia="宋体" w:cs="Times New Roman"/>
                <w:szCs w:val="21"/>
              </w:rPr>
              <w:t>-0</w:t>
            </w:r>
            <w:r>
              <w:rPr>
                <w:rFonts w:ascii="Times New Roman" w:hAnsi="Times New Roman" w:eastAsia="宋体" w:cs="Times New Roman"/>
                <w:szCs w:val="21"/>
              </w:rPr>
              <w:t>.661</w:t>
            </w:r>
          </w:p>
        </w:tc>
        <w:tc>
          <w:tcPr>
            <w:tcW w:w="556" w:type="pct"/>
            <w:tcBorders>
              <w:top w:val="nil"/>
              <w:left w:val="nil"/>
              <w:bottom w:val="nil"/>
              <w:right w:val="nil"/>
            </w:tcBorders>
            <w:shd w:val="clear" w:color="auto" w:fill="FFFFFF"/>
          </w:tcPr>
          <w:p w14:paraId="0D48C448">
            <w:pPr>
              <w:jc w:val="center"/>
              <w:rPr>
                <w:rFonts w:ascii="Times New Roman" w:hAnsi="Times New Roman" w:eastAsia="宋体" w:cs="Times New Roman"/>
                <w:szCs w:val="21"/>
              </w:rPr>
            </w:pPr>
            <w:r>
              <w:rPr>
                <w:rFonts w:hint="eastAsia" w:ascii="Times New Roman" w:hAnsi="Times New Roman" w:eastAsia="宋体" w:cs="Times New Roman"/>
                <w:szCs w:val="21"/>
              </w:rPr>
              <w:t>0.</w:t>
            </w:r>
            <w:r>
              <w:rPr>
                <w:rFonts w:ascii="Times New Roman" w:hAnsi="Times New Roman" w:eastAsia="宋体" w:cs="Times New Roman"/>
                <w:szCs w:val="21"/>
              </w:rPr>
              <w:t>509</w:t>
            </w:r>
            <w:r>
              <w:rPr>
                <w:rFonts w:ascii="Times New Roman" w:hAnsi="Times New Roman" w:cs="Times New Roman"/>
                <w:szCs w:val="21"/>
                <w:vertAlign w:val="superscript"/>
              </w:rPr>
              <w:t>c</w:t>
            </w:r>
          </w:p>
        </w:tc>
      </w:tr>
      <w:tr w14:paraId="0D48C450">
        <w:trPr>
          <w:jc w:val="center"/>
        </w:trPr>
        <w:tc>
          <w:tcPr>
            <w:tcW w:w="1739" w:type="pct"/>
            <w:tcBorders>
              <w:top w:val="nil"/>
              <w:left w:val="nil"/>
              <w:bottom w:val="nil"/>
              <w:right w:val="nil"/>
            </w:tcBorders>
            <w:shd w:val="clear" w:color="auto" w:fill="FFFFFF"/>
          </w:tcPr>
          <w:p w14:paraId="0D48C44A">
            <w:pPr>
              <w:rPr>
                <w:rFonts w:ascii="Times New Roman" w:hAnsi="Times New Roman" w:cs="Times New Roman"/>
                <w:szCs w:val="21"/>
              </w:rPr>
            </w:pPr>
            <w:r>
              <w:rPr>
                <w:rFonts w:ascii="Times New Roman" w:hAnsi="Times New Roman" w:eastAsia="宋体" w:cs="Times New Roman"/>
                <w:kern w:val="0"/>
                <w:szCs w:val="21"/>
                <w:lang w:bidi="ar"/>
              </w:rPr>
              <w:t>Extreme climate</w:t>
            </w:r>
            <w:r>
              <w:rPr>
                <w:rStyle w:val="17"/>
                <w:rFonts w:hint="eastAsia"/>
              </w:rPr>
              <w:t xml:space="preserve"> </w:t>
            </w:r>
            <w:r>
              <w:rPr>
                <w:rFonts w:ascii="Times New Roman" w:hAnsi="Times New Roman" w:eastAsia="宋体" w:cs="Times New Roman"/>
                <w:kern w:val="0"/>
                <w:szCs w:val="21"/>
                <w:lang w:bidi="ar"/>
              </w:rPr>
              <w:t>(CPRI)</w:t>
            </w:r>
            <w:r>
              <w:rPr>
                <w:rFonts w:ascii="Times New Roman" w:hAnsi="Times New Roman" w:cs="Times New Roman"/>
                <w:szCs w:val="21"/>
                <w:vertAlign w:val="superscript"/>
              </w:rPr>
              <w:t>a</w:t>
            </w:r>
          </w:p>
        </w:tc>
        <w:tc>
          <w:tcPr>
            <w:tcW w:w="877" w:type="pct"/>
            <w:tcBorders>
              <w:top w:val="nil"/>
              <w:left w:val="nil"/>
              <w:bottom w:val="nil"/>
              <w:right w:val="nil"/>
            </w:tcBorders>
            <w:shd w:val="clear" w:color="auto" w:fill="FFFFFF"/>
          </w:tcPr>
          <w:p w14:paraId="0D48C44B">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5.01</w:t>
            </w:r>
            <w:r>
              <w:rPr>
                <w:rFonts w:hint="eastAsia" w:ascii="Times New Roman" w:hAnsi="Times New Roman" w:cs="Times New Roman"/>
                <w:szCs w:val="21"/>
              </w:rPr>
              <w:t xml:space="preserve"> (</w:t>
            </w:r>
            <w:r>
              <w:rPr>
                <w:rFonts w:ascii="Times New Roman" w:hAnsi="Times New Roman" w:cs="Times New Roman"/>
                <w:szCs w:val="21"/>
              </w:rPr>
              <w:t>7.71, 22.10-29.81</w:t>
            </w:r>
            <w:r>
              <w:rPr>
                <w:rFonts w:hint="eastAsia" w:ascii="Times New Roman" w:hAnsi="Times New Roman" w:cs="Times New Roman"/>
                <w:szCs w:val="21"/>
              </w:rPr>
              <w:t>)</w:t>
            </w:r>
          </w:p>
        </w:tc>
        <w:tc>
          <w:tcPr>
            <w:tcW w:w="820" w:type="pct"/>
            <w:tcBorders>
              <w:top w:val="nil"/>
              <w:left w:val="nil"/>
              <w:bottom w:val="nil"/>
              <w:right w:val="nil"/>
            </w:tcBorders>
            <w:shd w:val="clear" w:color="auto" w:fill="FFFFFF"/>
          </w:tcPr>
          <w:p w14:paraId="0D48C44C">
            <w:pPr>
              <w:jc w:val="center"/>
              <w:rPr>
                <w:rFonts w:ascii="Times New Roman" w:hAnsi="Times New Roman" w:cs="Times New Roman"/>
                <w:szCs w:val="21"/>
              </w:rPr>
            </w:pPr>
            <w:r>
              <w:rPr>
                <w:rFonts w:ascii="Times New Roman" w:hAnsi="Times New Roman" w:cs="Times New Roman"/>
                <w:szCs w:val="21"/>
              </w:rPr>
              <w:t>24.96 (7.64, 22.00-29.64)</w:t>
            </w:r>
          </w:p>
        </w:tc>
        <w:tc>
          <w:tcPr>
            <w:tcW w:w="572" w:type="pct"/>
            <w:tcBorders>
              <w:top w:val="nil"/>
              <w:left w:val="nil"/>
              <w:bottom w:val="nil"/>
              <w:right w:val="nil"/>
            </w:tcBorders>
            <w:shd w:val="clear" w:color="auto" w:fill="FFFFFF"/>
          </w:tcPr>
          <w:p w14:paraId="0D48C44D">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4E">
            <w:pPr>
              <w:jc w:val="center"/>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1.751</w:t>
            </w:r>
          </w:p>
        </w:tc>
        <w:tc>
          <w:tcPr>
            <w:tcW w:w="556" w:type="pct"/>
            <w:tcBorders>
              <w:top w:val="nil"/>
              <w:left w:val="nil"/>
              <w:bottom w:val="nil"/>
              <w:right w:val="nil"/>
            </w:tcBorders>
            <w:shd w:val="clear" w:color="auto" w:fill="FFFFFF"/>
          </w:tcPr>
          <w:p w14:paraId="0D48C44F">
            <w:pPr>
              <w:jc w:val="center"/>
              <w:rPr>
                <w:rFonts w:ascii="Times New Roman" w:hAnsi="Times New Roman" w:cs="Times New Roman"/>
                <w:b/>
                <w:bCs/>
                <w:szCs w:val="21"/>
              </w:rPr>
            </w:pPr>
            <w:r>
              <w:rPr>
                <w:rFonts w:hint="eastAsia" w:ascii="Times New Roman" w:hAnsi="Times New Roman" w:eastAsia="宋体" w:cs="Times New Roman"/>
                <w:szCs w:val="21"/>
              </w:rPr>
              <w:t>0.</w:t>
            </w:r>
            <w:r>
              <w:rPr>
                <w:rFonts w:ascii="Times New Roman" w:hAnsi="Times New Roman" w:eastAsia="宋体" w:cs="Times New Roman"/>
                <w:szCs w:val="21"/>
              </w:rPr>
              <w:t>080</w:t>
            </w:r>
            <w:r>
              <w:rPr>
                <w:rFonts w:ascii="Times New Roman" w:hAnsi="Times New Roman" w:cs="Times New Roman"/>
                <w:szCs w:val="21"/>
                <w:vertAlign w:val="superscript"/>
              </w:rPr>
              <w:t>c</w:t>
            </w:r>
          </w:p>
        </w:tc>
      </w:tr>
      <w:tr w14:paraId="0D48C457">
        <w:trPr>
          <w:jc w:val="center"/>
        </w:trPr>
        <w:tc>
          <w:tcPr>
            <w:tcW w:w="1739" w:type="pct"/>
            <w:tcBorders>
              <w:top w:val="nil"/>
              <w:left w:val="nil"/>
              <w:bottom w:val="nil"/>
              <w:right w:val="nil"/>
            </w:tcBorders>
            <w:shd w:val="clear" w:color="auto" w:fill="FFFFFF"/>
          </w:tcPr>
          <w:p w14:paraId="0D48C451">
            <w:pPr>
              <w:widowControl/>
              <w:jc w:val="left"/>
              <w:rPr>
                <w:rFonts w:ascii="Times New Roman" w:hAnsi="Times New Roman" w:cs="Times New Roman"/>
                <w:szCs w:val="21"/>
              </w:rPr>
            </w:pPr>
            <w:r>
              <w:rPr>
                <w:rFonts w:hint="eastAsia" w:ascii="Times New Roman" w:hAnsi="Times New Roman" w:eastAsia="宋体" w:cs="Times New Roman"/>
                <w:b/>
                <w:bCs/>
                <w:kern w:val="0"/>
                <w:szCs w:val="21"/>
                <w:lang w:bidi="ar"/>
              </w:rPr>
              <w:t>Social and Community Context</w:t>
            </w:r>
          </w:p>
        </w:tc>
        <w:tc>
          <w:tcPr>
            <w:tcW w:w="877" w:type="pct"/>
            <w:tcBorders>
              <w:top w:val="nil"/>
              <w:left w:val="nil"/>
              <w:bottom w:val="nil"/>
              <w:right w:val="nil"/>
            </w:tcBorders>
            <w:shd w:val="clear" w:color="auto" w:fill="FFFFFF"/>
          </w:tcPr>
          <w:p w14:paraId="0D48C452">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453">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54">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55">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56">
            <w:pPr>
              <w:jc w:val="center"/>
              <w:rPr>
                <w:rFonts w:ascii="Times New Roman" w:hAnsi="Times New Roman" w:cs="Times New Roman"/>
                <w:szCs w:val="21"/>
              </w:rPr>
            </w:pPr>
          </w:p>
        </w:tc>
      </w:tr>
      <w:tr w14:paraId="0D48C45E">
        <w:trPr>
          <w:jc w:val="center"/>
        </w:trPr>
        <w:tc>
          <w:tcPr>
            <w:tcW w:w="1739" w:type="pct"/>
            <w:tcBorders>
              <w:top w:val="nil"/>
              <w:left w:val="nil"/>
              <w:bottom w:val="nil"/>
              <w:right w:val="nil"/>
            </w:tcBorders>
            <w:shd w:val="clear" w:color="auto" w:fill="FFFFFF"/>
          </w:tcPr>
          <w:p w14:paraId="0D48C458">
            <w:pP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Marriage</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459">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45A">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5B">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5C">
            <w:pPr>
              <w:jc w:val="center"/>
              <w:rPr>
                <w:rFonts w:ascii="Times New Roman" w:hAnsi="Times New Roman" w:cs="Times New Roman"/>
                <w:szCs w:val="21"/>
              </w:rPr>
            </w:pPr>
            <w:r>
              <w:rPr>
                <w:rFonts w:ascii="Times New Roman" w:hAnsi="Times New Roman" w:cs="Times New Roman"/>
                <w:szCs w:val="21"/>
              </w:rPr>
              <w:t>276.264</w:t>
            </w:r>
          </w:p>
        </w:tc>
        <w:tc>
          <w:tcPr>
            <w:tcW w:w="556" w:type="pct"/>
            <w:tcBorders>
              <w:top w:val="nil"/>
              <w:left w:val="nil"/>
              <w:bottom w:val="nil"/>
              <w:right w:val="nil"/>
            </w:tcBorders>
            <w:shd w:val="clear" w:color="auto" w:fill="FFFFFF"/>
          </w:tcPr>
          <w:p w14:paraId="0D48C45D">
            <w:pPr>
              <w:jc w:val="center"/>
              <w:rPr>
                <w:rFonts w:ascii="Times New Roman" w:hAnsi="Times New Roman" w:cs="Times New Roman"/>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465">
        <w:trPr>
          <w:jc w:val="center"/>
        </w:trPr>
        <w:tc>
          <w:tcPr>
            <w:tcW w:w="1739" w:type="pct"/>
            <w:tcBorders>
              <w:top w:val="nil"/>
              <w:left w:val="nil"/>
              <w:bottom w:val="nil"/>
              <w:right w:val="nil"/>
            </w:tcBorders>
            <w:shd w:val="clear" w:color="auto" w:fill="FFFFFF"/>
          </w:tcPr>
          <w:p w14:paraId="0D48C45F">
            <w:pPr>
              <w:ind w:firstLine="210" w:firstLineChars="100"/>
              <w:jc w:val="left"/>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Unmarried,</w:t>
            </w:r>
            <w:r>
              <w:rPr>
                <w:rFonts w:hint="eastAsia" w:ascii="Times New Roman" w:hAnsi="Times New Roman" w:eastAsia="宋体" w:cs="Times New Roman"/>
                <w:kern w:val="0"/>
                <w:szCs w:val="21"/>
                <w:lang w:bidi="ar"/>
              </w:rPr>
              <w:t xml:space="preserve"> s</w:t>
            </w:r>
            <w:r>
              <w:rPr>
                <w:rFonts w:ascii="Times New Roman" w:hAnsi="Times New Roman" w:eastAsia="宋体" w:cs="Times New Roman"/>
                <w:kern w:val="0"/>
                <w:szCs w:val="21"/>
                <w:lang w:bidi="ar"/>
              </w:rPr>
              <w:t>eparated</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 xml:space="preserve"> divorced and widowed</w:t>
            </w:r>
          </w:p>
        </w:tc>
        <w:tc>
          <w:tcPr>
            <w:tcW w:w="877" w:type="pct"/>
            <w:tcBorders>
              <w:top w:val="nil"/>
              <w:left w:val="nil"/>
              <w:bottom w:val="nil"/>
              <w:right w:val="nil"/>
            </w:tcBorders>
            <w:shd w:val="clear" w:color="auto" w:fill="FFFFFF"/>
          </w:tcPr>
          <w:p w14:paraId="0D48C460">
            <w:pPr>
              <w:jc w:val="center"/>
              <w:rPr>
                <w:rFonts w:ascii="Times New Roman" w:hAnsi="Times New Roman" w:cs="Times New Roman"/>
                <w:szCs w:val="21"/>
              </w:rPr>
            </w:pPr>
            <w:r>
              <w:rPr>
                <w:rFonts w:ascii="Times New Roman" w:hAnsi="Times New Roman" w:cs="Times New Roman"/>
                <w:szCs w:val="21"/>
              </w:rPr>
              <w:t>1441 (19.2)</w:t>
            </w:r>
          </w:p>
        </w:tc>
        <w:tc>
          <w:tcPr>
            <w:tcW w:w="820" w:type="pct"/>
            <w:tcBorders>
              <w:top w:val="nil"/>
              <w:left w:val="nil"/>
              <w:bottom w:val="nil"/>
              <w:right w:val="nil"/>
            </w:tcBorders>
            <w:shd w:val="clear" w:color="auto" w:fill="FFFFFF"/>
          </w:tcPr>
          <w:p w14:paraId="0D48C461">
            <w:pPr>
              <w:jc w:val="center"/>
              <w:rPr>
                <w:rFonts w:ascii="Times New Roman" w:hAnsi="Times New Roman" w:cs="Times New Roman"/>
                <w:szCs w:val="21"/>
              </w:rPr>
            </w:pPr>
            <w:r>
              <w:rPr>
                <w:rFonts w:ascii="Times New Roman" w:hAnsi="Times New Roman" w:cs="Times New Roman"/>
                <w:szCs w:val="21"/>
              </w:rPr>
              <w:t>1082 (34.2)</w:t>
            </w:r>
          </w:p>
        </w:tc>
        <w:tc>
          <w:tcPr>
            <w:tcW w:w="572" w:type="pct"/>
            <w:tcBorders>
              <w:top w:val="nil"/>
              <w:left w:val="nil"/>
              <w:bottom w:val="nil"/>
              <w:right w:val="nil"/>
            </w:tcBorders>
            <w:shd w:val="clear" w:color="auto" w:fill="FFFFFF"/>
          </w:tcPr>
          <w:p w14:paraId="0D48C462">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63">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64">
            <w:pPr>
              <w:jc w:val="center"/>
              <w:rPr>
                <w:rFonts w:ascii="Times New Roman" w:hAnsi="Times New Roman" w:cs="Times New Roman"/>
                <w:szCs w:val="21"/>
              </w:rPr>
            </w:pPr>
          </w:p>
        </w:tc>
      </w:tr>
      <w:tr w14:paraId="0D48C46C">
        <w:trPr>
          <w:jc w:val="center"/>
        </w:trPr>
        <w:tc>
          <w:tcPr>
            <w:tcW w:w="1739" w:type="pct"/>
            <w:tcBorders>
              <w:top w:val="nil"/>
              <w:left w:val="nil"/>
              <w:bottom w:val="nil"/>
              <w:right w:val="nil"/>
            </w:tcBorders>
            <w:shd w:val="clear" w:color="auto" w:fill="FFFFFF"/>
          </w:tcPr>
          <w:p w14:paraId="0D48C466">
            <w:pPr>
              <w:ind w:firstLine="210" w:firstLineChars="100"/>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Married</w:t>
            </w:r>
            <w:r>
              <w:rPr>
                <w:rFonts w:hint="eastAsia" w:ascii="Times New Roman" w:hAnsi="Times New Roman" w:eastAsia="宋体" w:cs="Times New Roman"/>
                <w:kern w:val="0"/>
                <w:szCs w:val="21"/>
                <w:lang w:bidi="ar"/>
              </w:rPr>
              <w:t xml:space="preserve"> or cohabiting</w:t>
            </w:r>
          </w:p>
        </w:tc>
        <w:tc>
          <w:tcPr>
            <w:tcW w:w="877" w:type="pct"/>
            <w:tcBorders>
              <w:top w:val="nil"/>
              <w:left w:val="nil"/>
              <w:bottom w:val="nil"/>
              <w:right w:val="nil"/>
            </w:tcBorders>
            <w:shd w:val="clear" w:color="auto" w:fill="FFFFFF"/>
          </w:tcPr>
          <w:p w14:paraId="0D48C467">
            <w:pPr>
              <w:jc w:val="center"/>
              <w:rPr>
                <w:rFonts w:ascii="Times New Roman" w:hAnsi="Times New Roman" w:cs="Times New Roman"/>
                <w:szCs w:val="21"/>
              </w:rPr>
            </w:pPr>
            <w:r>
              <w:rPr>
                <w:rFonts w:ascii="Times New Roman" w:hAnsi="Times New Roman" w:cs="Times New Roman"/>
                <w:szCs w:val="21"/>
              </w:rPr>
              <w:t>6051 (80.2)</w:t>
            </w:r>
          </w:p>
        </w:tc>
        <w:tc>
          <w:tcPr>
            <w:tcW w:w="820" w:type="pct"/>
            <w:tcBorders>
              <w:top w:val="nil"/>
              <w:left w:val="nil"/>
              <w:bottom w:val="nil"/>
              <w:right w:val="nil"/>
            </w:tcBorders>
            <w:shd w:val="clear" w:color="auto" w:fill="FFFFFF"/>
          </w:tcPr>
          <w:p w14:paraId="0D48C468">
            <w:pPr>
              <w:jc w:val="center"/>
              <w:rPr>
                <w:rFonts w:ascii="Times New Roman" w:hAnsi="Times New Roman" w:cs="Times New Roman"/>
                <w:szCs w:val="21"/>
              </w:rPr>
            </w:pPr>
            <w:r>
              <w:rPr>
                <w:rFonts w:ascii="Times New Roman" w:hAnsi="Times New Roman" w:cs="Times New Roman"/>
                <w:szCs w:val="21"/>
              </w:rPr>
              <w:t>2080 (65.8)</w:t>
            </w:r>
          </w:p>
        </w:tc>
        <w:tc>
          <w:tcPr>
            <w:tcW w:w="572" w:type="pct"/>
            <w:tcBorders>
              <w:top w:val="nil"/>
              <w:left w:val="nil"/>
              <w:bottom w:val="nil"/>
              <w:right w:val="nil"/>
            </w:tcBorders>
            <w:shd w:val="clear" w:color="auto" w:fill="FFFFFF"/>
          </w:tcPr>
          <w:p w14:paraId="0D48C469">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6A">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6B">
            <w:pPr>
              <w:jc w:val="center"/>
              <w:rPr>
                <w:rFonts w:ascii="Times New Roman" w:hAnsi="Times New Roman" w:cs="Times New Roman"/>
                <w:szCs w:val="21"/>
              </w:rPr>
            </w:pPr>
          </w:p>
        </w:tc>
      </w:tr>
      <w:tr w14:paraId="0D48C473">
        <w:trPr>
          <w:jc w:val="center"/>
        </w:trPr>
        <w:tc>
          <w:tcPr>
            <w:tcW w:w="1739" w:type="pct"/>
            <w:tcBorders>
              <w:top w:val="nil"/>
              <w:left w:val="nil"/>
              <w:bottom w:val="nil"/>
              <w:right w:val="nil"/>
            </w:tcBorders>
            <w:shd w:val="clear" w:color="auto" w:fill="FFFFFF"/>
          </w:tcPr>
          <w:p w14:paraId="0D48C46D">
            <w:pPr>
              <w:rPr>
                <w:rFonts w:ascii="Times New Roman" w:hAnsi="Times New Roman" w:eastAsia="宋体" w:cs="Times New Roman"/>
                <w:szCs w:val="21"/>
              </w:rPr>
            </w:pPr>
            <w:r>
              <w:rPr>
                <w:rFonts w:ascii="Times New Roman" w:hAnsi="Times New Roman" w:eastAsia="宋体" w:cs="Times New Roman"/>
                <w:kern w:val="0"/>
                <w:szCs w:val="21"/>
                <w:lang w:bidi="ar"/>
              </w:rPr>
              <w:t>Living alone</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46E">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46F">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70">
            <w:pPr>
              <w:jc w:val="center"/>
              <w:rPr>
                <w:rFonts w:ascii="Times New Roman" w:hAnsi="Times New Roman" w:cs="Times New Roman"/>
                <w:szCs w:val="21"/>
              </w:rPr>
            </w:pPr>
            <w:r>
              <w:rPr>
                <w:rFonts w:ascii="Times New Roman" w:hAnsi="Times New Roman" w:eastAsia="宋体" w:cs="Times New Roman"/>
                <w:szCs w:val="21"/>
                <w:lang w:bidi="ar"/>
              </w:rPr>
              <w:t>0 (0.0)</w:t>
            </w:r>
          </w:p>
        </w:tc>
        <w:tc>
          <w:tcPr>
            <w:tcW w:w="433" w:type="pct"/>
            <w:tcBorders>
              <w:top w:val="nil"/>
              <w:left w:val="nil"/>
              <w:bottom w:val="nil"/>
              <w:right w:val="nil"/>
            </w:tcBorders>
            <w:shd w:val="clear" w:color="auto" w:fill="FFFFFF"/>
          </w:tcPr>
          <w:p w14:paraId="0D48C471">
            <w:pPr>
              <w:jc w:val="center"/>
              <w:rPr>
                <w:rFonts w:ascii="Times New Roman" w:hAnsi="Times New Roman" w:cs="Times New Roman"/>
                <w:szCs w:val="21"/>
              </w:rPr>
            </w:pPr>
            <w:r>
              <w:rPr>
                <w:rFonts w:ascii="Times New Roman" w:hAnsi="Times New Roman" w:cs="Times New Roman"/>
                <w:szCs w:val="21"/>
              </w:rPr>
              <w:t>59.326</w:t>
            </w:r>
          </w:p>
        </w:tc>
        <w:tc>
          <w:tcPr>
            <w:tcW w:w="556" w:type="pct"/>
            <w:tcBorders>
              <w:top w:val="nil"/>
              <w:left w:val="nil"/>
              <w:bottom w:val="nil"/>
              <w:right w:val="nil"/>
            </w:tcBorders>
            <w:shd w:val="clear" w:color="auto" w:fill="FFFFFF"/>
          </w:tcPr>
          <w:p w14:paraId="0D48C472">
            <w:pPr>
              <w:jc w:val="center"/>
              <w:rPr>
                <w:rFonts w:ascii="Times New Roman" w:hAnsi="Times New Roman" w:cs="Times New Roman"/>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47A">
        <w:trPr>
          <w:jc w:val="center"/>
        </w:trPr>
        <w:tc>
          <w:tcPr>
            <w:tcW w:w="1739" w:type="pct"/>
            <w:tcBorders>
              <w:top w:val="nil"/>
              <w:left w:val="nil"/>
              <w:bottom w:val="nil"/>
              <w:right w:val="nil"/>
            </w:tcBorders>
            <w:shd w:val="clear" w:color="auto" w:fill="FFFFFF"/>
          </w:tcPr>
          <w:p w14:paraId="0D48C474">
            <w:pPr>
              <w:ind w:firstLine="210" w:firstLineChars="100"/>
              <w:rPr>
                <w:rFonts w:ascii="Times New Roman" w:hAnsi="Times New Roman" w:cs="Times New Roman"/>
                <w:szCs w:val="21"/>
              </w:rPr>
            </w:pPr>
            <w:r>
              <w:rPr>
                <w:rFonts w:ascii="Times New Roman" w:hAnsi="Times New Roman" w:cs="Times New Roman"/>
                <w:szCs w:val="21"/>
                <w:lang w:bidi="ar"/>
              </w:rPr>
              <w:t>Yes</w:t>
            </w:r>
          </w:p>
        </w:tc>
        <w:tc>
          <w:tcPr>
            <w:tcW w:w="877" w:type="pct"/>
            <w:tcBorders>
              <w:top w:val="nil"/>
              <w:left w:val="nil"/>
              <w:bottom w:val="nil"/>
              <w:right w:val="nil"/>
            </w:tcBorders>
            <w:shd w:val="clear" w:color="auto" w:fill="FFFFFF"/>
          </w:tcPr>
          <w:p w14:paraId="0D48C475">
            <w:pPr>
              <w:jc w:val="center"/>
              <w:rPr>
                <w:rFonts w:ascii="Times New Roman" w:hAnsi="Times New Roman" w:cs="Times New Roman"/>
                <w:szCs w:val="21"/>
              </w:rPr>
            </w:pPr>
            <w:r>
              <w:rPr>
                <w:rFonts w:ascii="Times New Roman" w:hAnsi="Times New Roman" w:cs="Times New Roman"/>
                <w:szCs w:val="21"/>
              </w:rPr>
              <w:t>984 (13.1)</w:t>
            </w:r>
          </w:p>
        </w:tc>
        <w:tc>
          <w:tcPr>
            <w:tcW w:w="820" w:type="pct"/>
            <w:tcBorders>
              <w:top w:val="nil"/>
              <w:left w:val="nil"/>
              <w:bottom w:val="nil"/>
              <w:right w:val="nil"/>
            </w:tcBorders>
            <w:shd w:val="clear" w:color="auto" w:fill="FFFFFF"/>
          </w:tcPr>
          <w:p w14:paraId="0D48C476">
            <w:pPr>
              <w:jc w:val="center"/>
              <w:rPr>
                <w:rFonts w:ascii="Times New Roman" w:hAnsi="Times New Roman" w:cs="Times New Roman"/>
                <w:szCs w:val="21"/>
              </w:rPr>
            </w:pPr>
            <w:r>
              <w:rPr>
                <w:rFonts w:ascii="Times New Roman" w:hAnsi="Times New Roman" w:cs="Times New Roman"/>
                <w:szCs w:val="21"/>
              </w:rPr>
              <w:t>599 (18.9)</w:t>
            </w:r>
          </w:p>
        </w:tc>
        <w:tc>
          <w:tcPr>
            <w:tcW w:w="572" w:type="pct"/>
            <w:tcBorders>
              <w:top w:val="nil"/>
              <w:left w:val="nil"/>
              <w:bottom w:val="nil"/>
              <w:right w:val="nil"/>
            </w:tcBorders>
            <w:shd w:val="clear" w:color="auto" w:fill="FFFFFF"/>
          </w:tcPr>
          <w:p w14:paraId="0D48C477">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78">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79">
            <w:pPr>
              <w:jc w:val="center"/>
              <w:rPr>
                <w:rFonts w:ascii="Times New Roman" w:hAnsi="Times New Roman" w:cs="Times New Roman"/>
                <w:szCs w:val="21"/>
              </w:rPr>
            </w:pPr>
          </w:p>
        </w:tc>
      </w:tr>
      <w:tr w14:paraId="0D48C481">
        <w:trPr>
          <w:jc w:val="center"/>
        </w:trPr>
        <w:tc>
          <w:tcPr>
            <w:tcW w:w="1739" w:type="pct"/>
            <w:tcBorders>
              <w:top w:val="nil"/>
              <w:left w:val="nil"/>
              <w:bottom w:val="nil"/>
              <w:right w:val="nil"/>
            </w:tcBorders>
            <w:shd w:val="clear" w:color="auto" w:fill="FFFFFF"/>
          </w:tcPr>
          <w:p w14:paraId="0D48C47B">
            <w:pPr>
              <w:ind w:firstLine="210" w:firstLineChars="100"/>
              <w:rPr>
                <w:rFonts w:ascii="Times New Roman" w:hAnsi="Times New Roman" w:cs="Times New Roman"/>
                <w:szCs w:val="21"/>
              </w:rPr>
            </w:pPr>
            <w:r>
              <w:rPr>
                <w:rFonts w:ascii="Times New Roman" w:hAnsi="Times New Roman" w:cs="Times New Roman"/>
                <w:szCs w:val="21"/>
                <w:lang w:bidi="ar"/>
              </w:rPr>
              <w:t>No</w:t>
            </w:r>
          </w:p>
        </w:tc>
        <w:tc>
          <w:tcPr>
            <w:tcW w:w="877" w:type="pct"/>
            <w:tcBorders>
              <w:top w:val="nil"/>
              <w:left w:val="nil"/>
              <w:bottom w:val="nil"/>
              <w:right w:val="nil"/>
            </w:tcBorders>
            <w:shd w:val="clear" w:color="auto" w:fill="FFFFFF"/>
          </w:tcPr>
          <w:p w14:paraId="0D48C47C">
            <w:pPr>
              <w:jc w:val="center"/>
              <w:rPr>
                <w:rFonts w:ascii="Times New Roman" w:hAnsi="Times New Roman" w:cs="Times New Roman"/>
                <w:szCs w:val="21"/>
              </w:rPr>
            </w:pPr>
            <w:r>
              <w:rPr>
                <w:rFonts w:ascii="Times New Roman" w:hAnsi="Times New Roman" w:cs="Times New Roman"/>
                <w:szCs w:val="21"/>
              </w:rPr>
              <w:t>6508 (86.9)</w:t>
            </w:r>
          </w:p>
        </w:tc>
        <w:tc>
          <w:tcPr>
            <w:tcW w:w="820" w:type="pct"/>
            <w:tcBorders>
              <w:top w:val="nil"/>
              <w:left w:val="nil"/>
              <w:bottom w:val="nil"/>
              <w:right w:val="nil"/>
            </w:tcBorders>
            <w:shd w:val="clear" w:color="auto" w:fill="FFFFFF"/>
          </w:tcPr>
          <w:p w14:paraId="0D48C47D">
            <w:pPr>
              <w:jc w:val="center"/>
              <w:rPr>
                <w:rFonts w:ascii="Times New Roman" w:hAnsi="Times New Roman" w:cs="Times New Roman"/>
                <w:szCs w:val="21"/>
              </w:rPr>
            </w:pPr>
            <w:r>
              <w:rPr>
                <w:rFonts w:ascii="Times New Roman" w:hAnsi="Times New Roman" w:cs="Times New Roman"/>
                <w:szCs w:val="21"/>
              </w:rPr>
              <w:t>2563 (81.1)</w:t>
            </w:r>
          </w:p>
        </w:tc>
        <w:tc>
          <w:tcPr>
            <w:tcW w:w="572" w:type="pct"/>
            <w:tcBorders>
              <w:top w:val="nil"/>
              <w:left w:val="nil"/>
              <w:bottom w:val="nil"/>
              <w:right w:val="nil"/>
            </w:tcBorders>
            <w:shd w:val="clear" w:color="auto" w:fill="FFFFFF"/>
          </w:tcPr>
          <w:p w14:paraId="0D48C47E">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7F">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80">
            <w:pPr>
              <w:jc w:val="center"/>
              <w:rPr>
                <w:rFonts w:ascii="Times New Roman" w:hAnsi="Times New Roman" w:cs="Times New Roman"/>
                <w:szCs w:val="21"/>
              </w:rPr>
            </w:pPr>
          </w:p>
        </w:tc>
      </w:tr>
      <w:tr w14:paraId="0D48C488">
        <w:trPr>
          <w:jc w:val="center"/>
        </w:trPr>
        <w:tc>
          <w:tcPr>
            <w:tcW w:w="1739" w:type="pct"/>
            <w:tcBorders>
              <w:top w:val="nil"/>
              <w:left w:val="nil"/>
              <w:bottom w:val="nil"/>
              <w:right w:val="nil"/>
            </w:tcBorders>
            <w:shd w:val="clear" w:color="auto" w:fill="FFFFFF"/>
          </w:tcPr>
          <w:p w14:paraId="0D48C482">
            <w:pPr>
              <w:rPr>
                <w:rFonts w:ascii="Times New Roman" w:hAnsi="Times New Roman" w:cs="Times New Roman"/>
                <w:szCs w:val="21"/>
              </w:rPr>
            </w:pPr>
            <w:r>
              <w:rPr>
                <w:rFonts w:ascii="Times New Roman" w:hAnsi="Times New Roman" w:eastAsia="宋体" w:cs="Times New Roman"/>
                <w:kern w:val="0"/>
                <w:szCs w:val="21"/>
                <w:lang w:bidi="ar"/>
              </w:rPr>
              <w:t>Social isolation</w:t>
            </w:r>
            <w:r>
              <w:rPr>
                <w:rFonts w:ascii="Times New Roman" w:hAnsi="Times New Roman" w:cs="Times New Roman"/>
                <w:szCs w:val="21"/>
                <w:vertAlign w:val="superscript"/>
              </w:rPr>
              <w:t>b</w:t>
            </w:r>
          </w:p>
        </w:tc>
        <w:tc>
          <w:tcPr>
            <w:tcW w:w="877" w:type="pct"/>
            <w:tcBorders>
              <w:top w:val="nil"/>
              <w:left w:val="nil"/>
              <w:bottom w:val="nil"/>
              <w:right w:val="nil"/>
            </w:tcBorders>
            <w:shd w:val="clear" w:color="auto" w:fill="FFFFFF"/>
          </w:tcPr>
          <w:p w14:paraId="0D48C483">
            <w:pPr>
              <w:jc w:val="center"/>
              <w:rPr>
                <w:rFonts w:ascii="Times New Roman" w:hAnsi="Times New Roman" w:cs="Times New Roman"/>
                <w:szCs w:val="21"/>
              </w:rPr>
            </w:pPr>
          </w:p>
        </w:tc>
        <w:tc>
          <w:tcPr>
            <w:tcW w:w="820" w:type="pct"/>
            <w:tcBorders>
              <w:top w:val="nil"/>
              <w:left w:val="nil"/>
              <w:bottom w:val="nil"/>
              <w:right w:val="nil"/>
            </w:tcBorders>
            <w:shd w:val="clear" w:color="auto" w:fill="FFFFFF"/>
          </w:tcPr>
          <w:p w14:paraId="0D48C484">
            <w:pPr>
              <w:jc w:val="center"/>
              <w:rPr>
                <w:rFonts w:ascii="Times New Roman" w:hAnsi="Times New Roman" w:cs="Times New Roman"/>
                <w:szCs w:val="21"/>
              </w:rPr>
            </w:pPr>
          </w:p>
        </w:tc>
        <w:tc>
          <w:tcPr>
            <w:tcW w:w="572" w:type="pct"/>
            <w:tcBorders>
              <w:top w:val="nil"/>
              <w:left w:val="nil"/>
              <w:bottom w:val="nil"/>
              <w:right w:val="nil"/>
            </w:tcBorders>
            <w:shd w:val="clear" w:color="auto" w:fill="FFFFFF"/>
          </w:tcPr>
          <w:p w14:paraId="0D48C485">
            <w:pPr>
              <w:jc w:val="center"/>
              <w:rPr>
                <w:rFonts w:ascii="Times New Roman" w:hAnsi="Times New Roman" w:cs="Times New Roman"/>
                <w:szCs w:val="21"/>
              </w:rPr>
            </w:pPr>
            <w:r>
              <w:rPr>
                <w:rFonts w:ascii="Times New Roman" w:hAnsi="Times New Roman" w:cs="Times New Roman"/>
                <w:szCs w:val="21"/>
              </w:rPr>
              <w:t>22 (0.7)</w:t>
            </w:r>
          </w:p>
        </w:tc>
        <w:tc>
          <w:tcPr>
            <w:tcW w:w="433" w:type="pct"/>
            <w:tcBorders>
              <w:top w:val="nil"/>
              <w:left w:val="nil"/>
              <w:bottom w:val="nil"/>
              <w:right w:val="nil"/>
            </w:tcBorders>
            <w:shd w:val="clear" w:color="auto" w:fill="FFFFFF"/>
          </w:tcPr>
          <w:p w14:paraId="0D48C486">
            <w:pPr>
              <w:jc w:val="center"/>
              <w:rPr>
                <w:rFonts w:ascii="Times New Roman" w:hAnsi="Times New Roman" w:cs="Times New Roman"/>
                <w:szCs w:val="21"/>
              </w:rPr>
            </w:pPr>
            <w:r>
              <w:rPr>
                <w:rFonts w:ascii="Times New Roman" w:hAnsi="Times New Roman" w:cs="Times New Roman"/>
                <w:szCs w:val="21"/>
              </w:rPr>
              <w:t>151.051</w:t>
            </w:r>
          </w:p>
        </w:tc>
        <w:tc>
          <w:tcPr>
            <w:tcW w:w="556" w:type="pct"/>
            <w:tcBorders>
              <w:top w:val="nil"/>
              <w:left w:val="nil"/>
              <w:bottom w:val="nil"/>
              <w:right w:val="nil"/>
            </w:tcBorders>
            <w:shd w:val="clear" w:color="auto" w:fill="FFFFFF"/>
          </w:tcPr>
          <w:p w14:paraId="0D48C487">
            <w:pPr>
              <w:jc w:val="center"/>
              <w:rPr>
                <w:rFonts w:ascii="Times New Roman" w:hAnsi="Times New Roman" w:cs="Times New Roman"/>
                <w:szCs w:val="21"/>
              </w:rPr>
            </w:pPr>
            <w:r>
              <w:rPr>
                <w:rFonts w:hint="eastAsia" w:ascii="Times New Roman" w:hAnsi="Times New Roman" w:cs="Times New Roman"/>
                <w:b/>
                <w:bCs/>
                <w:szCs w:val="21"/>
              </w:rPr>
              <w:t>&lt;0.001</w:t>
            </w:r>
            <w:r>
              <w:rPr>
                <w:rFonts w:ascii="Times New Roman" w:hAnsi="Times New Roman" w:cs="Times New Roman"/>
                <w:szCs w:val="21"/>
                <w:vertAlign w:val="superscript"/>
              </w:rPr>
              <w:t>d</w:t>
            </w:r>
          </w:p>
        </w:tc>
      </w:tr>
      <w:tr w14:paraId="0D48C48F">
        <w:trPr>
          <w:jc w:val="center"/>
        </w:trPr>
        <w:tc>
          <w:tcPr>
            <w:tcW w:w="1739" w:type="pct"/>
            <w:tcBorders>
              <w:top w:val="nil"/>
              <w:left w:val="nil"/>
              <w:bottom w:val="nil"/>
              <w:right w:val="nil"/>
            </w:tcBorders>
            <w:shd w:val="clear" w:color="auto" w:fill="FFFFFF"/>
          </w:tcPr>
          <w:p w14:paraId="0D48C489">
            <w:pPr>
              <w:ind w:firstLine="210" w:firstLineChars="100"/>
              <w:rPr>
                <w:rFonts w:ascii="Times New Roman" w:hAnsi="Times New Roman" w:cs="Times New Roman"/>
                <w:szCs w:val="21"/>
              </w:rPr>
            </w:pPr>
            <w:r>
              <w:rPr>
                <w:rFonts w:ascii="Times New Roman" w:hAnsi="Times New Roman" w:cs="Times New Roman"/>
                <w:szCs w:val="21"/>
                <w:lang w:bidi="ar"/>
              </w:rPr>
              <w:t>Low social participation</w:t>
            </w:r>
            <w:r>
              <w:rPr>
                <w:rFonts w:hint="eastAsia" w:ascii="Times New Roman" w:hAnsi="Times New Roman" w:cs="Times New Roman"/>
                <w:szCs w:val="21"/>
                <w:lang w:bidi="ar"/>
              </w:rPr>
              <w:t xml:space="preserve"> </w:t>
            </w:r>
            <w:r>
              <w:rPr>
                <w:rFonts w:ascii="Times New Roman" w:hAnsi="Times New Roman" w:eastAsia="DengXian" w:cs="Times New Roman"/>
                <w:b/>
                <w:bCs/>
                <w:szCs w:val="21"/>
              </w:rPr>
              <w:t xml:space="preserve"> </w:t>
            </w:r>
          </w:p>
        </w:tc>
        <w:tc>
          <w:tcPr>
            <w:tcW w:w="877" w:type="pct"/>
            <w:tcBorders>
              <w:top w:val="nil"/>
              <w:left w:val="nil"/>
              <w:bottom w:val="nil"/>
              <w:right w:val="nil"/>
            </w:tcBorders>
            <w:shd w:val="clear" w:color="auto" w:fill="FFFFFF"/>
          </w:tcPr>
          <w:p w14:paraId="0D48C48A">
            <w:pPr>
              <w:jc w:val="center"/>
              <w:rPr>
                <w:rFonts w:ascii="Times New Roman" w:hAnsi="Times New Roman" w:cs="Times New Roman"/>
                <w:szCs w:val="21"/>
              </w:rPr>
            </w:pPr>
            <w:r>
              <w:rPr>
                <w:rFonts w:ascii="Times New Roman" w:hAnsi="Times New Roman" w:cs="Times New Roman"/>
                <w:szCs w:val="21"/>
              </w:rPr>
              <w:t>3924 (52.4)</w:t>
            </w:r>
          </w:p>
        </w:tc>
        <w:tc>
          <w:tcPr>
            <w:tcW w:w="820" w:type="pct"/>
            <w:tcBorders>
              <w:top w:val="nil"/>
              <w:left w:val="nil"/>
              <w:bottom w:val="nil"/>
              <w:right w:val="nil"/>
            </w:tcBorders>
            <w:shd w:val="clear" w:color="auto" w:fill="FFFFFF"/>
          </w:tcPr>
          <w:p w14:paraId="0D48C48B">
            <w:pPr>
              <w:jc w:val="center"/>
              <w:rPr>
                <w:rFonts w:ascii="Times New Roman" w:hAnsi="Times New Roman" w:cs="Times New Roman"/>
                <w:szCs w:val="21"/>
              </w:rPr>
            </w:pPr>
            <w:r>
              <w:rPr>
                <w:rFonts w:ascii="Times New Roman" w:hAnsi="Times New Roman" w:cs="Times New Roman"/>
                <w:szCs w:val="21"/>
              </w:rPr>
              <w:t>2065 (65.3)</w:t>
            </w:r>
          </w:p>
        </w:tc>
        <w:tc>
          <w:tcPr>
            <w:tcW w:w="572" w:type="pct"/>
            <w:tcBorders>
              <w:top w:val="nil"/>
              <w:left w:val="nil"/>
              <w:bottom w:val="nil"/>
              <w:right w:val="nil"/>
            </w:tcBorders>
            <w:shd w:val="clear" w:color="auto" w:fill="FFFFFF"/>
          </w:tcPr>
          <w:p w14:paraId="0D48C48C">
            <w:pPr>
              <w:jc w:val="center"/>
              <w:rPr>
                <w:rFonts w:ascii="Times New Roman" w:hAnsi="Times New Roman" w:cs="Times New Roman"/>
                <w:szCs w:val="21"/>
              </w:rPr>
            </w:pPr>
          </w:p>
        </w:tc>
        <w:tc>
          <w:tcPr>
            <w:tcW w:w="433" w:type="pct"/>
            <w:tcBorders>
              <w:top w:val="nil"/>
              <w:left w:val="nil"/>
              <w:bottom w:val="nil"/>
              <w:right w:val="nil"/>
            </w:tcBorders>
            <w:shd w:val="clear" w:color="auto" w:fill="FFFFFF"/>
          </w:tcPr>
          <w:p w14:paraId="0D48C48D">
            <w:pPr>
              <w:jc w:val="center"/>
              <w:rPr>
                <w:rFonts w:ascii="Times New Roman" w:hAnsi="Times New Roman" w:cs="Times New Roman"/>
                <w:szCs w:val="21"/>
              </w:rPr>
            </w:pPr>
          </w:p>
        </w:tc>
        <w:tc>
          <w:tcPr>
            <w:tcW w:w="556" w:type="pct"/>
            <w:tcBorders>
              <w:top w:val="nil"/>
              <w:left w:val="nil"/>
              <w:bottom w:val="nil"/>
              <w:right w:val="nil"/>
            </w:tcBorders>
            <w:shd w:val="clear" w:color="auto" w:fill="FFFFFF"/>
          </w:tcPr>
          <w:p w14:paraId="0D48C48E">
            <w:pPr>
              <w:jc w:val="center"/>
              <w:rPr>
                <w:rFonts w:ascii="Times New Roman" w:hAnsi="Times New Roman" w:cs="Times New Roman"/>
                <w:szCs w:val="21"/>
              </w:rPr>
            </w:pPr>
          </w:p>
        </w:tc>
      </w:tr>
      <w:tr w14:paraId="0D48C496">
        <w:trPr>
          <w:jc w:val="center"/>
        </w:trPr>
        <w:tc>
          <w:tcPr>
            <w:tcW w:w="1739" w:type="pct"/>
            <w:tcBorders>
              <w:top w:val="nil"/>
              <w:left w:val="nil"/>
              <w:bottom w:val="single" w:color="000000" w:sz="12" w:space="0"/>
              <w:right w:val="nil"/>
            </w:tcBorders>
            <w:shd w:val="clear" w:color="auto" w:fill="FFFFFF"/>
            <w:vAlign w:val="center"/>
          </w:tcPr>
          <w:p w14:paraId="0D48C490">
            <w:pPr>
              <w:ind w:firstLine="210" w:firstLineChars="100"/>
              <w:rPr>
                <w:rFonts w:ascii="Times New Roman" w:hAnsi="Times New Roman" w:cs="Times New Roman"/>
                <w:szCs w:val="21"/>
                <w:lang w:bidi="ar"/>
              </w:rPr>
            </w:pPr>
            <w:r>
              <w:rPr>
                <w:rFonts w:ascii="Times New Roman" w:hAnsi="Times New Roman" w:cs="Times New Roman"/>
                <w:szCs w:val="21"/>
                <w:lang w:bidi="ar"/>
              </w:rPr>
              <w:t>High social participation</w:t>
            </w:r>
          </w:p>
        </w:tc>
        <w:tc>
          <w:tcPr>
            <w:tcW w:w="877" w:type="pct"/>
            <w:tcBorders>
              <w:top w:val="nil"/>
              <w:left w:val="nil"/>
              <w:bottom w:val="single" w:color="000000" w:sz="12" w:space="0"/>
              <w:right w:val="nil"/>
            </w:tcBorders>
            <w:shd w:val="clear" w:color="auto" w:fill="FFFFFF"/>
          </w:tcPr>
          <w:p w14:paraId="0D48C491">
            <w:pPr>
              <w:jc w:val="center"/>
              <w:rPr>
                <w:rFonts w:ascii="Times New Roman" w:hAnsi="Times New Roman" w:cs="Times New Roman"/>
                <w:szCs w:val="21"/>
              </w:rPr>
            </w:pPr>
            <w:r>
              <w:rPr>
                <w:rFonts w:ascii="Times New Roman" w:hAnsi="Times New Roman" w:cs="Times New Roman"/>
                <w:szCs w:val="21"/>
              </w:rPr>
              <w:t>3568 (47.6)</w:t>
            </w:r>
          </w:p>
        </w:tc>
        <w:tc>
          <w:tcPr>
            <w:tcW w:w="820" w:type="pct"/>
            <w:tcBorders>
              <w:top w:val="nil"/>
              <w:left w:val="nil"/>
              <w:bottom w:val="single" w:color="000000" w:sz="12" w:space="0"/>
              <w:right w:val="nil"/>
            </w:tcBorders>
            <w:shd w:val="clear" w:color="auto" w:fill="FFFFFF"/>
          </w:tcPr>
          <w:p w14:paraId="0D48C492">
            <w:pPr>
              <w:jc w:val="center"/>
              <w:rPr>
                <w:rFonts w:ascii="Times New Roman" w:hAnsi="Times New Roman" w:cs="Times New Roman"/>
                <w:szCs w:val="21"/>
              </w:rPr>
            </w:pPr>
            <w:r>
              <w:rPr>
                <w:rFonts w:ascii="Times New Roman" w:hAnsi="Times New Roman" w:cs="Times New Roman"/>
                <w:szCs w:val="21"/>
              </w:rPr>
              <w:t>1097 (34.7)</w:t>
            </w:r>
          </w:p>
        </w:tc>
        <w:tc>
          <w:tcPr>
            <w:tcW w:w="572" w:type="pct"/>
            <w:tcBorders>
              <w:top w:val="nil"/>
              <w:left w:val="nil"/>
              <w:bottom w:val="single" w:color="000000" w:sz="12" w:space="0"/>
              <w:right w:val="nil"/>
            </w:tcBorders>
            <w:shd w:val="clear" w:color="auto" w:fill="FFFFFF"/>
          </w:tcPr>
          <w:p w14:paraId="0D48C493">
            <w:pPr>
              <w:jc w:val="center"/>
              <w:rPr>
                <w:rFonts w:ascii="Times New Roman" w:hAnsi="Times New Roman" w:cs="Times New Roman"/>
                <w:szCs w:val="21"/>
              </w:rPr>
            </w:pPr>
          </w:p>
        </w:tc>
        <w:tc>
          <w:tcPr>
            <w:tcW w:w="433" w:type="pct"/>
            <w:tcBorders>
              <w:top w:val="nil"/>
              <w:left w:val="nil"/>
              <w:bottom w:val="single" w:color="000000" w:sz="12" w:space="0"/>
              <w:right w:val="nil"/>
            </w:tcBorders>
            <w:shd w:val="clear" w:color="auto" w:fill="FFFFFF"/>
          </w:tcPr>
          <w:p w14:paraId="0D48C494">
            <w:pPr>
              <w:jc w:val="center"/>
              <w:rPr>
                <w:rFonts w:ascii="Times New Roman" w:hAnsi="Times New Roman" w:cs="Times New Roman"/>
                <w:szCs w:val="21"/>
              </w:rPr>
            </w:pPr>
          </w:p>
        </w:tc>
        <w:tc>
          <w:tcPr>
            <w:tcW w:w="556" w:type="pct"/>
            <w:tcBorders>
              <w:top w:val="nil"/>
              <w:left w:val="nil"/>
              <w:bottom w:val="single" w:color="000000" w:sz="12" w:space="0"/>
              <w:right w:val="nil"/>
            </w:tcBorders>
            <w:shd w:val="clear" w:color="auto" w:fill="FFFFFF"/>
          </w:tcPr>
          <w:p w14:paraId="0D48C495">
            <w:pPr>
              <w:jc w:val="center"/>
              <w:rPr>
                <w:rFonts w:ascii="Times New Roman" w:hAnsi="Times New Roman" w:cs="Times New Roman"/>
                <w:szCs w:val="21"/>
              </w:rPr>
            </w:pPr>
          </w:p>
        </w:tc>
      </w:tr>
    </w:tbl>
    <w:p w14:paraId="0D48C497">
      <w:pPr>
        <w:pStyle w:val="9"/>
        <w:widowControl/>
        <w:spacing w:beforeAutospacing="0" w:afterAutospacing="0"/>
        <w:jc w:val="both"/>
        <w:rPr>
          <w:rFonts w:asciiTheme="majorBidi" w:hAnsiTheme="majorBidi" w:cstheme="majorBidi"/>
          <w:i/>
          <w:sz w:val="21"/>
          <w:szCs w:val="21"/>
        </w:rPr>
      </w:pPr>
      <w:r>
        <w:rPr>
          <w:rFonts w:asciiTheme="majorBidi" w:hAnsiTheme="majorBidi" w:cstheme="majorBidi"/>
          <w:i/>
          <w:sz w:val="21"/>
          <w:szCs w:val="21"/>
        </w:rPr>
        <w:t xml:space="preserve">Abbreviation: </w:t>
      </w:r>
      <w:r>
        <w:rPr>
          <w:rFonts w:hint="eastAsia" w:asciiTheme="majorBidi" w:hAnsiTheme="majorBidi" w:cstheme="majorBidi"/>
          <w:i/>
          <w:sz w:val="21"/>
          <w:szCs w:val="21"/>
        </w:rPr>
        <w:t xml:space="preserve">AQI, Air Quality Index; Leq, A-weighted Equivalent Continuous Sound Level (dB(A)); CPRI, </w:t>
      </w:r>
      <w:r>
        <w:rPr>
          <w:rFonts w:hint="eastAsia" w:asciiTheme="majorBidi" w:hAnsiTheme="majorBidi" w:cstheme="majorBidi"/>
          <w:i/>
          <w:sz w:val="21"/>
          <w:szCs w:val="21"/>
          <w:lang w:bidi="ar"/>
        </w:rPr>
        <w:t xml:space="preserve">Climate Physical Risk Index; </w:t>
      </w:r>
      <w:r>
        <w:rPr>
          <w:rFonts w:hint="eastAsia" w:asciiTheme="majorBidi" w:hAnsiTheme="majorBidi" w:cstheme="majorBidi"/>
          <w:i/>
          <w:sz w:val="21"/>
          <w:szCs w:val="21"/>
        </w:rPr>
        <w:t>ADL, Activities of Daily Living; IADL, Instrumental Activities of Daily Living.</w:t>
      </w:r>
    </w:p>
    <w:p w14:paraId="0D48C498">
      <w:pPr>
        <w:pStyle w:val="9"/>
        <w:widowControl/>
        <w:spacing w:beforeAutospacing="0" w:afterAutospacing="0"/>
        <w:jc w:val="both"/>
        <w:rPr>
          <w:rFonts w:ascii="宋体" w:hAnsi="宋体" w:eastAsia="宋体" w:cs="宋体"/>
        </w:rPr>
      </w:pPr>
      <w:r>
        <w:rPr>
          <w:rFonts w:hint="eastAsia" w:asciiTheme="majorBidi" w:hAnsiTheme="majorBidi" w:cstheme="majorBidi"/>
          <w:i/>
          <w:sz w:val="21"/>
          <w:szCs w:val="21"/>
        </w:rPr>
        <w:t>Continuous variables are presented as median (IQR</w:t>
      </w:r>
      <w:r>
        <w:rPr>
          <w:rFonts w:asciiTheme="majorBidi" w:hAnsiTheme="majorBidi" w:cstheme="majorBidi"/>
          <w:i/>
          <w:sz w:val="21"/>
          <w:szCs w:val="21"/>
        </w:rPr>
        <w:t>, Q1-Q3</w:t>
      </w:r>
      <w:r>
        <w:rPr>
          <w:rFonts w:hint="eastAsia" w:asciiTheme="majorBidi" w:hAnsiTheme="majorBidi" w:cstheme="majorBidi"/>
          <w:i/>
          <w:sz w:val="21"/>
          <w:szCs w:val="21"/>
        </w:rPr>
        <w:t>); Categorical variables are presented as counts (percentages).</w:t>
      </w:r>
      <w:r>
        <w:rPr>
          <w:rFonts w:ascii="宋体" w:hAnsi="宋体" w:eastAsia="宋体" w:cs="宋体"/>
        </w:rPr>
        <w:t xml:space="preserve"> </w:t>
      </w:r>
    </w:p>
    <w:p w14:paraId="0D48C499">
      <w:pPr>
        <w:rPr>
          <w:rFonts w:asciiTheme="majorBidi" w:hAnsiTheme="majorBidi" w:cstheme="majorBidi"/>
          <w:i/>
          <w:szCs w:val="21"/>
        </w:rPr>
      </w:pPr>
      <w:r>
        <w:rPr>
          <w:rFonts w:asciiTheme="majorBidi" w:hAnsiTheme="majorBidi" w:cstheme="majorBidi"/>
          <w:i/>
        </w:rPr>
        <w:t>a. M</w:t>
      </w:r>
      <w:r>
        <w:rPr>
          <w:rFonts w:hint="eastAsia" w:asciiTheme="majorBidi" w:hAnsiTheme="majorBidi" w:cstheme="majorBidi"/>
          <w:i/>
          <w:szCs w:val="21"/>
        </w:rPr>
        <w:t>edian (IQR</w:t>
      </w:r>
      <w:r>
        <w:rPr>
          <w:rFonts w:asciiTheme="majorBidi" w:hAnsiTheme="majorBidi" w:cstheme="majorBidi"/>
          <w:i/>
          <w:szCs w:val="21"/>
        </w:rPr>
        <w:t>, Q1-Q3</w:t>
      </w:r>
      <w:r>
        <w:rPr>
          <w:rFonts w:hint="eastAsia" w:asciiTheme="majorBidi" w:hAnsiTheme="majorBidi" w:cstheme="majorBidi"/>
          <w:i/>
          <w:szCs w:val="21"/>
        </w:rPr>
        <w:t>)</w:t>
      </w:r>
      <w:r>
        <w:rPr>
          <w:rFonts w:asciiTheme="majorBidi" w:hAnsiTheme="majorBidi" w:cstheme="majorBidi"/>
          <w:i/>
          <w:szCs w:val="21"/>
        </w:rPr>
        <w:t xml:space="preserve">. </w:t>
      </w:r>
    </w:p>
    <w:p w14:paraId="0D48C49A">
      <w:pPr>
        <w:rPr>
          <w:rFonts w:asciiTheme="majorBidi" w:hAnsiTheme="majorBidi" w:cstheme="majorBidi"/>
          <w:i/>
        </w:rPr>
      </w:pPr>
      <w:r>
        <w:rPr>
          <w:rFonts w:asciiTheme="majorBidi" w:hAnsiTheme="majorBidi" w:cstheme="majorBidi"/>
          <w:i/>
          <w:szCs w:val="21"/>
        </w:rPr>
        <w:t>b. C</w:t>
      </w:r>
      <w:r>
        <w:rPr>
          <w:rFonts w:hint="eastAsia" w:asciiTheme="majorBidi" w:hAnsiTheme="majorBidi" w:cstheme="majorBidi"/>
          <w:i/>
          <w:szCs w:val="21"/>
        </w:rPr>
        <w:t>ounts (percentages)</w:t>
      </w:r>
      <w:r>
        <w:rPr>
          <w:rFonts w:asciiTheme="majorBidi" w:hAnsiTheme="majorBidi" w:cstheme="majorBidi"/>
          <w:i/>
          <w:szCs w:val="21"/>
        </w:rPr>
        <w:t>.</w:t>
      </w:r>
    </w:p>
    <w:p w14:paraId="0D48C49B">
      <w:pPr>
        <w:rPr>
          <w:rFonts w:asciiTheme="majorBidi" w:hAnsiTheme="majorBidi" w:cstheme="majorBidi"/>
          <w:i/>
        </w:rPr>
      </w:pPr>
      <w:r>
        <w:rPr>
          <w:rFonts w:asciiTheme="majorBidi" w:hAnsiTheme="majorBidi" w:cstheme="majorBidi"/>
          <w:i/>
        </w:rPr>
        <w:t>c. Mann-Whitney U test</w:t>
      </w:r>
      <w:r>
        <w:rPr>
          <w:rFonts w:hint="eastAsia" w:asciiTheme="majorBidi" w:hAnsiTheme="majorBidi" w:cstheme="majorBidi"/>
          <w:i/>
        </w:rPr>
        <w:t>.</w:t>
      </w:r>
    </w:p>
    <w:p w14:paraId="0D48C49C">
      <w:pPr>
        <w:rPr>
          <w:rFonts w:asciiTheme="majorBidi" w:hAnsiTheme="majorBidi" w:cstheme="majorBidi"/>
          <w:i/>
        </w:rPr>
      </w:pPr>
      <w:r>
        <w:rPr>
          <w:rFonts w:asciiTheme="majorBidi" w:hAnsiTheme="majorBidi" w:cstheme="majorBidi"/>
          <w:i/>
        </w:rPr>
        <w:t>d. Chi-square test</w:t>
      </w:r>
      <w:r>
        <w:rPr>
          <w:rFonts w:hint="eastAsia" w:asciiTheme="majorBidi" w:hAnsiTheme="majorBidi" w:cstheme="majorBidi"/>
          <w:i/>
        </w:rPr>
        <w:t xml:space="preserve">. </w:t>
      </w:r>
    </w:p>
    <w:p w14:paraId="126BAC07">
      <w:r>
        <w:rPr>
          <w:rFonts w:asciiTheme="majorBidi" w:hAnsiTheme="majorBidi" w:cstheme="majorBidi"/>
          <w:i/>
        </w:rPr>
        <w:t>Bold values mean adjusted P &lt; 0.05.</w:t>
      </w:r>
    </w:p>
    <w:p w14:paraId="3B933E1C">
      <w:pPr>
        <w:pStyle w:val="8"/>
        <w:spacing w:after="0"/>
        <w:jc w:val="center"/>
      </w:pPr>
      <w:r>
        <w:drawing>
          <wp:inline distT="0" distB="0" distL="114300" distR="114300">
            <wp:extent cx="6001385" cy="2766060"/>
            <wp:effectExtent l="0" t="0" r="18415" b="2540"/>
            <wp:docPr id="31" name="图片 31" descr="FigS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igS33"/>
                    <pic:cNvPicPr>
                      <a:picLocks noChangeAspect="1"/>
                    </pic:cNvPicPr>
                  </pic:nvPicPr>
                  <pic:blipFill>
                    <a:blip r:embed="rId36"/>
                    <a:srcRect l="17121" t="11131" r="9274" b="17641"/>
                    <a:stretch>
                      <a:fillRect/>
                    </a:stretch>
                  </pic:blipFill>
                  <pic:spPr>
                    <a:xfrm>
                      <a:off x="0" y="0"/>
                      <a:ext cx="6001385" cy="2766060"/>
                    </a:xfrm>
                    <a:prstGeom prst="rect">
                      <a:avLst/>
                    </a:prstGeom>
                  </pic:spPr>
                </pic:pic>
              </a:graphicData>
            </a:graphic>
          </wp:inline>
        </w:drawing>
      </w:r>
    </w:p>
    <w:p w14:paraId="4EA49ACC">
      <w:pPr>
        <w:pStyle w:val="8"/>
        <w:spacing w:after="0" w:line="240" w:lineRule="auto"/>
      </w:pPr>
      <w:r>
        <w:rPr>
          <w:rFonts w:eastAsia="DengXian" w:cs="Times New Roman"/>
          <w:sz w:val="21"/>
          <w:szCs w:val="21"/>
        </w:rPr>
        <w:t>Figure 33</w:t>
      </w:r>
      <w:r>
        <w:rPr>
          <w:rFonts w:hint="eastAsia" w:eastAsia="DengXian" w:cs="Times New Roman"/>
          <w:sz w:val="21"/>
          <w:szCs w:val="21"/>
        </w:rPr>
        <w:t xml:space="preserve">. </w:t>
      </w:r>
      <w:r>
        <w:rPr>
          <w:rFonts w:hint="eastAsia" w:eastAsia="DengXian" w:cs="Times New Roman"/>
          <w:b w:val="0"/>
          <w:bCs w:val="0"/>
          <w:sz w:val="21"/>
          <w:szCs w:val="21"/>
        </w:rPr>
        <w:t>Network structure of five frailty domains</w:t>
      </w:r>
      <w:r>
        <w:rPr>
          <w:rFonts w:eastAsia="DengXian" w:cs="Times New Roman"/>
          <w:b w:val="0"/>
          <w:bCs w:val="0"/>
          <w:sz w:val="21"/>
          <w:szCs w:val="21"/>
        </w:rPr>
        <w:t xml:space="preserve"> </w:t>
      </w:r>
      <w:r>
        <w:rPr>
          <w:rFonts w:eastAsia="宋体" w:cs="Times New Roman"/>
          <w:b w:val="0"/>
          <w:bCs w:val="0"/>
          <w:kern w:val="0"/>
          <w:sz w:val="21"/>
          <w:szCs w:val="21"/>
        </w:rPr>
        <w:t xml:space="preserve">in the complete-case sensitivity analysis (n = 7492). </w:t>
      </w:r>
      <w:r>
        <w:rPr>
          <w:rFonts w:ascii="Times New Roman Italic" w:hAnsi="Times New Roman Italic" w:eastAsia="宋体" w:cs="Times New Roman Italic"/>
          <w:b w:val="0"/>
          <w:bCs w:val="0"/>
          <w:i/>
          <w:iCs/>
          <w:kern w:val="0"/>
          <w:sz w:val="21"/>
          <w:szCs w:val="21"/>
        </w:rPr>
        <w:t xml:space="preserve">Notes: </w:t>
      </w:r>
      <w:r>
        <w:rPr>
          <w:rFonts w:hint="eastAsia" w:ascii="Times New Roman Italic" w:hAnsi="Times New Roman Italic" w:eastAsia="宋体" w:cs="Times New Roman Italic"/>
          <w:b w:val="0"/>
          <w:bCs w:val="0"/>
          <w:i/>
          <w:iCs/>
          <w:kern w:val="0"/>
          <w:sz w:val="21"/>
          <w:szCs w:val="21"/>
        </w:rPr>
        <w:t xml:space="preserve">Edge labels indicate edge weights, and thicker edges indicate stronger relationships. All edges shown in this figure are positive and displayed in green. </w:t>
      </w:r>
      <w:r>
        <w:rPr>
          <w:rFonts w:hint="eastAsia" w:eastAsia="DengXian" w:cs="Times New Roman"/>
          <w:b w:val="0"/>
          <w:bCs w:val="0"/>
          <w:i/>
          <w:iCs/>
          <w:sz w:val="21"/>
          <w:szCs w:val="21"/>
        </w:rPr>
        <w:t xml:space="preserve">Higher values in each frailty domain indicate </w:t>
      </w:r>
      <w:r>
        <w:rPr>
          <w:rFonts w:eastAsia="DengXian" w:cs="Times New Roman"/>
          <w:b w:val="0"/>
          <w:bCs w:val="0"/>
          <w:i/>
          <w:iCs/>
          <w:sz w:val="21"/>
          <w:szCs w:val="21"/>
        </w:rPr>
        <w:t>worse conditions</w:t>
      </w:r>
      <w:r>
        <w:rPr>
          <w:rFonts w:hint="eastAsia" w:eastAsia="DengXian" w:cs="Times New Roman"/>
          <w:b w:val="0"/>
          <w:bCs w:val="0"/>
          <w:i/>
          <w:iCs/>
          <w:sz w:val="21"/>
          <w:szCs w:val="21"/>
        </w:rPr>
        <w:t>.</w:t>
      </w:r>
    </w:p>
    <w:p w14:paraId="6DE6DAC5">
      <w:pPr>
        <w:pStyle w:val="8"/>
        <w:spacing w:after="0" w:line="240" w:lineRule="auto"/>
        <w:jc w:val="center"/>
      </w:pPr>
      <w:r>
        <w:drawing>
          <wp:inline distT="0" distB="0" distL="114300" distR="114300">
            <wp:extent cx="6014085" cy="3099435"/>
            <wp:effectExtent l="0" t="0" r="5715" b="24765"/>
            <wp:docPr id="32" name="图片 32" descr="FigS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igS34"/>
                    <pic:cNvPicPr>
                      <a:picLocks noChangeAspect="1"/>
                    </pic:cNvPicPr>
                  </pic:nvPicPr>
                  <pic:blipFill>
                    <a:blip r:embed="rId37"/>
                    <a:srcRect l="10135" t="9986" r="14260" b="8218"/>
                    <a:stretch>
                      <a:fillRect/>
                    </a:stretch>
                  </pic:blipFill>
                  <pic:spPr>
                    <a:xfrm>
                      <a:off x="0" y="0"/>
                      <a:ext cx="6014085" cy="3099435"/>
                    </a:xfrm>
                    <a:prstGeom prst="rect">
                      <a:avLst/>
                    </a:prstGeom>
                  </pic:spPr>
                </pic:pic>
              </a:graphicData>
            </a:graphic>
          </wp:inline>
        </w:drawing>
      </w:r>
    </w:p>
    <w:p w14:paraId="4A828605">
      <w:pPr>
        <w:pStyle w:val="8"/>
        <w:spacing w:after="0" w:line="240" w:lineRule="auto"/>
        <w:jc w:val="left"/>
        <w:rPr>
          <w:rFonts w:eastAsia="DengXian" w:cs="Times New Roman"/>
          <w:b w:val="0"/>
          <w:bCs w:val="0"/>
          <w:sz w:val="21"/>
          <w:szCs w:val="21"/>
        </w:rPr>
      </w:pPr>
      <w:r>
        <w:rPr>
          <w:rFonts w:eastAsia="宋体" w:cs="Times New Roman"/>
          <w:kern w:val="0"/>
          <w:sz w:val="21"/>
          <w:szCs w:val="21"/>
        </w:rPr>
        <w:t xml:space="preserve">Figure S34. </w:t>
      </w:r>
      <w:r>
        <w:rPr>
          <w:rFonts w:eastAsia="DengXian" w:cs="Times New Roman"/>
          <w:b w:val="0"/>
          <w:bCs w:val="0"/>
          <w:sz w:val="21"/>
          <w:szCs w:val="21"/>
        </w:rPr>
        <w:t xml:space="preserve">Centrality indices for </w:t>
      </w:r>
      <w:r>
        <w:rPr>
          <w:rFonts w:eastAsia="宋体" w:cs="Times New Roman"/>
          <w:b w:val="0"/>
          <w:bCs w:val="0"/>
          <w:kern w:val="0"/>
          <w:sz w:val="21"/>
          <w:szCs w:val="21"/>
        </w:rPr>
        <w:t>the frailty</w:t>
      </w:r>
      <w:r>
        <w:rPr>
          <w:rFonts w:hint="eastAsia" w:eastAsia="宋体" w:cs="Times New Roman"/>
          <w:b w:val="0"/>
          <w:bCs w:val="0"/>
          <w:kern w:val="0"/>
          <w:sz w:val="21"/>
          <w:szCs w:val="21"/>
        </w:rPr>
        <w:t xml:space="preserve"> domain network</w:t>
      </w:r>
      <w:r>
        <w:rPr>
          <w:rFonts w:hint="eastAsia" w:eastAsia="DengXian" w:cs="Times New Roman"/>
          <w:b w:val="0"/>
          <w:bCs w:val="0"/>
          <w:sz w:val="21"/>
          <w:szCs w:val="21"/>
        </w:rPr>
        <w:t>, including participants excluded in main analyses.</w:t>
      </w:r>
    </w:p>
    <w:p w14:paraId="6D5ABDB0"/>
    <w:p w14:paraId="636894AA">
      <w:pPr>
        <w:jc w:val="center"/>
      </w:pPr>
      <w:r>
        <w:drawing>
          <wp:inline distT="0" distB="0" distL="114300" distR="114300">
            <wp:extent cx="6635115" cy="3160395"/>
            <wp:effectExtent l="0" t="0" r="19685" b="14605"/>
            <wp:docPr id="33" name="图片 33" descr="FigS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FigS35"/>
                    <pic:cNvPicPr>
                      <a:picLocks noChangeAspect="1"/>
                    </pic:cNvPicPr>
                  </pic:nvPicPr>
                  <pic:blipFill>
                    <a:blip r:embed="rId38"/>
                    <a:stretch>
                      <a:fillRect/>
                    </a:stretch>
                  </pic:blipFill>
                  <pic:spPr>
                    <a:xfrm>
                      <a:off x="0" y="0"/>
                      <a:ext cx="6635115" cy="3160395"/>
                    </a:xfrm>
                    <a:prstGeom prst="rect">
                      <a:avLst/>
                    </a:prstGeom>
                  </pic:spPr>
                </pic:pic>
              </a:graphicData>
            </a:graphic>
          </wp:inline>
        </w:drawing>
      </w:r>
    </w:p>
    <w:p w14:paraId="15B9A293">
      <w:pPr>
        <w:rPr>
          <w:rFonts w:ascii="Times New Roman" w:hAnsi="Times New Roman" w:eastAsia="宋体" w:cs="Times New Roman"/>
          <w:i/>
          <w:iCs/>
          <w:kern w:val="0"/>
          <w:szCs w:val="21"/>
        </w:rPr>
      </w:pPr>
      <w:r>
        <w:rPr>
          <w:rFonts w:ascii="Times New Roman" w:hAnsi="Times New Roman" w:eastAsia="宋体" w:cs="Times New Roman"/>
          <w:b/>
          <w:bCs/>
          <w:kern w:val="0"/>
          <w:szCs w:val="21"/>
        </w:rPr>
        <w:t xml:space="preserve">Figure </w:t>
      </w:r>
      <w:r>
        <w:rPr>
          <w:rFonts w:hint="eastAsia" w:ascii="Times New Roman" w:hAnsi="Times New Roman" w:eastAsia="宋体" w:cs="Times New Roman"/>
          <w:b/>
          <w:bCs/>
          <w:kern w:val="0"/>
          <w:szCs w:val="21"/>
        </w:rPr>
        <w:t>3</w:t>
      </w:r>
      <w:r>
        <w:rPr>
          <w:rFonts w:ascii="Times New Roman" w:hAnsi="Times New Roman" w:eastAsia="宋体" w:cs="Times New Roman"/>
          <w:b/>
          <w:bCs/>
          <w:kern w:val="0"/>
          <w:szCs w:val="21"/>
        </w:rPr>
        <w:t>5</w:t>
      </w:r>
      <w:r>
        <w:rPr>
          <w:rFonts w:hint="eastAsia" w:ascii="Times New Roman" w:hAnsi="Times New Roman" w:eastAsia="宋体" w:cs="Times New Roman"/>
          <w:b/>
          <w:bCs/>
          <w:kern w:val="0"/>
          <w:szCs w:val="21"/>
        </w:rPr>
        <w:t xml:space="preserve">. </w:t>
      </w:r>
      <w:r>
        <w:rPr>
          <w:rFonts w:hint="eastAsia" w:ascii="Times New Roman" w:hAnsi="Times New Roman" w:eastAsia="宋体" w:cs="Times New Roman"/>
          <w:kern w:val="0"/>
          <w:szCs w:val="21"/>
        </w:rPr>
        <w:t>Integrated</w:t>
      </w:r>
      <w:r>
        <w:rPr>
          <w:rFonts w:ascii="Times New Roman" w:hAnsi="Times New Roman" w:eastAsia="宋体" w:cs="Times New Roman"/>
          <w:kern w:val="0"/>
          <w:szCs w:val="21"/>
        </w:rPr>
        <w:t xml:space="preserve"> network structure of </w:t>
      </w:r>
      <w:r>
        <w:rPr>
          <w:rFonts w:hint="eastAsia" w:ascii="Times New Roman" w:hAnsi="Times New Roman" w:eastAsia="宋体" w:cs="Times New Roman"/>
          <w:kern w:val="0"/>
          <w:szCs w:val="21"/>
        </w:rPr>
        <w:t>SDoH and frailt</w:t>
      </w:r>
      <w:r>
        <w:rPr>
          <w:rFonts w:ascii="Times New Roman" w:hAnsi="Times New Roman" w:eastAsia="宋体" w:cs="Times New Roman"/>
          <w:kern w:val="0"/>
          <w:szCs w:val="21"/>
        </w:rPr>
        <w:t>y in the complete-case sensitivity analysis</w:t>
      </w:r>
      <w:r>
        <w:rPr>
          <w:rFonts w:hint="eastAsia" w:ascii="Times New Roman" w:hAnsi="Times New Roman" w:eastAsia="宋体" w:cs="Times New Roman"/>
          <w:kern w:val="0"/>
          <w:szCs w:val="21"/>
        </w:rPr>
        <w:t xml:space="preserve"> (n = </w:t>
      </w:r>
      <w:r>
        <w:rPr>
          <w:rFonts w:ascii="Times New Roman" w:hAnsi="Times New Roman" w:eastAsia="宋体" w:cs="Times New Roman"/>
          <w:kern w:val="0"/>
          <w:szCs w:val="21"/>
        </w:rPr>
        <w:t>7492</w:t>
      </w:r>
      <w:r>
        <w:rPr>
          <w:rFonts w:hint="eastAsia" w:ascii="Times New Roman" w:hAnsi="Times New Roman" w:eastAsia="宋体" w:cs="Times New Roman"/>
          <w:kern w:val="0"/>
          <w:szCs w:val="21"/>
        </w:rPr>
        <w:t xml:space="preserve">). . </w:t>
      </w:r>
      <w:r>
        <w:rPr>
          <w:rFonts w:ascii="Times New Roman" w:hAnsi="Times New Roman" w:eastAsia="宋体" w:cs="Times New Roman"/>
          <w:i/>
          <w:iCs/>
          <w:kern w:val="0"/>
          <w:szCs w:val="21"/>
        </w:rPr>
        <w:t>Notes: T</w:t>
      </w:r>
      <w:r>
        <w:rPr>
          <w:rFonts w:hint="eastAsia" w:ascii="Times New Roman Italic" w:hAnsi="Times New Roman Italic" w:eastAsia="宋体" w:cs="Times New Roman Italic"/>
          <w:i/>
          <w:iCs/>
          <w:kern w:val="0"/>
          <w:szCs w:val="21"/>
        </w:rPr>
        <w:t>hicker edges indicate stronger relationships</w:t>
      </w:r>
      <w:r>
        <w:rPr>
          <w:rFonts w:ascii="Times New Roman Italic" w:hAnsi="Times New Roman Italic" w:eastAsia="宋体" w:cs="Times New Roman Italic"/>
          <w:i/>
          <w:iCs/>
          <w:kern w:val="0"/>
          <w:szCs w:val="21"/>
        </w:rPr>
        <w:t>; o</w:t>
      </w:r>
      <w:r>
        <w:rPr>
          <w:rFonts w:ascii="Times New Roman" w:hAnsi="Times New Roman" w:eastAsia="宋体" w:cs="Times New Roman"/>
          <w:i/>
          <w:iCs/>
          <w:kern w:val="0"/>
          <w:szCs w:val="21"/>
        </w:rPr>
        <w:t xml:space="preserve">nly edge weights </w:t>
      </w:r>
      <w:r>
        <w:rPr>
          <w:rFonts w:hint="eastAsia" w:ascii="Times New Roman" w:hAnsi="Times New Roman" w:eastAsia="宋体" w:cs="Times New Roman"/>
          <w:i/>
          <w:iCs/>
          <w:kern w:val="0"/>
          <w:szCs w:val="21"/>
        </w:rPr>
        <w:t>with an absolute value ≥0.100 are presented for clarity.</w:t>
      </w:r>
      <w:r>
        <w:rPr>
          <w:rFonts w:ascii="Times New Roman" w:hAnsi="Times New Roman" w:eastAsia="宋体" w:cs="Times New Roman"/>
          <w:i/>
          <w:iCs/>
          <w:kern w:val="0"/>
          <w:szCs w:val="21"/>
        </w:rPr>
        <w:t xml:space="preserve"> Positive edges are shown in green, negative edges are shown in red, and the edges connecting categorical variables with more than 2 categories</w:t>
      </w:r>
      <w:r>
        <w:rPr>
          <w:rFonts w:hint="eastAsia" w:ascii="Times New Roman" w:hAnsi="Times New Roman" w:eastAsia="宋体" w:cs="Times New Roman"/>
          <w:i/>
          <w:iCs/>
          <w:kern w:val="0"/>
          <w:szCs w:val="21"/>
        </w:rPr>
        <w:t xml:space="preserve"> and other variables (</w:t>
      </w:r>
      <w:r>
        <w:rPr>
          <w:rFonts w:ascii="Times New Roman" w:hAnsi="Times New Roman" w:eastAsia="宋体" w:cs="Times New Roman"/>
          <w:i/>
          <w:iCs/>
          <w:kern w:val="0"/>
          <w:szCs w:val="21"/>
        </w:rPr>
        <w:t xml:space="preserve">both with other categorical variables and with </w:t>
      </w:r>
      <w:r>
        <w:rPr>
          <w:rFonts w:hint="eastAsia" w:ascii="Times New Roman" w:hAnsi="Times New Roman" w:eastAsia="宋体" w:cs="Times New Roman"/>
          <w:i/>
          <w:iCs/>
          <w:kern w:val="0"/>
          <w:szCs w:val="21"/>
        </w:rPr>
        <w:t>continuous</w:t>
      </w:r>
      <w:r>
        <w:rPr>
          <w:rFonts w:ascii="Times New Roman" w:hAnsi="Times New Roman" w:eastAsia="宋体" w:cs="Times New Roman"/>
          <w:i/>
          <w:iCs/>
          <w:kern w:val="0"/>
          <w:szCs w:val="21"/>
        </w:rPr>
        <w:t xml:space="preserve"> variables</w:t>
      </w:r>
      <w:r>
        <w:rPr>
          <w:rFonts w:hint="eastAsia" w:ascii="Times New Roman" w:hAnsi="Times New Roman" w:eastAsia="宋体" w:cs="Times New Roman"/>
          <w:i/>
          <w:iCs/>
          <w:kern w:val="0"/>
          <w:szCs w:val="21"/>
        </w:rPr>
        <w:t>)</w:t>
      </w:r>
      <w:r>
        <w:rPr>
          <w:rFonts w:ascii="Times New Roman" w:hAnsi="Times New Roman" w:eastAsia="宋体" w:cs="Times New Roman"/>
          <w:i/>
          <w:iCs/>
          <w:kern w:val="0"/>
          <w:szCs w:val="21"/>
        </w:rPr>
        <w:t xml:space="preserve"> are shown in gray.</w:t>
      </w:r>
      <w:r>
        <w:rPr>
          <w:rFonts w:hint="eastAsia" w:ascii="Times New Roman" w:hAnsi="Times New Roman" w:eastAsia="宋体" w:cs="Times New Roman"/>
          <w:i/>
          <w:iCs/>
          <w:kern w:val="0"/>
          <w:szCs w:val="21"/>
        </w:rPr>
        <w:t xml:space="preserve"> Higher values in each frailty domain indicate </w:t>
      </w:r>
      <w:r>
        <w:rPr>
          <w:rFonts w:ascii="Times New Roman" w:hAnsi="Times New Roman" w:eastAsia="宋体" w:cs="Times New Roman"/>
          <w:i/>
          <w:iCs/>
          <w:kern w:val="0"/>
          <w:szCs w:val="21"/>
        </w:rPr>
        <w:t>worse conditions</w:t>
      </w:r>
      <w:r>
        <w:rPr>
          <w:rFonts w:hint="eastAsia" w:ascii="Times New Roman" w:hAnsi="Times New Roman" w:eastAsia="宋体" w:cs="Times New Roman"/>
          <w:i/>
          <w:iCs/>
          <w:kern w:val="0"/>
          <w:szCs w:val="21"/>
        </w:rPr>
        <w:t>. Higher values for each SDoH variable indicate better conditions except air quality, noise level, and extreme climate; higher values for air quality, noise level, and extreme climate indicate worse conditions.</w:t>
      </w:r>
    </w:p>
    <w:p w14:paraId="7A15CC1A"/>
    <w:p w14:paraId="4B804CAC">
      <w:pPr>
        <w:pStyle w:val="8"/>
        <w:spacing w:after="0"/>
        <w:rPr>
          <w:rFonts w:cs="Times New Roman" w:eastAsiaTheme="minorEastAsia"/>
          <w:color w:val="C00000"/>
          <w:sz w:val="21"/>
          <w:szCs w:val="21"/>
        </w:rPr>
      </w:pPr>
    </w:p>
    <w:p w14:paraId="638B2BC5">
      <w:pPr>
        <w:rPr>
          <w:rFonts w:ascii="Times New Roman" w:hAnsi="Times New Roman" w:eastAsia="DengXian" w:cs="Times New Roman"/>
          <w:b/>
          <w:bCs/>
          <w:szCs w:val="21"/>
        </w:rPr>
      </w:pPr>
      <w:r>
        <w:rPr>
          <w:rFonts w:hint="eastAsia" w:ascii="Times New Roman" w:hAnsi="Times New Roman" w:eastAsia="DengXian" w:cs="Times New Roman"/>
          <w:b/>
          <w:bCs/>
          <w:szCs w:val="21"/>
        </w:rPr>
        <w:br w:type="page"/>
      </w:r>
    </w:p>
    <w:p w14:paraId="18EE6FD6">
      <w:pPr>
        <w:pStyle w:val="8"/>
        <w:rPr>
          <w:rFonts w:eastAsia="DengXian"/>
          <w:b w:val="0"/>
          <w:bCs w:val="0"/>
          <w:i/>
          <w:iCs/>
          <w:kern w:val="2"/>
          <w:sz w:val="21"/>
          <w:szCs w:val="21"/>
        </w:rPr>
      </w:pPr>
      <w:r>
        <w:rPr>
          <w:rFonts w:eastAsia="DengXian" w:cs="Times New Roman"/>
          <w:sz w:val="21"/>
          <w:szCs w:val="21"/>
        </w:rPr>
        <w:t xml:space="preserve">Table S10. </w:t>
      </w:r>
      <w:r>
        <w:rPr>
          <w:rFonts w:eastAsia="DengXian" w:cs="Times New Roman"/>
          <w:b w:val="0"/>
          <w:bCs w:val="0"/>
          <w:sz w:val="21"/>
          <w:szCs w:val="21"/>
        </w:rPr>
        <w:t xml:space="preserve">Edge weights for the integrated network of SDoH and frailty </w:t>
      </w:r>
      <w:r>
        <w:rPr>
          <w:rFonts w:eastAsia="宋体" w:cs="Times New Roman"/>
          <w:b w:val="0"/>
          <w:bCs w:val="0"/>
          <w:kern w:val="0"/>
          <w:szCs w:val="21"/>
        </w:rPr>
        <w:t>in the complete-case sensitivity analysis</w:t>
      </w:r>
      <w:r>
        <w:rPr>
          <w:rFonts w:eastAsia="DengXian" w:cs="Times New Roman"/>
          <w:b w:val="0"/>
          <w:bCs w:val="0"/>
          <w:sz w:val="21"/>
          <w:szCs w:val="21"/>
        </w:rPr>
        <w:t>.</w:t>
      </w:r>
    </w:p>
    <w:tbl>
      <w:tblPr>
        <w:tblStyle w:val="11"/>
        <w:tblW w:w="10984" w:type="dxa"/>
        <w:jc w:val="center"/>
        <w:tblLayout w:type="autofit"/>
        <w:tblCellMar>
          <w:top w:w="0" w:type="dxa"/>
          <w:left w:w="108" w:type="dxa"/>
          <w:bottom w:w="0" w:type="dxa"/>
          <w:right w:w="108" w:type="dxa"/>
        </w:tblCellMar>
      </w:tblPr>
      <w:tblGrid>
        <w:gridCol w:w="4527"/>
        <w:gridCol w:w="3847"/>
        <w:gridCol w:w="1520"/>
        <w:gridCol w:w="1090"/>
      </w:tblGrid>
      <w:tr w14:paraId="25857E18">
        <w:trPr>
          <w:trHeight w:val="90" w:hRule="atLeast"/>
          <w:jc w:val="center"/>
        </w:trPr>
        <w:tc>
          <w:tcPr>
            <w:tcW w:w="4194" w:type="dxa"/>
            <w:tcBorders>
              <w:top w:val="single" w:color="000000" w:sz="12" w:space="0"/>
              <w:left w:val="nil"/>
              <w:bottom w:val="single" w:color="000000" w:sz="4" w:space="0"/>
              <w:right w:val="nil"/>
              <w:tl2br w:val="nil"/>
            </w:tcBorders>
            <w:shd w:val="clear" w:color="auto" w:fill="FFFFFF"/>
            <w:vAlign w:val="center"/>
          </w:tcPr>
          <w:p w14:paraId="7EEFBCE6">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From</w:t>
            </w:r>
          </w:p>
        </w:tc>
        <w:tc>
          <w:tcPr>
            <w:tcW w:w="3564" w:type="dxa"/>
            <w:tcBorders>
              <w:top w:val="single" w:color="000000" w:sz="12" w:space="0"/>
              <w:left w:val="nil"/>
              <w:bottom w:val="single" w:color="000000" w:sz="4" w:space="0"/>
              <w:right w:val="nil"/>
            </w:tcBorders>
            <w:shd w:val="clear" w:color="auto" w:fill="FFFFFF"/>
            <w:vAlign w:val="center"/>
          </w:tcPr>
          <w:p w14:paraId="707D769D">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to</w:t>
            </w:r>
          </w:p>
        </w:tc>
        <w:tc>
          <w:tcPr>
            <w:tcW w:w="1408" w:type="dxa"/>
            <w:tcBorders>
              <w:top w:val="single" w:color="000000" w:sz="12" w:space="0"/>
              <w:left w:val="nil"/>
              <w:bottom w:val="single" w:color="000000" w:sz="4" w:space="0"/>
              <w:right w:val="nil"/>
            </w:tcBorders>
            <w:shd w:val="clear" w:color="auto" w:fill="FFFFFF"/>
            <w:vAlign w:val="center"/>
          </w:tcPr>
          <w:p w14:paraId="513BAC3D">
            <w:pPr>
              <w:widowControl/>
              <w:jc w:val="center"/>
              <w:textAlignment w:val="center"/>
              <w:rPr>
                <w:rFonts w:ascii="Times New Roman Regular" w:hAnsi="Times New Roman Regular" w:eastAsia="宋体" w:cs="Times New Roman Regular"/>
                <w:color w:val="000000"/>
                <w:kern w:val="0"/>
                <w:sz w:val="22"/>
                <w:szCs w:val="22"/>
                <w:lang w:bidi="ar"/>
              </w:rPr>
            </w:pPr>
            <w:r>
              <w:rPr>
                <w:rFonts w:ascii="Times New Roman Regular" w:hAnsi="Times New Roman Regular" w:eastAsia="宋体" w:cs="Times New Roman Regular"/>
                <w:color w:val="000000"/>
                <w:kern w:val="0"/>
                <w:sz w:val="22"/>
                <w:szCs w:val="22"/>
                <w:lang w:bidi="ar"/>
              </w:rPr>
              <w:t>Edge weights</w:t>
            </w:r>
          </w:p>
        </w:tc>
        <w:tc>
          <w:tcPr>
            <w:tcW w:w="1010" w:type="dxa"/>
            <w:tcBorders>
              <w:top w:val="single" w:color="000000" w:sz="12" w:space="0"/>
              <w:left w:val="nil"/>
              <w:bottom w:val="single" w:color="000000" w:sz="4" w:space="0"/>
              <w:right w:val="nil"/>
            </w:tcBorders>
            <w:shd w:val="clear" w:color="auto" w:fill="FFFFFF"/>
            <w:vAlign w:val="center"/>
          </w:tcPr>
          <w:p w14:paraId="057A8AA5">
            <w:pPr>
              <w:widowControl/>
              <w:jc w:val="center"/>
              <w:rPr>
                <w:rFonts w:ascii="Times New Roman Regular" w:hAnsi="Times New Roman Regular" w:eastAsia="宋体" w:cs="Times New Roman Regular"/>
                <w:color w:val="000000"/>
                <w:kern w:val="0"/>
                <w:szCs w:val="21"/>
              </w:rPr>
            </w:pPr>
            <w:r>
              <w:rPr>
                <w:rFonts w:ascii="Times New Roman Regular" w:hAnsi="Times New Roman Regular" w:eastAsia="宋体" w:cs="Times New Roman Regular"/>
                <w:color w:val="000000"/>
                <w:kern w:val="0"/>
                <w:szCs w:val="21"/>
              </w:rPr>
              <w:t>Direction</w:t>
            </w:r>
          </w:p>
        </w:tc>
      </w:tr>
      <w:tr w14:paraId="6A06CC8D">
        <w:trPr>
          <w:trHeight w:val="278" w:hRule="atLeast"/>
          <w:jc w:val="center"/>
        </w:trPr>
        <w:tc>
          <w:tcPr>
            <w:tcW w:w="4194" w:type="dxa"/>
            <w:tcBorders>
              <w:top w:val="single" w:color="000000" w:sz="4" w:space="0"/>
              <w:left w:val="nil"/>
              <w:bottom w:val="nil"/>
              <w:right w:val="nil"/>
            </w:tcBorders>
            <w:shd w:val="clear" w:color="auto" w:fill="FFFFFF"/>
            <w:noWrap/>
            <w:vAlign w:val="center"/>
          </w:tcPr>
          <w:p w14:paraId="0C90BC27">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3564" w:type="dxa"/>
            <w:tcBorders>
              <w:top w:val="single" w:color="000000" w:sz="4" w:space="0"/>
              <w:left w:val="nil"/>
              <w:bottom w:val="nil"/>
              <w:right w:val="nil"/>
            </w:tcBorders>
            <w:shd w:val="clear" w:color="auto" w:fill="FFFFFF"/>
            <w:noWrap/>
            <w:vAlign w:val="center"/>
          </w:tcPr>
          <w:p w14:paraId="45031F2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single" w:color="000000" w:sz="4" w:space="0"/>
              <w:left w:val="nil"/>
              <w:bottom w:val="nil"/>
              <w:right w:val="nil"/>
            </w:tcBorders>
            <w:shd w:val="clear" w:color="auto" w:fill="FFFFFF"/>
            <w:noWrap/>
            <w:vAlign w:val="center"/>
          </w:tcPr>
          <w:p w14:paraId="598161F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1.797</w:t>
            </w:r>
          </w:p>
        </w:tc>
        <w:tc>
          <w:tcPr>
            <w:tcW w:w="1010" w:type="dxa"/>
            <w:tcBorders>
              <w:top w:val="single" w:color="000000" w:sz="4" w:space="0"/>
              <w:left w:val="nil"/>
              <w:bottom w:val="nil"/>
              <w:right w:val="nil"/>
            </w:tcBorders>
            <w:shd w:val="clear" w:color="auto" w:fill="FFFFFF"/>
            <w:noWrap/>
            <w:vAlign w:val="center"/>
          </w:tcPr>
          <w:p w14:paraId="6BE026F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Positive</w:t>
            </w:r>
          </w:p>
        </w:tc>
      </w:tr>
      <w:tr w14:paraId="18880EA0">
        <w:trPr>
          <w:trHeight w:val="90" w:hRule="atLeast"/>
          <w:jc w:val="center"/>
        </w:trPr>
        <w:tc>
          <w:tcPr>
            <w:tcW w:w="4194" w:type="dxa"/>
            <w:tcBorders>
              <w:top w:val="nil"/>
              <w:left w:val="nil"/>
              <w:bottom w:val="nil"/>
              <w:right w:val="nil"/>
            </w:tcBorders>
            <w:shd w:val="clear" w:color="auto" w:fill="FFFFFF"/>
            <w:noWrap/>
            <w:vAlign w:val="center"/>
          </w:tcPr>
          <w:p w14:paraId="5D83E19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187E1CC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1408" w:type="dxa"/>
            <w:tcBorders>
              <w:top w:val="nil"/>
              <w:left w:val="nil"/>
              <w:bottom w:val="nil"/>
              <w:right w:val="nil"/>
            </w:tcBorders>
            <w:shd w:val="clear" w:color="auto" w:fill="FFFFFF"/>
            <w:noWrap/>
            <w:vAlign w:val="center"/>
          </w:tcPr>
          <w:p w14:paraId="4F70182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0.662</w:t>
            </w:r>
          </w:p>
        </w:tc>
        <w:tc>
          <w:tcPr>
            <w:tcW w:w="1010" w:type="dxa"/>
            <w:tcBorders>
              <w:top w:val="nil"/>
              <w:left w:val="nil"/>
              <w:bottom w:val="nil"/>
              <w:right w:val="nil"/>
            </w:tcBorders>
            <w:shd w:val="clear" w:color="auto" w:fill="FFFFFF"/>
            <w:noWrap/>
            <w:vAlign w:val="center"/>
          </w:tcPr>
          <w:p w14:paraId="3AD4285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613D114D">
        <w:trPr>
          <w:trHeight w:val="278" w:hRule="atLeast"/>
          <w:jc w:val="center"/>
        </w:trPr>
        <w:tc>
          <w:tcPr>
            <w:tcW w:w="4194" w:type="dxa"/>
            <w:tcBorders>
              <w:top w:val="nil"/>
              <w:left w:val="nil"/>
              <w:bottom w:val="nil"/>
              <w:right w:val="nil"/>
            </w:tcBorders>
            <w:shd w:val="clear" w:color="auto" w:fill="FFFFFF"/>
            <w:noWrap/>
            <w:vAlign w:val="center"/>
          </w:tcPr>
          <w:p w14:paraId="3C7A1A5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3564" w:type="dxa"/>
            <w:tcBorders>
              <w:top w:val="nil"/>
              <w:left w:val="nil"/>
              <w:bottom w:val="nil"/>
              <w:right w:val="nil"/>
            </w:tcBorders>
            <w:shd w:val="clear" w:color="auto" w:fill="FFFFFF"/>
            <w:noWrap/>
            <w:vAlign w:val="center"/>
          </w:tcPr>
          <w:p w14:paraId="1CEA85B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1408" w:type="dxa"/>
            <w:tcBorders>
              <w:top w:val="nil"/>
              <w:left w:val="nil"/>
              <w:bottom w:val="nil"/>
              <w:right w:val="nil"/>
            </w:tcBorders>
            <w:shd w:val="clear" w:color="auto" w:fill="FFFFFF"/>
            <w:noWrap/>
            <w:vAlign w:val="center"/>
          </w:tcPr>
          <w:p w14:paraId="56D0938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0.549</w:t>
            </w:r>
          </w:p>
        </w:tc>
        <w:tc>
          <w:tcPr>
            <w:tcW w:w="1010" w:type="dxa"/>
            <w:tcBorders>
              <w:top w:val="nil"/>
              <w:left w:val="nil"/>
              <w:bottom w:val="nil"/>
              <w:right w:val="nil"/>
            </w:tcBorders>
            <w:shd w:val="clear" w:color="auto" w:fill="FFFFFF"/>
            <w:noWrap/>
            <w:vAlign w:val="center"/>
          </w:tcPr>
          <w:p w14:paraId="27898F4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68B27F13">
        <w:trPr>
          <w:trHeight w:val="90" w:hRule="atLeast"/>
          <w:jc w:val="center"/>
        </w:trPr>
        <w:tc>
          <w:tcPr>
            <w:tcW w:w="4194" w:type="dxa"/>
            <w:tcBorders>
              <w:top w:val="nil"/>
              <w:left w:val="nil"/>
              <w:bottom w:val="nil"/>
              <w:right w:val="nil"/>
            </w:tcBorders>
            <w:shd w:val="clear" w:color="auto" w:fill="FFFFFF"/>
            <w:noWrap/>
            <w:vAlign w:val="center"/>
          </w:tcPr>
          <w:p w14:paraId="6287FA6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NBE3: Per capita housing area</w:t>
            </w:r>
          </w:p>
        </w:tc>
        <w:tc>
          <w:tcPr>
            <w:tcW w:w="3564" w:type="dxa"/>
            <w:tcBorders>
              <w:top w:val="nil"/>
              <w:left w:val="nil"/>
              <w:bottom w:val="nil"/>
              <w:right w:val="nil"/>
            </w:tcBorders>
            <w:shd w:val="clear" w:color="auto" w:fill="FFFFFF"/>
            <w:noWrap/>
            <w:vAlign w:val="center"/>
          </w:tcPr>
          <w:p w14:paraId="6A8AB67A">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20AFAA7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0.466</w:t>
            </w:r>
          </w:p>
        </w:tc>
        <w:tc>
          <w:tcPr>
            <w:tcW w:w="1010" w:type="dxa"/>
            <w:tcBorders>
              <w:top w:val="nil"/>
              <w:left w:val="nil"/>
              <w:bottom w:val="nil"/>
              <w:right w:val="nil"/>
            </w:tcBorders>
            <w:shd w:val="clear" w:color="auto" w:fill="FFFFFF"/>
            <w:noWrap/>
            <w:vAlign w:val="center"/>
          </w:tcPr>
          <w:p w14:paraId="0C22E29B">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Negative</w:t>
            </w:r>
          </w:p>
        </w:tc>
      </w:tr>
      <w:tr w14:paraId="57B0EF15">
        <w:trPr>
          <w:trHeight w:val="278" w:hRule="atLeast"/>
          <w:jc w:val="center"/>
        </w:trPr>
        <w:tc>
          <w:tcPr>
            <w:tcW w:w="4194" w:type="dxa"/>
            <w:tcBorders>
              <w:top w:val="nil"/>
              <w:left w:val="nil"/>
              <w:bottom w:val="nil"/>
              <w:right w:val="nil"/>
            </w:tcBorders>
            <w:shd w:val="clear" w:color="auto" w:fill="FFFFFF"/>
            <w:noWrap/>
            <w:vAlign w:val="center"/>
          </w:tcPr>
          <w:p w14:paraId="7BA45CC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NBE2: Accommodation stability</w:t>
            </w:r>
          </w:p>
        </w:tc>
        <w:tc>
          <w:tcPr>
            <w:tcW w:w="3564" w:type="dxa"/>
            <w:tcBorders>
              <w:top w:val="nil"/>
              <w:left w:val="nil"/>
              <w:bottom w:val="nil"/>
              <w:right w:val="nil"/>
            </w:tcBorders>
            <w:shd w:val="clear" w:color="auto" w:fill="FFFFFF"/>
            <w:noWrap/>
            <w:vAlign w:val="center"/>
          </w:tcPr>
          <w:p w14:paraId="40EBC94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51347D33">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0.446</w:t>
            </w:r>
          </w:p>
        </w:tc>
        <w:tc>
          <w:tcPr>
            <w:tcW w:w="1010" w:type="dxa"/>
            <w:tcBorders>
              <w:top w:val="nil"/>
              <w:left w:val="nil"/>
              <w:bottom w:val="nil"/>
              <w:right w:val="nil"/>
            </w:tcBorders>
            <w:shd w:val="clear" w:color="auto" w:fill="FFFFFF"/>
            <w:noWrap/>
            <w:vAlign w:val="center"/>
          </w:tcPr>
          <w:p w14:paraId="080236F8">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05C8F143">
        <w:trPr>
          <w:trHeight w:val="278" w:hRule="atLeast"/>
          <w:jc w:val="center"/>
        </w:trPr>
        <w:tc>
          <w:tcPr>
            <w:tcW w:w="4194" w:type="dxa"/>
            <w:tcBorders>
              <w:top w:val="nil"/>
              <w:left w:val="nil"/>
              <w:bottom w:val="nil"/>
              <w:right w:val="nil"/>
            </w:tcBorders>
            <w:shd w:val="clear" w:color="auto" w:fill="FFFFFF"/>
            <w:noWrap/>
            <w:vAlign w:val="center"/>
          </w:tcPr>
          <w:p w14:paraId="31418202">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HAQ3: Per capita number of health institutions</w:t>
            </w:r>
          </w:p>
        </w:tc>
        <w:tc>
          <w:tcPr>
            <w:tcW w:w="3564" w:type="dxa"/>
            <w:tcBorders>
              <w:top w:val="nil"/>
              <w:left w:val="nil"/>
              <w:bottom w:val="nil"/>
              <w:right w:val="nil"/>
            </w:tcBorders>
            <w:shd w:val="clear" w:color="auto" w:fill="FFFFFF"/>
            <w:noWrap/>
            <w:vAlign w:val="center"/>
          </w:tcPr>
          <w:p w14:paraId="66AB49B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NBE6: Noise level</w:t>
            </w:r>
          </w:p>
        </w:tc>
        <w:tc>
          <w:tcPr>
            <w:tcW w:w="1408" w:type="dxa"/>
            <w:tcBorders>
              <w:top w:val="nil"/>
              <w:left w:val="nil"/>
              <w:bottom w:val="nil"/>
              <w:right w:val="nil"/>
            </w:tcBorders>
            <w:shd w:val="clear" w:color="auto" w:fill="FFFFFF"/>
            <w:noWrap/>
            <w:vAlign w:val="center"/>
          </w:tcPr>
          <w:p w14:paraId="73478938">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0.394</w:t>
            </w:r>
          </w:p>
        </w:tc>
        <w:tc>
          <w:tcPr>
            <w:tcW w:w="1010" w:type="dxa"/>
            <w:tcBorders>
              <w:top w:val="nil"/>
              <w:left w:val="nil"/>
              <w:bottom w:val="nil"/>
              <w:right w:val="nil"/>
            </w:tcBorders>
            <w:shd w:val="clear" w:color="auto" w:fill="FFFFFF"/>
            <w:noWrap/>
            <w:vAlign w:val="center"/>
          </w:tcPr>
          <w:p w14:paraId="24930B7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Negative</w:t>
            </w:r>
          </w:p>
        </w:tc>
      </w:tr>
      <w:tr w14:paraId="6DA56189">
        <w:trPr>
          <w:trHeight w:val="278" w:hRule="atLeast"/>
          <w:jc w:val="center"/>
        </w:trPr>
        <w:tc>
          <w:tcPr>
            <w:tcW w:w="4194" w:type="dxa"/>
            <w:tcBorders>
              <w:top w:val="nil"/>
              <w:left w:val="nil"/>
              <w:bottom w:val="nil"/>
              <w:right w:val="nil"/>
            </w:tcBorders>
            <w:shd w:val="clear" w:color="auto" w:fill="FFFFFF"/>
            <w:noWrap/>
            <w:vAlign w:val="center"/>
          </w:tcPr>
          <w:p w14:paraId="75877989">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3564" w:type="dxa"/>
            <w:tcBorders>
              <w:top w:val="nil"/>
              <w:left w:val="nil"/>
              <w:bottom w:val="nil"/>
              <w:right w:val="nil"/>
            </w:tcBorders>
            <w:shd w:val="clear" w:color="auto" w:fill="FFFFFF"/>
            <w:noWrap/>
            <w:vAlign w:val="center"/>
          </w:tcPr>
          <w:p w14:paraId="5D15DA6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NBE4: Housing quality</w:t>
            </w:r>
          </w:p>
        </w:tc>
        <w:tc>
          <w:tcPr>
            <w:tcW w:w="1408" w:type="dxa"/>
            <w:tcBorders>
              <w:top w:val="nil"/>
              <w:left w:val="nil"/>
              <w:bottom w:val="nil"/>
              <w:right w:val="nil"/>
            </w:tcBorders>
            <w:shd w:val="clear" w:color="auto" w:fill="FFFFFF"/>
            <w:noWrap/>
            <w:vAlign w:val="center"/>
          </w:tcPr>
          <w:p w14:paraId="30F1BA0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0.384</w:t>
            </w:r>
          </w:p>
        </w:tc>
        <w:tc>
          <w:tcPr>
            <w:tcW w:w="1010" w:type="dxa"/>
            <w:tcBorders>
              <w:top w:val="nil"/>
              <w:left w:val="nil"/>
              <w:bottom w:val="nil"/>
              <w:right w:val="nil"/>
            </w:tcBorders>
            <w:shd w:val="clear" w:color="auto" w:fill="FFFFFF"/>
            <w:noWrap/>
            <w:vAlign w:val="center"/>
          </w:tcPr>
          <w:p w14:paraId="25252D3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091D6508">
        <w:trPr>
          <w:trHeight w:val="278" w:hRule="atLeast"/>
          <w:jc w:val="center"/>
        </w:trPr>
        <w:tc>
          <w:tcPr>
            <w:tcW w:w="4194" w:type="dxa"/>
            <w:tcBorders>
              <w:top w:val="nil"/>
              <w:left w:val="nil"/>
              <w:bottom w:val="nil"/>
              <w:right w:val="nil"/>
            </w:tcBorders>
            <w:shd w:val="clear" w:color="auto" w:fill="FFFFFF"/>
            <w:noWrap/>
            <w:vAlign w:val="center"/>
          </w:tcPr>
          <w:p w14:paraId="124C88A6">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NBE5: Air quality</w:t>
            </w:r>
          </w:p>
        </w:tc>
        <w:tc>
          <w:tcPr>
            <w:tcW w:w="3564" w:type="dxa"/>
            <w:tcBorders>
              <w:top w:val="nil"/>
              <w:left w:val="nil"/>
              <w:bottom w:val="nil"/>
              <w:right w:val="nil"/>
            </w:tcBorders>
            <w:shd w:val="clear" w:color="auto" w:fill="FFFFFF"/>
            <w:noWrap/>
            <w:vAlign w:val="center"/>
          </w:tcPr>
          <w:p w14:paraId="4EC43A0A">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NBE7: Extreme climate</w:t>
            </w:r>
          </w:p>
        </w:tc>
        <w:tc>
          <w:tcPr>
            <w:tcW w:w="1408" w:type="dxa"/>
            <w:tcBorders>
              <w:top w:val="nil"/>
              <w:left w:val="nil"/>
              <w:bottom w:val="nil"/>
              <w:right w:val="nil"/>
            </w:tcBorders>
            <w:shd w:val="clear" w:color="auto" w:fill="FFFFFF"/>
            <w:noWrap/>
            <w:vAlign w:val="center"/>
          </w:tcPr>
          <w:p w14:paraId="77C99213">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0.377</w:t>
            </w:r>
          </w:p>
        </w:tc>
        <w:tc>
          <w:tcPr>
            <w:tcW w:w="1010" w:type="dxa"/>
            <w:tcBorders>
              <w:top w:val="nil"/>
              <w:left w:val="nil"/>
              <w:bottom w:val="nil"/>
              <w:right w:val="nil"/>
            </w:tcBorders>
            <w:shd w:val="clear" w:color="auto" w:fill="FFFFFF"/>
            <w:noWrap/>
            <w:vAlign w:val="center"/>
          </w:tcPr>
          <w:p w14:paraId="731C15B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Negative</w:t>
            </w:r>
          </w:p>
        </w:tc>
      </w:tr>
      <w:tr w14:paraId="7AD24E05">
        <w:trPr>
          <w:trHeight w:val="90" w:hRule="atLeast"/>
          <w:jc w:val="center"/>
        </w:trPr>
        <w:tc>
          <w:tcPr>
            <w:tcW w:w="4194" w:type="dxa"/>
            <w:tcBorders>
              <w:top w:val="nil"/>
              <w:left w:val="nil"/>
              <w:bottom w:val="nil"/>
              <w:right w:val="nil"/>
            </w:tcBorders>
            <w:shd w:val="clear" w:color="auto" w:fill="FFFFFF"/>
            <w:noWrap/>
            <w:vAlign w:val="center"/>
          </w:tcPr>
          <w:p w14:paraId="1576E60D">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ES2: Per capita household income</w:t>
            </w:r>
          </w:p>
        </w:tc>
        <w:tc>
          <w:tcPr>
            <w:tcW w:w="3564" w:type="dxa"/>
            <w:tcBorders>
              <w:top w:val="nil"/>
              <w:left w:val="nil"/>
              <w:bottom w:val="nil"/>
              <w:right w:val="nil"/>
            </w:tcBorders>
            <w:shd w:val="clear" w:color="auto" w:fill="FFFFFF"/>
            <w:noWrap/>
            <w:vAlign w:val="center"/>
          </w:tcPr>
          <w:p w14:paraId="6E8944D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1408" w:type="dxa"/>
            <w:tcBorders>
              <w:top w:val="nil"/>
              <w:left w:val="nil"/>
              <w:bottom w:val="nil"/>
              <w:right w:val="nil"/>
            </w:tcBorders>
            <w:shd w:val="clear" w:color="auto" w:fill="FFFFFF"/>
            <w:noWrap/>
            <w:vAlign w:val="center"/>
          </w:tcPr>
          <w:p w14:paraId="2BE792F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0.336</w:t>
            </w:r>
          </w:p>
        </w:tc>
        <w:tc>
          <w:tcPr>
            <w:tcW w:w="1010" w:type="dxa"/>
            <w:tcBorders>
              <w:top w:val="nil"/>
              <w:left w:val="nil"/>
              <w:bottom w:val="nil"/>
              <w:right w:val="nil"/>
            </w:tcBorders>
            <w:shd w:val="clear" w:color="auto" w:fill="FFFFFF"/>
            <w:noWrap/>
            <w:vAlign w:val="center"/>
          </w:tcPr>
          <w:p w14:paraId="09E97574">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529BA4FE">
        <w:trPr>
          <w:trHeight w:val="278" w:hRule="atLeast"/>
          <w:jc w:val="center"/>
        </w:trPr>
        <w:tc>
          <w:tcPr>
            <w:tcW w:w="4194" w:type="dxa"/>
            <w:tcBorders>
              <w:top w:val="nil"/>
              <w:left w:val="nil"/>
              <w:bottom w:val="nil"/>
              <w:right w:val="nil"/>
            </w:tcBorders>
            <w:shd w:val="clear" w:color="auto" w:fill="FFFFFF"/>
            <w:noWrap/>
            <w:vAlign w:val="center"/>
          </w:tcPr>
          <w:p w14:paraId="66C55F2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HAQ3: Per capita number of health institutions</w:t>
            </w:r>
          </w:p>
        </w:tc>
        <w:tc>
          <w:tcPr>
            <w:tcW w:w="3564" w:type="dxa"/>
            <w:tcBorders>
              <w:top w:val="nil"/>
              <w:left w:val="nil"/>
              <w:bottom w:val="nil"/>
              <w:right w:val="nil"/>
            </w:tcBorders>
            <w:shd w:val="clear" w:color="auto" w:fill="FFFFFF"/>
            <w:noWrap/>
            <w:vAlign w:val="center"/>
          </w:tcPr>
          <w:p w14:paraId="4AA92EE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NBE5: Air quality</w:t>
            </w:r>
          </w:p>
        </w:tc>
        <w:tc>
          <w:tcPr>
            <w:tcW w:w="1408" w:type="dxa"/>
            <w:tcBorders>
              <w:top w:val="nil"/>
              <w:left w:val="nil"/>
              <w:bottom w:val="nil"/>
              <w:right w:val="nil"/>
            </w:tcBorders>
            <w:shd w:val="clear" w:color="auto" w:fill="FFFFFF"/>
            <w:noWrap/>
            <w:vAlign w:val="center"/>
          </w:tcPr>
          <w:p w14:paraId="149346B0">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0.324</w:t>
            </w:r>
          </w:p>
        </w:tc>
        <w:tc>
          <w:tcPr>
            <w:tcW w:w="1010" w:type="dxa"/>
            <w:tcBorders>
              <w:top w:val="nil"/>
              <w:left w:val="nil"/>
              <w:bottom w:val="nil"/>
              <w:right w:val="nil"/>
            </w:tcBorders>
            <w:shd w:val="clear" w:color="auto" w:fill="FFFFFF"/>
            <w:noWrap/>
            <w:vAlign w:val="center"/>
          </w:tcPr>
          <w:p w14:paraId="16AE4B8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Positive</w:t>
            </w:r>
          </w:p>
        </w:tc>
      </w:tr>
      <w:tr w14:paraId="5221109F">
        <w:trPr>
          <w:trHeight w:val="278" w:hRule="atLeast"/>
          <w:jc w:val="center"/>
        </w:trPr>
        <w:tc>
          <w:tcPr>
            <w:tcW w:w="4194" w:type="dxa"/>
            <w:tcBorders>
              <w:top w:val="nil"/>
              <w:left w:val="nil"/>
              <w:bottom w:val="nil"/>
              <w:right w:val="nil"/>
            </w:tcBorders>
            <w:shd w:val="clear" w:color="auto" w:fill="FFFFFF"/>
            <w:noWrap/>
            <w:vAlign w:val="center"/>
          </w:tcPr>
          <w:p w14:paraId="2D89586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F2: Self-reported health problems</w:t>
            </w:r>
          </w:p>
        </w:tc>
        <w:tc>
          <w:tcPr>
            <w:tcW w:w="3564" w:type="dxa"/>
            <w:tcBorders>
              <w:top w:val="nil"/>
              <w:left w:val="nil"/>
              <w:bottom w:val="nil"/>
              <w:right w:val="nil"/>
            </w:tcBorders>
            <w:shd w:val="clear" w:color="auto" w:fill="FFFFFF"/>
            <w:noWrap/>
            <w:vAlign w:val="center"/>
          </w:tcPr>
          <w:p w14:paraId="62D91FA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1408" w:type="dxa"/>
            <w:tcBorders>
              <w:top w:val="nil"/>
              <w:left w:val="nil"/>
              <w:bottom w:val="nil"/>
              <w:right w:val="nil"/>
            </w:tcBorders>
            <w:shd w:val="clear" w:color="auto" w:fill="FFFFFF"/>
            <w:noWrap/>
            <w:vAlign w:val="center"/>
          </w:tcPr>
          <w:p w14:paraId="0836F54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0.315</w:t>
            </w:r>
          </w:p>
        </w:tc>
        <w:tc>
          <w:tcPr>
            <w:tcW w:w="1010" w:type="dxa"/>
            <w:tcBorders>
              <w:top w:val="nil"/>
              <w:left w:val="nil"/>
              <w:bottom w:val="nil"/>
              <w:right w:val="nil"/>
            </w:tcBorders>
            <w:shd w:val="clear" w:color="auto" w:fill="FFFFFF"/>
            <w:noWrap/>
            <w:vAlign w:val="center"/>
          </w:tcPr>
          <w:p w14:paraId="5BC2ADB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2A48793D">
        <w:trPr>
          <w:trHeight w:val="278" w:hRule="atLeast"/>
          <w:jc w:val="center"/>
        </w:trPr>
        <w:tc>
          <w:tcPr>
            <w:tcW w:w="4194" w:type="dxa"/>
            <w:tcBorders>
              <w:top w:val="nil"/>
              <w:left w:val="nil"/>
              <w:bottom w:val="nil"/>
              <w:right w:val="nil"/>
            </w:tcBorders>
            <w:shd w:val="clear" w:color="auto" w:fill="FFFFFF"/>
            <w:noWrap/>
            <w:vAlign w:val="center"/>
          </w:tcPr>
          <w:p w14:paraId="5A9ECBD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ES2: Per capita household income</w:t>
            </w:r>
          </w:p>
        </w:tc>
        <w:tc>
          <w:tcPr>
            <w:tcW w:w="3564" w:type="dxa"/>
            <w:tcBorders>
              <w:top w:val="nil"/>
              <w:left w:val="nil"/>
              <w:bottom w:val="nil"/>
              <w:right w:val="nil"/>
            </w:tcBorders>
            <w:shd w:val="clear" w:color="auto" w:fill="FFFFFF"/>
            <w:noWrap/>
            <w:vAlign w:val="center"/>
          </w:tcPr>
          <w:p w14:paraId="1A8FF90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1408" w:type="dxa"/>
            <w:tcBorders>
              <w:top w:val="nil"/>
              <w:left w:val="nil"/>
              <w:bottom w:val="nil"/>
              <w:right w:val="nil"/>
            </w:tcBorders>
            <w:shd w:val="clear" w:color="auto" w:fill="FFFFFF"/>
            <w:noWrap/>
            <w:vAlign w:val="center"/>
          </w:tcPr>
          <w:p w14:paraId="2ADC76A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0.305</w:t>
            </w:r>
          </w:p>
        </w:tc>
        <w:tc>
          <w:tcPr>
            <w:tcW w:w="1010" w:type="dxa"/>
            <w:tcBorders>
              <w:top w:val="nil"/>
              <w:left w:val="nil"/>
              <w:bottom w:val="nil"/>
              <w:right w:val="nil"/>
            </w:tcBorders>
            <w:shd w:val="clear" w:color="auto" w:fill="FFFFFF"/>
            <w:noWrap/>
            <w:vAlign w:val="center"/>
          </w:tcPr>
          <w:p w14:paraId="72162EF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6DE14345">
        <w:trPr>
          <w:trHeight w:val="90" w:hRule="atLeast"/>
          <w:jc w:val="center"/>
        </w:trPr>
        <w:tc>
          <w:tcPr>
            <w:tcW w:w="4194" w:type="dxa"/>
            <w:tcBorders>
              <w:top w:val="nil"/>
              <w:left w:val="nil"/>
              <w:bottom w:val="nil"/>
              <w:right w:val="nil"/>
            </w:tcBorders>
            <w:shd w:val="clear" w:color="auto" w:fill="FFFFFF"/>
            <w:noWrap/>
            <w:vAlign w:val="center"/>
          </w:tcPr>
          <w:p w14:paraId="5516D86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NBE2: Accommodation stability</w:t>
            </w:r>
          </w:p>
        </w:tc>
        <w:tc>
          <w:tcPr>
            <w:tcW w:w="3564" w:type="dxa"/>
            <w:tcBorders>
              <w:top w:val="nil"/>
              <w:left w:val="nil"/>
              <w:bottom w:val="nil"/>
              <w:right w:val="nil"/>
            </w:tcBorders>
            <w:shd w:val="clear" w:color="auto" w:fill="FFFFFF"/>
            <w:noWrap/>
            <w:vAlign w:val="center"/>
          </w:tcPr>
          <w:p w14:paraId="15C1416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68B5F1D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0.302</w:t>
            </w:r>
          </w:p>
        </w:tc>
        <w:tc>
          <w:tcPr>
            <w:tcW w:w="1010" w:type="dxa"/>
            <w:tcBorders>
              <w:top w:val="nil"/>
              <w:left w:val="nil"/>
              <w:bottom w:val="nil"/>
              <w:right w:val="nil"/>
            </w:tcBorders>
            <w:shd w:val="clear" w:color="auto" w:fill="FFFFFF"/>
            <w:noWrap/>
            <w:vAlign w:val="center"/>
          </w:tcPr>
          <w:p w14:paraId="6444212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0627E42D">
        <w:trPr>
          <w:trHeight w:val="278" w:hRule="atLeast"/>
          <w:jc w:val="center"/>
        </w:trPr>
        <w:tc>
          <w:tcPr>
            <w:tcW w:w="4194" w:type="dxa"/>
            <w:tcBorders>
              <w:top w:val="nil"/>
              <w:left w:val="nil"/>
              <w:bottom w:val="nil"/>
              <w:right w:val="nil"/>
            </w:tcBorders>
            <w:shd w:val="clear" w:color="auto" w:fill="FFFFFF"/>
            <w:noWrap/>
            <w:vAlign w:val="center"/>
          </w:tcPr>
          <w:p w14:paraId="6D845D79">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3564" w:type="dxa"/>
            <w:tcBorders>
              <w:top w:val="nil"/>
              <w:left w:val="nil"/>
              <w:bottom w:val="nil"/>
              <w:right w:val="nil"/>
            </w:tcBorders>
            <w:shd w:val="clear" w:color="auto" w:fill="FFFFFF"/>
            <w:noWrap/>
            <w:vAlign w:val="center"/>
          </w:tcPr>
          <w:p w14:paraId="40364D7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F</w:t>
            </w:r>
            <w:r>
              <w:rPr>
                <w:rFonts w:ascii="Times New Roman" w:hAnsi="Times New Roman" w:eastAsia="宋体" w:cs="Times New Roman"/>
                <w:kern w:val="0"/>
                <w:szCs w:val="21"/>
                <w:lang w:bidi="ar"/>
              </w:rPr>
              <w:t>4: Depression</w:t>
            </w:r>
          </w:p>
        </w:tc>
        <w:tc>
          <w:tcPr>
            <w:tcW w:w="1408" w:type="dxa"/>
            <w:tcBorders>
              <w:top w:val="nil"/>
              <w:left w:val="nil"/>
              <w:bottom w:val="nil"/>
              <w:right w:val="nil"/>
            </w:tcBorders>
            <w:shd w:val="clear" w:color="auto" w:fill="FFFFFF"/>
            <w:noWrap/>
            <w:vAlign w:val="center"/>
          </w:tcPr>
          <w:p w14:paraId="2F82057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0.289</w:t>
            </w:r>
          </w:p>
        </w:tc>
        <w:tc>
          <w:tcPr>
            <w:tcW w:w="1010" w:type="dxa"/>
            <w:tcBorders>
              <w:top w:val="nil"/>
              <w:left w:val="nil"/>
              <w:bottom w:val="nil"/>
              <w:right w:val="nil"/>
            </w:tcBorders>
            <w:shd w:val="clear" w:color="auto" w:fill="FFFFFF"/>
            <w:noWrap/>
            <w:vAlign w:val="center"/>
          </w:tcPr>
          <w:p w14:paraId="2924B88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72F8027A">
        <w:trPr>
          <w:trHeight w:val="278" w:hRule="atLeast"/>
          <w:jc w:val="center"/>
        </w:trPr>
        <w:tc>
          <w:tcPr>
            <w:tcW w:w="4194" w:type="dxa"/>
            <w:tcBorders>
              <w:top w:val="nil"/>
              <w:left w:val="nil"/>
              <w:bottom w:val="nil"/>
              <w:right w:val="nil"/>
            </w:tcBorders>
            <w:shd w:val="clear" w:color="auto" w:fill="FFFFFF"/>
            <w:noWrap/>
            <w:vAlign w:val="center"/>
          </w:tcPr>
          <w:p w14:paraId="1F8855B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F1: Comorbidity</w:t>
            </w:r>
          </w:p>
        </w:tc>
        <w:tc>
          <w:tcPr>
            <w:tcW w:w="3564" w:type="dxa"/>
            <w:tcBorders>
              <w:top w:val="nil"/>
              <w:left w:val="nil"/>
              <w:bottom w:val="nil"/>
              <w:right w:val="nil"/>
            </w:tcBorders>
            <w:shd w:val="clear" w:color="auto" w:fill="FFFFFF"/>
            <w:noWrap/>
            <w:vAlign w:val="center"/>
          </w:tcPr>
          <w:p w14:paraId="2F2FA2F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HAQ2: Access to healthcare</w:t>
            </w:r>
          </w:p>
        </w:tc>
        <w:tc>
          <w:tcPr>
            <w:tcW w:w="1408" w:type="dxa"/>
            <w:tcBorders>
              <w:top w:val="nil"/>
              <w:left w:val="nil"/>
              <w:bottom w:val="nil"/>
              <w:right w:val="nil"/>
            </w:tcBorders>
            <w:shd w:val="clear" w:color="auto" w:fill="FFFFFF"/>
            <w:noWrap/>
            <w:vAlign w:val="center"/>
          </w:tcPr>
          <w:p w14:paraId="195665E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0.288</w:t>
            </w:r>
          </w:p>
        </w:tc>
        <w:tc>
          <w:tcPr>
            <w:tcW w:w="1010" w:type="dxa"/>
            <w:tcBorders>
              <w:top w:val="nil"/>
              <w:left w:val="nil"/>
              <w:bottom w:val="nil"/>
              <w:right w:val="nil"/>
            </w:tcBorders>
            <w:shd w:val="clear" w:color="auto" w:fill="FFFFFF"/>
            <w:noWrap/>
            <w:vAlign w:val="center"/>
          </w:tcPr>
          <w:p w14:paraId="1C5B3B9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Negative</w:t>
            </w:r>
          </w:p>
        </w:tc>
      </w:tr>
      <w:tr w14:paraId="45F02E28">
        <w:trPr>
          <w:trHeight w:val="278" w:hRule="atLeast"/>
          <w:jc w:val="center"/>
        </w:trPr>
        <w:tc>
          <w:tcPr>
            <w:tcW w:w="4194" w:type="dxa"/>
            <w:tcBorders>
              <w:top w:val="nil"/>
              <w:left w:val="nil"/>
              <w:bottom w:val="nil"/>
              <w:right w:val="nil"/>
            </w:tcBorders>
            <w:shd w:val="clear" w:color="auto" w:fill="FFFFFF"/>
            <w:noWrap/>
            <w:vAlign w:val="center"/>
          </w:tcPr>
          <w:p w14:paraId="68BDBE4D">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3564" w:type="dxa"/>
            <w:tcBorders>
              <w:top w:val="nil"/>
              <w:left w:val="nil"/>
              <w:bottom w:val="nil"/>
              <w:right w:val="nil"/>
            </w:tcBorders>
            <w:shd w:val="clear" w:color="auto" w:fill="FFFFFF"/>
            <w:noWrap/>
            <w:vAlign w:val="center"/>
          </w:tcPr>
          <w:p w14:paraId="071490D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1408" w:type="dxa"/>
            <w:tcBorders>
              <w:top w:val="nil"/>
              <w:left w:val="nil"/>
              <w:bottom w:val="nil"/>
              <w:right w:val="nil"/>
            </w:tcBorders>
            <w:shd w:val="clear" w:color="auto" w:fill="FFFFFF"/>
            <w:noWrap/>
            <w:vAlign w:val="center"/>
          </w:tcPr>
          <w:p w14:paraId="58DEF47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0.282</w:t>
            </w:r>
          </w:p>
        </w:tc>
        <w:tc>
          <w:tcPr>
            <w:tcW w:w="1010" w:type="dxa"/>
            <w:tcBorders>
              <w:top w:val="nil"/>
              <w:left w:val="nil"/>
              <w:bottom w:val="nil"/>
              <w:right w:val="nil"/>
            </w:tcBorders>
            <w:shd w:val="clear" w:color="auto" w:fill="FFFFFF"/>
            <w:noWrap/>
            <w:vAlign w:val="center"/>
          </w:tcPr>
          <w:p w14:paraId="6616E7F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44F58272">
        <w:trPr>
          <w:trHeight w:val="278" w:hRule="atLeast"/>
          <w:jc w:val="center"/>
        </w:trPr>
        <w:tc>
          <w:tcPr>
            <w:tcW w:w="4194" w:type="dxa"/>
            <w:tcBorders>
              <w:top w:val="nil"/>
              <w:left w:val="nil"/>
              <w:bottom w:val="nil"/>
              <w:right w:val="nil"/>
            </w:tcBorders>
            <w:shd w:val="clear" w:color="auto" w:fill="FFFFFF"/>
            <w:noWrap/>
            <w:vAlign w:val="center"/>
          </w:tcPr>
          <w:p w14:paraId="519765E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338339A7">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17844DE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0.276</w:t>
            </w:r>
          </w:p>
        </w:tc>
        <w:tc>
          <w:tcPr>
            <w:tcW w:w="1010" w:type="dxa"/>
            <w:tcBorders>
              <w:top w:val="nil"/>
              <w:left w:val="nil"/>
              <w:bottom w:val="nil"/>
              <w:right w:val="nil"/>
            </w:tcBorders>
            <w:shd w:val="clear" w:color="auto" w:fill="FFFFFF"/>
            <w:noWrap/>
            <w:vAlign w:val="center"/>
          </w:tcPr>
          <w:p w14:paraId="3AA3D7D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754A5382">
        <w:trPr>
          <w:trHeight w:val="278" w:hRule="atLeast"/>
          <w:jc w:val="center"/>
        </w:trPr>
        <w:tc>
          <w:tcPr>
            <w:tcW w:w="4194" w:type="dxa"/>
            <w:tcBorders>
              <w:top w:val="nil"/>
              <w:left w:val="nil"/>
              <w:bottom w:val="nil"/>
              <w:right w:val="nil"/>
            </w:tcBorders>
            <w:shd w:val="clear" w:color="auto" w:fill="FFFFFF"/>
            <w:noWrap/>
            <w:vAlign w:val="center"/>
          </w:tcPr>
          <w:p w14:paraId="1699F99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3564" w:type="dxa"/>
            <w:tcBorders>
              <w:top w:val="nil"/>
              <w:left w:val="nil"/>
              <w:bottom w:val="nil"/>
              <w:right w:val="nil"/>
            </w:tcBorders>
            <w:shd w:val="clear" w:color="auto" w:fill="FFFFFF"/>
            <w:noWrap/>
            <w:vAlign w:val="center"/>
          </w:tcPr>
          <w:p w14:paraId="13AC8066">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NBE3: Per capita housing area</w:t>
            </w:r>
          </w:p>
        </w:tc>
        <w:tc>
          <w:tcPr>
            <w:tcW w:w="1408" w:type="dxa"/>
            <w:tcBorders>
              <w:top w:val="nil"/>
              <w:left w:val="nil"/>
              <w:bottom w:val="nil"/>
              <w:right w:val="nil"/>
            </w:tcBorders>
            <w:shd w:val="clear" w:color="auto" w:fill="FFFFFF"/>
            <w:noWrap/>
            <w:vAlign w:val="center"/>
          </w:tcPr>
          <w:p w14:paraId="6116D42B">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0.276</w:t>
            </w:r>
          </w:p>
        </w:tc>
        <w:tc>
          <w:tcPr>
            <w:tcW w:w="1010" w:type="dxa"/>
            <w:tcBorders>
              <w:top w:val="nil"/>
              <w:left w:val="nil"/>
              <w:bottom w:val="nil"/>
              <w:right w:val="nil"/>
            </w:tcBorders>
            <w:shd w:val="clear" w:color="auto" w:fill="FFFFFF"/>
            <w:noWrap/>
            <w:vAlign w:val="center"/>
          </w:tcPr>
          <w:p w14:paraId="0DB9E8C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56E106DE">
        <w:trPr>
          <w:trHeight w:val="278" w:hRule="atLeast"/>
          <w:jc w:val="center"/>
        </w:trPr>
        <w:tc>
          <w:tcPr>
            <w:tcW w:w="4194" w:type="dxa"/>
            <w:tcBorders>
              <w:top w:val="nil"/>
              <w:left w:val="nil"/>
              <w:bottom w:val="nil"/>
              <w:right w:val="nil"/>
            </w:tcBorders>
            <w:shd w:val="clear" w:color="auto" w:fill="FFFFFF"/>
            <w:noWrap/>
            <w:vAlign w:val="center"/>
          </w:tcPr>
          <w:p w14:paraId="5D5952D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F1: Comorbidity</w:t>
            </w:r>
          </w:p>
        </w:tc>
        <w:tc>
          <w:tcPr>
            <w:tcW w:w="3564" w:type="dxa"/>
            <w:tcBorders>
              <w:top w:val="nil"/>
              <w:left w:val="nil"/>
              <w:bottom w:val="nil"/>
              <w:right w:val="nil"/>
            </w:tcBorders>
            <w:shd w:val="clear" w:color="auto" w:fill="FFFFFF"/>
            <w:noWrap/>
            <w:vAlign w:val="center"/>
          </w:tcPr>
          <w:p w14:paraId="2F3B7AF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F2: Self-reported health problems</w:t>
            </w:r>
          </w:p>
        </w:tc>
        <w:tc>
          <w:tcPr>
            <w:tcW w:w="1408" w:type="dxa"/>
            <w:tcBorders>
              <w:top w:val="nil"/>
              <w:left w:val="nil"/>
              <w:bottom w:val="nil"/>
              <w:right w:val="nil"/>
            </w:tcBorders>
            <w:shd w:val="clear" w:color="auto" w:fill="FFFFFF"/>
            <w:noWrap/>
            <w:vAlign w:val="center"/>
          </w:tcPr>
          <w:p w14:paraId="3842D2E3">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0.273</w:t>
            </w:r>
          </w:p>
        </w:tc>
        <w:tc>
          <w:tcPr>
            <w:tcW w:w="1010" w:type="dxa"/>
            <w:tcBorders>
              <w:top w:val="nil"/>
              <w:left w:val="nil"/>
              <w:bottom w:val="nil"/>
              <w:right w:val="nil"/>
            </w:tcBorders>
            <w:shd w:val="clear" w:color="auto" w:fill="FFFFFF"/>
            <w:noWrap/>
            <w:vAlign w:val="center"/>
          </w:tcPr>
          <w:p w14:paraId="3671DA9E">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6A2AD489">
        <w:trPr>
          <w:trHeight w:val="278" w:hRule="atLeast"/>
          <w:jc w:val="center"/>
        </w:trPr>
        <w:tc>
          <w:tcPr>
            <w:tcW w:w="4194" w:type="dxa"/>
            <w:tcBorders>
              <w:top w:val="nil"/>
              <w:left w:val="nil"/>
              <w:bottom w:val="nil"/>
              <w:right w:val="nil"/>
            </w:tcBorders>
            <w:shd w:val="clear" w:color="auto" w:fill="FFFFFF"/>
            <w:noWrap/>
            <w:vAlign w:val="center"/>
          </w:tcPr>
          <w:p w14:paraId="7ABE61B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F2: Self-reported health problems</w:t>
            </w:r>
          </w:p>
        </w:tc>
        <w:tc>
          <w:tcPr>
            <w:tcW w:w="3564" w:type="dxa"/>
            <w:tcBorders>
              <w:top w:val="nil"/>
              <w:left w:val="nil"/>
              <w:bottom w:val="nil"/>
              <w:right w:val="nil"/>
            </w:tcBorders>
            <w:shd w:val="clear" w:color="auto" w:fill="FFFFFF"/>
            <w:noWrap/>
            <w:vAlign w:val="center"/>
          </w:tcPr>
          <w:p w14:paraId="1F24C59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F4: Depression</w:t>
            </w:r>
          </w:p>
        </w:tc>
        <w:tc>
          <w:tcPr>
            <w:tcW w:w="1408" w:type="dxa"/>
            <w:tcBorders>
              <w:top w:val="nil"/>
              <w:left w:val="nil"/>
              <w:bottom w:val="nil"/>
              <w:right w:val="nil"/>
            </w:tcBorders>
            <w:shd w:val="clear" w:color="auto" w:fill="FFFFFF"/>
            <w:noWrap/>
            <w:vAlign w:val="center"/>
          </w:tcPr>
          <w:p w14:paraId="05347F0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0.272</w:t>
            </w:r>
          </w:p>
        </w:tc>
        <w:tc>
          <w:tcPr>
            <w:tcW w:w="1010" w:type="dxa"/>
            <w:tcBorders>
              <w:top w:val="nil"/>
              <w:left w:val="nil"/>
              <w:bottom w:val="nil"/>
              <w:right w:val="nil"/>
            </w:tcBorders>
            <w:shd w:val="clear" w:color="auto" w:fill="FFFFFF"/>
            <w:noWrap/>
            <w:vAlign w:val="center"/>
          </w:tcPr>
          <w:p w14:paraId="4CFCE3FE">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450A4FEC">
        <w:trPr>
          <w:trHeight w:val="278" w:hRule="atLeast"/>
          <w:jc w:val="center"/>
        </w:trPr>
        <w:tc>
          <w:tcPr>
            <w:tcW w:w="4194" w:type="dxa"/>
            <w:tcBorders>
              <w:top w:val="nil"/>
              <w:left w:val="nil"/>
              <w:bottom w:val="nil"/>
              <w:right w:val="nil"/>
            </w:tcBorders>
            <w:shd w:val="clear" w:color="auto" w:fill="FFFFFF"/>
            <w:noWrap/>
            <w:vAlign w:val="center"/>
          </w:tcPr>
          <w:p w14:paraId="53444EA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3564" w:type="dxa"/>
            <w:tcBorders>
              <w:top w:val="nil"/>
              <w:left w:val="nil"/>
              <w:bottom w:val="nil"/>
              <w:right w:val="nil"/>
            </w:tcBorders>
            <w:shd w:val="clear" w:color="auto" w:fill="FFFFFF"/>
            <w:noWrap/>
            <w:vAlign w:val="center"/>
          </w:tcPr>
          <w:p w14:paraId="7414697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1408" w:type="dxa"/>
            <w:tcBorders>
              <w:top w:val="nil"/>
              <w:left w:val="nil"/>
              <w:bottom w:val="nil"/>
              <w:right w:val="nil"/>
            </w:tcBorders>
            <w:shd w:val="clear" w:color="auto" w:fill="FFFFFF"/>
            <w:noWrap/>
            <w:vAlign w:val="center"/>
          </w:tcPr>
          <w:p w14:paraId="1751D204">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0.237</w:t>
            </w:r>
          </w:p>
        </w:tc>
        <w:tc>
          <w:tcPr>
            <w:tcW w:w="1010" w:type="dxa"/>
            <w:tcBorders>
              <w:top w:val="nil"/>
              <w:left w:val="nil"/>
              <w:bottom w:val="nil"/>
              <w:right w:val="nil"/>
            </w:tcBorders>
            <w:shd w:val="clear" w:color="auto" w:fill="FFFFFF"/>
            <w:noWrap/>
            <w:vAlign w:val="center"/>
          </w:tcPr>
          <w:p w14:paraId="0EC17FEA">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4730DF62">
        <w:trPr>
          <w:trHeight w:val="278" w:hRule="atLeast"/>
          <w:jc w:val="center"/>
        </w:trPr>
        <w:tc>
          <w:tcPr>
            <w:tcW w:w="4194" w:type="dxa"/>
            <w:tcBorders>
              <w:top w:val="nil"/>
              <w:left w:val="nil"/>
              <w:bottom w:val="nil"/>
              <w:right w:val="nil"/>
            </w:tcBorders>
            <w:shd w:val="clear" w:color="auto" w:fill="FFFFFF"/>
            <w:noWrap/>
            <w:vAlign w:val="center"/>
          </w:tcPr>
          <w:p w14:paraId="2C3BE77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HAQ3: Per capita number of health institutions</w:t>
            </w:r>
          </w:p>
        </w:tc>
        <w:tc>
          <w:tcPr>
            <w:tcW w:w="3564" w:type="dxa"/>
            <w:tcBorders>
              <w:top w:val="nil"/>
              <w:left w:val="nil"/>
              <w:bottom w:val="nil"/>
              <w:right w:val="nil"/>
            </w:tcBorders>
            <w:shd w:val="clear" w:color="auto" w:fill="FFFFFF"/>
            <w:noWrap/>
            <w:vAlign w:val="center"/>
          </w:tcPr>
          <w:p w14:paraId="0418290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NBE7: Extreme climate</w:t>
            </w:r>
          </w:p>
        </w:tc>
        <w:tc>
          <w:tcPr>
            <w:tcW w:w="1408" w:type="dxa"/>
            <w:tcBorders>
              <w:top w:val="nil"/>
              <w:left w:val="nil"/>
              <w:bottom w:val="nil"/>
              <w:right w:val="nil"/>
            </w:tcBorders>
            <w:shd w:val="clear" w:color="auto" w:fill="FFFFFF"/>
            <w:noWrap/>
            <w:vAlign w:val="center"/>
          </w:tcPr>
          <w:p w14:paraId="400B303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0.229</w:t>
            </w:r>
          </w:p>
        </w:tc>
        <w:tc>
          <w:tcPr>
            <w:tcW w:w="1010" w:type="dxa"/>
            <w:tcBorders>
              <w:top w:val="nil"/>
              <w:left w:val="nil"/>
              <w:bottom w:val="nil"/>
              <w:right w:val="nil"/>
            </w:tcBorders>
            <w:shd w:val="clear" w:color="auto" w:fill="FFFFFF"/>
            <w:noWrap/>
            <w:vAlign w:val="center"/>
          </w:tcPr>
          <w:p w14:paraId="515FF6F8">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62006465">
        <w:trPr>
          <w:trHeight w:val="278" w:hRule="atLeast"/>
          <w:jc w:val="center"/>
        </w:trPr>
        <w:tc>
          <w:tcPr>
            <w:tcW w:w="4194" w:type="dxa"/>
            <w:tcBorders>
              <w:top w:val="nil"/>
              <w:left w:val="nil"/>
              <w:bottom w:val="nil"/>
              <w:right w:val="nil"/>
            </w:tcBorders>
            <w:shd w:val="clear" w:color="auto" w:fill="FFFFFF"/>
            <w:noWrap/>
            <w:vAlign w:val="center"/>
          </w:tcPr>
          <w:p w14:paraId="680C123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F4: Depression</w:t>
            </w:r>
          </w:p>
        </w:tc>
        <w:tc>
          <w:tcPr>
            <w:tcW w:w="3564" w:type="dxa"/>
            <w:tcBorders>
              <w:top w:val="nil"/>
              <w:left w:val="nil"/>
              <w:bottom w:val="nil"/>
              <w:right w:val="nil"/>
            </w:tcBorders>
            <w:shd w:val="clear" w:color="auto" w:fill="FFFFFF"/>
            <w:noWrap/>
            <w:vAlign w:val="center"/>
          </w:tcPr>
          <w:p w14:paraId="2A5E822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1408" w:type="dxa"/>
            <w:tcBorders>
              <w:top w:val="nil"/>
              <w:left w:val="nil"/>
              <w:bottom w:val="nil"/>
              <w:right w:val="nil"/>
            </w:tcBorders>
            <w:shd w:val="clear" w:color="auto" w:fill="FFFFFF"/>
            <w:noWrap/>
            <w:vAlign w:val="center"/>
          </w:tcPr>
          <w:p w14:paraId="621DD9F3">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0.211</w:t>
            </w:r>
          </w:p>
        </w:tc>
        <w:tc>
          <w:tcPr>
            <w:tcW w:w="1010" w:type="dxa"/>
            <w:tcBorders>
              <w:top w:val="nil"/>
              <w:left w:val="nil"/>
              <w:bottom w:val="nil"/>
              <w:right w:val="nil"/>
            </w:tcBorders>
            <w:shd w:val="clear" w:color="auto" w:fill="FFFFFF"/>
            <w:noWrap/>
            <w:vAlign w:val="center"/>
          </w:tcPr>
          <w:p w14:paraId="24733D5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6ECE4C55">
        <w:trPr>
          <w:trHeight w:val="278" w:hRule="atLeast"/>
          <w:jc w:val="center"/>
        </w:trPr>
        <w:tc>
          <w:tcPr>
            <w:tcW w:w="4194" w:type="dxa"/>
            <w:tcBorders>
              <w:top w:val="nil"/>
              <w:left w:val="nil"/>
              <w:bottom w:val="nil"/>
              <w:right w:val="nil"/>
            </w:tcBorders>
            <w:shd w:val="clear" w:color="auto" w:fill="FFFFFF"/>
            <w:noWrap/>
            <w:vAlign w:val="center"/>
          </w:tcPr>
          <w:p w14:paraId="78BB39D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F1: Comorbidity</w:t>
            </w:r>
          </w:p>
        </w:tc>
        <w:tc>
          <w:tcPr>
            <w:tcW w:w="3564" w:type="dxa"/>
            <w:tcBorders>
              <w:top w:val="nil"/>
              <w:left w:val="nil"/>
              <w:bottom w:val="nil"/>
              <w:right w:val="nil"/>
            </w:tcBorders>
            <w:shd w:val="clear" w:color="auto" w:fill="FFFFFF"/>
            <w:noWrap/>
            <w:vAlign w:val="center"/>
          </w:tcPr>
          <w:p w14:paraId="07E2A8F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1408" w:type="dxa"/>
            <w:tcBorders>
              <w:top w:val="nil"/>
              <w:left w:val="nil"/>
              <w:bottom w:val="nil"/>
              <w:right w:val="nil"/>
            </w:tcBorders>
            <w:shd w:val="clear" w:color="auto" w:fill="FFFFFF"/>
            <w:noWrap/>
            <w:vAlign w:val="center"/>
          </w:tcPr>
          <w:p w14:paraId="091E5899">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0.21</w:t>
            </w:r>
          </w:p>
        </w:tc>
        <w:tc>
          <w:tcPr>
            <w:tcW w:w="1010" w:type="dxa"/>
            <w:tcBorders>
              <w:top w:val="nil"/>
              <w:left w:val="nil"/>
              <w:bottom w:val="nil"/>
              <w:right w:val="nil"/>
            </w:tcBorders>
            <w:shd w:val="clear" w:color="auto" w:fill="FFFFFF"/>
            <w:noWrap/>
            <w:vAlign w:val="center"/>
          </w:tcPr>
          <w:p w14:paraId="507A8F44">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525E317A">
        <w:trPr>
          <w:trHeight w:val="278" w:hRule="atLeast"/>
          <w:jc w:val="center"/>
        </w:trPr>
        <w:tc>
          <w:tcPr>
            <w:tcW w:w="4194" w:type="dxa"/>
            <w:tcBorders>
              <w:top w:val="nil"/>
              <w:left w:val="nil"/>
              <w:bottom w:val="nil"/>
              <w:right w:val="nil"/>
            </w:tcBorders>
            <w:shd w:val="clear" w:color="auto" w:fill="FFFFFF"/>
            <w:noWrap/>
            <w:vAlign w:val="center"/>
          </w:tcPr>
          <w:p w14:paraId="4BC69C3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ES2: Per capita household income</w:t>
            </w:r>
          </w:p>
        </w:tc>
        <w:tc>
          <w:tcPr>
            <w:tcW w:w="3564" w:type="dxa"/>
            <w:tcBorders>
              <w:top w:val="nil"/>
              <w:left w:val="nil"/>
              <w:bottom w:val="nil"/>
              <w:right w:val="nil"/>
            </w:tcBorders>
            <w:shd w:val="clear" w:color="auto" w:fill="FFFFFF"/>
            <w:noWrap/>
            <w:vAlign w:val="center"/>
          </w:tcPr>
          <w:p w14:paraId="4BC2BDF2">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ES3: Per capita household consumption</w:t>
            </w:r>
          </w:p>
        </w:tc>
        <w:tc>
          <w:tcPr>
            <w:tcW w:w="1408" w:type="dxa"/>
            <w:tcBorders>
              <w:top w:val="nil"/>
              <w:left w:val="nil"/>
              <w:bottom w:val="nil"/>
              <w:right w:val="nil"/>
            </w:tcBorders>
            <w:shd w:val="clear" w:color="auto" w:fill="FFFFFF"/>
            <w:noWrap/>
            <w:vAlign w:val="center"/>
          </w:tcPr>
          <w:p w14:paraId="3D2AC12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0.198</w:t>
            </w:r>
          </w:p>
        </w:tc>
        <w:tc>
          <w:tcPr>
            <w:tcW w:w="1010" w:type="dxa"/>
            <w:tcBorders>
              <w:top w:val="nil"/>
              <w:left w:val="nil"/>
              <w:bottom w:val="nil"/>
              <w:right w:val="nil"/>
            </w:tcBorders>
            <w:shd w:val="clear" w:color="auto" w:fill="FFFFFF"/>
            <w:noWrap/>
            <w:vAlign w:val="center"/>
          </w:tcPr>
          <w:p w14:paraId="60E99D07">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333AC733">
        <w:trPr>
          <w:trHeight w:val="278" w:hRule="atLeast"/>
          <w:jc w:val="center"/>
        </w:trPr>
        <w:tc>
          <w:tcPr>
            <w:tcW w:w="4194" w:type="dxa"/>
            <w:tcBorders>
              <w:top w:val="nil"/>
              <w:left w:val="nil"/>
              <w:bottom w:val="nil"/>
              <w:right w:val="nil"/>
            </w:tcBorders>
            <w:shd w:val="clear" w:color="auto" w:fill="FFFFFF"/>
            <w:noWrap/>
            <w:vAlign w:val="center"/>
          </w:tcPr>
          <w:p w14:paraId="3DD052F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NBE2: Accommodation stability</w:t>
            </w:r>
          </w:p>
        </w:tc>
        <w:tc>
          <w:tcPr>
            <w:tcW w:w="3564" w:type="dxa"/>
            <w:tcBorders>
              <w:top w:val="nil"/>
              <w:left w:val="nil"/>
              <w:bottom w:val="nil"/>
              <w:right w:val="nil"/>
            </w:tcBorders>
            <w:shd w:val="clear" w:color="auto" w:fill="FFFFFF"/>
            <w:noWrap/>
            <w:vAlign w:val="center"/>
          </w:tcPr>
          <w:p w14:paraId="4C69952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NBE3: Per capita housing area</w:t>
            </w:r>
          </w:p>
        </w:tc>
        <w:tc>
          <w:tcPr>
            <w:tcW w:w="1408" w:type="dxa"/>
            <w:tcBorders>
              <w:top w:val="nil"/>
              <w:left w:val="nil"/>
              <w:bottom w:val="nil"/>
              <w:right w:val="nil"/>
            </w:tcBorders>
            <w:shd w:val="clear" w:color="auto" w:fill="FFFFFF"/>
            <w:noWrap/>
            <w:vAlign w:val="center"/>
          </w:tcPr>
          <w:p w14:paraId="655E4CD7">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0.192</w:t>
            </w:r>
          </w:p>
        </w:tc>
        <w:tc>
          <w:tcPr>
            <w:tcW w:w="1010" w:type="dxa"/>
            <w:tcBorders>
              <w:top w:val="nil"/>
              <w:left w:val="nil"/>
              <w:bottom w:val="nil"/>
              <w:right w:val="nil"/>
            </w:tcBorders>
            <w:shd w:val="clear" w:color="auto" w:fill="FFFFFF"/>
            <w:noWrap/>
            <w:vAlign w:val="center"/>
          </w:tcPr>
          <w:p w14:paraId="6BEC663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2CF615D1">
        <w:trPr>
          <w:trHeight w:val="278" w:hRule="atLeast"/>
          <w:jc w:val="center"/>
        </w:trPr>
        <w:tc>
          <w:tcPr>
            <w:tcW w:w="4194" w:type="dxa"/>
            <w:tcBorders>
              <w:top w:val="nil"/>
              <w:left w:val="nil"/>
              <w:bottom w:val="nil"/>
              <w:right w:val="nil"/>
            </w:tcBorders>
            <w:shd w:val="clear" w:color="auto" w:fill="FFFFFF"/>
            <w:noWrap/>
            <w:vAlign w:val="center"/>
          </w:tcPr>
          <w:p w14:paraId="3EB2E3F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3564" w:type="dxa"/>
            <w:tcBorders>
              <w:top w:val="nil"/>
              <w:left w:val="nil"/>
              <w:bottom w:val="nil"/>
              <w:right w:val="nil"/>
            </w:tcBorders>
            <w:shd w:val="clear" w:color="auto" w:fill="FFFFFF"/>
            <w:noWrap/>
            <w:vAlign w:val="center"/>
          </w:tcPr>
          <w:p w14:paraId="19989AE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225A324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0.19</w:t>
            </w:r>
          </w:p>
        </w:tc>
        <w:tc>
          <w:tcPr>
            <w:tcW w:w="1010" w:type="dxa"/>
            <w:tcBorders>
              <w:top w:val="nil"/>
              <w:left w:val="nil"/>
              <w:bottom w:val="nil"/>
              <w:right w:val="nil"/>
            </w:tcBorders>
            <w:shd w:val="clear" w:color="auto" w:fill="FFFFFF"/>
            <w:noWrap/>
            <w:vAlign w:val="center"/>
          </w:tcPr>
          <w:p w14:paraId="78E6B38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697E8A83">
        <w:trPr>
          <w:trHeight w:val="278" w:hRule="atLeast"/>
          <w:jc w:val="center"/>
        </w:trPr>
        <w:tc>
          <w:tcPr>
            <w:tcW w:w="4194" w:type="dxa"/>
            <w:tcBorders>
              <w:top w:val="nil"/>
              <w:left w:val="nil"/>
              <w:bottom w:val="nil"/>
              <w:right w:val="nil"/>
            </w:tcBorders>
            <w:shd w:val="clear" w:color="auto" w:fill="FFFFFF"/>
            <w:noWrap/>
            <w:vAlign w:val="center"/>
          </w:tcPr>
          <w:p w14:paraId="6ED677A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3564" w:type="dxa"/>
            <w:tcBorders>
              <w:top w:val="nil"/>
              <w:left w:val="nil"/>
              <w:bottom w:val="nil"/>
              <w:right w:val="nil"/>
            </w:tcBorders>
            <w:shd w:val="clear" w:color="auto" w:fill="FFFFFF"/>
            <w:noWrap/>
            <w:vAlign w:val="center"/>
          </w:tcPr>
          <w:p w14:paraId="4B51FD1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7E7DDD6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0.188</w:t>
            </w:r>
          </w:p>
        </w:tc>
        <w:tc>
          <w:tcPr>
            <w:tcW w:w="1010" w:type="dxa"/>
            <w:tcBorders>
              <w:top w:val="nil"/>
              <w:left w:val="nil"/>
              <w:bottom w:val="nil"/>
              <w:right w:val="nil"/>
            </w:tcBorders>
            <w:shd w:val="clear" w:color="auto" w:fill="FFFFFF"/>
            <w:noWrap/>
            <w:vAlign w:val="center"/>
          </w:tcPr>
          <w:p w14:paraId="6023DBD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5DADA22B">
        <w:trPr>
          <w:trHeight w:val="90" w:hRule="atLeast"/>
          <w:jc w:val="center"/>
        </w:trPr>
        <w:tc>
          <w:tcPr>
            <w:tcW w:w="4194" w:type="dxa"/>
            <w:tcBorders>
              <w:top w:val="nil"/>
              <w:left w:val="nil"/>
              <w:bottom w:val="nil"/>
              <w:right w:val="nil"/>
            </w:tcBorders>
            <w:shd w:val="clear" w:color="auto" w:fill="FFFFFF"/>
            <w:noWrap/>
            <w:vAlign w:val="center"/>
          </w:tcPr>
          <w:p w14:paraId="3E5984D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ES3: Per capita household consumption</w:t>
            </w:r>
          </w:p>
        </w:tc>
        <w:tc>
          <w:tcPr>
            <w:tcW w:w="3564" w:type="dxa"/>
            <w:tcBorders>
              <w:top w:val="nil"/>
              <w:left w:val="nil"/>
              <w:bottom w:val="nil"/>
              <w:right w:val="nil"/>
            </w:tcBorders>
            <w:shd w:val="clear" w:color="auto" w:fill="FFFFFF"/>
            <w:noWrap/>
            <w:vAlign w:val="center"/>
          </w:tcPr>
          <w:p w14:paraId="0C49364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1408" w:type="dxa"/>
            <w:tcBorders>
              <w:top w:val="nil"/>
              <w:left w:val="nil"/>
              <w:bottom w:val="nil"/>
              <w:right w:val="nil"/>
            </w:tcBorders>
            <w:shd w:val="clear" w:color="auto" w:fill="FFFFFF"/>
            <w:noWrap/>
            <w:vAlign w:val="center"/>
          </w:tcPr>
          <w:p w14:paraId="23C1E33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0.182</w:t>
            </w:r>
          </w:p>
        </w:tc>
        <w:tc>
          <w:tcPr>
            <w:tcW w:w="1010" w:type="dxa"/>
            <w:tcBorders>
              <w:top w:val="nil"/>
              <w:left w:val="nil"/>
              <w:bottom w:val="nil"/>
              <w:right w:val="nil"/>
            </w:tcBorders>
            <w:shd w:val="clear" w:color="auto" w:fill="FFFFFF"/>
            <w:noWrap/>
            <w:vAlign w:val="center"/>
          </w:tcPr>
          <w:p w14:paraId="6E0CDDF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798E29AA">
        <w:trPr>
          <w:trHeight w:val="278" w:hRule="atLeast"/>
          <w:jc w:val="center"/>
        </w:trPr>
        <w:tc>
          <w:tcPr>
            <w:tcW w:w="4194" w:type="dxa"/>
            <w:tcBorders>
              <w:top w:val="nil"/>
              <w:left w:val="nil"/>
              <w:bottom w:val="nil"/>
              <w:right w:val="nil"/>
            </w:tcBorders>
            <w:shd w:val="clear" w:color="auto" w:fill="FFFFFF"/>
            <w:noWrap/>
            <w:vAlign w:val="center"/>
          </w:tcPr>
          <w:p w14:paraId="1DE20D50">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F1: Comorbidity</w:t>
            </w:r>
          </w:p>
        </w:tc>
        <w:tc>
          <w:tcPr>
            <w:tcW w:w="3564" w:type="dxa"/>
            <w:tcBorders>
              <w:top w:val="nil"/>
              <w:left w:val="nil"/>
              <w:bottom w:val="nil"/>
              <w:right w:val="nil"/>
            </w:tcBorders>
            <w:shd w:val="clear" w:color="auto" w:fill="FFFFFF"/>
            <w:noWrap/>
            <w:vAlign w:val="center"/>
          </w:tcPr>
          <w:p w14:paraId="452F1F6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F4: Depression</w:t>
            </w:r>
          </w:p>
        </w:tc>
        <w:tc>
          <w:tcPr>
            <w:tcW w:w="1408" w:type="dxa"/>
            <w:tcBorders>
              <w:top w:val="nil"/>
              <w:left w:val="nil"/>
              <w:bottom w:val="nil"/>
              <w:right w:val="nil"/>
            </w:tcBorders>
            <w:shd w:val="clear" w:color="auto" w:fill="FFFFFF"/>
            <w:noWrap/>
            <w:vAlign w:val="center"/>
          </w:tcPr>
          <w:p w14:paraId="2C814288">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0.179</w:t>
            </w:r>
          </w:p>
        </w:tc>
        <w:tc>
          <w:tcPr>
            <w:tcW w:w="1010" w:type="dxa"/>
            <w:tcBorders>
              <w:top w:val="nil"/>
              <w:left w:val="nil"/>
              <w:bottom w:val="nil"/>
              <w:right w:val="nil"/>
            </w:tcBorders>
            <w:shd w:val="clear" w:color="auto" w:fill="FFFFFF"/>
            <w:noWrap/>
            <w:vAlign w:val="center"/>
          </w:tcPr>
          <w:p w14:paraId="2209E95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3773C46D">
        <w:trPr>
          <w:trHeight w:val="278" w:hRule="atLeast"/>
          <w:jc w:val="center"/>
        </w:trPr>
        <w:tc>
          <w:tcPr>
            <w:tcW w:w="4194" w:type="dxa"/>
            <w:tcBorders>
              <w:top w:val="nil"/>
              <w:left w:val="nil"/>
              <w:bottom w:val="nil"/>
              <w:right w:val="nil"/>
            </w:tcBorders>
            <w:shd w:val="clear" w:color="auto" w:fill="FFFFFF"/>
            <w:noWrap/>
            <w:vAlign w:val="center"/>
          </w:tcPr>
          <w:p w14:paraId="6516CAA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F4: Depression</w:t>
            </w:r>
          </w:p>
        </w:tc>
        <w:tc>
          <w:tcPr>
            <w:tcW w:w="3564" w:type="dxa"/>
            <w:tcBorders>
              <w:top w:val="nil"/>
              <w:left w:val="nil"/>
              <w:bottom w:val="nil"/>
              <w:right w:val="nil"/>
            </w:tcBorders>
            <w:shd w:val="clear" w:color="auto" w:fill="FFFFFF"/>
            <w:noWrap/>
            <w:vAlign w:val="center"/>
          </w:tcPr>
          <w:p w14:paraId="2E7DE197">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1408" w:type="dxa"/>
            <w:tcBorders>
              <w:top w:val="nil"/>
              <w:left w:val="nil"/>
              <w:bottom w:val="nil"/>
              <w:right w:val="nil"/>
            </w:tcBorders>
            <w:shd w:val="clear" w:color="auto" w:fill="FFFFFF"/>
            <w:noWrap/>
            <w:vAlign w:val="center"/>
          </w:tcPr>
          <w:p w14:paraId="383BAE97">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0.162</w:t>
            </w:r>
          </w:p>
        </w:tc>
        <w:tc>
          <w:tcPr>
            <w:tcW w:w="1010" w:type="dxa"/>
            <w:tcBorders>
              <w:top w:val="nil"/>
              <w:left w:val="nil"/>
              <w:bottom w:val="nil"/>
              <w:right w:val="nil"/>
            </w:tcBorders>
            <w:shd w:val="clear" w:color="auto" w:fill="FFFFFF"/>
            <w:noWrap/>
            <w:vAlign w:val="center"/>
          </w:tcPr>
          <w:p w14:paraId="6A90EC4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06E1F314">
        <w:trPr>
          <w:trHeight w:val="278" w:hRule="atLeast"/>
          <w:jc w:val="center"/>
        </w:trPr>
        <w:tc>
          <w:tcPr>
            <w:tcW w:w="4194" w:type="dxa"/>
            <w:tcBorders>
              <w:top w:val="nil"/>
              <w:left w:val="nil"/>
              <w:bottom w:val="nil"/>
              <w:right w:val="nil"/>
            </w:tcBorders>
            <w:shd w:val="clear" w:color="auto" w:fill="FFFFFF"/>
            <w:noWrap/>
            <w:vAlign w:val="center"/>
          </w:tcPr>
          <w:p w14:paraId="677680E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3564" w:type="dxa"/>
            <w:tcBorders>
              <w:top w:val="nil"/>
              <w:left w:val="nil"/>
              <w:bottom w:val="nil"/>
              <w:right w:val="nil"/>
            </w:tcBorders>
            <w:shd w:val="clear" w:color="auto" w:fill="FFFFFF"/>
            <w:noWrap/>
            <w:vAlign w:val="center"/>
          </w:tcPr>
          <w:p w14:paraId="660D8519">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1AB1EF5B">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0.156</w:t>
            </w:r>
          </w:p>
        </w:tc>
        <w:tc>
          <w:tcPr>
            <w:tcW w:w="1010" w:type="dxa"/>
            <w:tcBorders>
              <w:top w:val="nil"/>
              <w:left w:val="nil"/>
              <w:bottom w:val="nil"/>
              <w:right w:val="nil"/>
            </w:tcBorders>
            <w:shd w:val="clear" w:color="auto" w:fill="FFFFFF"/>
            <w:noWrap/>
            <w:vAlign w:val="center"/>
          </w:tcPr>
          <w:p w14:paraId="25E3B9C6">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6AE16FA1">
        <w:trPr>
          <w:trHeight w:val="278" w:hRule="atLeast"/>
          <w:jc w:val="center"/>
        </w:trPr>
        <w:tc>
          <w:tcPr>
            <w:tcW w:w="4194" w:type="dxa"/>
            <w:tcBorders>
              <w:top w:val="nil"/>
              <w:left w:val="nil"/>
              <w:bottom w:val="nil"/>
              <w:right w:val="nil"/>
            </w:tcBorders>
            <w:shd w:val="clear" w:color="auto" w:fill="FFFFFF"/>
            <w:noWrap/>
            <w:vAlign w:val="center"/>
          </w:tcPr>
          <w:p w14:paraId="350A726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NBE4: Housing quality</w:t>
            </w:r>
          </w:p>
        </w:tc>
        <w:tc>
          <w:tcPr>
            <w:tcW w:w="3564" w:type="dxa"/>
            <w:tcBorders>
              <w:top w:val="nil"/>
              <w:left w:val="nil"/>
              <w:bottom w:val="nil"/>
              <w:right w:val="nil"/>
            </w:tcBorders>
            <w:shd w:val="clear" w:color="auto" w:fill="FFFFFF"/>
            <w:noWrap/>
            <w:vAlign w:val="center"/>
          </w:tcPr>
          <w:p w14:paraId="5242B23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6F9B6E8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0.149</w:t>
            </w:r>
          </w:p>
        </w:tc>
        <w:tc>
          <w:tcPr>
            <w:tcW w:w="1010" w:type="dxa"/>
            <w:tcBorders>
              <w:top w:val="nil"/>
              <w:left w:val="nil"/>
              <w:bottom w:val="nil"/>
              <w:right w:val="nil"/>
            </w:tcBorders>
            <w:shd w:val="clear" w:color="auto" w:fill="FFFFFF"/>
            <w:noWrap/>
            <w:vAlign w:val="center"/>
          </w:tcPr>
          <w:p w14:paraId="188F187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4AA82C83">
        <w:trPr>
          <w:trHeight w:val="278" w:hRule="atLeast"/>
          <w:jc w:val="center"/>
        </w:trPr>
        <w:tc>
          <w:tcPr>
            <w:tcW w:w="4194" w:type="dxa"/>
            <w:tcBorders>
              <w:top w:val="nil"/>
              <w:left w:val="nil"/>
              <w:bottom w:val="nil"/>
              <w:right w:val="nil"/>
            </w:tcBorders>
            <w:shd w:val="clear" w:color="auto" w:fill="FFFFFF"/>
            <w:noWrap/>
            <w:vAlign w:val="center"/>
          </w:tcPr>
          <w:p w14:paraId="4864B4F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13AD997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1408" w:type="dxa"/>
            <w:tcBorders>
              <w:top w:val="nil"/>
              <w:left w:val="nil"/>
              <w:bottom w:val="nil"/>
              <w:right w:val="nil"/>
            </w:tcBorders>
            <w:shd w:val="clear" w:color="auto" w:fill="FFFFFF"/>
            <w:noWrap/>
            <w:vAlign w:val="center"/>
          </w:tcPr>
          <w:p w14:paraId="5C20569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0.147</w:t>
            </w:r>
          </w:p>
        </w:tc>
        <w:tc>
          <w:tcPr>
            <w:tcW w:w="1010" w:type="dxa"/>
            <w:tcBorders>
              <w:top w:val="nil"/>
              <w:left w:val="nil"/>
              <w:bottom w:val="nil"/>
              <w:right w:val="nil"/>
            </w:tcBorders>
            <w:shd w:val="clear" w:color="auto" w:fill="FFFFFF"/>
            <w:noWrap/>
            <w:vAlign w:val="center"/>
          </w:tcPr>
          <w:p w14:paraId="7842A22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56208E34">
        <w:trPr>
          <w:trHeight w:val="278" w:hRule="atLeast"/>
          <w:jc w:val="center"/>
        </w:trPr>
        <w:tc>
          <w:tcPr>
            <w:tcW w:w="4194" w:type="dxa"/>
            <w:tcBorders>
              <w:top w:val="nil"/>
              <w:left w:val="nil"/>
              <w:bottom w:val="nil"/>
              <w:right w:val="nil"/>
            </w:tcBorders>
            <w:shd w:val="clear" w:color="auto" w:fill="FFFFFF"/>
            <w:noWrap/>
            <w:vAlign w:val="center"/>
          </w:tcPr>
          <w:p w14:paraId="35A45A7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3564" w:type="dxa"/>
            <w:tcBorders>
              <w:top w:val="nil"/>
              <w:left w:val="nil"/>
              <w:bottom w:val="nil"/>
              <w:right w:val="nil"/>
            </w:tcBorders>
            <w:shd w:val="clear" w:color="auto" w:fill="FFFFFF"/>
            <w:noWrap/>
            <w:vAlign w:val="center"/>
          </w:tcPr>
          <w:p w14:paraId="6E0D712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HAQ1: Health insurance</w:t>
            </w:r>
          </w:p>
        </w:tc>
        <w:tc>
          <w:tcPr>
            <w:tcW w:w="1408" w:type="dxa"/>
            <w:tcBorders>
              <w:top w:val="nil"/>
              <w:left w:val="nil"/>
              <w:bottom w:val="nil"/>
              <w:right w:val="nil"/>
            </w:tcBorders>
            <w:shd w:val="clear" w:color="auto" w:fill="FFFFFF"/>
            <w:noWrap/>
            <w:vAlign w:val="center"/>
          </w:tcPr>
          <w:p w14:paraId="457A4A89">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0.144</w:t>
            </w:r>
          </w:p>
        </w:tc>
        <w:tc>
          <w:tcPr>
            <w:tcW w:w="1010" w:type="dxa"/>
            <w:tcBorders>
              <w:top w:val="nil"/>
              <w:left w:val="nil"/>
              <w:bottom w:val="nil"/>
              <w:right w:val="nil"/>
            </w:tcBorders>
            <w:shd w:val="clear" w:color="auto" w:fill="FFFFFF"/>
            <w:noWrap/>
            <w:vAlign w:val="center"/>
          </w:tcPr>
          <w:p w14:paraId="2DC997E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472DA0BD">
        <w:trPr>
          <w:trHeight w:val="278" w:hRule="atLeast"/>
          <w:jc w:val="center"/>
        </w:trPr>
        <w:tc>
          <w:tcPr>
            <w:tcW w:w="4194" w:type="dxa"/>
            <w:tcBorders>
              <w:top w:val="nil"/>
              <w:left w:val="nil"/>
              <w:bottom w:val="nil"/>
              <w:right w:val="nil"/>
            </w:tcBorders>
            <w:shd w:val="clear" w:color="auto" w:fill="FFFFFF"/>
            <w:noWrap/>
            <w:vAlign w:val="center"/>
          </w:tcPr>
          <w:p w14:paraId="0324F46C">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ES3: Per capita household consumption</w:t>
            </w:r>
          </w:p>
        </w:tc>
        <w:tc>
          <w:tcPr>
            <w:tcW w:w="3564" w:type="dxa"/>
            <w:tcBorders>
              <w:top w:val="nil"/>
              <w:left w:val="nil"/>
              <w:bottom w:val="nil"/>
              <w:right w:val="nil"/>
            </w:tcBorders>
            <w:shd w:val="clear" w:color="auto" w:fill="FFFFFF"/>
            <w:noWrap/>
            <w:vAlign w:val="center"/>
          </w:tcPr>
          <w:p w14:paraId="01493227">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EDU1: Education level</w:t>
            </w:r>
          </w:p>
        </w:tc>
        <w:tc>
          <w:tcPr>
            <w:tcW w:w="1408" w:type="dxa"/>
            <w:tcBorders>
              <w:top w:val="nil"/>
              <w:left w:val="nil"/>
              <w:bottom w:val="nil"/>
              <w:right w:val="nil"/>
            </w:tcBorders>
            <w:shd w:val="clear" w:color="auto" w:fill="FFFFFF"/>
            <w:noWrap/>
            <w:vAlign w:val="center"/>
          </w:tcPr>
          <w:p w14:paraId="0C2494E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0.14</w:t>
            </w:r>
          </w:p>
        </w:tc>
        <w:tc>
          <w:tcPr>
            <w:tcW w:w="1010" w:type="dxa"/>
            <w:tcBorders>
              <w:top w:val="nil"/>
              <w:left w:val="nil"/>
              <w:bottom w:val="nil"/>
              <w:right w:val="nil"/>
            </w:tcBorders>
            <w:shd w:val="clear" w:color="auto" w:fill="FFFFFF"/>
            <w:noWrap/>
            <w:vAlign w:val="center"/>
          </w:tcPr>
          <w:p w14:paraId="6BA1252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238E290E">
        <w:trPr>
          <w:trHeight w:val="278" w:hRule="atLeast"/>
          <w:jc w:val="center"/>
        </w:trPr>
        <w:tc>
          <w:tcPr>
            <w:tcW w:w="4194" w:type="dxa"/>
            <w:tcBorders>
              <w:top w:val="nil"/>
              <w:left w:val="nil"/>
              <w:bottom w:val="nil"/>
              <w:right w:val="nil"/>
            </w:tcBorders>
            <w:shd w:val="clear" w:color="auto" w:fill="FFFFFF"/>
            <w:noWrap/>
            <w:vAlign w:val="center"/>
          </w:tcPr>
          <w:p w14:paraId="5232143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40792C4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HAQ1: Health insurance</w:t>
            </w:r>
          </w:p>
        </w:tc>
        <w:tc>
          <w:tcPr>
            <w:tcW w:w="1408" w:type="dxa"/>
            <w:tcBorders>
              <w:top w:val="nil"/>
              <w:left w:val="nil"/>
              <w:bottom w:val="nil"/>
              <w:right w:val="nil"/>
            </w:tcBorders>
            <w:shd w:val="clear" w:color="auto" w:fill="FFFFFF"/>
            <w:noWrap/>
            <w:vAlign w:val="center"/>
          </w:tcPr>
          <w:p w14:paraId="39683AC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0.138</w:t>
            </w:r>
          </w:p>
        </w:tc>
        <w:tc>
          <w:tcPr>
            <w:tcW w:w="1010" w:type="dxa"/>
            <w:tcBorders>
              <w:top w:val="nil"/>
              <w:left w:val="nil"/>
              <w:bottom w:val="nil"/>
              <w:right w:val="nil"/>
            </w:tcBorders>
            <w:shd w:val="clear" w:color="auto" w:fill="FFFFFF"/>
            <w:noWrap/>
            <w:vAlign w:val="center"/>
          </w:tcPr>
          <w:p w14:paraId="00E1D331">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5CD0F1D9">
        <w:trPr>
          <w:trHeight w:val="278" w:hRule="atLeast"/>
          <w:jc w:val="center"/>
        </w:trPr>
        <w:tc>
          <w:tcPr>
            <w:tcW w:w="4194" w:type="dxa"/>
            <w:tcBorders>
              <w:top w:val="nil"/>
              <w:left w:val="nil"/>
              <w:bottom w:val="nil"/>
              <w:right w:val="nil"/>
            </w:tcBorders>
            <w:shd w:val="clear" w:color="auto" w:fill="FFFFFF"/>
            <w:noWrap/>
            <w:vAlign w:val="center"/>
          </w:tcPr>
          <w:p w14:paraId="3677358A">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HAQ3: Per capita number of health institutions</w:t>
            </w:r>
          </w:p>
        </w:tc>
        <w:tc>
          <w:tcPr>
            <w:tcW w:w="3564" w:type="dxa"/>
            <w:tcBorders>
              <w:top w:val="nil"/>
              <w:left w:val="nil"/>
              <w:bottom w:val="nil"/>
              <w:right w:val="nil"/>
            </w:tcBorders>
            <w:shd w:val="clear" w:color="auto" w:fill="FFFFFF"/>
            <w:noWrap/>
            <w:vAlign w:val="center"/>
          </w:tcPr>
          <w:p w14:paraId="32FB591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NBE4: Housing quality</w:t>
            </w:r>
          </w:p>
        </w:tc>
        <w:tc>
          <w:tcPr>
            <w:tcW w:w="1408" w:type="dxa"/>
            <w:tcBorders>
              <w:top w:val="nil"/>
              <w:left w:val="nil"/>
              <w:bottom w:val="nil"/>
              <w:right w:val="nil"/>
            </w:tcBorders>
            <w:shd w:val="clear" w:color="auto" w:fill="FFFFFF"/>
            <w:noWrap/>
            <w:vAlign w:val="center"/>
          </w:tcPr>
          <w:p w14:paraId="4C783D6D">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0.135</w:t>
            </w:r>
          </w:p>
        </w:tc>
        <w:tc>
          <w:tcPr>
            <w:tcW w:w="1010" w:type="dxa"/>
            <w:tcBorders>
              <w:top w:val="nil"/>
              <w:left w:val="nil"/>
              <w:bottom w:val="nil"/>
              <w:right w:val="nil"/>
            </w:tcBorders>
            <w:shd w:val="clear" w:color="auto" w:fill="FFFFFF"/>
            <w:noWrap/>
            <w:vAlign w:val="center"/>
          </w:tcPr>
          <w:p w14:paraId="59F7858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Negative</w:t>
            </w:r>
          </w:p>
        </w:tc>
      </w:tr>
      <w:tr w14:paraId="36A70876">
        <w:trPr>
          <w:trHeight w:val="356" w:hRule="atLeast"/>
          <w:jc w:val="center"/>
        </w:trPr>
        <w:tc>
          <w:tcPr>
            <w:tcW w:w="4194" w:type="dxa"/>
            <w:tcBorders>
              <w:top w:val="nil"/>
              <w:left w:val="nil"/>
              <w:bottom w:val="nil"/>
              <w:right w:val="nil"/>
            </w:tcBorders>
            <w:shd w:val="clear" w:color="auto" w:fill="FFFFFF"/>
            <w:noWrap/>
            <w:vAlign w:val="center"/>
          </w:tcPr>
          <w:p w14:paraId="26F25B3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NBE5: Air quality</w:t>
            </w:r>
          </w:p>
        </w:tc>
        <w:tc>
          <w:tcPr>
            <w:tcW w:w="3564" w:type="dxa"/>
            <w:tcBorders>
              <w:top w:val="nil"/>
              <w:left w:val="nil"/>
              <w:bottom w:val="nil"/>
              <w:right w:val="nil"/>
            </w:tcBorders>
            <w:shd w:val="clear" w:color="auto" w:fill="FFFFFF"/>
            <w:noWrap/>
            <w:vAlign w:val="center"/>
          </w:tcPr>
          <w:p w14:paraId="6082CD8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NBE6: Noise level</w:t>
            </w:r>
          </w:p>
        </w:tc>
        <w:tc>
          <w:tcPr>
            <w:tcW w:w="1408" w:type="dxa"/>
            <w:tcBorders>
              <w:top w:val="nil"/>
              <w:left w:val="nil"/>
              <w:bottom w:val="nil"/>
              <w:right w:val="nil"/>
            </w:tcBorders>
            <w:shd w:val="clear" w:color="auto" w:fill="FFFFFF"/>
            <w:noWrap/>
            <w:vAlign w:val="center"/>
          </w:tcPr>
          <w:p w14:paraId="7238299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0.132</w:t>
            </w:r>
          </w:p>
        </w:tc>
        <w:tc>
          <w:tcPr>
            <w:tcW w:w="1010" w:type="dxa"/>
            <w:tcBorders>
              <w:top w:val="nil"/>
              <w:left w:val="nil"/>
              <w:bottom w:val="nil"/>
              <w:right w:val="nil"/>
            </w:tcBorders>
            <w:shd w:val="clear" w:color="auto" w:fill="FFFFFF"/>
            <w:noWrap/>
            <w:vAlign w:val="center"/>
          </w:tcPr>
          <w:p w14:paraId="15A0D445">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28D36C32">
        <w:trPr>
          <w:trHeight w:val="90" w:hRule="atLeast"/>
          <w:jc w:val="center"/>
        </w:trPr>
        <w:tc>
          <w:tcPr>
            <w:tcW w:w="4194" w:type="dxa"/>
            <w:tcBorders>
              <w:top w:val="nil"/>
              <w:left w:val="nil"/>
              <w:bottom w:val="nil"/>
              <w:right w:val="nil"/>
            </w:tcBorders>
            <w:shd w:val="clear" w:color="auto" w:fill="FFFFFF"/>
            <w:noWrap/>
            <w:vAlign w:val="center"/>
          </w:tcPr>
          <w:p w14:paraId="224DF95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F2: Self-reported health problems</w:t>
            </w:r>
          </w:p>
        </w:tc>
        <w:tc>
          <w:tcPr>
            <w:tcW w:w="3564" w:type="dxa"/>
            <w:tcBorders>
              <w:top w:val="nil"/>
              <w:left w:val="nil"/>
              <w:bottom w:val="nil"/>
              <w:right w:val="nil"/>
            </w:tcBorders>
            <w:shd w:val="clear" w:color="auto" w:fill="FFFFFF"/>
            <w:noWrap/>
            <w:vAlign w:val="center"/>
          </w:tcPr>
          <w:p w14:paraId="7EE5CEA2">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HAQ2: Access to healthcare</w:t>
            </w:r>
          </w:p>
        </w:tc>
        <w:tc>
          <w:tcPr>
            <w:tcW w:w="1408" w:type="dxa"/>
            <w:tcBorders>
              <w:top w:val="nil"/>
              <w:left w:val="nil"/>
              <w:bottom w:val="nil"/>
              <w:right w:val="nil"/>
            </w:tcBorders>
            <w:shd w:val="clear" w:color="auto" w:fill="FFFFFF"/>
            <w:noWrap/>
            <w:vAlign w:val="center"/>
          </w:tcPr>
          <w:p w14:paraId="6BBD9E8B">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0.131</w:t>
            </w:r>
          </w:p>
        </w:tc>
        <w:tc>
          <w:tcPr>
            <w:tcW w:w="1010" w:type="dxa"/>
            <w:tcBorders>
              <w:top w:val="nil"/>
              <w:left w:val="nil"/>
              <w:bottom w:val="nil"/>
              <w:right w:val="nil"/>
            </w:tcBorders>
            <w:shd w:val="clear" w:color="auto" w:fill="FFFFFF"/>
            <w:noWrap/>
            <w:vAlign w:val="center"/>
          </w:tcPr>
          <w:p w14:paraId="4D260C07">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Negative</w:t>
            </w:r>
          </w:p>
        </w:tc>
      </w:tr>
      <w:tr w14:paraId="56AB7D13">
        <w:trPr>
          <w:trHeight w:val="278" w:hRule="atLeast"/>
          <w:jc w:val="center"/>
        </w:trPr>
        <w:tc>
          <w:tcPr>
            <w:tcW w:w="4194" w:type="dxa"/>
            <w:tcBorders>
              <w:top w:val="nil"/>
              <w:left w:val="nil"/>
              <w:bottom w:val="nil"/>
              <w:right w:val="nil"/>
            </w:tcBorders>
            <w:shd w:val="clear" w:color="auto" w:fill="FFFFFF"/>
            <w:noWrap/>
            <w:vAlign w:val="center"/>
          </w:tcPr>
          <w:p w14:paraId="7A7BAC1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F4: Depression</w:t>
            </w:r>
          </w:p>
        </w:tc>
        <w:tc>
          <w:tcPr>
            <w:tcW w:w="3564" w:type="dxa"/>
            <w:tcBorders>
              <w:top w:val="nil"/>
              <w:left w:val="nil"/>
              <w:bottom w:val="nil"/>
              <w:right w:val="nil"/>
            </w:tcBorders>
            <w:shd w:val="clear" w:color="auto" w:fill="FFFFFF"/>
            <w:noWrap/>
            <w:vAlign w:val="center"/>
          </w:tcPr>
          <w:p w14:paraId="1D58188F">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6E15C4F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w:t>
            </w:r>
          </w:p>
        </w:tc>
        <w:tc>
          <w:tcPr>
            <w:tcW w:w="1010" w:type="dxa"/>
            <w:tcBorders>
              <w:top w:val="nil"/>
              <w:left w:val="nil"/>
              <w:bottom w:val="nil"/>
              <w:right w:val="nil"/>
            </w:tcBorders>
            <w:shd w:val="clear" w:color="auto" w:fill="FFFFFF"/>
            <w:noWrap/>
            <w:vAlign w:val="center"/>
          </w:tcPr>
          <w:p w14:paraId="2E9B910A">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12AFE675">
        <w:trPr>
          <w:trHeight w:val="278" w:hRule="atLeast"/>
          <w:jc w:val="center"/>
        </w:trPr>
        <w:tc>
          <w:tcPr>
            <w:tcW w:w="4194" w:type="dxa"/>
            <w:tcBorders>
              <w:top w:val="nil"/>
              <w:left w:val="nil"/>
              <w:bottom w:val="nil"/>
              <w:right w:val="nil"/>
            </w:tcBorders>
            <w:shd w:val="clear" w:color="auto" w:fill="FFFFFF"/>
            <w:noWrap/>
            <w:vAlign w:val="center"/>
          </w:tcPr>
          <w:p w14:paraId="20D6786D">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HAQ1: Health insurance</w:t>
            </w:r>
          </w:p>
        </w:tc>
        <w:tc>
          <w:tcPr>
            <w:tcW w:w="3564" w:type="dxa"/>
            <w:tcBorders>
              <w:top w:val="nil"/>
              <w:left w:val="nil"/>
              <w:bottom w:val="nil"/>
              <w:right w:val="nil"/>
            </w:tcBorders>
            <w:shd w:val="clear" w:color="auto" w:fill="FFFFFF"/>
            <w:noWrap/>
            <w:vAlign w:val="center"/>
          </w:tcPr>
          <w:p w14:paraId="54545E5E">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401E334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0.13</w:t>
            </w:r>
          </w:p>
        </w:tc>
        <w:tc>
          <w:tcPr>
            <w:tcW w:w="1010" w:type="dxa"/>
            <w:tcBorders>
              <w:top w:val="nil"/>
              <w:left w:val="nil"/>
              <w:bottom w:val="nil"/>
              <w:right w:val="nil"/>
            </w:tcBorders>
            <w:shd w:val="clear" w:color="auto" w:fill="FFFFFF"/>
            <w:noWrap/>
            <w:vAlign w:val="center"/>
          </w:tcPr>
          <w:p w14:paraId="5D649B56">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w:t>
            </w:r>
          </w:p>
        </w:tc>
      </w:tr>
      <w:tr w14:paraId="605D5E56">
        <w:trPr>
          <w:trHeight w:val="278" w:hRule="atLeast"/>
          <w:jc w:val="center"/>
        </w:trPr>
        <w:tc>
          <w:tcPr>
            <w:tcW w:w="4194" w:type="dxa"/>
            <w:tcBorders>
              <w:top w:val="nil"/>
              <w:left w:val="nil"/>
              <w:bottom w:val="nil"/>
              <w:right w:val="nil"/>
            </w:tcBorders>
            <w:shd w:val="clear" w:color="auto" w:fill="FFFFFF"/>
            <w:noWrap/>
            <w:vAlign w:val="center"/>
          </w:tcPr>
          <w:p w14:paraId="7EB0D95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3564" w:type="dxa"/>
            <w:tcBorders>
              <w:top w:val="nil"/>
              <w:left w:val="nil"/>
              <w:bottom w:val="nil"/>
              <w:right w:val="nil"/>
            </w:tcBorders>
            <w:shd w:val="clear" w:color="auto" w:fill="FFFFFF"/>
            <w:noWrap/>
            <w:vAlign w:val="center"/>
          </w:tcPr>
          <w:p w14:paraId="6266277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HAQ2: Access to healthcare</w:t>
            </w:r>
          </w:p>
        </w:tc>
        <w:tc>
          <w:tcPr>
            <w:tcW w:w="1408" w:type="dxa"/>
            <w:tcBorders>
              <w:top w:val="nil"/>
              <w:left w:val="nil"/>
              <w:bottom w:val="nil"/>
              <w:right w:val="nil"/>
            </w:tcBorders>
            <w:shd w:val="clear" w:color="auto" w:fill="FFFFFF"/>
            <w:noWrap/>
            <w:vAlign w:val="center"/>
          </w:tcPr>
          <w:p w14:paraId="023EA1FE">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0.122</w:t>
            </w:r>
          </w:p>
        </w:tc>
        <w:tc>
          <w:tcPr>
            <w:tcW w:w="1010" w:type="dxa"/>
            <w:tcBorders>
              <w:top w:val="nil"/>
              <w:left w:val="nil"/>
              <w:bottom w:val="nil"/>
              <w:right w:val="nil"/>
            </w:tcBorders>
            <w:shd w:val="clear" w:color="auto" w:fill="FFFFFF"/>
            <w:noWrap/>
            <w:vAlign w:val="center"/>
          </w:tcPr>
          <w:p w14:paraId="7FE7F68F">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795320D3">
        <w:trPr>
          <w:trHeight w:val="278" w:hRule="atLeast"/>
          <w:jc w:val="center"/>
        </w:trPr>
        <w:tc>
          <w:tcPr>
            <w:tcW w:w="4194" w:type="dxa"/>
            <w:tcBorders>
              <w:top w:val="nil"/>
              <w:left w:val="nil"/>
              <w:bottom w:val="nil"/>
              <w:right w:val="nil"/>
            </w:tcBorders>
            <w:shd w:val="clear" w:color="auto" w:fill="FFFFFF"/>
            <w:noWrap/>
            <w:vAlign w:val="center"/>
          </w:tcPr>
          <w:p w14:paraId="37FBF93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F3: ADL/IADL functional disability</w:t>
            </w:r>
          </w:p>
        </w:tc>
        <w:tc>
          <w:tcPr>
            <w:tcW w:w="3564" w:type="dxa"/>
            <w:tcBorders>
              <w:top w:val="nil"/>
              <w:left w:val="nil"/>
              <w:bottom w:val="nil"/>
              <w:right w:val="nil"/>
            </w:tcBorders>
            <w:shd w:val="clear" w:color="auto" w:fill="FFFFFF"/>
            <w:noWrap/>
            <w:vAlign w:val="center"/>
          </w:tcPr>
          <w:p w14:paraId="2527A9F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1408" w:type="dxa"/>
            <w:tcBorders>
              <w:top w:val="nil"/>
              <w:left w:val="nil"/>
              <w:bottom w:val="nil"/>
              <w:right w:val="nil"/>
            </w:tcBorders>
            <w:shd w:val="clear" w:color="auto" w:fill="FFFFFF"/>
            <w:noWrap/>
            <w:vAlign w:val="center"/>
          </w:tcPr>
          <w:p w14:paraId="5540F286">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0.119</w:t>
            </w:r>
          </w:p>
        </w:tc>
        <w:tc>
          <w:tcPr>
            <w:tcW w:w="1010" w:type="dxa"/>
            <w:tcBorders>
              <w:top w:val="nil"/>
              <w:left w:val="nil"/>
              <w:bottom w:val="nil"/>
              <w:right w:val="nil"/>
            </w:tcBorders>
            <w:shd w:val="clear" w:color="auto" w:fill="FFFFFF"/>
            <w:noWrap/>
            <w:vAlign w:val="center"/>
          </w:tcPr>
          <w:p w14:paraId="32674456">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Positive</w:t>
            </w:r>
          </w:p>
        </w:tc>
      </w:tr>
      <w:tr w14:paraId="3E60A6B8">
        <w:trPr>
          <w:trHeight w:val="278" w:hRule="atLeast"/>
          <w:jc w:val="center"/>
        </w:trPr>
        <w:tc>
          <w:tcPr>
            <w:tcW w:w="4194" w:type="dxa"/>
            <w:tcBorders>
              <w:top w:val="nil"/>
              <w:left w:val="nil"/>
              <w:bottom w:val="nil"/>
              <w:right w:val="nil"/>
            </w:tcBorders>
            <w:shd w:val="clear" w:color="auto" w:fill="FFFFFF"/>
            <w:noWrap/>
            <w:vAlign w:val="center"/>
          </w:tcPr>
          <w:p w14:paraId="269B258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787B43B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NBE2: Accommodation stability</w:t>
            </w:r>
          </w:p>
        </w:tc>
        <w:tc>
          <w:tcPr>
            <w:tcW w:w="1408" w:type="dxa"/>
            <w:tcBorders>
              <w:top w:val="nil"/>
              <w:left w:val="nil"/>
              <w:bottom w:val="nil"/>
              <w:right w:val="nil"/>
            </w:tcBorders>
            <w:shd w:val="clear" w:color="auto" w:fill="FFFFFF"/>
            <w:noWrap/>
            <w:vAlign w:val="center"/>
          </w:tcPr>
          <w:p w14:paraId="381BA200">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0.119</w:t>
            </w:r>
          </w:p>
        </w:tc>
        <w:tc>
          <w:tcPr>
            <w:tcW w:w="1010" w:type="dxa"/>
            <w:tcBorders>
              <w:top w:val="nil"/>
              <w:left w:val="nil"/>
              <w:bottom w:val="nil"/>
              <w:right w:val="nil"/>
            </w:tcBorders>
            <w:shd w:val="clear" w:color="auto" w:fill="FFFFFF"/>
            <w:noWrap/>
            <w:vAlign w:val="center"/>
          </w:tcPr>
          <w:p w14:paraId="2CBC5F4A">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27FBF065">
        <w:trPr>
          <w:trHeight w:val="278" w:hRule="atLeast"/>
          <w:jc w:val="center"/>
        </w:trPr>
        <w:tc>
          <w:tcPr>
            <w:tcW w:w="4194" w:type="dxa"/>
            <w:tcBorders>
              <w:top w:val="nil"/>
              <w:left w:val="nil"/>
              <w:bottom w:val="nil"/>
              <w:right w:val="nil"/>
            </w:tcBorders>
            <w:shd w:val="clear" w:color="auto" w:fill="FFFFFF"/>
            <w:noWrap/>
            <w:vAlign w:val="center"/>
          </w:tcPr>
          <w:p w14:paraId="315DB2A2">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3564" w:type="dxa"/>
            <w:tcBorders>
              <w:top w:val="nil"/>
              <w:left w:val="nil"/>
              <w:bottom w:val="nil"/>
              <w:right w:val="nil"/>
            </w:tcBorders>
            <w:shd w:val="clear" w:color="auto" w:fill="FFFFFF"/>
            <w:noWrap/>
            <w:vAlign w:val="center"/>
          </w:tcPr>
          <w:p w14:paraId="67A7F00D">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NBE1: Residence</w:t>
            </w:r>
          </w:p>
        </w:tc>
        <w:tc>
          <w:tcPr>
            <w:tcW w:w="1408" w:type="dxa"/>
            <w:tcBorders>
              <w:top w:val="nil"/>
              <w:left w:val="nil"/>
              <w:bottom w:val="nil"/>
              <w:right w:val="nil"/>
            </w:tcBorders>
            <w:shd w:val="clear" w:color="auto" w:fill="FFFFFF"/>
            <w:noWrap/>
            <w:vAlign w:val="center"/>
          </w:tcPr>
          <w:p w14:paraId="75D37644">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0.112</w:t>
            </w:r>
          </w:p>
        </w:tc>
        <w:tc>
          <w:tcPr>
            <w:tcW w:w="1010" w:type="dxa"/>
            <w:tcBorders>
              <w:top w:val="nil"/>
              <w:left w:val="nil"/>
              <w:bottom w:val="nil"/>
              <w:right w:val="nil"/>
            </w:tcBorders>
            <w:shd w:val="clear" w:color="auto" w:fill="FFFFFF"/>
            <w:noWrap/>
            <w:vAlign w:val="center"/>
          </w:tcPr>
          <w:p w14:paraId="227111B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71CD5E43">
        <w:trPr>
          <w:trHeight w:val="278" w:hRule="atLeast"/>
          <w:jc w:val="center"/>
        </w:trPr>
        <w:tc>
          <w:tcPr>
            <w:tcW w:w="4194" w:type="dxa"/>
            <w:tcBorders>
              <w:top w:val="nil"/>
              <w:left w:val="nil"/>
              <w:bottom w:val="nil"/>
              <w:right w:val="nil"/>
            </w:tcBorders>
            <w:shd w:val="clear" w:color="auto" w:fill="FFFFFF"/>
            <w:noWrap/>
            <w:vAlign w:val="center"/>
          </w:tcPr>
          <w:p w14:paraId="345BF04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220F8B9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SCC2: Living alone</w:t>
            </w:r>
          </w:p>
        </w:tc>
        <w:tc>
          <w:tcPr>
            <w:tcW w:w="1408" w:type="dxa"/>
            <w:tcBorders>
              <w:top w:val="nil"/>
              <w:left w:val="nil"/>
              <w:bottom w:val="nil"/>
              <w:right w:val="nil"/>
            </w:tcBorders>
            <w:shd w:val="clear" w:color="auto" w:fill="FFFFFF"/>
            <w:noWrap/>
            <w:vAlign w:val="center"/>
          </w:tcPr>
          <w:p w14:paraId="5B3B4B78">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0.112</w:t>
            </w:r>
          </w:p>
        </w:tc>
        <w:tc>
          <w:tcPr>
            <w:tcW w:w="1010" w:type="dxa"/>
            <w:tcBorders>
              <w:top w:val="nil"/>
              <w:left w:val="nil"/>
              <w:bottom w:val="nil"/>
              <w:right w:val="nil"/>
            </w:tcBorders>
            <w:shd w:val="clear" w:color="auto" w:fill="FFFFFF"/>
            <w:noWrap/>
            <w:vAlign w:val="center"/>
          </w:tcPr>
          <w:p w14:paraId="07305F2B">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0C9B421B">
        <w:trPr>
          <w:trHeight w:val="278" w:hRule="atLeast"/>
          <w:jc w:val="center"/>
        </w:trPr>
        <w:tc>
          <w:tcPr>
            <w:tcW w:w="4194" w:type="dxa"/>
            <w:tcBorders>
              <w:top w:val="nil"/>
              <w:left w:val="nil"/>
              <w:bottom w:val="nil"/>
              <w:right w:val="nil"/>
            </w:tcBorders>
            <w:shd w:val="clear" w:color="auto" w:fill="FFFFFF"/>
            <w:noWrap/>
            <w:vAlign w:val="center"/>
          </w:tcPr>
          <w:p w14:paraId="3D2E01F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3564" w:type="dxa"/>
            <w:tcBorders>
              <w:top w:val="nil"/>
              <w:left w:val="nil"/>
              <w:bottom w:val="nil"/>
              <w:right w:val="nil"/>
            </w:tcBorders>
            <w:shd w:val="clear" w:color="auto" w:fill="FFFFFF"/>
            <w:noWrap/>
            <w:vAlign w:val="center"/>
          </w:tcPr>
          <w:p w14:paraId="6A5FF8D3">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SCC1: Marriage</w:t>
            </w:r>
          </w:p>
        </w:tc>
        <w:tc>
          <w:tcPr>
            <w:tcW w:w="1408" w:type="dxa"/>
            <w:tcBorders>
              <w:top w:val="nil"/>
              <w:left w:val="nil"/>
              <w:bottom w:val="nil"/>
              <w:right w:val="nil"/>
            </w:tcBorders>
            <w:shd w:val="clear" w:color="auto" w:fill="FFFFFF"/>
            <w:noWrap/>
            <w:vAlign w:val="center"/>
          </w:tcPr>
          <w:p w14:paraId="191D41E0">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0.108</w:t>
            </w:r>
          </w:p>
        </w:tc>
        <w:tc>
          <w:tcPr>
            <w:tcW w:w="1010" w:type="dxa"/>
            <w:tcBorders>
              <w:top w:val="nil"/>
              <w:left w:val="nil"/>
              <w:bottom w:val="nil"/>
              <w:right w:val="nil"/>
            </w:tcBorders>
            <w:shd w:val="clear" w:color="auto" w:fill="FFFFFF"/>
            <w:noWrap/>
            <w:vAlign w:val="center"/>
          </w:tcPr>
          <w:p w14:paraId="4733B27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Negative</w:t>
            </w:r>
          </w:p>
        </w:tc>
      </w:tr>
      <w:tr w14:paraId="5AFD8ABE">
        <w:trPr>
          <w:trHeight w:val="278" w:hRule="atLeast"/>
          <w:jc w:val="center"/>
        </w:trPr>
        <w:tc>
          <w:tcPr>
            <w:tcW w:w="4194" w:type="dxa"/>
            <w:tcBorders>
              <w:top w:val="nil"/>
              <w:left w:val="nil"/>
              <w:bottom w:val="nil"/>
              <w:right w:val="nil"/>
            </w:tcBorders>
            <w:shd w:val="clear" w:color="auto" w:fill="FFFFFF"/>
            <w:noWrap/>
            <w:vAlign w:val="center"/>
          </w:tcPr>
          <w:p w14:paraId="1B200E25">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ES1: Employment status</w:t>
            </w:r>
          </w:p>
        </w:tc>
        <w:tc>
          <w:tcPr>
            <w:tcW w:w="3564" w:type="dxa"/>
            <w:tcBorders>
              <w:top w:val="nil"/>
              <w:left w:val="nil"/>
              <w:bottom w:val="nil"/>
              <w:right w:val="nil"/>
            </w:tcBorders>
            <w:shd w:val="clear" w:color="auto" w:fill="FFFFFF"/>
            <w:noWrap/>
            <w:vAlign w:val="center"/>
          </w:tcPr>
          <w:p w14:paraId="4461C308">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ES2: Per capita household income</w:t>
            </w:r>
          </w:p>
        </w:tc>
        <w:tc>
          <w:tcPr>
            <w:tcW w:w="1408" w:type="dxa"/>
            <w:tcBorders>
              <w:top w:val="nil"/>
              <w:left w:val="nil"/>
              <w:bottom w:val="nil"/>
              <w:right w:val="nil"/>
            </w:tcBorders>
            <w:shd w:val="clear" w:color="auto" w:fill="FFFFFF"/>
            <w:noWrap/>
            <w:vAlign w:val="center"/>
          </w:tcPr>
          <w:p w14:paraId="20E2850C">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0.108</w:t>
            </w:r>
          </w:p>
        </w:tc>
        <w:tc>
          <w:tcPr>
            <w:tcW w:w="1010" w:type="dxa"/>
            <w:tcBorders>
              <w:top w:val="nil"/>
              <w:left w:val="nil"/>
              <w:bottom w:val="nil"/>
              <w:right w:val="nil"/>
            </w:tcBorders>
            <w:shd w:val="clear" w:color="auto" w:fill="FFFFFF"/>
            <w:noWrap/>
            <w:vAlign w:val="center"/>
          </w:tcPr>
          <w:p w14:paraId="0C08C869">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t>
            </w:r>
          </w:p>
        </w:tc>
      </w:tr>
      <w:tr w14:paraId="331C8F1F">
        <w:trPr>
          <w:trHeight w:val="278" w:hRule="atLeast"/>
          <w:jc w:val="center"/>
        </w:trPr>
        <w:tc>
          <w:tcPr>
            <w:tcW w:w="4194" w:type="dxa"/>
            <w:tcBorders>
              <w:top w:val="nil"/>
              <w:left w:val="nil"/>
              <w:bottom w:val="single" w:color="000000" w:sz="12" w:space="0"/>
              <w:right w:val="nil"/>
            </w:tcBorders>
            <w:shd w:val="clear" w:color="auto" w:fill="FFFFFF"/>
            <w:noWrap/>
            <w:vAlign w:val="center"/>
          </w:tcPr>
          <w:p w14:paraId="01262164">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F5: Cognition deficits</w:t>
            </w:r>
          </w:p>
        </w:tc>
        <w:tc>
          <w:tcPr>
            <w:tcW w:w="3564" w:type="dxa"/>
            <w:tcBorders>
              <w:top w:val="nil"/>
              <w:left w:val="nil"/>
              <w:bottom w:val="single" w:color="000000" w:sz="12" w:space="0"/>
              <w:right w:val="nil"/>
            </w:tcBorders>
            <w:shd w:val="clear" w:color="auto" w:fill="FFFFFF"/>
            <w:noWrap/>
            <w:vAlign w:val="center"/>
          </w:tcPr>
          <w:p w14:paraId="61FC6FB1">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SCC3: Social participation</w:t>
            </w:r>
          </w:p>
        </w:tc>
        <w:tc>
          <w:tcPr>
            <w:tcW w:w="1408" w:type="dxa"/>
            <w:tcBorders>
              <w:top w:val="nil"/>
              <w:left w:val="nil"/>
              <w:bottom w:val="single" w:color="000000" w:sz="12" w:space="0"/>
              <w:right w:val="nil"/>
            </w:tcBorders>
            <w:shd w:val="clear" w:color="auto" w:fill="FFFFFF"/>
            <w:noWrap/>
            <w:vAlign w:val="center"/>
          </w:tcPr>
          <w:p w14:paraId="32721552">
            <w:pPr>
              <w:jc w:val="center"/>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0.104</w:t>
            </w:r>
          </w:p>
        </w:tc>
        <w:tc>
          <w:tcPr>
            <w:tcW w:w="1010" w:type="dxa"/>
            <w:tcBorders>
              <w:top w:val="nil"/>
              <w:left w:val="nil"/>
              <w:bottom w:val="single" w:color="000000" w:sz="12" w:space="0"/>
              <w:right w:val="nil"/>
            </w:tcBorders>
            <w:shd w:val="clear" w:color="auto" w:fill="FFFFFF"/>
            <w:noWrap/>
            <w:vAlign w:val="center"/>
          </w:tcPr>
          <w:p w14:paraId="079D3C7D">
            <w:pPr>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Negative</w:t>
            </w:r>
          </w:p>
        </w:tc>
      </w:tr>
    </w:tbl>
    <w:p w14:paraId="0BA4BE62">
      <w:pPr>
        <w:widowControl/>
        <w:rPr>
          <w:rFonts w:ascii="Times New Roman" w:hAnsi="Times New Roman" w:eastAsia="DengXian" w:cs="Times New Roman"/>
          <w:i/>
          <w:iCs/>
          <w:color w:val="000000"/>
          <w:kern w:val="0"/>
          <w:szCs w:val="21"/>
        </w:rPr>
      </w:pPr>
      <w:r>
        <w:rPr>
          <w:rFonts w:hint="eastAsia" w:ascii="Times New Roman" w:hAnsi="Times New Roman" w:eastAsia="DengXian" w:cs="Times New Roman"/>
          <w:i/>
          <w:iCs/>
          <w:color w:val="000000"/>
          <w:kern w:val="0"/>
          <w:szCs w:val="21"/>
        </w:rPr>
        <w:t>Notes</w:t>
      </w:r>
      <w:r>
        <w:rPr>
          <w:rFonts w:ascii="Times New Roman" w:hAnsi="Times New Roman" w:eastAsia="DengXian" w:cs="Times New Roman"/>
          <w:i/>
          <w:iCs/>
          <w:color w:val="000000"/>
          <w:kern w:val="0"/>
          <w:szCs w:val="21"/>
        </w:rPr>
        <w:t>:</w:t>
      </w:r>
    </w:p>
    <w:p w14:paraId="466C7059">
      <w:pPr>
        <w:widowControl/>
        <w:rPr>
          <w:rFonts w:ascii="Times New Roman" w:hAnsi="Times New Roman" w:eastAsia="DengXian" w:cs="Times New Roman"/>
          <w:i/>
          <w:iCs/>
          <w:color w:val="000000"/>
          <w:kern w:val="0"/>
          <w:szCs w:val="21"/>
        </w:rPr>
      </w:pPr>
      <w:r>
        <w:rPr>
          <w:rFonts w:ascii="Times New Roman" w:hAnsi="Times New Roman" w:eastAsia="DengXian" w:cs="Times New Roman"/>
          <w:i/>
          <w:iCs/>
          <w:color w:val="000000"/>
          <w:kern w:val="0"/>
          <w:szCs w:val="21"/>
        </w:rPr>
        <w:t xml:space="preserve">Only edge weights </w:t>
      </w:r>
      <w:r>
        <w:rPr>
          <w:rFonts w:hint="eastAsia" w:ascii="Times New Roman" w:hAnsi="Times New Roman" w:eastAsia="DengXian" w:cs="Times New Roman"/>
          <w:i/>
          <w:iCs/>
          <w:color w:val="000000"/>
          <w:kern w:val="0"/>
          <w:szCs w:val="21"/>
        </w:rPr>
        <w:t>with an absolute value ≥0.100 are presented for clarity.</w:t>
      </w:r>
    </w:p>
    <w:p w14:paraId="4D621F0D">
      <w:pPr>
        <w:widowControl/>
        <w:rPr>
          <w:rFonts w:eastAsia="宋体" w:cs="Times New Roman"/>
          <w:kern w:val="0"/>
          <w:szCs w:val="21"/>
        </w:rPr>
      </w:pPr>
      <w:r>
        <w:rPr>
          <w:rFonts w:hint="eastAsia" w:ascii="Times New Roman" w:hAnsi="Times New Roman" w:eastAsia="DengXian" w:cs="Times New Roman"/>
          <w:color w:val="000000"/>
          <w:kern w:val="0"/>
          <w:szCs w:val="21"/>
        </w:rPr>
        <w:t>- indicates associations involving categorical variables with three or more levels, for which a specific positive or negative direction cannot be meaningfully interpreted.</w:t>
      </w:r>
    </w:p>
    <w:p w14:paraId="56FA8486">
      <w:pPr>
        <w:pStyle w:val="8"/>
        <w:spacing w:after="0" w:line="240" w:lineRule="auto"/>
        <w:jc w:val="center"/>
      </w:pPr>
    </w:p>
    <w:p w14:paraId="1DA52F27">
      <w:pPr>
        <w:pStyle w:val="8"/>
        <w:spacing w:after="0" w:line="240" w:lineRule="auto"/>
        <w:jc w:val="center"/>
      </w:pPr>
      <w:r>
        <w:drawing>
          <wp:inline distT="0" distB="0" distL="114300" distR="114300">
            <wp:extent cx="6581140" cy="3331845"/>
            <wp:effectExtent l="0" t="0" r="0" b="0"/>
            <wp:docPr id="36" name="图片 36" descr="FigS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FigS36"/>
                    <pic:cNvPicPr>
                      <a:picLocks noChangeAspect="1"/>
                    </pic:cNvPicPr>
                  </pic:nvPicPr>
                  <pic:blipFill>
                    <a:blip r:embed="rId39"/>
                    <a:srcRect l="5910"/>
                    <a:stretch>
                      <a:fillRect/>
                    </a:stretch>
                  </pic:blipFill>
                  <pic:spPr>
                    <a:xfrm>
                      <a:off x="0" y="0"/>
                      <a:ext cx="6581140" cy="3331845"/>
                    </a:xfrm>
                    <a:prstGeom prst="rect">
                      <a:avLst/>
                    </a:prstGeom>
                  </pic:spPr>
                </pic:pic>
              </a:graphicData>
            </a:graphic>
          </wp:inline>
        </w:drawing>
      </w:r>
    </w:p>
    <w:p w14:paraId="7DB98F51">
      <w:pPr>
        <w:pStyle w:val="8"/>
        <w:rPr>
          <w:rFonts w:eastAsia="DengXian" w:cs="Times New Roman"/>
          <w:b w:val="0"/>
          <w:bCs w:val="0"/>
          <w:sz w:val="21"/>
          <w:szCs w:val="21"/>
        </w:rPr>
      </w:pPr>
      <w:r>
        <w:rPr>
          <w:rFonts w:eastAsia="宋体" w:cs="Times New Roman"/>
          <w:kern w:val="0"/>
          <w:sz w:val="21"/>
          <w:szCs w:val="21"/>
        </w:rPr>
        <w:t>Figure S</w:t>
      </w:r>
      <w:r>
        <w:rPr>
          <w:rFonts w:hint="eastAsia" w:eastAsia="宋体" w:cs="Times New Roman"/>
          <w:kern w:val="0"/>
          <w:sz w:val="21"/>
          <w:szCs w:val="21"/>
        </w:rPr>
        <w:t>3</w:t>
      </w:r>
      <w:r>
        <w:rPr>
          <w:rFonts w:eastAsia="宋体" w:cs="Times New Roman"/>
          <w:kern w:val="0"/>
          <w:sz w:val="21"/>
          <w:szCs w:val="21"/>
        </w:rPr>
        <w:t xml:space="preserve">6. </w:t>
      </w:r>
      <w:r>
        <w:rPr>
          <w:rFonts w:eastAsia="DengXian" w:cs="Times New Roman"/>
          <w:b w:val="0"/>
          <w:bCs w:val="0"/>
          <w:sz w:val="21"/>
          <w:szCs w:val="21"/>
        </w:rPr>
        <w:t xml:space="preserve">Centrality indices for </w:t>
      </w:r>
      <w:r>
        <w:rPr>
          <w:rFonts w:eastAsia="宋体" w:cs="Times New Roman"/>
          <w:b w:val="0"/>
          <w:bCs w:val="0"/>
          <w:kern w:val="0"/>
          <w:sz w:val="21"/>
          <w:szCs w:val="21"/>
        </w:rPr>
        <w:t>the</w:t>
      </w:r>
      <w:r>
        <w:rPr>
          <w:rFonts w:hint="eastAsia" w:eastAsia="宋体" w:cs="Times New Roman"/>
          <w:b w:val="0"/>
          <w:bCs w:val="0"/>
          <w:kern w:val="0"/>
          <w:sz w:val="21"/>
          <w:szCs w:val="21"/>
        </w:rPr>
        <w:t xml:space="preserve"> integrated network of SDoH and frailty</w:t>
      </w:r>
      <w:r>
        <w:rPr>
          <w:rFonts w:eastAsia="宋体" w:cs="Times New Roman"/>
          <w:b w:val="0"/>
          <w:bCs w:val="0"/>
          <w:kern w:val="0"/>
          <w:sz w:val="21"/>
          <w:szCs w:val="21"/>
        </w:rPr>
        <w:t xml:space="preserve"> in the complete-case sensitivity analysis.</w:t>
      </w:r>
    </w:p>
    <w:p w14:paraId="79DBD082">
      <w:pPr>
        <w:rPr>
          <w:rFonts w:ascii="Times New Roman" w:hAnsi="Times New Roman" w:eastAsia="DengXian" w:cs="Times New Roman"/>
          <w:kern w:val="28"/>
          <w:szCs w:val="21"/>
        </w:rPr>
      </w:pPr>
    </w:p>
    <w:p w14:paraId="79C56B14">
      <w:pPr>
        <w:jc w:val="center"/>
        <w:rPr>
          <w:rFonts w:ascii="Times New Roman" w:hAnsi="Times New Roman" w:eastAsia="DengXian" w:cs="Times New Roman"/>
          <w:kern w:val="28"/>
          <w:szCs w:val="21"/>
        </w:rPr>
      </w:pPr>
      <w:r>
        <w:rPr>
          <w:rFonts w:hint="eastAsia" w:ascii="Times New Roman" w:hAnsi="Times New Roman" w:eastAsia="DengXian" w:cs="Times New Roman"/>
          <w:kern w:val="28"/>
          <w:szCs w:val="21"/>
        </w:rPr>
        <w:drawing>
          <wp:inline distT="0" distB="0" distL="114300" distR="114300">
            <wp:extent cx="6202680" cy="2939415"/>
            <wp:effectExtent l="0" t="0" r="0" b="0"/>
            <wp:docPr id="37" name="图片 37" descr="FigS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igS37"/>
                    <pic:cNvPicPr>
                      <a:picLocks noChangeAspect="1"/>
                    </pic:cNvPicPr>
                  </pic:nvPicPr>
                  <pic:blipFill>
                    <a:blip r:embed="rId40"/>
                    <a:srcRect l="4134" r="2383" b="6992"/>
                    <a:stretch>
                      <a:fillRect/>
                    </a:stretch>
                  </pic:blipFill>
                  <pic:spPr>
                    <a:xfrm>
                      <a:off x="0" y="0"/>
                      <a:ext cx="6202680" cy="2939415"/>
                    </a:xfrm>
                    <a:prstGeom prst="rect">
                      <a:avLst/>
                    </a:prstGeom>
                  </pic:spPr>
                </pic:pic>
              </a:graphicData>
            </a:graphic>
          </wp:inline>
        </w:drawing>
      </w:r>
    </w:p>
    <w:p w14:paraId="439703BF">
      <w:pPr>
        <w:pStyle w:val="8"/>
        <w:spacing w:after="0" w:line="240" w:lineRule="auto"/>
        <w:rPr>
          <w:rFonts w:eastAsia="DengXian" w:cs="Times New Roman"/>
          <w:b w:val="0"/>
          <w:bCs w:val="0"/>
          <w:sz w:val="21"/>
          <w:szCs w:val="21"/>
        </w:rPr>
      </w:pPr>
      <w:r>
        <w:rPr>
          <w:rFonts w:eastAsia="宋体" w:cs="Times New Roman"/>
          <w:kern w:val="0"/>
          <w:sz w:val="21"/>
          <w:szCs w:val="21"/>
        </w:rPr>
        <w:t>Figure S</w:t>
      </w:r>
      <w:r>
        <w:rPr>
          <w:rFonts w:hint="eastAsia" w:eastAsia="宋体" w:cs="Times New Roman"/>
          <w:kern w:val="0"/>
          <w:sz w:val="21"/>
          <w:szCs w:val="21"/>
        </w:rPr>
        <w:t>3</w:t>
      </w:r>
      <w:r>
        <w:rPr>
          <w:rFonts w:eastAsia="宋体" w:cs="Times New Roman"/>
          <w:kern w:val="0"/>
          <w:sz w:val="21"/>
          <w:szCs w:val="21"/>
        </w:rPr>
        <w:t xml:space="preserve">7. </w:t>
      </w:r>
      <w:r>
        <w:rPr>
          <w:rFonts w:hint="eastAsia" w:eastAsia="DengXian" w:cs="Times New Roman"/>
          <w:b w:val="0"/>
          <w:bCs w:val="0"/>
          <w:sz w:val="21"/>
          <w:szCs w:val="21"/>
        </w:rPr>
        <w:t>Bridge strength</w:t>
      </w:r>
      <w:r>
        <w:rPr>
          <w:rFonts w:eastAsia="DengXian" w:cs="Times New Roman"/>
          <w:b w:val="0"/>
          <w:bCs w:val="0"/>
          <w:sz w:val="21"/>
          <w:szCs w:val="21"/>
        </w:rPr>
        <w:t xml:space="preserve"> for </w:t>
      </w:r>
      <w:r>
        <w:rPr>
          <w:rFonts w:eastAsia="宋体" w:cs="Times New Roman"/>
          <w:b w:val="0"/>
          <w:bCs w:val="0"/>
          <w:kern w:val="0"/>
          <w:sz w:val="21"/>
          <w:szCs w:val="21"/>
        </w:rPr>
        <w:t>the</w:t>
      </w:r>
      <w:r>
        <w:rPr>
          <w:rFonts w:hint="eastAsia" w:eastAsia="宋体" w:cs="Times New Roman"/>
          <w:b w:val="0"/>
          <w:bCs w:val="0"/>
          <w:kern w:val="0"/>
          <w:sz w:val="21"/>
          <w:szCs w:val="21"/>
        </w:rPr>
        <w:t xml:space="preserve"> integrated network of SDoH and frailty</w:t>
      </w:r>
      <w:r>
        <w:rPr>
          <w:rFonts w:eastAsia="宋体" w:cs="Times New Roman"/>
          <w:b w:val="0"/>
          <w:bCs w:val="0"/>
          <w:kern w:val="0"/>
          <w:sz w:val="21"/>
          <w:szCs w:val="21"/>
        </w:rPr>
        <w:t xml:space="preserve"> in the complete-case sensitivity analysis.</w:t>
      </w:r>
    </w:p>
    <w:p w14:paraId="38970E03">
      <w:pPr>
        <w:rPr>
          <w:rFonts w:ascii="Times New Roman" w:hAnsi="Times New Roman" w:eastAsia="DengXian"/>
          <w:b/>
          <w:bCs/>
          <w:szCs w:val="21"/>
        </w:rPr>
      </w:pPr>
      <w:r>
        <w:rPr>
          <w:rFonts w:hint="eastAsia" w:ascii="Times New Roman" w:hAnsi="Times New Roman" w:eastAsia="DengXian"/>
          <w:b/>
          <w:bCs/>
          <w:szCs w:val="21"/>
        </w:rPr>
        <w:br w:type="page"/>
      </w:r>
    </w:p>
    <w:p w14:paraId="0A8B70DF">
      <w:pPr>
        <w:pStyle w:val="9"/>
        <w:widowControl/>
        <w:spacing w:beforeAutospacing="0" w:afterAutospacing="0" w:line="360" w:lineRule="auto"/>
        <w:jc w:val="both"/>
        <w:rPr>
          <w:rFonts w:ascii="Times New Roman" w:hAnsi="Times New Roman" w:eastAsia="DengXian"/>
          <w:b/>
          <w:bCs/>
          <w:kern w:val="2"/>
          <w:sz w:val="21"/>
          <w:szCs w:val="21"/>
        </w:rPr>
      </w:pPr>
      <w:r>
        <w:rPr>
          <w:rFonts w:hint="eastAsia" w:ascii="Times New Roman" w:hAnsi="Times New Roman" w:eastAsia="DengXian"/>
          <w:b/>
          <w:bCs/>
          <w:kern w:val="2"/>
          <w:sz w:val="21"/>
          <w:szCs w:val="21"/>
        </w:rPr>
        <w:t>References</w:t>
      </w:r>
    </w:p>
    <w:p w14:paraId="17C20F15">
      <w:pPr>
        <w:pStyle w:val="21"/>
        <w:ind w:left="300" w:hanging="300"/>
      </w:pPr>
      <w:r>
        <w:rPr>
          <w:rFonts w:hint="eastAsia" w:eastAsia="DengXian"/>
          <w:i/>
          <w:iCs/>
          <w:sz w:val="21"/>
          <w:szCs w:val="21"/>
        </w:rPr>
        <w:fldChar w:fldCharType="begin"/>
      </w:r>
      <w:r>
        <w:rPr>
          <w:rFonts w:hint="eastAsia" w:eastAsia="DengXian"/>
          <w:i/>
          <w:iCs/>
          <w:sz w:val="21"/>
          <w:szCs w:val="21"/>
        </w:rPr>
        <w:instrText xml:space="preserve"> ADDIN EN.REFLIST </w:instrText>
      </w:r>
      <w:r>
        <w:rPr>
          <w:rFonts w:hint="eastAsia" w:eastAsia="DengXian"/>
          <w:i/>
          <w:iCs/>
          <w:sz w:val="21"/>
          <w:szCs w:val="21"/>
        </w:rPr>
        <w:fldChar w:fldCharType="separate"/>
      </w:r>
      <w:r>
        <w:t>1.</w:t>
      </w:r>
      <w:r>
        <w:tab/>
      </w:r>
      <w:r>
        <w:t xml:space="preserve">Zhao, Y., et al., </w:t>
      </w:r>
      <w:r>
        <w:rPr>
          <w:i/>
        </w:rPr>
        <w:t>Cohort profile: the China Health and Retirement Longitudinal Study (CHARLS).</w:t>
      </w:r>
      <w:r>
        <w:t xml:space="preserve"> Int J Epidemiol, 2014. </w:t>
      </w:r>
      <w:r>
        <w:rPr>
          <w:b/>
        </w:rPr>
        <w:t>43</w:t>
      </w:r>
      <w:r>
        <w:t>(1): p. 61-8.</w:t>
      </w:r>
    </w:p>
    <w:p w14:paraId="51664529">
      <w:pPr>
        <w:pStyle w:val="21"/>
        <w:ind w:left="300" w:hanging="300"/>
      </w:pPr>
      <w:r>
        <w:t>2.</w:t>
      </w:r>
      <w:r>
        <w:tab/>
      </w:r>
      <w:r>
        <w:t xml:space="preserve">Zhao, Y., et al., </w:t>
      </w:r>
      <w:r>
        <w:rPr>
          <w:i/>
        </w:rPr>
        <w:t>China Health and Retirement Longitudinal Study Wave 5 (2020) User Guide.</w:t>
      </w:r>
      <w:r>
        <w:t xml:space="preserve"> National School of Development, Peking University, 2023.</w:t>
      </w:r>
    </w:p>
    <w:p w14:paraId="2811B032">
      <w:pPr>
        <w:pStyle w:val="21"/>
        <w:ind w:left="300" w:hanging="300"/>
      </w:pPr>
      <w:r>
        <w:t>3.</w:t>
      </w:r>
      <w:r>
        <w:tab/>
      </w:r>
      <w:r>
        <w:t xml:space="preserve">Yang, Y., et al., </w:t>
      </w:r>
      <w:r>
        <w:rPr>
          <w:i/>
        </w:rPr>
        <w:t>The effect of living environmental factors on cardiovascular diseases in Chinese adults: results from a cross-sectional and longitudinal study.</w:t>
      </w:r>
      <w:r>
        <w:t xml:space="preserve"> Eur J Prev Cardiol, 2023. </w:t>
      </w:r>
      <w:r>
        <w:rPr>
          <w:b/>
        </w:rPr>
        <w:t>30</w:t>
      </w:r>
      <w:r>
        <w:t>(11): p. 1063-1073.</w:t>
      </w:r>
    </w:p>
    <w:p w14:paraId="38F2D766">
      <w:pPr>
        <w:pStyle w:val="21"/>
        <w:ind w:left="300" w:hanging="300"/>
      </w:pPr>
      <w:r>
        <w:t>4.</w:t>
      </w:r>
      <w:r>
        <w:tab/>
      </w:r>
      <w:r>
        <w:t xml:space="preserve">Guo, K., Q. Ji, and D. Zhang, </w:t>
      </w:r>
      <w:r>
        <w:rPr>
          <w:i/>
        </w:rPr>
        <w:t>A dataset to measure global climate physical risk.</w:t>
      </w:r>
      <w:r>
        <w:t xml:space="preserve"> Data Brief, 2024. </w:t>
      </w:r>
      <w:r>
        <w:rPr>
          <w:b/>
        </w:rPr>
        <w:t>54</w:t>
      </w:r>
      <w:r>
        <w:t>: p. 110502.</w:t>
      </w:r>
    </w:p>
    <w:p w14:paraId="067DD289">
      <w:pPr>
        <w:pStyle w:val="21"/>
        <w:ind w:left="300" w:hanging="300"/>
      </w:pPr>
      <w:r>
        <w:t>5.</w:t>
      </w:r>
      <w:r>
        <w:tab/>
      </w:r>
      <w:r>
        <w:t xml:space="preserve">Searle, S.D., et al., </w:t>
      </w:r>
      <w:r>
        <w:rPr>
          <w:i/>
        </w:rPr>
        <w:t>A standard procedure for creating a frailty index.</w:t>
      </w:r>
      <w:r>
        <w:t xml:space="preserve"> BMC Geriatr, 2008. </w:t>
      </w:r>
      <w:r>
        <w:rPr>
          <w:b/>
        </w:rPr>
        <w:t>8</w:t>
      </w:r>
      <w:r>
        <w:t>: p. 24.</w:t>
      </w:r>
    </w:p>
    <w:p w14:paraId="4E506E53">
      <w:pPr>
        <w:pStyle w:val="21"/>
        <w:ind w:left="300" w:hanging="300"/>
      </w:pPr>
      <w:r>
        <w:t>6.</w:t>
      </w:r>
      <w:r>
        <w:tab/>
      </w:r>
      <w:r>
        <w:t xml:space="preserve">He, D., et al., </w:t>
      </w:r>
      <w:r>
        <w:rPr>
          <w:i/>
        </w:rPr>
        <w:t>Frailty is associated with the progression of prediabetes to diabetes and elevated risks of cardiovascular disease and all-cause mortality in individuals with prediabetes and diabetes: Evidence from two prospective cohorts.</w:t>
      </w:r>
      <w:r>
        <w:t xml:space="preserve"> Diabetes Res Clin Pract, 2022. </w:t>
      </w:r>
      <w:r>
        <w:rPr>
          <w:b/>
        </w:rPr>
        <w:t>194</w:t>
      </w:r>
      <w:r>
        <w:t>: p. 110145.</w:t>
      </w:r>
    </w:p>
    <w:p w14:paraId="2B55F42F">
      <w:pPr>
        <w:pStyle w:val="21"/>
        <w:ind w:left="300" w:hanging="300"/>
      </w:pPr>
      <w:r>
        <w:t>7.</w:t>
      </w:r>
      <w:r>
        <w:tab/>
      </w:r>
      <w:r>
        <w:t xml:space="preserve">He, D., et al., </w:t>
      </w:r>
      <w:r>
        <w:rPr>
          <w:i/>
        </w:rPr>
        <w:t>Associations of metabolic heterogeneity of obesity with frailty progression: Results from two prospective cohorts.</w:t>
      </w:r>
      <w:r>
        <w:t xml:space="preserve"> J Cachexia Sarcopenia Muscle, 2023. </w:t>
      </w:r>
      <w:r>
        <w:rPr>
          <w:b/>
        </w:rPr>
        <w:t>14</w:t>
      </w:r>
      <w:r>
        <w:t>(1): p. 632-641.</w:t>
      </w:r>
    </w:p>
    <w:p w14:paraId="63EA17ED">
      <w:pPr>
        <w:pStyle w:val="21"/>
        <w:ind w:left="300" w:hanging="300"/>
      </w:pPr>
      <w:r>
        <w:t>8.</w:t>
      </w:r>
      <w:r>
        <w:tab/>
      </w:r>
      <w:r>
        <w:t xml:space="preserve">Li, C., et al., </w:t>
      </w:r>
      <w:r>
        <w:rPr>
          <w:i/>
        </w:rPr>
        <w:t>Association of Cystatin C Kidney Function Measures With Long-term Deficit-Accumulation Frailty Trajectories and Physical Function Decline.</w:t>
      </w:r>
      <w:r>
        <w:t xml:space="preserve"> JAMA Netw Open, 2022. </w:t>
      </w:r>
      <w:r>
        <w:rPr>
          <w:b/>
        </w:rPr>
        <w:t>5</w:t>
      </w:r>
      <w:r>
        <w:t>(9): p. e2234208.</w:t>
      </w:r>
    </w:p>
    <w:p w14:paraId="6ED00AE7">
      <w:pPr>
        <w:pStyle w:val="21"/>
        <w:ind w:left="300" w:hanging="300"/>
      </w:pPr>
      <w:r>
        <w:t>9.</w:t>
      </w:r>
      <w:r>
        <w:tab/>
      </w:r>
      <w:r>
        <w:t xml:space="preserve">Cao, X., et al., </w:t>
      </w:r>
      <w:r>
        <w:rPr>
          <w:i/>
        </w:rPr>
        <w:t>Aging metrics incorporating cognitive and physical function capture mortality risk: results from two prospective cohort studies.</w:t>
      </w:r>
      <w:r>
        <w:t xml:space="preserve"> BMC Geriatr, 2022. </w:t>
      </w:r>
      <w:r>
        <w:rPr>
          <w:b/>
        </w:rPr>
        <w:t>22</w:t>
      </w:r>
      <w:r>
        <w:t>(1): p. 378.</w:t>
      </w:r>
    </w:p>
    <w:p w14:paraId="1B0A5CC1">
      <w:pPr>
        <w:pStyle w:val="21"/>
        <w:ind w:left="300" w:hanging="300"/>
      </w:pPr>
      <w:r>
        <w:t>10.</w:t>
      </w:r>
      <w:r>
        <w:tab/>
      </w:r>
      <w:r>
        <w:t xml:space="preserve">Xu, W., et al., </w:t>
      </w:r>
      <w:r>
        <w:rPr>
          <w:i/>
        </w:rPr>
        <w:t>Sarcopenia and frailty among older Chinese adults: Findings from the CHARLS study.</w:t>
      </w:r>
      <w:r>
        <w:t xml:space="preserve"> PLoS One, 2024. </w:t>
      </w:r>
      <w:r>
        <w:rPr>
          <w:b/>
        </w:rPr>
        <w:t>19</w:t>
      </w:r>
      <w:r>
        <w:t>(11): p. e0312879.</w:t>
      </w:r>
    </w:p>
    <w:p w14:paraId="35DE457A">
      <w:pPr>
        <w:pStyle w:val="21"/>
        <w:ind w:left="300" w:hanging="300"/>
      </w:pPr>
      <w:r>
        <w:t>11.</w:t>
      </w:r>
      <w:r>
        <w:tab/>
      </w:r>
      <w:r>
        <w:t xml:space="preserve">Yin, W., et al., </w:t>
      </w:r>
      <w:r>
        <w:rPr>
          <w:i/>
        </w:rPr>
        <w:t>The Association Between Physical Activity and Frailty: China Health and Retirement Longitudinal Study (CHARLS).</w:t>
      </w:r>
      <w:r>
        <w:t xml:space="preserve"> Int J Environ Res Public Health, 2025. </w:t>
      </w:r>
      <w:r>
        <w:rPr>
          <w:b/>
        </w:rPr>
        <w:t>22</w:t>
      </w:r>
      <w:r>
        <w:t>(8).</w:t>
      </w:r>
    </w:p>
    <w:p w14:paraId="51F4EB9C">
      <w:pPr>
        <w:pStyle w:val="21"/>
        <w:ind w:left="300" w:hanging="300"/>
      </w:pPr>
      <w:r>
        <w:t>12.</w:t>
      </w:r>
      <w:r>
        <w:tab/>
      </w:r>
      <w:r>
        <w:t xml:space="preserve">Zhang, K., et al., </w:t>
      </w:r>
      <w:r>
        <w:rPr>
          <w:i/>
        </w:rPr>
        <w:t>Association of childhood and adulthood socioeconomic status with frailty index trajectories: Using five-wave panel data from the China Health and Retirement Longitudinal Study (CHARLS).</w:t>
      </w:r>
      <w:r>
        <w:t xml:space="preserve"> Arch Gerontol Geriatr, 2025. </w:t>
      </w:r>
      <w:r>
        <w:rPr>
          <w:b/>
        </w:rPr>
        <w:t>131</w:t>
      </w:r>
      <w:r>
        <w:t>: p. 105780.</w:t>
      </w:r>
    </w:p>
    <w:p w14:paraId="40E81F6E">
      <w:pPr>
        <w:pStyle w:val="21"/>
        <w:ind w:left="300" w:hanging="300"/>
      </w:pPr>
      <w:r>
        <w:t>13.</w:t>
      </w:r>
      <w:r>
        <w:tab/>
      </w:r>
      <w:r>
        <w:t xml:space="preserve">Andresen, E.M., et al., </w:t>
      </w:r>
      <w:r>
        <w:rPr>
          <w:i/>
        </w:rPr>
        <w:t>Screening for depression in well older adults: evaluation of a short form of the CES-D (Center for Epidemiologic Studies Depression Scale).</w:t>
      </w:r>
      <w:r>
        <w:t xml:space="preserve"> Am J Prev Med, 1994. </w:t>
      </w:r>
      <w:r>
        <w:rPr>
          <w:b/>
        </w:rPr>
        <w:t>10</w:t>
      </w:r>
      <w:r>
        <w:t>(2): p. 77-84.</w:t>
      </w:r>
    </w:p>
    <w:p w14:paraId="1C620C39">
      <w:pPr>
        <w:pStyle w:val="21"/>
        <w:ind w:left="300" w:hanging="300"/>
      </w:pPr>
      <w:r>
        <w:t>14.</w:t>
      </w:r>
      <w:r>
        <w:tab/>
      </w:r>
      <w:r>
        <w:t xml:space="preserve">Van Lissa, C.J., M. Garnier-Villarreal, and D. Anadria, </w:t>
      </w:r>
      <w:r>
        <w:rPr>
          <w:i/>
        </w:rPr>
        <w:t>Recommended Practices in Latent Class Analysis Using the Open-Source R-Package tidySEM.</w:t>
      </w:r>
      <w:r>
        <w:t xml:space="preserve"> Structural Equation Modeling: A Multidisciplinary Journal, 2024. </w:t>
      </w:r>
      <w:r>
        <w:rPr>
          <w:b/>
        </w:rPr>
        <w:t>31</w:t>
      </w:r>
      <w:r>
        <w:t>(3): p. 526-534.</w:t>
      </w:r>
    </w:p>
    <w:p w14:paraId="3B1B749F">
      <w:pPr>
        <w:pStyle w:val="21"/>
        <w:ind w:left="300" w:hanging="300"/>
      </w:pPr>
      <w:r>
        <w:t>15.</w:t>
      </w:r>
      <w:r>
        <w:tab/>
      </w:r>
      <w:r>
        <w:t xml:space="preserve">Lazarsfeld, P.F., </w:t>
      </w:r>
      <w:r>
        <w:rPr>
          <w:i/>
        </w:rPr>
        <w:t>Latent structure analysis.</w:t>
      </w:r>
      <w:r>
        <w:t xml:space="preserve"> (No Title), 1968.</w:t>
      </w:r>
    </w:p>
    <w:p w14:paraId="3890089B">
      <w:pPr>
        <w:pStyle w:val="21"/>
        <w:ind w:left="300" w:hanging="300"/>
      </w:pPr>
      <w:r>
        <w:t>16.</w:t>
      </w:r>
      <w:r>
        <w:tab/>
      </w:r>
      <w:r>
        <w:t xml:space="preserve">Aflaki, K., S. Vigod, and J.G. Ray, </w:t>
      </w:r>
      <w:r>
        <w:rPr>
          <w:i/>
        </w:rPr>
        <w:t>Part II: A step-by-step guide to latent class analysis.</w:t>
      </w:r>
      <w:r>
        <w:t xml:space="preserve"> Journal of Clinical Epidemiology, 2023. </w:t>
      </w:r>
      <w:r>
        <w:rPr>
          <w:b/>
        </w:rPr>
        <w:t>159</w:t>
      </w:r>
      <w:r>
        <w:t>: p. 348-351.</w:t>
      </w:r>
    </w:p>
    <w:p w14:paraId="3986C6BB">
      <w:pPr>
        <w:pStyle w:val="21"/>
        <w:ind w:left="300" w:hanging="300"/>
      </w:pPr>
      <w:r>
        <w:t>17.</w:t>
      </w:r>
      <w:r>
        <w:tab/>
      </w:r>
      <w:r>
        <w:t xml:space="preserve">Nylund, K.L., T. Asparouhov, and B.O. Muthén, </w:t>
      </w:r>
      <w:r>
        <w:rPr>
          <w:i/>
        </w:rPr>
        <w:t>Deciding on the number of classes in latent class analysis and growth mixture modeling: A Monte Carlo simulation study.</w:t>
      </w:r>
      <w:r>
        <w:t xml:space="preserve"> Structural equation modeling: A multidisciplinary Journal, 2007. </w:t>
      </w:r>
      <w:r>
        <w:rPr>
          <w:b/>
        </w:rPr>
        <w:t>14</w:t>
      </w:r>
      <w:r>
        <w:t>(4): p. 535-569.</w:t>
      </w:r>
    </w:p>
    <w:p w14:paraId="6BB8DDA8">
      <w:pPr>
        <w:pStyle w:val="21"/>
        <w:ind w:left="300" w:hanging="300"/>
      </w:pPr>
      <w:r>
        <w:t>18.</w:t>
      </w:r>
      <w:r>
        <w:tab/>
      </w:r>
      <w:r>
        <w:t xml:space="preserve">da Cunha Leme, D.E., A.L. Neri, and A. Fattori, </w:t>
      </w:r>
      <w:r>
        <w:rPr>
          <w:i/>
        </w:rPr>
        <w:t>How Do the Factors Associated With Frailty Change With Sex? An Exploratory Network Analysis.</w:t>
      </w:r>
      <w:r>
        <w:t xml:space="preserve"> J Gerontol A Biol Sci Med Sci, 2022. </w:t>
      </w:r>
      <w:r>
        <w:rPr>
          <w:b/>
        </w:rPr>
        <w:t>77</w:t>
      </w:r>
      <w:r>
        <w:t>(10): p. 2023-2031.</w:t>
      </w:r>
    </w:p>
    <w:p w14:paraId="2B5D5E35">
      <w:pPr>
        <w:pStyle w:val="21"/>
        <w:ind w:left="300" w:hanging="300"/>
      </w:pPr>
      <w:r>
        <w:t>19.</w:t>
      </w:r>
      <w:r>
        <w:tab/>
      </w:r>
      <w:r>
        <w:t xml:space="preserve">Jones, P.J., R. Ma, and R.J. McNally, </w:t>
      </w:r>
      <w:r>
        <w:rPr>
          <w:i/>
        </w:rPr>
        <w:t>Bridge Centrality: A Network Approach to Understanding Comorbidity.</w:t>
      </w:r>
      <w:r>
        <w:t xml:space="preserve"> Multivariate Behav Res, 2021. </w:t>
      </w:r>
      <w:r>
        <w:rPr>
          <w:b/>
        </w:rPr>
        <w:t>56</w:t>
      </w:r>
      <w:r>
        <w:t>(2): p. 353-367.</w:t>
      </w:r>
    </w:p>
    <w:p w14:paraId="6B8F7026">
      <w:pPr>
        <w:pStyle w:val="21"/>
        <w:ind w:left="300" w:hanging="300"/>
      </w:pPr>
      <w:r>
        <w:t>20.</w:t>
      </w:r>
      <w:r>
        <w:tab/>
      </w:r>
      <w:r>
        <w:t xml:space="preserve">Epskamp, S., D. Borsboom, and E.I. Fried, </w:t>
      </w:r>
      <w:r>
        <w:rPr>
          <w:i/>
        </w:rPr>
        <w:t>Estimating psychological networks and their accuracy: A tutorial paper.</w:t>
      </w:r>
      <w:r>
        <w:t xml:space="preserve"> Behav Res Methods, 2018. </w:t>
      </w:r>
      <w:r>
        <w:rPr>
          <w:b/>
        </w:rPr>
        <w:t>50</w:t>
      </w:r>
      <w:r>
        <w:t>(1): p. 195-212.</w:t>
      </w:r>
    </w:p>
    <w:p w14:paraId="19D0CB3C">
      <w:pPr>
        <w:pStyle w:val="21"/>
        <w:ind w:left="300" w:hanging="300"/>
        <w:rPr>
          <w:rFonts w:eastAsia="DengXian"/>
          <w:i/>
          <w:iCs/>
          <w:sz w:val="21"/>
          <w:szCs w:val="21"/>
        </w:rPr>
      </w:pPr>
      <w:r>
        <w:rPr>
          <w:rFonts w:hint="eastAsia" w:eastAsia="DengXian"/>
          <w:i/>
          <w:iCs/>
          <w:sz w:val="21"/>
          <w:szCs w:val="21"/>
        </w:rPr>
        <w:fldChar w:fldCharType="end"/>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Segoe UI">
    <w:altName w:val="苹方-简"/>
    <w:panose1 w:val="020B0502040204020203"/>
    <w:charset w:val="00"/>
    <w:family w:val="swiss"/>
    <w:pitch w:val="default"/>
    <w:sig w:usb0="00000000" w:usb1="00000000" w:usb2="00000009" w:usb3="00000000" w:csb0="000001FF" w:csb1="00000000"/>
  </w:font>
  <w:font w:name="苹方-简">
    <w:panose1 w:val="020B0400000000000000"/>
    <w:charset w:val="86"/>
    <w:family w:val="auto"/>
    <w:pitch w:val="default"/>
    <w:sig w:usb0="A00002FF" w:usb1="7ACFFDFB" w:usb2="00000017" w:usb3="00000000" w:csb0="00040001" w:csb1="00000000"/>
  </w:font>
  <w:font w:name="Times New Roman Italic">
    <w:panose1 w:val="02020503050405090304"/>
    <w:charset w:val="00"/>
    <w:family w:val="auto"/>
    <w:pitch w:val="default"/>
    <w:sig w:usb0="E0000AFF" w:usb1="00007843" w:usb2="00000001" w:usb3="00000000" w:csb0="400001BF" w:csb1="DFF70000"/>
  </w:font>
  <w:font w:name="MingLiU">
    <w:altName w:val="宋体-繁"/>
    <w:panose1 w:val="02020509000000000000"/>
    <w:charset w:val="88"/>
    <w:family w:val="modern"/>
    <w:pitch w:val="default"/>
    <w:sig w:usb0="00000000" w:usb1="00000000" w:usb2="00000016" w:usb3="00000000" w:csb0="00100001" w:csb1="00000000"/>
  </w:font>
  <w:font w:name="宋体-繁">
    <w:panose1 w:val="02010600040101010101"/>
    <w:charset w:val="86"/>
    <w:family w:val="auto"/>
    <w:pitch w:val="default"/>
    <w:sig w:usb0="00000287" w:usb1="080F0000" w:usb2="00000000" w:usb3="00000000" w:csb0="0004009F" w:csb1="DFD7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2C0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E77BD6">
                          <w:pPr>
                            <w:pStyle w:val="6"/>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4E77BD6">
                    <w:pPr>
                      <w:pStyle w:val="6"/>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D5FD42"/>
    <w:multiLevelType w:val="multilevel"/>
    <w:tmpl w:val="E7D5FD42"/>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7A7D8BA"/>
    <w:multiLevelType w:val="multilevel"/>
    <w:tmpl w:val="47A7D8BA"/>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311&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ez002xkxzpfme20z4px9rqve22zp5wpvap&quot;&gt;My EndNote Library&lt;record-ids&gt;&lt;item&gt;305&lt;/item&gt;&lt;item&gt;1299&lt;/item&gt;&lt;item&gt;1303&lt;/item&gt;&lt;item&gt;1430&lt;/item&gt;&lt;item&gt;1431&lt;/item&gt;&lt;item&gt;1437&lt;/item&gt;&lt;item&gt;1439&lt;/item&gt;&lt;item&gt;1443&lt;/item&gt;&lt;item&gt;1444&lt;/item&gt;&lt;item&gt;1445&lt;/item&gt;&lt;item&gt;1446&lt;/item&gt;&lt;item&gt;1449&lt;/item&gt;&lt;item&gt;1452&lt;/item&gt;&lt;item&gt;1518&lt;/item&gt;&lt;item&gt;1535&lt;/item&gt;&lt;item&gt;1536&lt;/item&gt;&lt;item&gt;1537&lt;/item&gt;&lt;item&gt;1539&lt;/item&gt;&lt;item&gt;1547&lt;/item&gt;&lt;item&gt;1616&lt;/item&gt;&lt;/record-ids&gt;&lt;/item&gt;&lt;/Libraries&gt;"/>
    <w:docVar w:name="EN.UseJSCitationFormat" w:val="False"/>
  </w:docVars>
  <w:rsids>
    <w:rsidRoot w:val="0075367D"/>
    <w:rsid w:val="00160C49"/>
    <w:rsid w:val="001B21A4"/>
    <w:rsid w:val="001E43BA"/>
    <w:rsid w:val="00207C0E"/>
    <w:rsid w:val="00216B09"/>
    <w:rsid w:val="0025264E"/>
    <w:rsid w:val="002770FA"/>
    <w:rsid w:val="003039E5"/>
    <w:rsid w:val="003B7CB2"/>
    <w:rsid w:val="003E798E"/>
    <w:rsid w:val="004075FD"/>
    <w:rsid w:val="00421BCD"/>
    <w:rsid w:val="00506C10"/>
    <w:rsid w:val="00510D90"/>
    <w:rsid w:val="00523EB0"/>
    <w:rsid w:val="00565264"/>
    <w:rsid w:val="00631DCB"/>
    <w:rsid w:val="00665E4F"/>
    <w:rsid w:val="00732078"/>
    <w:rsid w:val="0075367D"/>
    <w:rsid w:val="007E4499"/>
    <w:rsid w:val="00835B2F"/>
    <w:rsid w:val="00862E6F"/>
    <w:rsid w:val="008B42BA"/>
    <w:rsid w:val="00920CC9"/>
    <w:rsid w:val="009603FF"/>
    <w:rsid w:val="0099264D"/>
    <w:rsid w:val="009B0E2B"/>
    <w:rsid w:val="00A3158A"/>
    <w:rsid w:val="00A60A35"/>
    <w:rsid w:val="00A62054"/>
    <w:rsid w:val="00B30735"/>
    <w:rsid w:val="00B51092"/>
    <w:rsid w:val="00BA7A18"/>
    <w:rsid w:val="00BC775E"/>
    <w:rsid w:val="00BD6CB8"/>
    <w:rsid w:val="00BF6504"/>
    <w:rsid w:val="00C12E0F"/>
    <w:rsid w:val="00C23402"/>
    <w:rsid w:val="00C56C24"/>
    <w:rsid w:val="00CC0D15"/>
    <w:rsid w:val="00D25458"/>
    <w:rsid w:val="00D54851"/>
    <w:rsid w:val="00D60503"/>
    <w:rsid w:val="00D748A2"/>
    <w:rsid w:val="00D9438B"/>
    <w:rsid w:val="00DC298C"/>
    <w:rsid w:val="00E05C10"/>
    <w:rsid w:val="00E502E9"/>
    <w:rsid w:val="00EC1211"/>
    <w:rsid w:val="00ED3B92"/>
    <w:rsid w:val="00EF0269"/>
    <w:rsid w:val="00F9257D"/>
    <w:rsid w:val="00FF4780"/>
    <w:rsid w:val="00FF7B99"/>
    <w:rsid w:val="01011432"/>
    <w:rsid w:val="01053454"/>
    <w:rsid w:val="010D654B"/>
    <w:rsid w:val="011A2A76"/>
    <w:rsid w:val="011F0FC7"/>
    <w:rsid w:val="01202591"/>
    <w:rsid w:val="012E594C"/>
    <w:rsid w:val="01311D17"/>
    <w:rsid w:val="014B0043"/>
    <w:rsid w:val="01510F6A"/>
    <w:rsid w:val="015201AD"/>
    <w:rsid w:val="01620C7B"/>
    <w:rsid w:val="01832582"/>
    <w:rsid w:val="018B7D8A"/>
    <w:rsid w:val="01A95E0E"/>
    <w:rsid w:val="01BC5393"/>
    <w:rsid w:val="01C24AE4"/>
    <w:rsid w:val="01D45911"/>
    <w:rsid w:val="01EE19B6"/>
    <w:rsid w:val="01F25B67"/>
    <w:rsid w:val="01F86CD9"/>
    <w:rsid w:val="021D04ED"/>
    <w:rsid w:val="02207A65"/>
    <w:rsid w:val="02293D79"/>
    <w:rsid w:val="022C5D05"/>
    <w:rsid w:val="02327974"/>
    <w:rsid w:val="0236335D"/>
    <w:rsid w:val="023C3B1F"/>
    <w:rsid w:val="025A6FB6"/>
    <w:rsid w:val="026C3AC4"/>
    <w:rsid w:val="02776F03"/>
    <w:rsid w:val="028062B7"/>
    <w:rsid w:val="028476F1"/>
    <w:rsid w:val="028A4991"/>
    <w:rsid w:val="029702A0"/>
    <w:rsid w:val="02990171"/>
    <w:rsid w:val="02CA2696"/>
    <w:rsid w:val="02DE0E3A"/>
    <w:rsid w:val="02E036BE"/>
    <w:rsid w:val="03115A8A"/>
    <w:rsid w:val="0312758B"/>
    <w:rsid w:val="031470C7"/>
    <w:rsid w:val="03187600"/>
    <w:rsid w:val="03382891"/>
    <w:rsid w:val="033B3004"/>
    <w:rsid w:val="033E51CE"/>
    <w:rsid w:val="035B158C"/>
    <w:rsid w:val="036276F1"/>
    <w:rsid w:val="03640035"/>
    <w:rsid w:val="03691606"/>
    <w:rsid w:val="03724B36"/>
    <w:rsid w:val="0374413D"/>
    <w:rsid w:val="038A1CB4"/>
    <w:rsid w:val="03A11C8C"/>
    <w:rsid w:val="03CD1261"/>
    <w:rsid w:val="03D64C76"/>
    <w:rsid w:val="03D96482"/>
    <w:rsid w:val="03DC5856"/>
    <w:rsid w:val="04137DFA"/>
    <w:rsid w:val="042B5143"/>
    <w:rsid w:val="043D0B24"/>
    <w:rsid w:val="04494BCA"/>
    <w:rsid w:val="044C5A83"/>
    <w:rsid w:val="04547EBF"/>
    <w:rsid w:val="045D4105"/>
    <w:rsid w:val="04695AC3"/>
    <w:rsid w:val="046E3349"/>
    <w:rsid w:val="0474612C"/>
    <w:rsid w:val="049031D6"/>
    <w:rsid w:val="04A24CDA"/>
    <w:rsid w:val="04AB796B"/>
    <w:rsid w:val="04CF193F"/>
    <w:rsid w:val="04D16A79"/>
    <w:rsid w:val="04E13CB8"/>
    <w:rsid w:val="04F71376"/>
    <w:rsid w:val="04F94D69"/>
    <w:rsid w:val="050F15EC"/>
    <w:rsid w:val="05196F94"/>
    <w:rsid w:val="051A58B9"/>
    <w:rsid w:val="051E25B2"/>
    <w:rsid w:val="05281683"/>
    <w:rsid w:val="0529362F"/>
    <w:rsid w:val="052E656D"/>
    <w:rsid w:val="0540073C"/>
    <w:rsid w:val="0543203F"/>
    <w:rsid w:val="054330D2"/>
    <w:rsid w:val="05654685"/>
    <w:rsid w:val="0576374F"/>
    <w:rsid w:val="05822B34"/>
    <w:rsid w:val="058E1298"/>
    <w:rsid w:val="058E45B2"/>
    <w:rsid w:val="059845C0"/>
    <w:rsid w:val="059E40BE"/>
    <w:rsid w:val="05A26B09"/>
    <w:rsid w:val="05C17BF8"/>
    <w:rsid w:val="05DE11B6"/>
    <w:rsid w:val="05F05EAE"/>
    <w:rsid w:val="05F15A59"/>
    <w:rsid w:val="06071298"/>
    <w:rsid w:val="060F74B8"/>
    <w:rsid w:val="061E64BE"/>
    <w:rsid w:val="061E65E2"/>
    <w:rsid w:val="066E05B6"/>
    <w:rsid w:val="067C798B"/>
    <w:rsid w:val="06897EFF"/>
    <w:rsid w:val="0697CABC"/>
    <w:rsid w:val="06A37A1A"/>
    <w:rsid w:val="06A521F7"/>
    <w:rsid w:val="06BC017A"/>
    <w:rsid w:val="06C66228"/>
    <w:rsid w:val="06C76C7A"/>
    <w:rsid w:val="06E93094"/>
    <w:rsid w:val="070B4DB8"/>
    <w:rsid w:val="07103A46"/>
    <w:rsid w:val="0711248C"/>
    <w:rsid w:val="07286153"/>
    <w:rsid w:val="072E2772"/>
    <w:rsid w:val="074128B0"/>
    <w:rsid w:val="07427E66"/>
    <w:rsid w:val="074D6E62"/>
    <w:rsid w:val="075E6620"/>
    <w:rsid w:val="076F31D1"/>
    <w:rsid w:val="07754928"/>
    <w:rsid w:val="077810AC"/>
    <w:rsid w:val="07962D40"/>
    <w:rsid w:val="079F21A7"/>
    <w:rsid w:val="07B0089E"/>
    <w:rsid w:val="07B42E80"/>
    <w:rsid w:val="07B905F9"/>
    <w:rsid w:val="07BF5211"/>
    <w:rsid w:val="07E004AE"/>
    <w:rsid w:val="07E015FD"/>
    <w:rsid w:val="07FD4D81"/>
    <w:rsid w:val="08062B17"/>
    <w:rsid w:val="08103916"/>
    <w:rsid w:val="08113AF2"/>
    <w:rsid w:val="08114650"/>
    <w:rsid w:val="08251C31"/>
    <w:rsid w:val="08277971"/>
    <w:rsid w:val="083E7358"/>
    <w:rsid w:val="083F46DF"/>
    <w:rsid w:val="086200D7"/>
    <w:rsid w:val="08665568"/>
    <w:rsid w:val="08767256"/>
    <w:rsid w:val="088531DE"/>
    <w:rsid w:val="089D6BA2"/>
    <w:rsid w:val="08A15D8B"/>
    <w:rsid w:val="08B85E22"/>
    <w:rsid w:val="08C51D49"/>
    <w:rsid w:val="08FA7FF6"/>
    <w:rsid w:val="08FD160B"/>
    <w:rsid w:val="08FD5C1D"/>
    <w:rsid w:val="090146C5"/>
    <w:rsid w:val="090B4B28"/>
    <w:rsid w:val="090D4716"/>
    <w:rsid w:val="09104908"/>
    <w:rsid w:val="091647BE"/>
    <w:rsid w:val="094206A1"/>
    <w:rsid w:val="09564CC9"/>
    <w:rsid w:val="09640C9C"/>
    <w:rsid w:val="09774987"/>
    <w:rsid w:val="097B71D6"/>
    <w:rsid w:val="09860936"/>
    <w:rsid w:val="09866978"/>
    <w:rsid w:val="098B2719"/>
    <w:rsid w:val="09A202BA"/>
    <w:rsid w:val="09AB5FE4"/>
    <w:rsid w:val="09AE2470"/>
    <w:rsid w:val="09B13FF7"/>
    <w:rsid w:val="09EF09C1"/>
    <w:rsid w:val="0A053D41"/>
    <w:rsid w:val="0A15449F"/>
    <w:rsid w:val="0A187F18"/>
    <w:rsid w:val="0A213CF4"/>
    <w:rsid w:val="0A56047D"/>
    <w:rsid w:val="0A5E16A3"/>
    <w:rsid w:val="0A6058C3"/>
    <w:rsid w:val="0A6429F3"/>
    <w:rsid w:val="0A7E2114"/>
    <w:rsid w:val="0A9235CA"/>
    <w:rsid w:val="0A987E49"/>
    <w:rsid w:val="0A99282A"/>
    <w:rsid w:val="0AAE61A7"/>
    <w:rsid w:val="0ABA55D7"/>
    <w:rsid w:val="0AF67B2D"/>
    <w:rsid w:val="0AFA761E"/>
    <w:rsid w:val="0B037B2B"/>
    <w:rsid w:val="0B1C6123"/>
    <w:rsid w:val="0B1E3F17"/>
    <w:rsid w:val="0B366D35"/>
    <w:rsid w:val="0B475DDB"/>
    <w:rsid w:val="0B8601B6"/>
    <w:rsid w:val="0BBE064B"/>
    <w:rsid w:val="0BD50FC3"/>
    <w:rsid w:val="0BD54D59"/>
    <w:rsid w:val="0BEE4C7F"/>
    <w:rsid w:val="0C0D3381"/>
    <w:rsid w:val="0C3116D0"/>
    <w:rsid w:val="0C402010"/>
    <w:rsid w:val="0C47311F"/>
    <w:rsid w:val="0C493674"/>
    <w:rsid w:val="0C6F5DE9"/>
    <w:rsid w:val="0C724374"/>
    <w:rsid w:val="0C752887"/>
    <w:rsid w:val="0C762CD4"/>
    <w:rsid w:val="0C7852A5"/>
    <w:rsid w:val="0C7F1580"/>
    <w:rsid w:val="0C851169"/>
    <w:rsid w:val="0C9A5D4F"/>
    <w:rsid w:val="0CAB5865"/>
    <w:rsid w:val="0CB41656"/>
    <w:rsid w:val="0CC90ECA"/>
    <w:rsid w:val="0CE7345E"/>
    <w:rsid w:val="0CEF2A86"/>
    <w:rsid w:val="0D0F3388"/>
    <w:rsid w:val="0D1411E7"/>
    <w:rsid w:val="0D272220"/>
    <w:rsid w:val="0D2E1801"/>
    <w:rsid w:val="0D31309F"/>
    <w:rsid w:val="0D3D1D9D"/>
    <w:rsid w:val="0D4D7F35"/>
    <w:rsid w:val="0D5E7B95"/>
    <w:rsid w:val="0D690A8B"/>
    <w:rsid w:val="0D85399F"/>
    <w:rsid w:val="0D8670CB"/>
    <w:rsid w:val="0D8F3366"/>
    <w:rsid w:val="0D9B3F97"/>
    <w:rsid w:val="0DAC51CC"/>
    <w:rsid w:val="0DB611B3"/>
    <w:rsid w:val="0DCB0DFD"/>
    <w:rsid w:val="0DCB52A1"/>
    <w:rsid w:val="0DF67D02"/>
    <w:rsid w:val="0E05558F"/>
    <w:rsid w:val="0E2246A2"/>
    <w:rsid w:val="0E320E7D"/>
    <w:rsid w:val="0E3A4EE9"/>
    <w:rsid w:val="0E566C81"/>
    <w:rsid w:val="0E5E7EC3"/>
    <w:rsid w:val="0E670723"/>
    <w:rsid w:val="0E6C441A"/>
    <w:rsid w:val="0E725B7F"/>
    <w:rsid w:val="0E75397A"/>
    <w:rsid w:val="0E7B48EB"/>
    <w:rsid w:val="0E887F40"/>
    <w:rsid w:val="0E9608F4"/>
    <w:rsid w:val="0E9B0511"/>
    <w:rsid w:val="0EA31821"/>
    <w:rsid w:val="0EA87391"/>
    <w:rsid w:val="0EB34031"/>
    <w:rsid w:val="0ECA53D4"/>
    <w:rsid w:val="0ED14B39"/>
    <w:rsid w:val="0EDC1894"/>
    <w:rsid w:val="0EEB074E"/>
    <w:rsid w:val="0EF6560F"/>
    <w:rsid w:val="0EF6561F"/>
    <w:rsid w:val="0F06155B"/>
    <w:rsid w:val="0F0767AD"/>
    <w:rsid w:val="0F081319"/>
    <w:rsid w:val="0F0909E2"/>
    <w:rsid w:val="0F1C5924"/>
    <w:rsid w:val="0F1D1B2D"/>
    <w:rsid w:val="0F211A83"/>
    <w:rsid w:val="0F2652B1"/>
    <w:rsid w:val="0F2C1D70"/>
    <w:rsid w:val="0F492DCA"/>
    <w:rsid w:val="0F697DDA"/>
    <w:rsid w:val="0F791001"/>
    <w:rsid w:val="0F890F70"/>
    <w:rsid w:val="0FB022B6"/>
    <w:rsid w:val="0FC950ED"/>
    <w:rsid w:val="0FCB77DB"/>
    <w:rsid w:val="0FD67C49"/>
    <w:rsid w:val="0FE70717"/>
    <w:rsid w:val="0FEB1003"/>
    <w:rsid w:val="0FEB2E02"/>
    <w:rsid w:val="0FF07241"/>
    <w:rsid w:val="0FFE40EB"/>
    <w:rsid w:val="100126B3"/>
    <w:rsid w:val="101E0DC6"/>
    <w:rsid w:val="10202B84"/>
    <w:rsid w:val="10334A2B"/>
    <w:rsid w:val="10354C54"/>
    <w:rsid w:val="10593DE8"/>
    <w:rsid w:val="105C2769"/>
    <w:rsid w:val="10774FCB"/>
    <w:rsid w:val="108E453B"/>
    <w:rsid w:val="10A86E54"/>
    <w:rsid w:val="10AB4B20"/>
    <w:rsid w:val="10CD5241"/>
    <w:rsid w:val="10CE2B6D"/>
    <w:rsid w:val="10D937AD"/>
    <w:rsid w:val="10E23DBB"/>
    <w:rsid w:val="10F03D34"/>
    <w:rsid w:val="10F11088"/>
    <w:rsid w:val="10F655DA"/>
    <w:rsid w:val="110450EB"/>
    <w:rsid w:val="110C2AD8"/>
    <w:rsid w:val="11106B75"/>
    <w:rsid w:val="11213B94"/>
    <w:rsid w:val="11276C93"/>
    <w:rsid w:val="113151B7"/>
    <w:rsid w:val="11384FE7"/>
    <w:rsid w:val="113E6E6F"/>
    <w:rsid w:val="114535BD"/>
    <w:rsid w:val="11561DF0"/>
    <w:rsid w:val="117C6986"/>
    <w:rsid w:val="118421E4"/>
    <w:rsid w:val="11A768B0"/>
    <w:rsid w:val="11A93139"/>
    <w:rsid w:val="11AA575C"/>
    <w:rsid w:val="11AF4817"/>
    <w:rsid w:val="11AF6FAB"/>
    <w:rsid w:val="11CC783A"/>
    <w:rsid w:val="11CF4E54"/>
    <w:rsid w:val="11D94685"/>
    <w:rsid w:val="11DD1EC6"/>
    <w:rsid w:val="11E623C4"/>
    <w:rsid w:val="11EB304C"/>
    <w:rsid w:val="11F72B09"/>
    <w:rsid w:val="122A64EE"/>
    <w:rsid w:val="12435D4E"/>
    <w:rsid w:val="12477BFC"/>
    <w:rsid w:val="12503FC7"/>
    <w:rsid w:val="125D11F1"/>
    <w:rsid w:val="125E66E4"/>
    <w:rsid w:val="125F0174"/>
    <w:rsid w:val="12706417"/>
    <w:rsid w:val="128448CF"/>
    <w:rsid w:val="12993BC0"/>
    <w:rsid w:val="12B46C9D"/>
    <w:rsid w:val="12C614D5"/>
    <w:rsid w:val="12D27C29"/>
    <w:rsid w:val="12DE15D3"/>
    <w:rsid w:val="12EA441C"/>
    <w:rsid w:val="12EA7994"/>
    <w:rsid w:val="12F2272F"/>
    <w:rsid w:val="12F26625"/>
    <w:rsid w:val="12F72695"/>
    <w:rsid w:val="13030F16"/>
    <w:rsid w:val="13182D37"/>
    <w:rsid w:val="132873D1"/>
    <w:rsid w:val="13323BEA"/>
    <w:rsid w:val="134D7166"/>
    <w:rsid w:val="13646CF3"/>
    <w:rsid w:val="13712447"/>
    <w:rsid w:val="13713DBD"/>
    <w:rsid w:val="13785BF7"/>
    <w:rsid w:val="13927D68"/>
    <w:rsid w:val="13A740BB"/>
    <w:rsid w:val="13C379DA"/>
    <w:rsid w:val="13C80A55"/>
    <w:rsid w:val="13CB2B57"/>
    <w:rsid w:val="13CE33F5"/>
    <w:rsid w:val="13D32EAA"/>
    <w:rsid w:val="13DB2DE8"/>
    <w:rsid w:val="14067033"/>
    <w:rsid w:val="141A5AA2"/>
    <w:rsid w:val="14253E14"/>
    <w:rsid w:val="142851FC"/>
    <w:rsid w:val="142932E7"/>
    <w:rsid w:val="142B4770"/>
    <w:rsid w:val="14320731"/>
    <w:rsid w:val="14510E26"/>
    <w:rsid w:val="145E3F28"/>
    <w:rsid w:val="14B04F4C"/>
    <w:rsid w:val="14C54025"/>
    <w:rsid w:val="14E05AD6"/>
    <w:rsid w:val="1506001B"/>
    <w:rsid w:val="151E6F9D"/>
    <w:rsid w:val="15472462"/>
    <w:rsid w:val="1549060A"/>
    <w:rsid w:val="154F0566"/>
    <w:rsid w:val="15545B7C"/>
    <w:rsid w:val="156F6E5A"/>
    <w:rsid w:val="157E0E4B"/>
    <w:rsid w:val="159708AD"/>
    <w:rsid w:val="15AD0685"/>
    <w:rsid w:val="15C4283C"/>
    <w:rsid w:val="15D92DDD"/>
    <w:rsid w:val="15ED54EE"/>
    <w:rsid w:val="16027CCE"/>
    <w:rsid w:val="160A5DB9"/>
    <w:rsid w:val="160F27B8"/>
    <w:rsid w:val="16242D92"/>
    <w:rsid w:val="16557DFE"/>
    <w:rsid w:val="165A5414"/>
    <w:rsid w:val="167C35DD"/>
    <w:rsid w:val="16865B78"/>
    <w:rsid w:val="16897AA8"/>
    <w:rsid w:val="1697379C"/>
    <w:rsid w:val="16987AC3"/>
    <w:rsid w:val="16995913"/>
    <w:rsid w:val="16B22972"/>
    <w:rsid w:val="16B9038D"/>
    <w:rsid w:val="16BD22E4"/>
    <w:rsid w:val="16DC051F"/>
    <w:rsid w:val="16DC454F"/>
    <w:rsid w:val="16EA3CA3"/>
    <w:rsid w:val="17283764"/>
    <w:rsid w:val="172B3E8E"/>
    <w:rsid w:val="172C5003"/>
    <w:rsid w:val="172E6383"/>
    <w:rsid w:val="1754026C"/>
    <w:rsid w:val="1758293B"/>
    <w:rsid w:val="17623F10"/>
    <w:rsid w:val="17687136"/>
    <w:rsid w:val="176E4E30"/>
    <w:rsid w:val="1776002C"/>
    <w:rsid w:val="17792AAB"/>
    <w:rsid w:val="177C7FB0"/>
    <w:rsid w:val="177E7B01"/>
    <w:rsid w:val="178536BD"/>
    <w:rsid w:val="17944956"/>
    <w:rsid w:val="1798116C"/>
    <w:rsid w:val="17A032FB"/>
    <w:rsid w:val="17B807A6"/>
    <w:rsid w:val="17C31746"/>
    <w:rsid w:val="17C51718"/>
    <w:rsid w:val="17D2722C"/>
    <w:rsid w:val="17E06786"/>
    <w:rsid w:val="17E149A1"/>
    <w:rsid w:val="17E256C1"/>
    <w:rsid w:val="17E547A3"/>
    <w:rsid w:val="17EF09DC"/>
    <w:rsid w:val="17F13B56"/>
    <w:rsid w:val="18094EC6"/>
    <w:rsid w:val="18143F06"/>
    <w:rsid w:val="18391493"/>
    <w:rsid w:val="1857667A"/>
    <w:rsid w:val="185A794E"/>
    <w:rsid w:val="186748E9"/>
    <w:rsid w:val="18896980"/>
    <w:rsid w:val="189E3CDE"/>
    <w:rsid w:val="18AD0988"/>
    <w:rsid w:val="18B56DF6"/>
    <w:rsid w:val="18B77C98"/>
    <w:rsid w:val="18C20512"/>
    <w:rsid w:val="18DA4B79"/>
    <w:rsid w:val="18E12F05"/>
    <w:rsid w:val="18E52D16"/>
    <w:rsid w:val="18E60E1F"/>
    <w:rsid w:val="1912054B"/>
    <w:rsid w:val="19232435"/>
    <w:rsid w:val="1927569A"/>
    <w:rsid w:val="19366A59"/>
    <w:rsid w:val="193F08F1"/>
    <w:rsid w:val="19433934"/>
    <w:rsid w:val="194F56D7"/>
    <w:rsid w:val="195F3CB4"/>
    <w:rsid w:val="199649B5"/>
    <w:rsid w:val="19A636DA"/>
    <w:rsid w:val="19BA5812"/>
    <w:rsid w:val="19D64E11"/>
    <w:rsid w:val="19E80F89"/>
    <w:rsid w:val="19EB6B0A"/>
    <w:rsid w:val="1A296EC5"/>
    <w:rsid w:val="1A3D2F59"/>
    <w:rsid w:val="1A472B8C"/>
    <w:rsid w:val="1A4F722E"/>
    <w:rsid w:val="1A5E4838"/>
    <w:rsid w:val="1A6802CD"/>
    <w:rsid w:val="1A6C5716"/>
    <w:rsid w:val="1A726EB4"/>
    <w:rsid w:val="1A7C004F"/>
    <w:rsid w:val="1A82018D"/>
    <w:rsid w:val="1A8C7B66"/>
    <w:rsid w:val="1A930EF5"/>
    <w:rsid w:val="1A934532"/>
    <w:rsid w:val="1AB2774D"/>
    <w:rsid w:val="1AB8134F"/>
    <w:rsid w:val="1ABB1365"/>
    <w:rsid w:val="1ACA0182"/>
    <w:rsid w:val="1AD734D7"/>
    <w:rsid w:val="1AF3236D"/>
    <w:rsid w:val="1B0B13E3"/>
    <w:rsid w:val="1B277485"/>
    <w:rsid w:val="1B2B55D1"/>
    <w:rsid w:val="1B32775E"/>
    <w:rsid w:val="1B3A2F9D"/>
    <w:rsid w:val="1B3F454A"/>
    <w:rsid w:val="1B440441"/>
    <w:rsid w:val="1B513605"/>
    <w:rsid w:val="1B513F4C"/>
    <w:rsid w:val="1B5B4232"/>
    <w:rsid w:val="1B6DC2E8"/>
    <w:rsid w:val="1B711E5D"/>
    <w:rsid w:val="1B7207DB"/>
    <w:rsid w:val="1B8D788A"/>
    <w:rsid w:val="1B9362A2"/>
    <w:rsid w:val="1BAE33B0"/>
    <w:rsid w:val="1BB90559"/>
    <w:rsid w:val="1BC1222E"/>
    <w:rsid w:val="1BCF2006"/>
    <w:rsid w:val="1BD17F21"/>
    <w:rsid w:val="1BDB3D17"/>
    <w:rsid w:val="1BE4046A"/>
    <w:rsid w:val="1BE42B75"/>
    <w:rsid w:val="1BF10B50"/>
    <w:rsid w:val="1C031650"/>
    <w:rsid w:val="1C042254"/>
    <w:rsid w:val="1C312463"/>
    <w:rsid w:val="1C360776"/>
    <w:rsid w:val="1C39065B"/>
    <w:rsid w:val="1C50434B"/>
    <w:rsid w:val="1C6748DE"/>
    <w:rsid w:val="1C6963B1"/>
    <w:rsid w:val="1C7D0529"/>
    <w:rsid w:val="1C821831"/>
    <w:rsid w:val="1C8C0F15"/>
    <w:rsid w:val="1C8D5C47"/>
    <w:rsid w:val="1C8E27E9"/>
    <w:rsid w:val="1C9548B2"/>
    <w:rsid w:val="1CC01D49"/>
    <w:rsid w:val="1CC23D13"/>
    <w:rsid w:val="1CCD6B3D"/>
    <w:rsid w:val="1CCE3025"/>
    <w:rsid w:val="1CCE31CC"/>
    <w:rsid w:val="1CED651B"/>
    <w:rsid w:val="1CEE74A2"/>
    <w:rsid w:val="1CF46156"/>
    <w:rsid w:val="1D146A40"/>
    <w:rsid w:val="1D3756FB"/>
    <w:rsid w:val="1D38611F"/>
    <w:rsid w:val="1D3E0C99"/>
    <w:rsid w:val="1D505B51"/>
    <w:rsid w:val="1D634930"/>
    <w:rsid w:val="1D65301C"/>
    <w:rsid w:val="1D6D11E9"/>
    <w:rsid w:val="1D6E17A5"/>
    <w:rsid w:val="1D750B99"/>
    <w:rsid w:val="1D783F6A"/>
    <w:rsid w:val="1D7A249C"/>
    <w:rsid w:val="1D816FAA"/>
    <w:rsid w:val="1D8611E5"/>
    <w:rsid w:val="1D8C396B"/>
    <w:rsid w:val="1D927B8A"/>
    <w:rsid w:val="1D9A514F"/>
    <w:rsid w:val="1D9D42B0"/>
    <w:rsid w:val="1D9E23F2"/>
    <w:rsid w:val="1DCC4144"/>
    <w:rsid w:val="1DD02444"/>
    <w:rsid w:val="1DEF6190"/>
    <w:rsid w:val="1DFC4F05"/>
    <w:rsid w:val="1E0345E3"/>
    <w:rsid w:val="1E0B7622"/>
    <w:rsid w:val="1E0C5C47"/>
    <w:rsid w:val="1E222CBC"/>
    <w:rsid w:val="1E2B385A"/>
    <w:rsid w:val="1E2C58E8"/>
    <w:rsid w:val="1E3B0044"/>
    <w:rsid w:val="1E676B6E"/>
    <w:rsid w:val="1E763007"/>
    <w:rsid w:val="1E884A2B"/>
    <w:rsid w:val="1E8A0861"/>
    <w:rsid w:val="1E95542C"/>
    <w:rsid w:val="1EA74A4B"/>
    <w:rsid w:val="1EC063B3"/>
    <w:rsid w:val="1ED975BC"/>
    <w:rsid w:val="1EEC2787"/>
    <w:rsid w:val="1EFB3053"/>
    <w:rsid w:val="1F0044AB"/>
    <w:rsid w:val="1F05308A"/>
    <w:rsid w:val="1F0C74C8"/>
    <w:rsid w:val="1F0E3240"/>
    <w:rsid w:val="1F231026"/>
    <w:rsid w:val="1F54279E"/>
    <w:rsid w:val="1F574BE7"/>
    <w:rsid w:val="1F5D4C48"/>
    <w:rsid w:val="1F7532BF"/>
    <w:rsid w:val="1F861224"/>
    <w:rsid w:val="1F962CF2"/>
    <w:rsid w:val="1F9A5E47"/>
    <w:rsid w:val="1F9E4DB4"/>
    <w:rsid w:val="1FB62CC6"/>
    <w:rsid w:val="1FB769CA"/>
    <w:rsid w:val="1FC22BEE"/>
    <w:rsid w:val="20144886"/>
    <w:rsid w:val="201C3E17"/>
    <w:rsid w:val="20266765"/>
    <w:rsid w:val="2029033A"/>
    <w:rsid w:val="202C7E22"/>
    <w:rsid w:val="2043454C"/>
    <w:rsid w:val="204A0286"/>
    <w:rsid w:val="20597045"/>
    <w:rsid w:val="205C5EE5"/>
    <w:rsid w:val="20643841"/>
    <w:rsid w:val="207C7B43"/>
    <w:rsid w:val="20847555"/>
    <w:rsid w:val="208678CC"/>
    <w:rsid w:val="20872765"/>
    <w:rsid w:val="208F6602"/>
    <w:rsid w:val="209445EE"/>
    <w:rsid w:val="209F6845"/>
    <w:rsid w:val="20B147CB"/>
    <w:rsid w:val="20B65FAF"/>
    <w:rsid w:val="20C12A15"/>
    <w:rsid w:val="20C22332"/>
    <w:rsid w:val="20CF40F4"/>
    <w:rsid w:val="20E43CE3"/>
    <w:rsid w:val="20E72691"/>
    <w:rsid w:val="20E769CF"/>
    <w:rsid w:val="2115213D"/>
    <w:rsid w:val="21157E5B"/>
    <w:rsid w:val="211C215D"/>
    <w:rsid w:val="212F79D1"/>
    <w:rsid w:val="213E7217"/>
    <w:rsid w:val="214C62A1"/>
    <w:rsid w:val="21584C46"/>
    <w:rsid w:val="215940D8"/>
    <w:rsid w:val="21745D8D"/>
    <w:rsid w:val="218926BE"/>
    <w:rsid w:val="2190618E"/>
    <w:rsid w:val="21A02F7B"/>
    <w:rsid w:val="21AC71BF"/>
    <w:rsid w:val="21BE5D29"/>
    <w:rsid w:val="21C32917"/>
    <w:rsid w:val="21C52643"/>
    <w:rsid w:val="21CF315A"/>
    <w:rsid w:val="21F541C2"/>
    <w:rsid w:val="22006F38"/>
    <w:rsid w:val="22062302"/>
    <w:rsid w:val="220777A5"/>
    <w:rsid w:val="2211671F"/>
    <w:rsid w:val="22204E78"/>
    <w:rsid w:val="22431452"/>
    <w:rsid w:val="22464096"/>
    <w:rsid w:val="2258670A"/>
    <w:rsid w:val="225B49EE"/>
    <w:rsid w:val="226C5BEF"/>
    <w:rsid w:val="2282497E"/>
    <w:rsid w:val="229B7761"/>
    <w:rsid w:val="229E5239"/>
    <w:rsid w:val="22A77C33"/>
    <w:rsid w:val="22AC0867"/>
    <w:rsid w:val="22AC428A"/>
    <w:rsid w:val="22B178B8"/>
    <w:rsid w:val="22B440FE"/>
    <w:rsid w:val="22BD68CC"/>
    <w:rsid w:val="22BE2295"/>
    <w:rsid w:val="22CE06EC"/>
    <w:rsid w:val="22CF624C"/>
    <w:rsid w:val="22D15733"/>
    <w:rsid w:val="22DB758F"/>
    <w:rsid w:val="22EB44B3"/>
    <w:rsid w:val="230961F8"/>
    <w:rsid w:val="230C0974"/>
    <w:rsid w:val="23235A92"/>
    <w:rsid w:val="233524E5"/>
    <w:rsid w:val="234B1552"/>
    <w:rsid w:val="23625267"/>
    <w:rsid w:val="23C14D25"/>
    <w:rsid w:val="23D706B8"/>
    <w:rsid w:val="23E746D1"/>
    <w:rsid w:val="23EF2E62"/>
    <w:rsid w:val="23F243AE"/>
    <w:rsid w:val="23FA0237"/>
    <w:rsid w:val="241035B6"/>
    <w:rsid w:val="24110588"/>
    <w:rsid w:val="241E5A1E"/>
    <w:rsid w:val="24277B10"/>
    <w:rsid w:val="24394425"/>
    <w:rsid w:val="244514B2"/>
    <w:rsid w:val="24611AAF"/>
    <w:rsid w:val="2468205C"/>
    <w:rsid w:val="24751C1F"/>
    <w:rsid w:val="248036D4"/>
    <w:rsid w:val="2480698E"/>
    <w:rsid w:val="249152E3"/>
    <w:rsid w:val="249D0D5B"/>
    <w:rsid w:val="24B77ED6"/>
    <w:rsid w:val="24CE5F3D"/>
    <w:rsid w:val="24DC2658"/>
    <w:rsid w:val="24FFBA39"/>
    <w:rsid w:val="250E0436"/>
    <w:rsid w:val="251203F5"/>
    <w:rsid w:val="25143CDB"/>
    <w:rsid w:val="25151474"/>
    <w:rsid w:val="252C7E6D"/>
    <w:rsid w:val="2546538B"/>
    <w:rsid w:val="255624AF"/>
    <w:rsid w:val="258B7398"/>
    <w:rsid w:val="258C521D"/>
    <w:rsid w:val="25981AB5"/>
    <w:rsid w:val="25A26E74"/>
    <w:rsid w:val="25BD32CA"/>
    <w:rsid w:val="25C03F3B"/>
    <w:rsid w:val="25C33337"/>
    <w:rsid w:val="25C428AA"/>
    <w:rsid w:val="25DD396C"/>
    <w:rsid w:val="25E64E60"/>
    <w:rsid w:val="25E70432"/>
    <w:rsid w:val="2603254D"/>
    <w:rsid w:val="260542C2"/>
    <w:rsid w:val="26215F4F"/>
    <w:rsid w:val="26226D53"/>
    <w:rsid w:val="26265FFB"/>
    <w:rsid w:val="2638404D"/>
    <w:rsid w:val="26416F3C"/>
    <w:rsid w:val="264535E6"/>
    <w:rsid w:val="26466C94"/>
    <w:rsid w:val="265728A3"/>
    <w:rsid w:val="265A1E5B"/>
    <w:rsid w:val="26612200"/>
    <w:rsid w:val="266D4CF0"/>
    <w:rsid w:val="268163F7"/>
    <w:rsid w:val="26AF4526"/>
    <w:rsid w:val="26C30DB4"/>
    <w:rsid w:val="26DC37D9"/>
    <w:rsid w:val="26DC3C24"/>
    <w:rsid w:val="26EE1D59"/>
    <w:rsid w:val="26FC3FD7"/>
    <w:rsid w:val="27167E66"/>
    <w:rsid w:val="27257379"/>
    <w:rsid w:val="27292AF3"/>
    <w:rsid w:val="27392E24"/>
    <w:rsid w:val="273C75A5"/>
    <w:rsid w:val="27620656"/>
    <w:rsid w:val="27702CEA"/>
    <w:rsid w:val="27965C2C"/>
    <w:rsid w:val="279C5E68"/>
    <w:rsid w:val="279C6222"/>
    <w:rsid w:val="27AE7364"/>
    <w:rsid w:val="27B84691"/>
    <w:rsid w:val="27C60B5C"/>
    <w:rsid w:val="27E2526A"/>
    <w:rsid w:val="27E64D5A"/>
    <w:rsid w:val="27E67CB3"/>
    <w:rsid w:val="27E76794"/>
    <w:rsid w:val="27EC31AA"/>
    <w:rsid w:val="27F1369E"/>
    <w:rsid w:val="27F529E5"/>
    <w:rsid w:val="27F6358F"/>
    <w:rsid w:val="27FDE4B5"/>
    <w:rsid w:val="280276BA"/>
    <w:rsid w:val="28037FA1"/>
    <w:rsid w:val="280528C1"/>
    <w:rsid w:val="28126A09"/>
    <w:rsid w:val="281B15BD"/>
    <w:rsid w:val="281E0082"/>
    <w:rsid w:val="283E1EB5"/>
    <w:rsid w:val="284A0210"/>
    <w:rsid w:val="284E0B51"/>
    <w:rsid w:val="285F35CA"/>
    <w:rsid w:val="28624781"/>
    <w:rsid w:val="28687E65"/>
    <w:rsid w:val="28702875"/>
    <w:rsid w:val="28754330"/>
    <w:rsid w:val="28792246"/>
    <w:rsid w:val="28823454"/>
    <w:rsid w:val="28A27C17"/>
    <w:rsid w:val="28C01A4F"/>
    <w:rsid w:val="28C3509B"/>
    <w:rsid w:val="28C4698F"/>
    <w:rsid w:val="28D91F7F"/>
    <w:rsid w:val="28DC43AF"/>
    <w:rsid w:val="28F063CE"/>
    <w:rsid w:val="28F16AC5"/>
    <w:rsid w:val="29195CD1"/>
    <w:rsid w:val="291A53C6"/>
    <w:rsid w:val="2933596C"/>
    <w:rsid w:val="293A1E1E"/>
    <w:rsid w:val="29457B9F"/>
    <w:rsid w:val="295D53A7"/>
    <w:rsid w:val="29621036"/>
    <w:rsid w:val="2966538E"/>
    <w:rsid w:val="296843E7"/>
    <w:rsid w:val="296F38DB"/>
    <w:rsid w:val="29700C01"/>
    <w:rsid w:val="29724C15"/>
    <w:rsid w:val="297E76FA"/>
    <w:rsid w:val="29802F8C"/>
    <w:rsid w:val="299E408D"/>
    <w:rsid w:val="29BC5413"/>
    <w:rsid w:val="29F955EA"/>
    <w:rsid w:val="29FA689B"/>
    <w:rsid w:val="2A027E45"/>
    <w:rsid w:val="2A0A298D"/>
    <w:rsid w:val="2A116031"/>
    <w:rsid w:val="2A1C3F0A"/>
    <w:rsid w:val="2A3609C0"/>
    <w:rsid w:val="2A372565"/>
    <w:rsid w:val="2A376D63"/>
    <w:rsid w:val="2A4E308A"/>
    <w:rsid w:val="2A6C1D9B"/>
    <w:rsid w:val="2A7A4E9E"/>
    <w:rsid w:val="2A846AAC"/>
    <w:rsid w:val="2A9C7924"/>
    <w:rsid w:val="2AA50EDD"/>
    <w:rsid w:val="2AAD6003"/>
    <w:rsid w:val="2AAE358F"/>
    <w:rsid w:val="2AC31382"/>
    <w:rsid w:val="2AE01FF6"/>
    <w:rsid w:val="2AF62D2E"/>
    <w:rsid w:val="2B344997"/>
    <w:rsid w:val="2B350611"/>
    <w:rsid w:val="2B381883"/>
    <w:rsid w:val="2B417A58"/>
    <w:rsid w:val="2B6366C1"/>
    <w:rsid w:val="2B6A7C57"/>
    <w:rsid w:val="2B712262"/>
    <w:rsid w:val="2B7B1CD4"/>
    <w:rsid w:val="2B920D55"/>
    <w:rsid w:val="2BA75E7D"/>
    <w:rsid w:val="2BBF2F25"/>
    <w:rsid w:val="2BE025DA"/>
    <w:rsid w:val="2BE05001"/>
    <w:rsid w:val="2BEF879C"/>
    <w:rsid w:val="2BF51A0F"/>
    <w:rsid w:val="2C091017"/>
    <w:rsid w:val="2C0B6B1A"/>
    <w:rsid w:val="2C11436F"/>
    <w:rsid w:val="2C11611D"/>
    <w:rsid w:val="2C194947"/>
    <w:rsid w:val="2C2A2D38"/>
    <w:rsid w:val="2C3167C0"/>
    <w:rsid w:val="2C370F78"/>
    <w:rsid w:val="2C5367BE"/>
    <w:rsid w:val="2C5869D0"/>
    <w:rsid w:val="2C5E4FC7"/>
    <w:rsid w:val="2C5F332D"/>
    <w:rsid w:val="2C6014EF"/>
    <w:rsid w:val="2C70553A"/>
    <w:rsid w:val="2C7470DE"/>
    <w:rsid w:val="2C846745"/>
    <w:rsid w:val="2C8903AA"/>
    <w:rsid w:val="2C8E446A"/>
    <w:rsid w:val="2CA70830"/>
    <w:rsid w:val="2CB57937"/>
    <w:rsid w:val="2CE43832"/>
    <w:rsid w:val="2D1C705B"/>
    <w:rsid w:val="2D24494D"/>
    <w:rsid w:val="2D2A1950"/>
    <w:rsid w:val="2D2F7CBD"/>
    <w:rsid w:val="2D336E93"/>
    <w:rsid w:val="2D35408E"/>
    <w:rsid w:val="2D413D39"/>
    <w:rsid w:val="2D4331D9"/>
    <w:rsid w:val="2D5524DE"/>
    <w:rsid w:val="2D6274E0"/>
    <w:rsid w:val="2D681C90"/>
    <w:rsid w:val="2D83129D"/>
    <w:rsid w:val="2D97341D"/>
    <w:rsid w:val="2DAC3CE4"/>
    <w:rsid w:val="2DAD15F8"/>
    <w:rsid w:val="2DD222A2"/>
    <w:rsid w:val="2DE15B66"/>
    <w:rsid w:val="2DEB2DF6"/>
    <w:rsid w:val="2E031055"/>
    <w:rsid w:val="2E532652"/>
    <w:rsid w:val="2E60514A"/>
    <w:rsid w:val="2E6F3110"/>
    <w:rsid w:val="2E717070"/>
    <w:rsid w:val="2E755089"/>
    <w:rsid w:val="2E7B239A"/>
    <w:rsid w:val="2E7D1C16"/>
    <w:rsid w:val="2E7E7558"/>
    <w:rsid w:val="2E802EFB"/>
    <w:rsid w:val="2E844478"/>
    <w:rsid w:val="2E8974F1"/>
    <w:rsid w:val="2E9949CD"/>
    <w:rsid w:val="2EA229D5"/>
    <w:rsid w:val="2EAA099B"/>
    <w:rsid w:val="2EC1207D"/>
    <w:rsid w:val="2ED17668"/>
    <w:rsid w:val="2ED7364E"/>
    <w:rsid w:val="2EED2B8C"/>
    <w:rsid w:val="2EFE72F6"/>
    <w:rsid w:val="2F2907E2"/>
    <w:rsid w:val="2F37678B"/>
    <w:rsid w:val="2F570B40"/>
    <w:rsid w:val="2F671CE5"/>
    <w:rsid w:val="2F7109AB"/>
    <w:rsid w:val="2F8A17B0"/>
    <w:rsid w:val="2F911B52"/>
    <w:rsid w:val="2F9730F1"/>
    <w:rsid w:val="2F9952AC"/>
    <w:rsid w:val="2FA87DD5"/>
    <w:rsid w:val="2FAC4ADB"/>
    <w:rsid w:val="2FB71035"/>
    <w:rsid w:val="2FB71039"/>
    <w:rsid w:val="2FBB6ACC"/>
    <w:rsid w:val="2FCC27F9"/>
    <w:rsid w:val="2FCF34F1"/>
    <w:rsid w:val="2FD63531"/>
    <w:rsid w:val="2FE56B35"/>
    <w:rsid w:val="2FF25AD0"/>
    <w:rsid w:val="300366FE"/>
    <w:rsid w:val="300C4346"/>
    <w:rsid w:val="30146F8B"/>
    <w:rsid w:val="30273D1D"/>
    <w:rsid w:val="303B7C0D"/>
    <w:rsid w:val="30582FD8"/>
    <w:rsid w:val="306A5E79"/>
    <w:rsid w:val="306D22D8"/>
    <w:rsid w:val="307B3DD2"/>
    <w:rsid w:val="30982D50"/>
    <w:rsid w:val="309918AB"/>
    <w:rsid w:val="30A111AB"/>
    <w:rsid w:val="30AA08EF"/>
    <w:rsid w:val="30B5433A"/>
    <w:rsid w:val="30B97F33"/>
    <w:rsid w:val="30C418AA"/>
    <w:rsid w:val="30DC284C"/>
    <w:rsid w:val="30ED4FC8"/>
    <w:rsid w:val="30F054E7"/>
    <w:rsid w:val="311441D7"/>
    <w:rsid w:val="311A0CF9"/>
    <w:rsid w:val="311E5564"/>
    <w:rsid w:val="314724B9"/>
    <w:rsid w:val="31472F24"/>
    <w:rsid w:val="315423E2"/>
    <w:rsid w:val="31625B06"/>
    <w:rsid w:val="3162655E"/>
    <w:rsid w:val="31671C04"/>
    <w:rsid w:val="316A07AA"/>
    <w:rsid w:val="316C4E12"/>
    <w:rsid w:val="317433D6"/>
    <w:rsid w:val="31813D45"/>
    <w:rsid w:val="319B2255"/>
    <w:rsid w:val="31B31137"/>
    <w:rsid w:val="31B349CA"/>
    <w:rsid w:val="31BB096A"/>
    <w:rsid w:val="31BE243A"/>
    <w:rsid w:val="31C64C6E"/>
    <w:rsid w:val="31C75043"/>
    <w:rsid w:val="31DF766C"/>
    <w:rsid w:val="31F564F5"/>
    <w:rsid w:val="3216379A"/>
    <w:rsid w:val="32240CF8"/>
    <w:rsid w:val="32250B18"/>
    <w:rsid w:val="323B5D19"/>
    <w:rsid w:val="3242203B"/>
    <w:rsid w:val="32500091"/>
    <w:rsid w:val="326F270A"/>
    <w:rsid w:val="327332D3"/>
    <w:rsid w:val="32911052"/>
    <w:rsid w:val="32C20171"/>
    <w:rsid w:val="32DB1233"/>
    <w:rsid w:val="32F97187"/>
    <w:rsid w:val="33025F91"/>
    <w:rsid w:val="33153108"/>
    <w:rsid w:val="33356B95"/>
    <w:rsid w:val="334E6F4B"/>
    <w:rsid w:val="33596444"/>
    <w:rsid w:val="337D7870"/>
    <w:rsid w:val="3384137D"/>
    <w:rsid w:val="33935BF5"/>
    <w:rsid w:val="339C5490"/>
    <w:rsid w:val="33BA130C"/>
    <w:rsid w:val="33BD7658"/>
    <w:rsid w:val="33CA3782"/>
    <w:rsid w:val="33E57391"/>
    <w:rsid w:val="33E65B1A"/>
    <w:rsid w:val="33E96C93"/>
    <w:rsid w:val="33FE29BB"/>
    <w:rsid w:val="34125D6B"/>
    <w:rsid w:val="341B2D10"/>
    <w:rsid w:val="343721FB"/>
    <w:rsid w:val="34632FD8"/>
    <w:rsid w:val="34733E19"/>
    <w:rsid w:val="34734799"/>
    <w:rsid w:val="3474193F"/>
    <w:rsid w:val="347A07FD"/>
    <w:rsid w:val="347A3CC1"/>
    <w:rsid w:val="348B6E58"/>
    <w:rsid w:val="349C1B91"/>
    <w:rsid w:val="34B04C09"/>
    <w:rsid w:val="34CB02E2"/>
    <w:rsid w:val="34E02321"/>
    <w:rsid w:val="34E54528"/>
    <w:rsid w:val="34FE79FB"/>
    <w:rsid w:val="350273B8"/>
    <w:rsid w:val="35050B8D"/>
    <w:rsid w:val="350C0068"/>
    <w:rsid w:val="3515212D"/>
    <w:rsid w:val="352E7D40"/>
    <w:rsid w:val="35383358"/>
    <w:rsid w:val="353B47C2"/>
    <w:rsid w:val="354457B6"/>
    <w:rsid w:val="35781E0E"/>
    <w:rsid w:val="35824739"/>
    <w:rsid w:val="35B83912"/>
    <w:rsid w:val="35E16674"/>
    <w:rsid w:val="35E80C17"/>
    <w:rsid w:val="35F10EFB"/>
    <w:rsid w:val="35FB54B4"/>
    <w:rsid w:val="360337E4"/>
    <w:rsid w:val="360D7435"/>
    <w:rsid w:val="362F52B4"/>
    <w:rsid w:val="362F7843"/>
    <w:rsid w:val="363A2D6D"/>
    <w:rsid w:val="364305C4"/>
    <w:rsid w:val="36694184"/>
    <w:rsid w:val="366D1EE3"/>
    <w:rsid w:val="36706EAD"/>
    <w:rsid w:val="3690424A"/>
    <w:rsid w:val="369430E3"/>
    <w:rsid w:val="36A33D3C"/>
    <w:rsid w:val="36B52864"/>
    <w:rsid w:val="36B61651"/>
    <w:rsid w:val="36C04C7A"/>
    <w:rsid w:val="36C30D04"/>
    <w:rsid w:val="36C56DDE"/>
    <w:rsid w:val="36E5268C"/>
    <w:rsid w:val="36F9032C"/>
    <w:rsid w:val="371426AF"/>
    <w:rsid w:val="37193383"/>
    <w:rsid w:val="37355187"/>
    <w:rsid w:val="373A29CC"/>
    <w:rsid w:val="3759439C"/>
    <w:rsid w:val="375A6729"/>
    <w:rsid w:val="375B49AF"/>
    <w:rsid w:val="37617291"/>
    <w:rsid w:val="377D39AF"/>
    <w:rsid w:val="37985995"/>
    <w:rsid w:val="37AA8F22"/>
    <w:rsid w:val="37AB1B1C"/>
    <w:rsid w:val="37AF0B44"/>
    <w:rsid w:val="37C17446"/>
    <w:rsid w:val="37C41C3D"/>
    <w:rsid w:val="37DF1F1A"/>
    <w:rsid w:val="37E20560"/>
    <w:rsid w:val="37F52411"/>
    <w:rsid w:val="37FB6F87"/>
    <w:rsid w:val="380059E1"/>
    <w:rsid w:val="380B1578"/>
    <w:rsid w:val="381D6482"/>
    <w:rsid w:val="381F736E"/>
    <w:rsid w:val="382B3573"/>
    <w:rsid w:val="382E0769"/>
    <w:rsid w:val="3834566E"/>
    <w:rsid w:val="38370F0B"/>
    <w:rsid w:val="38397128"/>
    <w:rsid w:val="383D41FD"/>
    <w:rsid w:val="38477E5A"/>
    <w:rsid w:val="384E78A9"/>
    <w:rsid w:val="384F6612"/>
    <w:rsid w:val="385A2DE0"/>
    <w:rsid w:val="385C0AED"/>
    <w:rsid w:val="38621C25"/>
    <w:rsid w:val="38663C66"/>
    <w:rsid w:val="386A46AA"/>
    <w:rsid w:val="387C536A"/>
    <w:rsid w:val="3894435E"/>
    <w:rsid w:val="389E4E7A"/>
    <w:rsid w:val="389F3B3F"/>
    <w:rsid w:val="38A465A6"/>
    <w:rsid w:val="38A94026"/>
    <w:rsid w:val="38B465B8"/>
    <w:rsid w:val="38B954A7"/>
    <w:rsid w:val="38BF8C61"/>
    <w:rsid w:val="38E50740"/>
    <w:rsid w:val="38F21AC9"/>
    <w:rsid w:val="391F477E"/>
    <w:rsid w:val="39262D30"/>
    <w:rsid w:val="39662ED0"/>
    <w:rsid w:val="39742A3F"/>
    <w:rsid w:val="39964337"/>
    <w:rsid w:val="39AB7BB1"/>
    <w:rsid w:val="39AC16A8"/>
    <w:rsid w:val="39B415F4"/>
    <w:rsid w:val="39C726BE"/>
    <w:rsid w:val="39D12794"/>
    <w:rsid w:val="39DB72F7"/>
    <w:rsid w:val="39E037DA"/>
    <w:rsid w:val="39E6165C"/>
    <w:rsid w:val="3A1430A0"/>
    <w:rsid w:val="3A175247"/>
    <w:rsid w:val="3A3979CF"/>
    <w:rsid w:val="3A3D4B12"/>
    <w:rsid w:val="3A4B3142"/>
    <w:rsid w:val="3A52627F"/>
    <w:rsid w:val="3A59110E"/>
    <w:rsid w:val="3A636C6D"/>
    <w:rsid w:val="3A733D2D"/>
    <w:rsid w:val="3A7B0C4F"/>
    <w:rsid w:val="3A8E415C"/>
    <w:rsid w:val="3AA43493"/>
    <w:rsid w:val="3AE27603"/>
    <w:rsid w:val="3AE667B6"/>
    <w:rsid w:val="3B0F7EFB"/>
    <w:rsid w:val="3B1A1237"/>
    <w:rsid w:val="3B1C2036"/>
    <w:rsid w:val="3B244CBA"/>
    <w:rsid w:val="3B343B3E"/>
    <w:rsid w:val="3B4A33FA"/>
    <w:rsid w:val="3B502F19"/>
    <w:rsid w:val="3B5F51B9"/>
    <w:rsid w:val="3B616825"/>
    <w:rsid w:val="3B7566C9"/>
    <w:rsid w:val="3B77354F"/>
    <w:rsid w:val="3BAD3B3F"/>
    <w:rsid w:val="3BB858DE"/>
    <w:rsid w:val="3BC1540C"/>
    <w:rsid w:val="3BC76709"/>
    <w:rsid w:val="3BC8731D"/>
    <w:rsid w:val="3BC96A15"/>
    <w:rsid w:val="3BD41B0C"/>
    <w:rsid w:val="3BE32FFA"/>
    <w:rsid w:val="3BEC664D"/>
    <w:rsid w:val="3C067321"/>
    <w:rsid w:val="3C0F436B"/>
    <w:rsid w:val="3C16395B"/>
    <w:rsid w:val="3C165836"/>
    <w:rsid w:val="3C20213A"/>
    <w:rsid w:val="3C2F30FE"/>
    <w:rsid w:val="3C322F06"/>
    <w:rsid w:val="3C346686"/>
    <w:rsid w:val="3C393BBD"/>
    <w:rsid w:val="3C4A507C"/>
    <w:rsid w:val="3C5D7B3F"/>
    <w:rsid w:val="3C62248D"/>
    <w:rsid w:val="3C636521"/>
    <w:rsid w:val="3C867288"/>
    <w:rsid w:val="3C965592"/>
    <w:rsid w:val="3CA9559B"/>
    <w:rsid w:val="3CB10B9B"/>
    <w:rsid w:val="3CF771AF"/>
    <w:rsid w:val="3CF87547"/>
    <w:rsid w:val="3D033860"/>
    <w:rsid w:val="3D17266E"/>
    <w:rsid w:val="3D231C22"/>
    <w:rsid w:val="3D3A3DD1"/>
    <w:rsid w:val="3D3B20EF"/>
    <w:rsid w:val="3D4948ED"/>
    <w:rsid w:val="3D5516A8"/>
    <w:rsid w:val="3D5923C7"/>
    <w:rsid w:val="3D6A0AE2"/>
    <w:rsid w:val="3D6A733F"/>
    <w:rsid w:val="3D77526C"/>
    <w:rsid w:val="3D9528AD"/>
    <w:rsid w:val="3D97084E"/>
    <w:rsid w:val="3D9F527F"/>
    <w:rsid w:val="3DA53531"/>
    <w:rsid w:val="3DC15BF5"/>
    <w:rsid w:val="3DCB0C69"/>
    <w:rsid w:val="3DD53B0A"/>
    <w:rsid w:val="3DF316DA"/>
    <w:rsid w:val="3DFF57D0"/>
    <w:rsid w:val="3E06228D"/>
    <w:rsid w:val="3E0A35EF"/>
    <w:rsid w:val="3E1917D0"/>
    <w:rsid w:val="3E1B76C4"/>
    <w:rsid w:val="3E1F1ED1"/>
    <w:rsid w:val="3E46417B"/>
    <w:rsid w:val="3E483C21"/>
    <w:rsid w:val="3E4A286A"/>
    <w:rsid w:val="3E540005"/>
    <w:rsid w:val="3E68206B"/>
    <w:rsid w:val="3E785922"/>
    <w:rsid w:val="3E7D047A"/>
    <w:rsid w:val="3E8804C1"/>
    <w:rsid w:val="3E8A5857"/>
    <w:rsid w:val="3E9A00BF"/>
    <w:rsid w:val="3E9F14AA"/>
    <w:rsid w:val="3EBF1A09"/>
    <w:rsid w:val="3EE40E0F"/>
    <w:rsid w:val="3EF5367D"/>
    <w:rsid w:val="3EFF2F44"/>
    <w:rsid w:val="3F0D2C86"/>
    <w:rsid w:val="3F25504E"/>
    <w:rsid w:val="3F255D10"/>
    <w:rsid w:val="3F2921B1"/>
    <w:rsid w:val="3F416FA0"/>
    <w:rsid w:val="3F4765A8"/>
    <w:rsid w:val="3F5610AF"/>
    <w:rsid w:val="3F5F1C03"/>
    <w:rsid w:val="3F626F64"/>
    <w:rsid w:val="3F6C7F90"/>
    <w:rsid w:val="3F848602"/>
    <w:rsid w:val="3F88629F"/>
    <w:rsid w:val="3F933635"/>
    <w:rsid w:val="3F99409E"/>
    <w:rsid w:val="3FA35F6D"/>
    <w:rsid w:val="3FAB03D3"/>
    <w:rsid w:val="3FAE1726"/>
    <w:rsid w:val="3FAF61F9"/>
    <w:rsid w:val="3FBB70D3"/>
    <w:rsid w:val="3FBE7F13"/>
    <w:rsid w:val="3FC36BDA"/>
    <w:rsid w:val="3FC915CD"/>
    <w:rsid w:val="3FC964D8"/>
    <w:rsid w:val="3FCD127A"/>
    <w:rsid w:val="3FDB691B"/>
    <w:rsid w:val="3FFD0999"/>
    <w:rsid w:val="3FFD221B"/>
    <w:rsid w:val="3FFDD4F5"/>
    <w:rsid w:val="400B5EE1"/>
    <w:rsid w:val="40184E29"/>
    <w:rsid w:val="402762FB"/>
    <w:rsid w:val="40297384"/>
    <w:rsid w:val="40324B88"/>
    <w:rsid w:val="40342101"/>
    <w:rsid w:val="40363040"/>
    <w:rsid w:val="40387CC5"/>
    <w:rsid w:val="40426B1A"/>
    <w:rsid w:val="405215CC"/>
    <w:rsid w:val="40644F5E"/>
    <w:rsid w:val="4084075B"/>
    <w:rsid w:val="40A91606"/>
    <w:rsid w:val="40B530C4"/>
    <w:rsid w:val="40BE6733"/>
    <w:rsid w:val="40C07513"/>
    <w:rsid w:val="40DD0CD8"/>
    <w:rsid w:val="40E908B2"/>
    <w:rsid w:val="40E91082"/>
    <w:rsid w:val="40FE1F76"/>
    <w:rsid w:val="41055DF9"/>
    <w:rsid w:val="411434DA"/>
    <w:rsid w:val="411B68A6"/>
    <w:rsid w:val="411C1395"/>
    <w:rsid w:val="411E7DC0"/>
    <w:rsid w:val="4121695F"/>
    <w:rsid w:val="41540B2E"/>
    <w:rsid w:val="417F5617"/>
    <w:rsid w:val="41C00631"/>
    <w:rsid w:val="41CE0543"/>
    <w:rsid w:val="41D373E7"/>
    <w:rsid w:val="41D57B3D"/>
    <w:rsid w:val="41E83757"/>
    <w:rsid w:val="41F83BB0"/>
    <w:rsid w:val="41F841E8"/>
    <w:rsid w:val="420A5691"/>
    <w:rsid w:val="42206C63"/>
    <w:rsid w:val="42254279"/>
    <w:rsid w:val="422B5D33"/>
    <w:rsid w:val="42302134"/>
    <w:rsid w:val="4233787A"/>
    <w:rsid w:val="42481101"/>
    <w:rsid w:val="42497F67"/>
    <w:rsid w:val="424F3B8D"/>
    <w:rsid w:val="42576B28"/>
    <w:rsid w:val="425D53AB"/>
    <w:rsid w:val="426E4E56"/>
    <w:rsid w:val="42750AE7"/>
    <w:rsid w:val="42775B3A"/>
    <w:rsid w:val="42A65E2D"/>
    <w:rsid w:val="42AB0C22"/>
    <w:rsid w:val="42EF4FB3"/>
    <w:rsid w:val="430F086D"/>
    <w:rsid w:val="432B2E79"/>
    <w:rsid w:val="432B6E17"/>
    <w:rsid w:val="432E221A"/>
    <w:rsid w:val="4334267F"/>
    <w:rsid w:val="433B55EE"/>
    <w:rsid w:val="433F1D9A"/>
    <w:rsid w:val="434A043B"/>
    <w:rsid w:val="43564128"/>
    <w:rsid w:val="43635059"/>
    <w:rsid w:val="43772749"/>
    <w:rsid w:val="43784623"/>
    <w:rsid w:val="4383068D"/>
    <w:rsid w:val="43871544"/>
    <w:rsid w:val="43931DE2"/>
    <w:rsid w:val="43B03CB9"/>
    <w:rsid w:val="43B86CB7"/>
    <w:rsid w:val="43BE32BE"/>
    <w:rsid w:val="43D4159F"/>
    <w:rsid w:val="43E705E8"/>
    <w:rsid w:val="43EC504E"/>
    <w:rsid w:val="43F96751"/>
    <w:rsid w:val="441827ED"/>
    <w:rsid w:val="442B201A"/>
    <w:rsid w:val="443D1B50"/>
    <w:rsid w:val="443E5A20"/>
    <w:rsid w:val="4452279A"/>
    <w:rsid w:val="446731BD"/>
    <w:rsid w:val="446D79F3"/>
    <w:rsid w:val="447D75CD"/>
    <w:rsid w:val="44832363"/>
    <w:rsid w:val="44833B83"/>
    <w:rsid w:val="44913E48"/>
    <w:rsid w:val="449E2BE4"/>
    <w:rsid w:val="44C91908"/>
    <w:rsid w:val="44D04D4C"/>
    <w:rsid w:val="44D707A5"/>
    <w:rsid w:val="44F025AE"/>
    <w:rsid w:val="44F56185"/>
    <w:rsid w:val="44F87A23"/>
    <w:rsid w:val="44FC536A"/>
    <w:rsid w:val="4501362C"/>
    <w:rsid w:val="4511386A"/>
    <w:rsid w:val="45264590"/>
    <w:rsid w:val="45425E4C"/>
    <w:rsid w:val="45442347"/>
    <w:rsid w:val="454531A8"/>
    <w:rsid w:val="454D7D6F"/>
    <w:rsid w:val="454F3A37"/>
    <w:rsid w:val="45841B35"/>
    <w:rsid w:val="458E4BD4"/>
    <w:rsid w:val="459B31D0"/>
    <w:rsid w:val="459C78D2"/>
    <w:rsid w:val="45A100BA"/>
    <w:rsid w:val="45AF54E0"/>
    <w:rsid w:val="45C974B4"/>
    <w:rsid w:val="45CD6D6C"/>
    <w:rsid w:val="45DE5D22"/>
    <w:rsid w:val="45F44CA7"/>
    <w:rsid w:val="46024FFD"/>
    <w:rsid w:val="460E3F58"/>
    <w:rsid w:val="46143611"/>
    <w:rsid w:val="46384BFA"/>
    <w:rsid w:val="46466C6A"/>
    <w:rsid w:val="465348A0"/>
    <w:rsid w:val="46587D6C"/>
    <w:rsid w:val="466262B3"/>
    <w:rsid w:val="466948E9"/>
    <w:rsid w:val="46753001"/>
    <w:rsid w:val="46767799"/>
    <w:rsid w:val="46773764"/>
    <w:rsid w:val="467F5364"/>
    <w:rsid w:val="46976762"/>
    <w:rsid w:val="469BBB13"/>
    <w:rsid w:val="46A81A29"/>
    <w:rsid w:val="46B2185A"/>
    <w:rsid w:val="46C647E7"/>
    <w:rsid w:val="46ED11C1"/>
    <w:rsid w:val="46F30DEA"/>
    <w:rsid w:val="46F92F8F"/>
    <w:rsid w:val="4701711C"/>
    <w:rsid w:val="4705097D"/>
    <w:rsid w:val="47062AAF"/>
    <w:rsid w:val="47096DC2"/>
    <w:rsid w:val="470A192F"/>
    <w:rsid w:val="47305B9A"/>
    <w:rsid w:val="474927B8"/>
    <w:rsid w:val="474B4C77"/>
    <w:rsid w:val="47537F47"/>
    <w:rsid w:val="477C0DDF"/>
    <w:rsid w:val="47867568"/>
    <w:rsid w:val="479B039A"/>
    <w:rsid w:val="47AC06A2"/>
    <w:rsid w:val="47AF2A28"/>
    <w:rsid w:val="47B75250"/>
    <w:rsid w:val="47D209FF"/>
    <w:rsid w:val="47D66741"/>
    <w:rsid w:val="47DB3D25"/>
    <w:rsid w:val="47DB3D58"/>
    <w:rsid w:val="47E36892"/>
    <w:rsid w:val="48021483"/>
    <w:rsid w:val="48082673"/>
    <w:rsid w:val="480935A0"/>
    <w:rsid w:val="48160C5D"/>
    <w:rsid w:val="481670C9"/>
    <w:rsid w:val="482074E7"/>
    <w:rsid w:val="4829441C"/>
    <w:rsid w:val="48334921"/>
    <w:rsid w:val="48384D06"/>
    <w:rsid w:val="484D5530"/>
    <w:rsid w:val="485324B9"/>
    <w:rsid w:val="48623E2F"/>
    <w:rsid w:val="486701DC"/>
    <w:rsid w:val="4867550A"/>
    <w:rsid w:val="487348A3"/>
    <w:rsid w:val="48797EA8"/>
    <w:rsid w:val="48806059"/>
    <w:rsid w:val="488D0033"/>
    <w:rsid w:val="48AE4431"/>
    <w:rsid w:val="48C106E5"/>
    <w:rsid w:val="48DD3AFF"/>
    <w:rsid w:val="48E76711"/>
    <w:rsid w:val="48EB66FA"/>
    <w:rsid w:val="49153758"/>
    <w:rsid w:val="491D3EFC"/>
    <w:rsid w:val="491F7DEF"/>
    <w:rsid w:val="4923721A"/>
    <w:rsid w:val="49385DD0"/>
    <w:rsid w:val="493A2D00"/>
    <w:rsid w:val="494722AB"/>
    <w:rsid w:val="49905EE2"/>
    <w:rsid w:val="499C3073"/>
    <w:rsid w:val="49AE20B7"/>
    <w:rsid w:val="49D7069C"/>
    <w:rsid w:val="49DB003F"/>
    <w:rsid w:val="49E84D6F"/>
    <w:rsid w:val="49EE0ABB"/>
    <w:rsid w:val="49F07020"/>
    <w:rsid w:val="4A04600B"/>
    <w:rsid w:val="4A126939"/>
    <w:rsid w:val="4A151498"/>
    <w:rsid w:val="4A1C5F07"/>
    <w:rsid w:val="4A347777"/>
    <w:rsid w:val="4A3E70A2"/>
    <w:rsid w:val="4A4060F4"/>
    <w:rsid w:val="4A6D4A0F"/>
    <w:rsid w:val="4A791606"/>
    <w:rsid w:val="4A7E7BF1"/>
    <w:rsid w:val="4A896AD4"/>
    <w:rsid w:val="4A8A55C1"/>
    <w:rsid w:val="4A9A2EBB"/>
    <w:rsid w:val="4AC9433B"/>
    <w:rsid w:val="4AD64F49"/>
    <w:rsid w:val="4AD8632C"/>
    <w:rsid w:val="4AF306DA"/>
    <w:rsid w:val="4AF560D2"/>
    <w:rsid w:val="4AFB201B"/>
    <w:rsid w:val="4B1A6945"/>
    <w:rsid w:val="4B283B7C"/>
    <w:rsid w:val="4B3C02C6"/>
    <w:rsid w:val="4B4577FE"/>
    <w:rsid w:val="4B5435FF"/>
    <w:rsid w:val="4B63653E"/>
    <w:rsid w:val="4B871B00"/>
    <w:rsid w:val="4BB07FA2"/>
    <w:rsid w:val="4BBC56E8"/>
    <w:rsid w:val="4BD33066"/>
    <w:rsid w:val="4BF278C2"/>
    <w:rsid w:val="4C093597"/>
    <w:rsid w:val="4C0D0258"/>
    <w:rsid w:val="4C166CB4"/>
    <w:rsid w:val="4C205B90"/>
    <w:rsid w:val="4C3E6205"/>
    <w:rsid w:val="4C5B7284"/>
    <w:rsid w:val="4C5E52FB"/>
    <w:rsid w:val="4C60482B"/>
    <w:rsid w:val="4C6B4F7E"/>
    <w:rsid w:val="4C6C1422"/>
    <w:rsid w:val="4C785B28"/>
    <w:rsid w:val="4C7F7227"/>
    <w:rsid w:val="4C83051A"/>
    <w:rsid w:val="4C854292"/>
    <w:rsid w:val="4C866811"/>
    <w:rsid w:val="4C9A0120"/>
    <w:rsid w:val="4CAC7A71"/>
    <w:rsid w:val="4D04404A"/>
    <w:rsid w:val="4D0C05A9"/>
    <w:rsid w:val="4D245859"/>
    <w:rsid w:val="4D2B3EBE"/>
    <w:rsid w:val="4D381304"/>
    <w:rsid w:val="4D461C73"/>
    <w:rsid w:val="4D471926"/>
    <w:rsid w:val="4D4E33A8"/>
    <w:rsid w:val="4D5D32C9"/>
    <w:rsid w:val="4D636E31"/>
    <w:rsid w:val="4D7367E0"/>
    <w:rsid w:val="4D78603B"/>
    <w:rsid w:val="4D7B19CD"/>
    <w:rsid w:val="4D846DAB"/>
    <w:rsid w:val="4D9A75AE"/>
    <w:rsid w:val="4DAB6D56"/>
    <w:rsid w:val="4DAC65F6"/>
    <w:rsid w:val="4DB7412A"/>
    <w:rsid w:val="4DC21824"/>
    <w:rsid w:val="4DC3057B"/>
    <w:rsid w:val="4DCC4263"/>
    <w:rsid w:val="4DCC482D"/>
    <w:rsid w:val="4DCC61C3"/>
    <w:rsid w:val="4DE214AF"/>
    <w:rsid w:val="4DE91FF9"/>
    <w:rsid w:val="4E047438"/>
    <w:rsid w:val="4E0F267F"/>
    <w:rsid w:val="4E141D37"/>
    <w:rsid w:val="4E416BAC"/>
    <w:rsid w:val="4E4A331D"/>
    <w:rsid w:val="4E4B175E"/>
    <w:rsid w:val="4E77AD05"/>
    <w:rsid w:val="4E870795"/>
    <w:rsid w:val="4E8D61CF"/>
    <w:rsid w:val="4E935B57"/>
    <w:rsid w:val="4E942433"/>
    <w:rsid w:val="4EB40E5E"/>
    <w:rsid w:val="4ECB409D"/>
    <w:rsid w:val="4EDB38E7"/>
    <w:rsid w:val="4EDE42C2"/>
    <w:rsid w:val="4EE223B6"/>
    <w:rsid w:val="4EF15385"/>
    <w:rsid w:val="4EF162D8"/>
    <w:rsid w:val="4EF83CBE"/>
    <w:rsid w:val="4EF8745C"/>
    <w:rsid w:val="4EFE4786"/>
    <w:rsid w:val="4F010CC1"/>
    <w:rsid w:val="4F183057"/>
    <w:rsid w:val="4F213E0A"/>
    <w:rsid w:val="4F287C8B"/>
    <w:rsid w:val="4F2C1AA8"/>
    <w:rsid w:val="4F2F3C83"/>
    <w:rsid w:val="4F321E52"/>
    <w:rsid w:val="4F3DA893"/>
    <w:rsid w:val="4F45114D"/>
    <w:rsid w:val="4F4C1097"/>
    <w:rsid w:val="4F5239A7"/>
    <w:rsid w:val="4F640757"/>
    <w:rsid w:val="4F7C25B8"/>
    <w:rsid w:val="4F8B4B09"/>
    <w:rsid w:val="4FA2741F"/>
    <w:rsid w:val="4FAB400F"/>
    <w:rsid w:val="4FAE3114"/>
    <w:rsid w:val="4FBB445D"/>
    <w:rsid w:val="4FD05402"/>
    <w:rsid w:val="4FD543E5"/>
    <w:rsid w:val="4FD71DC0"/>
    <w:rsid w:val="4FF0236A"/>
    <w:rsid w:val="4FF16E00"/>
    <w:rsid w:val="4FF43C08"/>
    <w:rsid w:val="4FF91A96"/>
    <w:rsid w:val="4FFA4F97"/>
    <w:rsid w:val="5004101F"/>
    <w:rsid w:val="501313E8"/>
    <w:rsid w:val="502D0509"/>
    <w:rsid w:val="504C56B2"/>
    <w:rsid w:val="50550D40"/>
    <w:rsid w:val="505A1BA0"/>
    <w:rsid w:val="50631789"/>
    <w:rsid w:val="50637592"/>
    <w:rsid w:val="50650662"/>
    <w:rsid w:val="50736914"/>
    <w:rsid w:val="50970A38"/>
    <w:rsid w:val="50BE4D78"/>
    <w:rsid w:val="50C47282"/>
    <w:rsid w:val="50D82199"/>
    <w:rsid w:val="50D945BC"/>
    <w:rsid w:val="50EA513A"/>
    <w:rsid w:val="50EB4502"/>
    <w:rsid w:val="51161B0F"/>
    <w:rsid w:val="51170972"/>
    <w:rsid w:val="511B3417"/>
    <w:rsid w:val="5125662C"/>
    <w:rsid w:val="514324CE"/>
    <w:rsid w:val="51533E08"/>
    <w:rsid w:val="516E13D9"/>
    <w:rsid w:val="517D12AE"/>
    <w:rsid w:val="51974326"/>
    <w:rsid w:val="51AA3E0A"/>
    <w:rsid w:val="51B44B6D"/>
    <w:rsid w:val="51BD4570"/>
    <w:rsid w:val="51BF438F"/>
    <w:rsid w:val="51CC5E14"/>
    <w:rsid w:val="51D41141"/>
    <w:rsid w:val="51D75590"/>
    <w:rsid w:val="51D87371"/>
    <w:rsid w:val="51DB588B"/>
    <w:rsid w:val="51DD1187"/>
    <w:rsid w:val="51FF652F"/>
    <w:rsid w:val="520E00F8"/>
    <w:rsid w:val="52436B47"/>
    <w:rsid w:val="52590CA3"/>
    <w:rsid w:val="52620CFF"/>
    <w:rsid w:val="527C6CA6"/>
    <w:rsid w:val="52814FE8"/>
    <w:rsid w:val="528A3B4C"/>
    <w:rsid w:val="529D3DB1"/>
    <w:rsid w:val="529D4742"/>
    <w:rsid w:val="52A7776D"/>
    <w:rsid w:val="52AB5723"/>
    <w:rsid w:val="52B82387"/>
    <w:rsid w:val="52BC623B"/>
    <w:rsid w:val="52C150B4"/>
    <w:rsid w:val="52C92AF8"/>
    <w:rsid w:val="52D6273A"/>
    <w:rsid w:val="52DE294E"/>
    <w:rsid w:val="52F45CCD"/>
    <w:rsid w:val="52F8416E"/>
    <w:rsid w:val="52FE36FC"/>
    <w:rsid w:val="530B3971"/>
    <w:rsid w:val="534760AC"/>
    <w:rsid w:val="534B66D5"/>
    <w:rsid w:val="534B6CCB"/>
    <w:rsid w:val="53570785"/>
    <w:rsid w:val="53590888"/>
    <w:rsid w:val="535D1AC5"/>
    <w:rsid w:val="537A6478"/>
    <w:rsid w:val="537D5F65"/>
    <w:rsid w:val="537E1E5C"/>
    <w:rsid w:val="53866FE8"/>
    <w:rsid w:val="538E62CB"/>
    <w:rsid w:val="539603B9"/>
    <w:rsid w:val="539B1DE6"/>
    <w:rsid w:val="539E3730"/>
    <w:rsid w:val="53A17016"/>
    <w:rsid w:val="53BB67EB"/>
    <w:rsid w:val="53C21783"/>
    <w:rsid w:val="53C464A1"/>
    <w:rsid w:val="53C971F1"/>
    <w:rsid w:val="53D1600F"/>
    <w:rsid w:val="53D97BA1"/>
    <w:rsid w:val="53DF3BD2"/>
    <w:rsid w:val="53DF76D1"/>
    <w:rsid w:val="53F90A81"/>
    <w:rsid w:val="5408222F"/>
    <w:rsid w:val="541F6D7A"/>
    <w:rsid w:val="54236053"/>
    <w:rsid w:val="542720D3"/>
    <w:rsid w:val="54291EC5"/>
    <w:rsid w:val="546B4BD6"/>
    <w:rsid w:val="546D7BC2"/>
    <w:rsid w:val="5483555B"/>
    <w:rsid w:val="5498521D"/>
    <w:rsid w:val="54A37489"/>
    <w:rsid w:val="54AB54E8"/>
    <w:rsid w:val="54AE00FE"/>
    <w:rsid w:val="54B003AC"/>
    <w:rsid w:val="54C73E79"/>
    <w:rsid w:val="54D05CC9"/>
    <w:rsid w:val="54D579C3"/>
    <w:rsid w:val="54DE4374"/>
    <w:rsid w:val="54E40912"/>
    <w:rsid w:val="54E63994"/>
    <w:rsid w:val="54E8238E"/>
    <w:rsid w:val="54F554C3"/>
    <w:rsid w:val="550945B7"/>
    <w:rsid w:val="55146663"/>
    <w:rsid w:val="55152D13"/>
    <w:rsid w:val="5516017D"/>
    <w:rsid w:val="552B0183"/>
    <w:rsid w:val="55381ED8"/>
    <w:rsid w:val="553E3B94"/>
    <w:rsid w:val="554A067A"/>
    <w:rsid w:val="5552317F"/>
    <w:rsid w:val="557B0BC6"/>
    <w:rsid w:val="55905DE7"/>
    <w:rsid w:val="559B5A76"/>
    <w:rsid w:val="559E63C4"/>
    <w:rsid w:val="55A52046"/>
    <w:rsid w:val="55A86800"/>
    <w:rsid w:val="55C951EF"/>
    <w:rsid w:val="55CF4073"/>
    <w:rsid w:val="55D34E9A"/>
    <w:rsid w:val="55DFB551"/>
    <w:rsid w:val="55F81607"/>
    <w:rsid w:val="55FD14CE"/>
    <w:rsid w:val="560248F3"/>
    <w:rsid w:val="563A2813"/>
    <w:rsid w:val="564B6BD2"/>
    <w:rsid w:val="564C4441"/>
    <w:rsid w:val="56554CD5"/>
    <w:rsid w:val="566040D9"/>
    <w:rsid w:val="56616DB8"/>
    <w:rsid w:val="56623F53"/>
    <w:rsid w:val="566B5D58"/>
    <w:rsid w:val="56B83F92"/>
    <w:rsid w:val="56C478C1"/>
    <w:rsid w:val="56CA025A"/>
    <w:rsid w:val="56CA197E"/>
    <w:rsid w:val="56EC6D02"/>
    <w:rsid w:val="57014286"/>
    <w:rsid w:val="57480C4D"/>
    <w:rsid w:val="574B65E2"/>
    <w:rsid w:val="57581F3D"/>
    <w:rsid w:val="57624041"/>
    <w:rsid w:val="576C4D27"/>
    <w:rsid w:val="577216B2"/>
    <w:rsid w:val="57770C7B"/>
    <w:rsid w:val="577E0C9E"/>
    <w:rsid w:val="578A5040"/>
    <w:rsid w:val="57936E5A"/>
    <w:rsid w:val="57945CD1"/>
    <w:rsid w:val="57996684"/>
    <w:rsid w:val="579A35BF"/>
    <w:rsid w:val="579B1993"/>
    <w:rsid w:val="57AF7B73"/>
    <w:rsid w:val="57B57CB1"/>
    <w:rsid w:val="57BF6515"/>
    <w:rsid w:val="57C2283E"/>
    <w:rsid w:val="57C6546A"/>
    <w:rsid w:val="57CB0EFD"/>
    <w:rsid w:val="57CC0FC7"/>
    <w:rsid w:val="57D79BA4"/>
    <w:rsid w:val="57E72E4A"/>
    <w:rsid w:val="57EC0E5E"/>
    <w:rsid w:val="57EE0EDB"/>
    <w:rsid w:val="57EE718F"/>
    <w:rsid w:val="57F16C7F"/>
    <w:rsid w:val="57FE7716"/>
    <w:rsid w:val="57FF5127"/>
    <w:rsid w:val="5805379D"/>
    <w:rsid w:val="580B4A27"/>
    <w:rsid w:val="58140F90"/>
    <w:rsid w:val="58266ADE"/>
    <w:rsid w:val="582E7656"/>
    <w:rsid w:val="583059FA"/>
    <w:rsid w:val="58313C8C"/>
    <w:rsid w:val="583C6735"/>
    <w:rsid w:val="58586CFE"/>
    <w:rsid w:val="5862192B"/>
    <w:rsid w:val="586308AC"/>
    <w:rsid w:val="587720B8"/>
    <w:rsid w:val="5880240F"/>
    <w:rsid w:val="58871392"/>
    <w:rsid w:val="588B70D4"/>
    <w:rsid w:val="58975328"/>
    <w:rsid w:val="5897595F"/>
    <w:rsid w:val="589A77D3"/>
    <w:rsid w:val="58A14555"/>
    <w:rsid w:val="58AD7B14"/>
    <w:rsid w:val="58BC7E85"/>
    <w:rsid w:val="58BD6B62"/>
    <w:rsid w:val="58CD6A5F"/>
    <w:rsid w:val="58F86605"/>
    <w:rsid w:val="590B7E91"/>
    <w:rsid w:val="591744C4"/>
    <w:rsid w:val="593D0CF7"/>
    <w:rsid w:val="59535719"/>
    <w:rsid w:val="595F3B4E"/>
    <w:rsid w:val="59645264"/>
    <w:rsid w:val="59710078"/>
    <w:rsid w:val="597731B4"/>
    <w:rsid w:val="598558D1"/>
    <w:rsid w:val="59921114"/>
    <w:rsid w:val="5995202D"/>
    <w:rsid w:val="59A74B39"/>
    <w:rsid w:val="59AF73AF"/>
    <w:rsid w:val="59B2243E"/>
    <w:rsid w:val="59B74EE0"/>
    <w:rsid w:val="59B97EEC"/>
    <w:rsid w:val="59D61838"/>
    <w:rsid w:val="59D84573"/>
    <w:rsid w:val="59E36A9C"/>
    <w:rsid w:val="59EB786F"/>
    <w:rsid w:val="5A0B3921"/>
    <w:rsid w:val="5A1124DF"/>
    <w:rsid w:val="5A1A3741"/>
    <w:rsid w:val="5A2B0E17"/>
    <w:rsid w:val="5A345068"/>
    <w:rsid w:val="5A4541DC"/>
    <w:rsid w:val="5A511C57"/>
    <w:rsid w:val="5A981634"/>
    <w:rsid w:val="5A9E24F5"/>
    <w:rsid w:val="5AA21D49"/>
    <w:rsid w:val="5AA36B2A"/>
    <w:rsid w:val="5AB04AC0"/>
    <w:rsid w:val="5AB6023B"/>
    <w:rsid w:val="5AC8063F"/>
    <w:rsid w:val="5ADE798F"/>
    <w:rsid w:val="5AE3794C"/>
    <w:rsid w:val="5AF0321E"/>
    <w:rsid w:val="5AF32C10"/>
    <w:rsid w:val="5AFA3955"/>
    <w:rsid w:val="5AFFCF6A"/>
    <w:rsid w:val="5B152F7E"/>
    <w:rsid w:val="5B1E0AE8"/>
    <w:rsid w:val="5B244A46"/>
    <w:rsid w:val="5B2610E5"/>
    <w:rsid w:val="5B277059"/>
    <w:rsid w:val="5B4812AC"/>
    <w:rsid w:val="5B4B66A7"/>
    <w:rsid w:val="5B4F6DF9"/>
    <w:rsid w:val="5B505CE1"/>
    <w:rsid w:val="5B530C77"/>
    <w:rsid w:val="5B6E7092"/>
    <w:rsid w:val="5B7C0F56"/>
    <w:rsid w:val="5B800982"/>
    <w:rsid w:val="5B9D5B49"/>
    <w:rsid w:val="5BA364E3"/>
    <w:rsid w:val="5BB0605D"/>
    <w:rsid w:val="5BBE7ADC"/>
    <w:rsid w:val="5BCA607F"/>
    <w:rsid w:val="5BCB3176"/>
    <w:rsid w:val="5BD156B2"/>
    <w:rsid w:val="5BD62414"/>
    <w:rsid w:val="5BD671A5"/>
    <w:rsid w:val="5C12646B"/>
    <w:rsid w:val="5C273ACF"/>
    <w:rsid w:val="5C3E7FB9"/>
    <w:rsid w:val="5C517C01"/>
    <w:rsid w:val="5C5B3495"/>
    <w:rsid w:val="5C5D0D87"/>
    <w:rsid w:val="5C64226D"/>
    <w:rsid w:val="5C6F4617"/>
    <w:rsid w:val="5C744009"/>
    <w:rsid w:val="5C8764CA"/>
    <w:rsid w:val="5C8A31FF"/>
    <w:rsid w:val="5C992539"/>
    <w:rsid w:val="5C9C18DD"/>
    <w:rsid w:val="5CAC6600"/>
    <w:rsid w:val="5CB956F7"/>
    <w:rsid w:val="5CBA4B9F"/>
    <w:rsid w:val="5CC70C46"/>
    <w:rsid w:val="5CD23C65"/>
    <w:rsid w:val="5CE65DF3"/>
    <w:rsid w:val="5CF363ED"/>
    <w:rsid w:val="5D047455"/>
    <w:rsid w:val="5D194E68"/>
    <w:rsid w:val="5D361260"/>
    <w:rsid w:val="5D386CAB"/>
    <w:rsid w:val="5D39728F"/>
    <w:rsid w:val="5D460BBE"/>
    <w:rsid w:val="5D597F28"/>
    <w:rsid w:val="5D752101"/>
    <w:rsid w:val="5D76664B"/>
    <w:rsid w:val="5D890A93"/>
    <w:rsid w:val="5D9654FD"/>
    <w:rsid w:val="5D994459"/>
    <w:rsid w:val="5D9A7455"/>
    <w:rsid w:val="5D9C7014"/>
    <w:rsid w:val="5DA56542"/>
    <w:rsid w:val="5DA622BA"/>
    <w:rsid w:val="5DA90013"/>
    <w:rsid w:val="5DC038F2"/>
    <w:rsid w:val="5DCD1363"/>
    <w:rsid w:val="5DCF4315"/>
    <w:rsid w:val="5DD44C12"/>
    <w:rsid w:val="5DDF6165"/>
    <w:rsid w:val="5DED1C1A"/>
    <w:rsid w:val="5DEF52A8"/>
    <w:rsid w:val="5DF3AD9D"/>
    <w:rsid w:val="5DFF1E34"/>
    <w:rsid w:val="5E416C73"/>
    <w:rsid w:val="5E4F24F5"/>
    <w:rsid w:val="5E527045"/>
    <w:rsid w:val="5E6DA7F3"/>
    <w:rsid w:val="5E800D5D"/>
    <w:rsid w:val="5E803505"/>
    <w:rsid w:val="5E850121"/>
    <w:rsid w:val="5EAB2513"/>
    <w:rsid w:val="5EAF5F88"/>
    <w:rsid w:val="5EB407B5"/>
    <w:rsid w:val="5EEFAD81"/>
    <w:rsid w:val="5F025001"/>
    <w:rsid w:val="5F082AF5"/>
    <w:rsid w:val="5F0B6879"/>
    <w:rsid w:val="5F0D156F"/>
    <w:rsid w:val="5F0D1CD2"/>
    <w:rsid w:val="5F137440"/>
    <w:rsid w:val="5F180F96"/>
    <w:rsid w:val="5F1A0D4A"/>
    <w:rsid w:val="5F1FBD61"/>
    <w:rsid w:val="5F322F1C"/>
    <w:rsid w:val="5F3F661E"/>
    <w:rsid w:val="5F4D713D"/>
    <w:rsid w:val="5F6146B0"/>
    <w:rsid w:val="5F6479E2"/>
    <w:rsid w:val="5F69359F"/>
    <w:rsid w:val="5F830B05"/>
    <w:rsid w:val="5F8B5419"/>
    <w:rsid w:val="5F8D2EF6"/>
    <w:rsid w:val="5F916CC4"/>
    <w:rsid w:val="5F955BF5"/>
    <w:rsid w:val="5FA32325"/>
    <w:rsid w:val="5FAB4165"/>
    <w:rsid w:val="5FBF9C21"/>
    <w:rsid w:val="5FC552F4"/>
    <w:rsid w:val="5FC86518"/>
    <w:rsid w:val="5FDF2279"/>
    <w:rsid w:val="5FE031E6"/>
    <w:rsid w:val="5FF116BF"/>
    <w:rsid w:val="60115E5A"/>
    <w:rsid w:val="60206354"/>
    <w:rsid w:val="60493074"/>
    <w:rsid w:val="604A517F"/>
    <w:rsid w:val="606D70BF"/>
    <w:rsid w:val="607344CE"/>
    <w:rsid w:val="607D4E5D"/>
    <w:rsid w:val="608C171D"/>
    <w:rsid w:val="60966616"/>
    <w:rsid w:val="60BD73FF"/>
    <w:rsid w:val="60C35AF9"/>
    <w:rsid w:val="60C52C4C"/>
    <w:rsid w:val="60E00395"/>
    <w:rsid w:val="60EF06A9"/>
    <w:rsid w:val="60EF50B4"/>
    <w:rsid w:val="60F2534F"/>
    <w:rsid w:val="60FC6CDC"/>
    <w:rsid w:val="61051784"/>
    <w:rsid w:val="61112140"/>
    <w:rsid w:val="61194BAA"/>
    <w:rsid w:val="611E5323"/>
    <w:rsid w:val="61266C2F"/>
    <w:rsid w:val="612C7B33"/>
    <w:rsid w:val="61315854"/>
    <w:rsid w:val="61412A26"/>
    <w:rsid w:val="61476E28"/>
    <w:rsid w:val="6148221B"/>
    <w:rsid w:val="615B6854"/>
    <w:rsid w:val="61677D20"/>
    <w:rsid w:val="616C7377"/>
    <w:rsid w:val="617D19A2"/>
    <w:rsid w:val="617E77D6"/>
    <w:rsid w:val="6184607E"/>
    <w:rsid w:val="618760F1"/>
    <w:rsid w:val="61920AE7"/>
    <w:rsid w:val="619D030E"/>
    <w:rsid w:val="61A20164"/>
    <w:rsid w:val="61A94127"/>
    <w:rsid w:val="61AE3F06"/>
    <w:rsid w:val="61DE4CFF"/>
    <w:rsid w:val="61EC3BE8"/>
    <w:rsid w:val="61FB44C5"/>
    <w:rsid w:val="620405AE"/>
    <w:rsid w:val="62112F0A"/>
    <w:rsid w:val="621C6FEF"/>
    <w:rsid w:val="6230056B"/>
    <w:rsid w:val="623563AE"/>
    <w:rsid w:val="62365167"/>
    <w:rsid w:val="623B7475"/>
    <w:rsid w:val="62430C6A"/>
    <w:rsid w:val="62447F17"/>
    <w:rsid w:val="6256605D"/>
    <w:rsid w:val="62710B4C"/>
    <w:rsid w:val="628637C3"/>
    <w:rsid w:val="62BA7A86"/>
    <w:rsid w:val="62D31A4C"/>
    <w:rsid w:val="62D66866"/>
    <w:rsid w:val="62E3619B"/>
    <w:rsid w:val="62EA0C0E"/>
    <w:rsid w:val="62ED1AF1"/>
    <w:rsid w:val="62EF095A"/>
    <w:rsid w:val="62F53AC8"/>
    <w:rsid w:val="63054188"/>
    <w:rsid w:val="63102241"/>
    <w:rsid w:val="631127C2"/>
    <w:rsid w:val="6315416A"/>
    <w:rsid w:val="63181564"/>
    <w:rsid w:val="634B7B8C"/>
    <w:rsid w:val="63586B25"/>
    <w:rsid w:val="636B7DC4"/>
    <w:rsid w:val="638212F3"/>
    <w:rsid w:val="638414C5"/>
    <w:rsid w:val="6388587F"/>
    <w:rsid w:val="63A9351C"/>
    <w:rsid w:val="63A95B87"/>
    <w:rsid w:val="63B858D1"/>
    <w:rsid w:val="63BCC5C1"/>
    <w:rsid w:val="63C83680"/>
    <w:rsid w:val="63D11E1F"/>
    <w:rsid w:val="63D41FBE"/>
    <w:rsid w:val="63D8399D"/>
    <w:rsid w:val="63DF301F"/>
    <w:rsid w:val="63F27A3A"/>
    <w:rsid w:val="63F74842"/>
    <w:rsid w:val="63F975E8"/>
    <w:rsid w:val="641A7272"/>
    <w:rsid w:val="641C0BA0"/>
    <w:rsid w:val="64204A24"/>
    <w:rsid w:val="642252B6"/>
    <w:rsid w:val="642F3141"/>
    <w:rsid w:val="64406E43"/>
    <w:rsid w:val="644C10D1"/>
    <w:rsid w:val="645A795A"/>
    <w:rsid w:val="6460189D"/>
    <w:rsid w:val="646A01A8"/>
    <w:rsid w:val="646D58E0"/>
    <w:rsid w:val="6489542A"/>
    <w:rsid w:val="64AB425E"/>
    <w:rsid w:val="64BE05E7"/>
    <w:rsid w:val="64BE613B"/>
    <w:rsid w:val="64D02ED8"/>
    <w:rsid w:val="64D03FA1"/>
    <w:rsid w:val="64D50AEA"/>
    <w:rsid w:val="64D75146"/>
    <w:rsid w:val="64DD0CB7"/>
    <w:rsid w:val="64E41E18"/>
    <w:rsid w:val="64EE026A"/>
    <w:rsid w:val="65024C7C"/>
    <w:rsid w:val="650F6648"/>
    <w:rsid w:val="651151DE"/>
    <w:rsid w:val="651F62A0"/>
    <w:rsid w:val="65442AE4"/>
    <w:rsid w:val="65474383"/>
    <w:rsid w:val="65566374"/>
    <w:rsid w:val="655978BF"/>
    <w:rsid w:val="657B402C"/>
    <w:rsid w:val="657C215B"/>
    <w:rsid w:val="658B10E8"/>
    <w:rsid w:val="658F72F7"/>
    <w:rsid w:val="65B57B2B"/>
    <w:rsid w:val="65B71457"/>
    <w:rsid w:val="65BC7798"/>
    <w:rsid w:val="65C07A66"/>
    <w:rsid w:val="65C31F3F"/>
    <w:rsid w:val="65D222FE"/>
    <w:rsid w:val="65D53F00"/>
    <w:rsid w:val="65DF4D2F"/>
    <w:rsid w:val="65EA2F94"/>
    <w:rsid w:val="660F5EE7"/>
    <w:rsid w:val="66236BF7"/>
    <w:rsid w:val="663658B2"/>
    <w:rsid w:val="664F1741"/>
    <w:rsid w:val="66627838"/>
    <w:rsid w:val="66642A17"/>
    <w:rsid w:val="66772A46"/>
    <w:rsid w:val="66964D61"/>
    <w:rsid w:val="669C738A"/>
    <w:rsid w:val="66AB44AA"/>
    <w:rsid w:val="66BB2590"/>
    <w:rsid w:val="66C64D00"/>
    <w:rsid w:val="66C97765"/>
    <w:rsid w:val="66CB01E7"/>
    <w:rsid w:val="66D67385"/>
    <w:rsid w:val="66EC2896"/>
    <w:rsid w:val="66F574A0"/>
    <w:rsid w:val="66F76FF8"/>
    <w:rsid w:val="67050051"/>
    <w:rsid w:val="670867A2"/>
    <w:rsid w:val="671B4CF1"/>
    <w:rsid w:val="6720247B"/>
    <w:rsid w:val="672524A2"/>
    <w:rsid w:val="67333B53"/>
    <w:rsid w:val="673D2D10"/>
    <w:rsid w:val="67535261"/>
    <w:rsid w:val="675C1AC8"/>
    <w:rsid w:val="676A5208"/>
    <w:rsid w:val="676B3A19"/>
    <w:rsid w:val="67747758"/>
    <w:rsid w:val="677750E6"/>
    <w:rsid w:val="67792C2C"/>
    <w:rsid w:val="678E6299"/>
    <w:rsid w:val="67953799"/>
    <w:rsid w:val="67A555FF"/>
    <w:rsid w:val="67A564F8"/>
    <w:rsid w:val="67B7712F"/>
    <w:rsid w:val="67BB4C0B"/>
    <w:rsid w:val="67C95410"/>
    <w:rsid w:val="67CD63BE"/>
    <w:rsid w:val="67D71516"/>
    <w:rsid w:val="67DFB2EB"/>
    <w:rsid w:val="67FF65B8"/>
    <w:rsid w:val="680C04F9"/>
    <w:rsid w:val="680E43C9"/>
    <w:rsid w:val="682312A9"/>
    <w:rsid w:val="682C2B6D"/>
    <w:rsid w:val="682E0DA7"/>
    <w:rsid w:val="682F1613"/>
    <w:rsid w:val="683055A2"/>
    <w:rsid w:val="68364600"/>
    <w:rsid w:val="683E7CBF"/>
    <w:rsid w:val="684823F0"/>
    <w:rsid w:val="68550B65"/>
    <w:rsid w:val="68591702"/>
    <w:rsid w:val="685E3EBD"/>
    <w:rsid w:val="687A5E9B"/>
    <w:rsid w:val="68897539"/>
    <w:rsid w:val="6897282B"/>
    <w:rsid w:val="68996CA3"/>
    <w:rsid w:val="68B24209"/>
    <w:rsid w:val="68B34305"/>
    <w:rsid w:val="68B65AA7"/>
    <w:rsid w:val="68BB700A"/>
    <w:rsid w:val="68CA50AF"/>
    <w:rsid w:val="68DC08C9"/>
    <w:rsid w:val="68EF0FB9"/>
    <w:rsid w:val="690638EE"/>
    <w:rsid w:val="69131603"/>
    <w:rsid w:val="691A657C"/>
    <w:rsid w:val="691E4C7F"/>
    <w:rsid w:val="691F0FA5"/>
    <w:rsid w:val="69532E87"/>
    <w:rsid w:val="6953779A"/>
    <w:rsid w:val="695E7EED"/>
    <w:rsid w:val="6961245B"/>
    <w:rsid w:val="697257F6"/>
    <w:rsid w:val="697B0721"/>
    <w:rsid w:val="698200F7"/>
    <w:rsid w:val="6992561D"/>
    <w:rsid w:val="699D0A15"/>
    <w:rsid w:val="699F70EB"/>
    <w:rsid w:val="69A064FA"/>
    <w:rsid w:val="69A17C70"/>
    <w:rsid w:val="69D112C7"/>
    <w:rsid w:val="69D865C9"/>
    <w:rsid w:val="69DB739E"/>
    <w:rsid w:val="69E950A3"/>
    <w:rsid w:val="69F35F61"/>
    <w:rsid w:val="6A1D29A9"/>
    <w:rsid w:val="6A1E472A"/>
    <w:rsid w:val="6A330A92"/>
    <w:rsid w:val="6A450888"/>
    <w:rsid w:val="6A4741AB"/>
    <w:rsid w:val="6A5A380F"/>
    <w:rsid w:val="6A690098"/>
    <w:rsid w:val="6A6D1BDA"/>
    <w:rsid w:val="6A6F1338"/>
    <w:rsid w:val="6A70612A"/>
    <w:rsid w:val="6A8A03C9"/>
    <w:rsid w:val="6A8B4D12"/>
    <w:rsid w:val="6AA2034E"/>
    <w:rsid w:val="6AAB6D55"/>
    <w:rsid w:val="6AC739D5"/>
    <w:rsid w:val="6ACD55C9"/>
    <w:rsid w:val="6ADD7329"/>
    <w:rsid w:val="6AEB316D"/>
    <w:rsid w:val="6B071A62"/>
    <w:rsid w:val="6B14703F"/>
    <w:rsid w:val="6B427AC6"/>
    <w:rsid w:val="6B454EC0"/>
    <w:rsid w:val="6B5361DC"/>
    <w:rsid w:val="6B5F56D8"/>
    <w:rsid w:val="6B602F2B"/>
    <w:rsid w:val="6B777044"/>
    <w:rsid w:val="6B804A78"/>
    <w:rsid w:val="6B93796D"/>
    <w:rsid w:val="6B97314D"/>
    <w:rsid w:val="6BBA4413"/>
    <w:rsid w:val="6BBA7891"/>
    <w:rsid w:val="6BBC3D1E"/>
    <w:rsid w:val="6BC63A28"/>
    <w:rsid w:val="6BDA06EB"/>
    <w:rsid w:val="6BE7241B"/>
    <w:rsid w:val="6BEB2F73"/>
    <w:rsid w:val="6C0603C1"/>
    <w:rsid w:val="6C40795D"/>
    <w:rsid w:val="6C450AD1"/>
    <w:rsid w:val="6C52009B"/>
    <w:rsid w:val="6C5A6232"/>
    <w:rsid w:val="6C5B25E5"/>
    <w:rsid w:val="6C691BD8"/>
    <w:rsid w:val="6C6973EC"/>
    <w:rsid w:val="6C703D71"/>
    <w:rsid w:val="6C870A40"/>
    <w:rsid w:val="6C8D08AC"/>
    <w:rsid w:val="6C9C4FB4"/>
    <w:rsid w:val="6CA200F0"/>
    <w:rsid w:val="6CA67BE1"/>
    <w:rsid w:val="6CA827D4"/>
    <w:rsid w:val="6CC870A8"/>
    <w:rsid w:val="6CF45A0D"/>
    <w:rsid w:val="6CF52916"/>
    <w:rsid w:val="6CFA26EB"/>
    <w:rsid w:val="6CFB084B"/>
    <w:rsid w:val="6CFF105E"/>
    <w:rsid w:val="6D0A20C6"/>
    <w:rsid w:val="6D16193B"/>
    <w:rsid w:val="6D2D20B0"/>
    <w:rsid w:val="6D3D3098"/>
    <w:rsid w:val="6D623B65"/>
    <w:rsid w:val="6D767B62"/>
    <w:rsid w:val="6D7B0D9A"/>
    <w:rsid w:val="6DC32659"/>
    <w:rsid w:val="6DC63FCE"/>
    <w:rsid w:val="6DD047FE"/>
    <w:rsid w:val="6DD504D0"/>
    <w:rsid w:val="6DD830D6"/>
    <w:rsid w:val="6DF04A06"/>
    <w:rsid w:val="6DFEF6EC"/>
    <w:rsid w:val="6E05289A"/>
    <w:rsid w:val="6E146DCC"/>
    <w:rsid w:val="6E192634"/>
    <w:rsid w:val="6E212186"/>
    <w:rsid w:val="6E216F18"/>
    <w:rsid w:val="6E244FA9"/>
    <w:rsid w:val="6E353F64"/>
    <w:rsid w:val="6E53585A"/>
    <w:rsid w:val="6E5620E3"/>
    <w:rsid w:val="6E733BE8"/>
    <w:rsid w:val="6E742D93"/>
    <w:rsid w:val="6E860CF7"/>
    <w:rsid w:val="6E873A42"/>
    <w:rsid w:val="6E8D6DF3"/>
    <w:rsid w:val="6E972ABE"/>
    <w:rsid w:val="6E9920D4"/>
    <w:rsid w:val="6EAF6AB3"/>
    <w:rsid w:val="6EB6680B"/>
    <w:rsid w:val="6EC1476E"/>
    <w:rsid w:val="6EE83DD3"/>
    <w:rsid w:val="6EEFFB8B"/>
    <w:rsid w:val="6EF07839"/>
    <w:rsid w:val="6EFC6045"/>
    <w:rsid w:val="6F084B83"/>
    <w:rsid w:val="6F0D03EB"/>
    <w:rsid w:val="6F152881"/>
    <w:rsid w:val="6F22490C"/>
    <w:rsid w:val="6F25460F"/>
    <w:rsid w:val="6F2D6397"/>
    <w:rsid w:val="6F465E38"/>
    <w:rsid w:val="6F4F4560"/>
    <w:rsid w:val="6F7C73BB"/>
    <w:rsid w:val="6F7DC0AC"/>
    <w:rsid w:val="6F854425"/>
    <w:rsid w:val="6F8D2AC6"/>
    <w:rsid w:val="6F900E74"/>
    <w:rsid w:val="6F9516DE"/>
    <w:rsid w:val="6FA7439C"/>
    <w:rsid w:val="6FB30A0B"/>
    <w:rsid w:val="6FB76800"/>
    <w:rsid w:val="6FBD3B29"/>
    <w:rsid w:val="6FD27BE9"/>
    <w:rsid w:val="6FD809F9"/>
    <w:rsid w:val="6FDF636F"/>
    <w:rsid w:val="6FE1ED39"/>
    <w:rsid w:val="6FEA30B8"/>
    <w:rsid w:val="702224CE"/>
    <w:rsid w:val="702A6D7B"/>
    <w:rsid w:val="7031449B"/>
    <w:rsid w:val="704F2938"/>
    <w:rsid w:val="706379A8"/>
    <w:rsid w:val="70734354"/>
    <w:rsid w:val="709646BE"/>
    <w:rsid w:val="709A0D0D"/>
    <w:rsid w:val="70A33376"/>
    <w:rsid w:val="70A36F0F"/>
    <w:rsid w:val="70B1389B"/>
    <w:rsid w:val="70B42257"/>
    <w:rsid w:val="70BD1663"/>
    <w:rsid w:val="70C112E2"/>
    <w:rsid w:val="70CC5E72"/>
    <w:rsid w:val="70DA448E"/>
    <w:rsid w:val="70E039B2"/>
    <w:rsid w:val="70F10E04"/>
    <w:rsid w:val="70F53DCC"/>
    <w:rsid w:val="70FC0717"/>
    <w:rsid w:val="71141057"/>
    <w:rsid w:val="712E53E1"/>
    <w:rsid w:val="712E6051"/>
    <w:rsid w:val="712F423E"/>
    <w:rsid w:val="71422DA4"/>
    <w:rsid w:val="714238D8"/>
    <w:rsid w:val="71477753"/>
    <w:rsid w:val="71627BBC"/>
    <w:rsid w:val="71681709"/>
    <w:rsid w:val="71687B5B"/>
    <w:rsid w:val="71695811"/>
    <w:rsid w:val="716A5647"/>
    <w:rsid w:val="716B1DA6"/>
    <w:rsid w:val="71837C88"/>
    <w:rsid w:val="719153B4"/>
    <w:rsid w:val="71922E29"/>
    <w:rsid w:val="71A3020C"/>
    <w:rsid w:val="71CE727E"/>
    <w:rsid w:val="71E53328"/>
    <w:rsid w:val="71EF2DAF"/>
    <w:rsid w:val="71FC17E3"/>
    <w:rsid w:val="720B2A01"/>
    <w:rsid w:val="720C01D8"/>
    <w:rsid w:val="72270BF8"/>
    <w:rsid w:val="722F72F5"/>
    <w:rsid w:val="72301FA7"/>
    <w:rsid w:val="725700A9"/>
    <w:rsid w:val="72582232"/>
    <w:rsid w:val="726245AA"/>
    <w:rsid w:val="72715C07"/>
    <w:rsid w:val="727E1402"/>
    <w:rsid w:val="72897D89"/>
    <w:rsid w:val="729B5226"/>
    <w:rsid w:val="72C1593C"/>
    <w:rsid w:val="72D51220"/>
    <w:rsid w:val="72DD63B9"/>
    <w:rsid w:val="72EE39A0"/>
    <w:rsid w:val="72EF0825"/>
    <w:rsid w:val="72FC701D"/>
    <w:rsid w:val="730061B6"/>
    <w:rsid w:val="73085AC2"/>
    <w:rsid w:val="731161B6"/>
    <w:rsid w:val="73290765"/>
    <w:rsid w:val="732C63F7"/>
    <w:rsid w:val="732D63EB"/>
    <w:rsid w:val="733E0A28"/>
    <w:rsid w:val="7348346F"/>
    <w:rsid w:val="7352461E"/>
    <w:rsid w:val="73752810"/>
    <w:rsid w:val="737773DC"/>
    <w:rsid w:val="73805981"/>
    <w:rsid w:val="7390694A"/>
    <w:rsid w:val="739A7D73"/>
    <w:rsid w:val="73AC3271"/>
    <w:rsid w:val="73AF4CE8"/>
    <w:rsid w:val="73B10D49"/>
    <w:rsid w:val="73C3551C"/>
    <w:rsid w:val="73D96AEE"/>
    <w:rsid w:val="73DFA410"/>
    <w:rsid w:val="73E0489D"/>
    <w:rsid w:val="73EF4563"/>
    <w:rsid w:val="73F7B72B"/>
    <w:rsid w:val="74052F11"/>
    <w:rsid w:val="74055AE2"/>
    <w:rsid w:val="74064E51"/>
    <w:rsid w:val="742B226E"/>
    <w:rsid w:val="742D1D9A"/>
    <w:rsid w:val="743C6FDA"/>
    <w:rsid w:val="74450195"/>
    <w:rsid w:val="744E5315"/>
    <w:rsid w:val="745B563F"/>
    <w:rsid w:val="748143EA"/>
    <w:rsid w:val="7490269B"/>
    <w:rsid w:val="749070CC"/>
    <w:rsid w:val="7495072D"/>
    <w:rsid w:val="7499373C"/>
    <w:rsid w:val="749D00D4"/>
    <w:rsid w:val="74AC7186"/>
    <w:rsid w:val="74B92C45"/>
    <w:rsid w:val="74C55D00"/>
    <w:rsid w:val="74D95226"/>
    <w:rsid w:val="74E90D4A"/>
    <w:rsid w:val="74EC2851"/>
    <w:rsid w:val="74EE0DBB"/>
    <w:rsid w:val="74F769B5"/>
    <w:rsid w:val="74FB7497"/>
    <w:rsid w:val="74FC5157"/>
    <w:rsid w:val="74FD6DFA"/>
    <w:rsid w:val="75210DC6"/>
    <w:rsid w:val="75246385"/>
    <w:rsid w:val="75263DFE"/>
    <w:rsid w:val="75354225"/>
    <w:rsid w:val="75415D5C"/>
    <w:rsid w:val="754E3F86"/>
    <w:rsid w:val="75505D63"/>
    <w:rsid w:val="75526B58"/>
    <w:rsid w:val="75556648"/>
    <w:rsid w:val="75705230"/>
    <w:rsid w:val="7582335E"/>
    <w:rsid w:val="758331B5"/>
    <w:rsid w:val="758B689E"/>
    <w:rsid w:val="7596337E"/>
    <w:rsid w:val="75A67491"/>
    <w:rsid w:val="75A96506"/>
    <w:rsid w:val="75F25C45"/>
    <w:rsid w:val="75F26A8D"/>
    <w:rsid w:val="75FDDD45"/>
    <w:rsid w:val="7608190C"/>
    <w:rsid w:val="76164902"/>
    <w:rsid w:val="76375D4D"/>
    <w:rsid w:val="763C69AB"/>
    <w:rsid w:val="763D2463"/>
    <w:rsid w:val="763F10FE"/>
    <w:rsid w:val="764970A4"/>
    <w:rsid w:val="764A7B47"/>
    <w:rsid w:val="764C7A4B"/>
    <w:rsid w:val="764D1B91"/>
    <w:rsid w:val="765A6067"/>
    <w:rsid w:val="76605D02"/>
    <w:rsid w:val="76984A3E"/>
    <w:rsid w:val="76A12F41"/>
    <w:rsid w:val="76AA29C3"/>
    <w:rsid w:val="76AC74B5"/>
    <w:rsid w:val="76B255A9"/>
    <w:rsid w:val="76B34C0F"/>
    <w:rsid w:val="76BD22F5"/>
    <w:rsid w:val="76BF1F8C"/>
    <w:rsid w:val="76D474B3"/>
    <w:rsid w:val="76DD7BB9"/>
    <w:rsid w:val="76E8349A"/>
    <w:rsid w:val="76EC6E91"/>
    <w:rsid w:val="76F9727D"/>
    <w:rsid w:val="76FD1C33"/>
    <w:rsid w:val="77004391"/>
    <w:rsid w:val="77040E8C"/>
    <w:rsid w:val="77097833"/>
    <w:rsid w:val="77297D8C"/>
    <w:rsid w:val="772F0407"/>
    <w:rsid w:val="773651D5"/>
    <w:rsid w:val="773F75ED"/>
    <w:rsid w:val="77471230"/>
    <w:rsid w:val="774B7D02"/>
    <w:rsid w:val="774E52E6"/>
    <w:rsid w:val="775F158B"/>
    <w:rsid w:val="776668EA"/>
    <w:rsid w:val="776A2A0F"/>
    <w:rsid w:val="77731D09"/>
    <w:rsid w:val="777A1C0E"/>
    <w:rsid w:val="777FE1AC"/>
    <w:rsid w:val="77824BB6"/>
    <w:rsid w:val="778D7592"/>
    <w:rsid w:val="77AE15F8"/>
    <w:rsid w:val="77B02124"/>
    <w:rsid w:val="77B76F41"/>
    <w:rsid w:val="77BF424C"/>
    <w:rsid w:val="77C23F98"/>
    <w:rsid w:val="77C41863"/>
    <w:rsid w:val="77C64245"/>
    <w:rsid w:val="77DA2587"/>
    <w:rsid w:val="77DB2C8F"/>
    <w:rsid w:val="77EFD9DC"/>
    <w:rsid w:val="77F7EDE9"/>
    <w:rsid w:val="77FB4C8D"/>
    <w:rsid w:val="77FF912D"/>
    <w:rsid w:val="78100B6A"/>
    <w:rsid w:val="781322E7"/>
    <w:rsid w:val="7821712B"/>
    <w:rsid w:val="782A0C45"/>
    <w:rsid w:val="78346900"/>
    <w:rsid w:val="784D0326"/>
    <w:rsid w:val="785812BD"/>
    <w:rsid w:val="786E16BA"/>
    <w:rsid w:val="78743289"/>
    <w:rsid w:val="78762CE9"/>
    <w:rsid w:val="787B505D"/>
    <w:rsid w:val="7899570A"/>
    <w:rsid w:val="78C433F1"/>
    <w:rsid w:val="78C82B24"/>
    <w:rsid w:val="78D37FAF"/>
    <w:rsid w:val="78DE3623"/>
    <w:rsid w:val="78F50C46"/>
    <w:rsid w:val="78F93137"/>
    <w:rsid w:val="79206F6D"/>
    <w:rsid w:val="792FFD3F"/>
    <w:rsid w:val="793D7B1F"/>
    <w:rsid w:val="79530196"/>
    <w:rsid w:val="79532039"/>
    <w:rsid w:val="7956473D"/>
    <w:rsid w:val="795E5F09"/>
    <w:rsid w:val="79624963"/>
    <w:rsid w:val="796B414A"/>
    <w:rsid w:val="797A0EEA"/>
    <w:rsid w:val="798D4602"/>
    <w:rsid w:val="799736F9"/>
    <w:rsid w:val="799D236B"/>
    <w:rsid w:val="79A40500"/>
    <w:rsid w:val="79BB57C5"/>
    <w:rsid w:val="79C318FE"/>
    <w:rsid w:val="79DA5D87"/>
    <w:rsid w:val="79E45D8F"/>
    <w:rsid w:val="79E55F4A"/>
    <w:rsid w:val="79EA2C5F"/>
    <w:rsid w:val="79F63C5C"/>
    <w:rsid w:val="79FF5367"/>
    <w:rsid w:val="7A255FC5"/>
    <w:rsid w:val="7A4869B1"/>
    <w:rsid w:val="7A5275FA"/>
    <w:rsid w:val="7A556C0C"/>
    <w:rsid w:val="7A6C7F40"/>
    <w:rsid w:val="7A726DEE"/>
    <w:rsid w:val="7AA93773"/>
    <w:rsid w:val="7AAA3B80"/>
    <w:rsid w:val="7ABF2FCA"/>
    <w:rsid w:val="7AD27FAD"/>
    <w:rsid w:val="7AE83ABA"/>
    <w:rsid w:val="7AFB5F8B"/>
    <w:rsid w:val="7B08559E"/>
    <w:rsid w:val="7B33611A"/>
    <w:rsid w:val="7B383D97"/>
    <w:rsid w:val="7B424F78"/>
    <w:rsid w:val="7B4E5350"/>
    <w:rsid w:val="7B5431F5"/>
    <w:rsid w:val="7B586AC6"/>
    <w:rsid w:val="7B5D046D"/>
    <w:rsid w:val="7B7246C8"/>
    <w:rsid w:val="7B883702"/>
    <w:rsid w:val="7BA17969"/>
    <w:rsid w:val="7BA36A4E"/>
    <w:rsid w:val="7BB67714"/>
    <w:rsid w:val="7BBF03E2"/>
    <w:rsid w:val="7BC724AF"/>
    <w:rsid w:val="7BDB423C"/>
    <w:rsid w:val="7BDFF6E5"/>
    <w:rsid w:val="7BE27226"/>
    <w:rsid w:val="7BE3459D"/>
    <w:rsid w:val="7BE929C7"/>
    <w:rsid w:val="7BF96C19"/>
    <w:rsid w:val="7BFB312B"/>
    <w:rsid w:val="7C037028"/>
    <w:rsid w:val="7C2737B9"/>
    <w:rsid w:val="7C2808E1"/>
    <w:rsid w:val="7C3C5F0B"/>
    <w:rsid w:val="7C523DB9"/>
    <w:rsid w:val="7C6E5F1E"/>
    <w:rsid w:val="7C6E743A"/>
    <w:rsid w:val="7C7474E1"/>
    <w:rsid w:val="7C7F141A"/>
    <w:rsid w:val="7C7F4171"/>
    <w:rsid w:val="7C7F9F49"/>
    <w:rsid w:val="7C816DC6"/>
    <w:rsid w:val="7C817D22"/>
    <w:rsid w:val="7C8404C9"/>
    <w:rsid w:val="7C87766B"/>
    <w:rsid w:val="7C9C0693"/>
    <w:rsid w:val="7CB15BBA"/>
    <w:rsid w:val="7CB63E70"/>
    <w:rsid w:val="7CE8176C"/>
    <w:rsid w:val="7CED747E"/>
    <w:rsid w:val="7CF71F79"/>
    <w:rsid w:val="7CFF842B"/>
    <w:rsid w:val="7D07406E"/>
    <w:rsid w:val="7D10599C"/>
    <w:rsid w:val="7D366D5F"/>
    <w:rsid w:val="7D4A19AF"/>
    <w:rsid w:val="7D4F7279"/>
    <w:rsid w:val="7D5D4874"/>
    <w:rsid w:val="7D5E1E12"/>
    <w:rsid w:val="7D654718"/>
    <w:rsid w:val="7D67555F"/>
    <w:rsid w:val="7D681975"/>
    <w:rsid w:val="7D6A5EA2"/>
    <w:rsid w:val="7D6C41BD"/>
    <w:rsid w:val="7D703933"/>
    <w:rsid w:val="7D7279F6"/>
    <w:rsid w:val="7D7513B3"/>
    <w:rsid w:val="7D7A3E10"/>
    <w:rsid w:val="7D7AA541"/>
    <w:rsid w:val="7D983576"/>
    <w:rsid w:val="7D9F785A"/>
    <w:rsid w:val="7DA261A2"/>
    <w:rsid w:val="7DBC2663"/>
    <w:rsid w:val="7DBD2473"/>
    <w:rsid w:val="7DCF1E70"/>
    <w:rsid w:val="7DD613E9"/>
    <w:rsid w:val="7DE36E4C"/>
    <w:rsid w:val="7DEFBDAF"/>
    <w:rsid w:val="7DF5444F"/>
    <w:rsid w:val="7DF77AF3"/>
    <w:rsid w:val="7DFB620D"/>
    <w:rsid w:val="7DFD8CCE"/>
    <w:rsid w:val="7E11701F"/>
    <w:rsid w:val="7E14406C"/>
    <w:rsid w:val="7E2056BC"/>
    <w:rsid w:val="7E292420"/>
    <w:rsid w:val="7E494870"/>
    <w:rsid w:val="7E4A7C01"/>
    <w:rsid w:val="7E6214DF"/>
    <w:rsid w:val="7E684EF7"/>
    <w:rsid w:val="7E7C05A9"/>
    <w:rsid w:val="7E815E0D"/>
    <w:rsid w:val="7E893EC7"/>
    <w:rsid w:val="7E896AD1"/>
    <w:rsid w:val="7EBB63C5"/>
    <w:rsid w:val="7EBC7738"/>
    <w:rsid w:val="7ED4682F"/>
    <w:rsid w:val="7ED57BD4"/>
    <w:rsid w:val="7ED83C6A"/>
    <w:rsid w:val="7EE211CA"/>
    <w:rsid w:val="7EEA1BAF"/>
    <w:rsid w:val="7EEF4135"/>
    <w:rsid w:val="7EF24366"/>
    <w:rsid w:val="7EFD7403"/>
    <w:rsid w:val="7F0709B3"/>
    <w:rsid w:val="7F0E4184"/>
    <w:rsid w:val="7F1B506E"/>
    <w:rsid w:val="7F1C4F25"/>
    <w:rsid w:val="7F1E7AAB"/>
    <w:rsid w:val="7F2024BB"/>
    <w:rsid w:val="7F2F4C9E"/>
    <w:rsid w:val="7F3E661A"/>
    <w:rsid w:val="7F410AEE"/>
    <w:rsid w:val="7F492D2C"/>
    <w:rsid w:val="7F5F20FE"/>
    <w:rsid w:val="7F623C3E"/>
    <w:rsid w:val="7F770005"/>
    <w:rsid w:val="7F78540D"/>
    <w:rsid w:val="7F7E2AF9"/>
    <w:rsid w:val="7F7F682B"/>
    <w:rsid w:val="7F8F035F"/>
    <w:rsid w:val="7F91555C"/>
    <w:rsid w:val="7F92C46E"/>
    <w:rsid w:val="7F9783F0"/>
    <w:rsid w:val="7F9FA763"/>
    <w:rsid w:val="7FB1091F"/>
    <w:rsid w:val="7FB14ABB"/>
    <w:rsid w:val="7FBB64BE"/>
    <w:rsid w:val="7FBCF781"/>
    <w:rsid w:val="7FBD17F6"/>
    <w:rsid w:val="7FBEF01D"/>
    <w:rsid w:val="7FBF1FE6"/>
    <w:rsid w:val="7FC48669"/>
    <w:rsid w:val="7FC648D3"/>
    <w:rsid w:val="7FCE2880"/>
    <w:rsid w:val="7FD40030"/>
    <w:rsid w:val="7FD6AF26"/>
    <w:rsid w:val="7FD703A8"/>
    <w:rsid w:val="7FDE6A02"/>
    <w:rsid w:val="7FDF79E7"/>
    <w:rsid w:val="7FEA2446"/>
    <w:rsid w:val="7FF72E3F"/>
    <w:rsid w:val="7FFBE7AA"/>
    <w:rsid w:val="7FFE24FB"/>
    <w:rsid w:val="7FFE2FBE"/>
    <w:rsid w:val="7FFEA432"/>
    <w:rsid w:val="7FFFB412"/>
    <w:rsid w:val="87FE804E"/>
    <w:rsid w:val="9FF1EAF9"/>
    <w:rsid w:val="A2FF5E99"/>
    <w:rsid w:val="A76BFE1B"/>
    <w:rsid w:val="A7AE11C9"/>
    <w:rsid w:val="A8FDB577"/>
    <w:rsid w:val="ABFF37E5"/>
    <w:rsid w:val="AD1B2509"/>
    <w:rsid w:val="B4FF9A79"/>
    <w:rsid w:val="B6531CD0"/>
    <w:rsid w:val="B76C4E2E"/>
    <w:rsid w:val="B7FE9BE8"/>
    <w:rsid w:val="B9FFB92A"/>
    <w:rsid w:val="BBE7D260"/>
    <w:rsid w:val="BD3DA8F1"/>
    <w:rsid w:val="BDDA4323"/>
    <w:rsid w:val="BDEE7DCB"/>
    <w:rsid w:val="BDFE712E"/>
    <w:rsid w:val="BEFF7A85"/>
    <w:rsid w:val="BF2BEB01"/>
    <w:rsid w:val="BF36E5DB"/>
    <w:rsid w:val="BF5D241C"/>
    <w:rsid w:val="BF7FD62B"/>
    <w:rsid w:val="BFAEA7C2"/>
    <w:rsid w:val="BFBF3F29"/>
    <w:rsid w:val="C7DF50BC"/>
    <w:rsid w:val="C7EB5E0C"/>
    <w:rsid w:val="C9BF28A2"/>
    <w:rsid w:val="CAFC6E0F"/>
    <w:rsid w:val="CB5B2413"/>
    <w:rsid w:val="CB65C086"/>
    <w:rsid w:val="D3E4D901"/>
    <w:rsid w:val="D554CB4E"/>
    <w:rsid w:val="DABF8A38"/>
    <w:rsid w:val="DC78F4B2"/>
    <w:rsid w:val="DCCF8DF5"/>
    <w:rsid w:val="DCFEF33A"/>
    <w:rsid w:val="DD5B7F0F"/>
    <w:rsid w:val="DE3317E1"/>
    <w:rsid w:val="DF66975E"/>
    <w:rsid w:val="DFB7445F"/>
    <w:rsid w:val="DFFD2839"/>
    <w:rsid w:val="E1BD2665"/>
    <w:rsid w:val="E58FC741"/>
    <w:rsid w:val="E5DF744E"/>
    <w:rsid w:val="E6FF3F34"/>
    <w:rsid w:val="E79E5CC1"/>
    <w:rsid w:val="EA2B7BDD"/>
    <w:rsid w:val="EADB29BB"/>
    <w:rsid w:val="EB7E91CE"/>
    <w:rsid w:val="EB9E9A7E"/>
    <w:rsid w:val="EBCB0C61"/>
    <w:rsid w:val="EBDF5E20"/>
    <w:rsid w:val="ED9D20F1"/>
    <w:rsid w:val="EDEAC9BA"/>
    <w:rsid w:val="EDEF3641"/>
    <w:rsid w:val="EE2D955A"/>
    <w:rsid w:val="EEF3B39C"/>
    <w:rsid w:val="EF4A988A"/>
    <w:rsid w:val="EF7FB82E"/>
    <w:rsid w:val="EFD72293"/>
    <w:rsid w:val="EFDFE5C1"/>
    <w:rsid w:val="EFEF8AB9"/>
    <w:rsid w:val="EFF68B24"/>
    <w:rsid w:val="EFFF916A"/>
    <w:rsid w:val="EFFFC5BC"/>
    <w:rsid w:val="F3AF12AC"/>
    <w:rsid w:val="F4CF80B0"/>
    <w:rsid w:val="F55DD7D1"/>
    <w:rsid w:val="F5955B66"/>
    <w:rsid w:val="F5F7D78F"/>
    <w:rsid w:val="F66F488F"/>
    <w:rsid w:val="F6BF5159"/>
    <w:rsid w:val="F75E41DC"/>
    <w:rsid w:val="F7AF6C76"/>
    <w:rsid w:val="F7F6B999"/>
    <w:rsid w:val="F7FF71FC"/>
    <w:rsid w:val="F97D6EAF"/>
    <w:rsid w:val="F9AB120B"/>
    <w:rsid w:val="F9BEB737"/>
    <w:rsid w:val="F9FC7F70"/>
    <w:rsid w:val="FAEB3C1C"/>
    <w:rsid w:val="FAFFF308"/>
    <w:rsid w:val="FB339C70"/>
    <w:rsid w:val="FB742FAB"/>
    <w:rsid w:val="FB7B36E8"/>
    <w:rsid w:val="FBB63DAB"/>
    <w:rsid w:val="FBDFCCC1"/>
    <w:rsid w:val="FBE52CEE"/>
    <w:rsid w:val="FBFF0A3A"/>
    <w:rsid w:val="FCF5E45E"/>
    <w:rsid w:val="FDF27475"/>
    <w:rsid w:val="FDFF47B8"/>
    <w:rsid w:val="FE419206"/>
    <w:rsid w:val="FE7C6C3C"/>
    <w:rsid w:val="FE9F87EC"/>
    <w:rsid w:val="FECF4130"/>
    <w:rsid w:val="FEE5D66E"/>
    <w:rsid w:val="FEF28852"/>
    <w:rsid w:val="FEFBA21A"/>
    <w:rsid w:val="FEFF01EB"/>
    <w:rsid w:val="FEFF4075"/>
    <w:rsid w:val="FF37A9A6"/>
    <w:rsid w:val="FF6EF2F8"/>
    <w:rsid w:val="FF7FB012"/>
    <w:rsid w:val="FF8FE4C6"/>
    <w:rsid w:val="FF9FA43A"/>
    <w:rsid w:val="FFCD7C3D"/>
    <w:rsid w:val="FFD5E515"/>
    <w:rsid w:val="FFD7ACE8"/>
    <w:rsid w:val="FFD7B008"/>
    <w:rsid w:val="FFDACB9D"/>
    <w:rsid w:val="FFDF1396"/>
    <w:rsid w:val="FFFA0798"/>
    <w:rsid w:val="FFFB54B6"/>
    <w:rsid w:val="FFFD06FD"/>
    <w:rsid w:val="FFFFE573"/>
    <w:rsid w:val="FFFFF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276" w:lineRule="auto"/>
      <w:outlineLvl w:val="0"/>
    </w:pPr>
    <w:rPr>
      <w:b/>
      <w:bCs/>
      <w:color w:val="249087" w:themeColor="accent5" w:themeShade="BF"/>
      <w:kern w:val="44"/>
      <w:sz w:val="24"/>
      <w:szCs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3">
    <w:name w:val="Default Paragraph Font"/>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18"/>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Subtitle"/>
    <w:basedOn w:val="1"/>
    <w:next w:val="1"/>
    <w:qFormat/>
    <w:uiPriority w:val="11"/>
    <w:pPr>
      <w:spacing w:after="60" w:line="360" w:lineRule="auto"/>
      <w:outlineLvl w:val="1"/>
    </w:pPr>
    <w:rPr>
      <w:rFonts w:ascii="Times New Roman" w:hAnsi="Times New Roman" w:eastAsia="Times New Roman"/>
      <w:b/>
      <w:bCs/>
      <w:kern w:val="28"/>
      <w:sz w:val="24"/>
      <w:szCs w:val="32"/>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5"/>
    <w:next w:val="5"/>
    <w:link w:val="19"/>
    <w:qFormat/>
    <w:uiPriority w:val="0"/>
    <w:pPr>
      <w:jc w:val="both"/>
    </w:pPr>
    <w:rPr>
      <w:b/>
      <w:bCs/>
      <w:sz w:val="20"/>
      <w:szCs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character" w:styleId="17">
    <w:name w:val="annotation reference"/>
    <w:basedOn w:val="13"/>
    <w:qFormat/>
    <w:uiPriority w:val="0"/>
    <w:rPr>
      <w:sz w:val="16"/>
      <w:szCs w:val="16"/>
    </w:rPr>
  </w:style>
  <w:style w:type="character" w:customStyle="1" w:styleId="18">
    <w:name w:val="批注文字 字符"/>
    <w:basedOn w:val="13"/>
    <w:link w:val="5"/>
    <w:qFormat/>
    <w:uiPriority w:val="0"/>
    <w:rPr>
      <w:rFonts w:asciiTheme="minorHAnsi" w:hAnsiTheme="minorHAnsi" w:eastAsiaTheme="minorEastAsia" w:cstheme="minorBidi"/>
      <w:kern w:val="2"/>
      <w:sz w:val="21"/>
      <w:szCs w:val="24"/>
      <w:lang w:eastAsia="zh-CN"/>
    </w:rPr>
  </w:style>
  <w:style w:type="character" w:customStyle="1" w:styleId="19">
    <w:name w:val="批注主题 字符"/>
    <w:basedOn w:val="18"/>
    <w:link w:val="10"/>
    <w:qFormat/>
    <w:uiPriority w:val="0"/>
    <w:rPr>
      <w:rFonts w:asciiTheme="minorHAnsi" w:hAnsiTheme="minorHAnsi" w:eastAsiaTheme="minorEastAsia" w:cstheme="minorBidi"/>
      <w:b/>
      <w:bCs/>
      <w:kern w:val="2"/>
      <w:sz w:val="21"/>
      <w:szCs w:val="24"/>
      <w:lang w:eastAsia="zh-CN"/>
    </w:rPr>
  </w:style>
  <w:style w:type="paragraph" w:customStyle="1" w:styleId="20">
    <w:name w:val="EndNote Bibliography Title"/>
    <w:qFormat/>
    <w:uiPriority w:val="0"/>
    <w:pPr>
      <w:jc w:val="center"/>
    </w:pPr>
    <w:rPr>
      <w:rFonts w:ascii="Times New Roman" w:hAnsi="Times New Roman" w:cs="Times New Roman" w:eastAsiaTheme="minorEastAsia"/>
      <w:kern w:val="2"/>
      <w:sz w:val="24"/>
      <w:szCs w:val="24"/>
      <w:lang w:val="en-US" w:eastAsia="zh-CN" w:bidi="ar-SA"/>
    </w:rPr>
  </w:style>
  <w:style w:type="paragraph" w:customStyle="1" w:styleId="21">
    <w:name w:val="EndNote Bibliography"/>
    <w:qFormat/>
    <w:uiPriority w:val="0"/>
    <w:pPr>
      <w:jc w:val="both"/>
    </w:pPr>
    <w:rPr>
      <w:rFonts w:ascii="Times New Roman" w:hAnsi="Times New Roman" w:cs="Times New Roman" w:eastAsiaTheme="minorEastAsia"/>
      <w:kern w:val="2"/>
      <w:sz w:val="24"/>
      <w:szCs w:val="24"/>
      <w:lang w:val="en-US" w:eastAsia="zh-CN" w:bidi="ar-SA"/>
    </w:rPr>
  </w:style>
  <w:style w:type="paragraph" w:styleId="22">
    <w:name w:val="List Paragraph"/>
    <w:basedOn w:val="1"/>
    <w:qFormat/>
    <w:uiPriority w:val="99"/>
    <w:pPr>
      <w:ind w:left="720"/>
      <w:contextualSpacing/>
    </w:pPr>
  </w:style>
  <w:style w:type="paragraph" w:customStyle="1" w:styleId="23">
    <w:name w:val="修订1"/>
    <w:hidden/>
    <w:unhideWhenUsed/>
    <w:uiPriority w:val="99"/>
    <w:rPr>
      <w:rFonts w:asciiTheme="minorHAnsi" w:hAnsiTheme="minorHAnsi" w:eastAsiaTheme="minorEastAsia" w:cstheme="minorBidi"/>
      <w:kern w:val="2"/>
      <w:sz w:val="21"/>
      <w:szCs w:val="24"/>
      <w:lang w:val="en-US" w:eastAsia="zh-CN" w:bidi="ar-SA"/>
    </w:rPr>
  </w:style>
  <w:style w:type="paragraph" w:customStyle="1" w:styleId="24">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9739</Words>
  <Characters>55516</Characters>
  <Lines>462</Lines>
  <Paragraphs>130</Paragraphs>
  <TotalTime>3</TotalTime>
  <ScaleCrop>false</ScaleCrop>
  <LinksUpToDate>false</LinksUpToDate>
  <CharactersWithSpaces>65125</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2025-09-20T10:51:00Z</dcterms:created>
  <dc:creator>GY</dc:creator>
  <cp:lastModifiedBy>Ying Gao</cp:lastModifiedBy>
  <dcterms:modified xsi:type="dcterms:W3CDTF">2026-06-05T21:52:46Z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8B1A0DBEDF9DB0E0AC34AF68CFFBA488_43</vt:lpwstr>
  </property>
  <property fmtid="{D5CDD505-2E9C-101B-9397-08002B2CF9AE}" pid="4" name="KSOTemplateDocerSaveRecord">
    <vt:lpwstr>eyJoZGlkIjoiODdjZDVlYzNkYmUxMmNiODg2NTRhM2JlYTA1MWM4NTgiLCJ1c2VySWQiOiI0MjE0NjkxNjAifQ==</vt:lpwstr>
  </property>
</Properties>
</file>