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ADF" w:rsidRPr="003D08C6" w:rsidRDefault="00D91ADF" w:rsidP="00D91ADF">
      <w:pPr>
        <w:pStyle w:val="berschrift1"/>
        <w:numPr>
          <w:ilvl w:val="0"/>
          <w:numId w:val="0"/>
        </w:numPr>
        <w:spacing w:after="134" w:line="259" w:lineRule="auto"/>
        <w:ind w:left="24"/>
        <w:rPr>
          <w:color w:val="auto"/>
        </w:rPr>
      </w:pPr>
      <w:proofErr w:type="spellStart"/>
      <w:r w:rsidRPr="003D08C6">
        <w:rPr>
          <w:rFonts w:ascii="Times New Roman" w:eastAsia="Times New Roman" w:hAnsi="Times New Roman" w:cs="Times New Roman"/>
          <w:color w:val="auto"/>
          <w:sz w:val="41"/>
        </w:rPr>
        <w:t>Appendices</w:t>
      </w:r>
      <w:proofErr w:type="spellEnd"/>
    </w:p>
    <w:p w:rsidR="00D91ADF" w:rsidRPr="003D08C6" w:rsidRDefault="00D91ADF" w:rsidP="00D91ADF">
      <w:pPr>
        <w:pStyle w:val="berschrift2"/>
        <w:tabs>
          <w:tab w:val="center" w:pos="3983"/>
        </w:tabs>
        <w:spacing w:after="573" w:line="265" w:lineRule="auto"/>
        <w:ind w:left="0" w:firstLine="0"/>
        <w:rPr>
          <w:color w:val="auto"/>
        </w:rPr>
      </w:pPr>
      <w:r w:rsidRPr="003D08C6">
        <w:rPr>
          <w:color w:val="auto"/>
          <w:sz w:val="29"/>
        </w:rPr>
        <w:t>Anhang A</w:t>
      </w:r>
      <w:r w:rsidRPr="003D08C6">
        <w:rPr>
          <w:color w:val="auto"/>
          <w:sz w:val="29"/>
        </w:rPr>
        <w:tab/>
        <w:t xml:space="preserve">Operationalisierung und </w:t>
      </w:r>
      <w:proofErr w:type="spellStart"/>
      <w:r w:rsidRPr="003D08C6">
        <w:rPr>
          <w:color w:val="auto"/>
          <w:sz w:val="29"/>
        </w:rPr>
        <w:t>Deskriptiva</w:t>
      </w:r>
      <w:proofErr w:type="spellEnd"/>
    </w:p>
    <w:p w:rsidR="00D91ADF" w:rsidRPr="003D08C6" w:rsidRDefault="00D91ADF" w:rsidP="00D91ADF">
      <w:pPr>
        <w:spacing w:after="15" w:line="271" w:lineRule="auto"/>
        <w:ind w:left="0" w:right="981" w:firstLine="0"/>
        <w:rPr>
          <w:color w:val="auto"/>
        </w:rPr>
      </w:pPr>
      <w:bookmarkStart w:id="0" w:name="_GoBack"/>
      <w:r w:rsidRPr="00D91ADF">
        <w:rPr>
          <w:b/>
          <w:color w:val="auto"/>
        </w:rPr>
        <w:t>Tab</w:t>
      </w:r>
      <w:r w:rsidRPr="00D91ADF">
        <w:rPr>
          <w:b/>
          <w:color w:val="auto"/>
        </w:rPr>
        <w:t>.</w:t>
      </w:r>
      <w:r w:rsidRPr="00D91ADF">
        <w:rPr>
          <w:b/>
          <w:color w:val="auto"/>
        </w:rPr>
        <w:t xml:space="preserve"> 2</w:t>
      </w:r>
      <w:r w:rsidRPr="003D08C6">
        <w:rPr>
          <w:color w:val="auto"/>
        </w:rPr>
        <w:t xml:space="preserve"> </w:t>
      </w:r>
      <w:bookmarkEnd w:id="0"/>
      <w:r w:rsidRPr="003D08C6">
        <w:rPr>
          <w:color w:val="auto"/>
        </w:rPr>
        <w:t>Univariate deskriptive Statistiken der verwendeten Variablen</w:t>
      </w:r>
    </w:p>
    <w:tbl>
      <w:tblPr>
        <w:tblW w:w="9013" w:type="dxa"/>
        <w:tblCellMar>
          <w:left w:w="0" w:type="dxa"/>
          <w:right w:w="0" w:type="dxa"/>
        </w:tblCellMar>
        <w:tblLook w:val="04A0" w:firstRow="1" w:lastRow="0" w:firstColumn="1" w:lastColumn="0" w:noHBand="0" w:noVBand="1"/>
      </w:tblPr>
      <w:tblGrid>
        <w:gridCol w:w="1701"/>
        <w:gridCol w:w="1701"/>
        <w:gridCol w:w="2211"/>
        <w:gridCol w:w="850"/>
        <w:gridCol w:w="850"/>
        <w:gridCol w:w="850"/>
        <w:gridCol w:w="850"/>
      </w:tblGrid>
      <w:tr w:rsidR="00D91ADF" w:rsidRPr="0095760F" w:rsidTr="00C47F05">
        <w:trPr>
          <w:trHeight w:val="397"/>
        </w:trPr>
        <w:tc>
          <w:tcPr>
            <w:tcW w:w="1701"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r w:rsidRPr="00A3052F">
              <w:rPr>
                <w:rFonts w:ascii="Arial" w:eastAsia="DengXian" w:hAnsi="Arial" w:cs="Arial"/>
                <w:b/>
                <w:color w:val="000000" w:themeColor="text1"/>
                <w:kern w:val="2"/>
                <w:sz w:val="16"/>
                <w:szCs w:val="16"/>
              </w:rPr>
              <w:t>Item</w:t>
            </w:r>
          </w:p>
        </w:tc>
        <w:tc>
          <w:tcPr>
            <w:tcW w:w="1701"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r w:rsidRPr="00A3052F">
              <w:rPr>
                <w:rFonts w:ascii="Arial" w:eastAsia="DengXian" w:hAnsi="Arial" w:cs="Arial"/>
                <w:b/>
                <w:color w:val="000000" w:themeColor="text1"/>
                <w:kern w:val="2"/>
                <w:sz w:val="16"/>
                <w:szCs w:val="16"/>
              </w:rPr>
              <w:t>Min</w:t>
            </w:r>
          </w:p>
        </w:tc>
        <w:tc>
          <w:tcPr>
            <w:tcW w:w="2211"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r w:rsidRPr="00A3052F">
              <w:rPr>
                <w:rFonts w:ascii="Arial" w:eastAsia="DengXian" w:hAnsi="Arial" w:cs="Arial"/>
                <w:b/>
                <w:color w:val="000000" w:themeColor="text1"/>
                <w:kern w:val="2"/>
                <w:sz w:val="16"/>
                <w:szCs w:val="16"/>
              </w:rPr>
              <w:t>Max</w:t>
            </w:r>
          </w:p>
        </w:tc>
        <w:tc>
          <w:tcPr>
            <w:tcW w:w="850"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r w:rsidRPr="00A3052F">
              <w:rPr>
                <w:rFonts w:ascii="Arial" w:eastAsia="DengXian" w:hAnsi="Arial" w:cs="Arial"/>
                <w:b/>
                <w:color w:val="000000" w:themeColor="text1"/>
                <w:kern w:val="2"/>
                <w:sz w:val="16"/>
                <w:szCs w:val="16"/>
              </w:rPr>
              <w:t>Mean</w:t>
            </w:r>
          </w:p>
        </w:tc>
        <w:tc>
          <w:tcPr>
            <w:tcW w:w="850"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r w:rsidRPr="00A3052F">
              <w:rPr>
                <w:rFonts w:ascii="Arial" w:eastAsia="DengXian" w:hAnsi="Arial" w:cs="Arial"/>
                <w:b/>
                <w:color w:val="000000" w:themeColor="text1"/>
                <w:kern w:val="2"/>
                <w:sz w:val="16"/>
                <w:szCs w:val="16"/>
              </w:rPr>
              <w:t>SD</w:t>
            </w:r>
          </w:p>
        </w:tc>
        <w:tc>
          <w:tcPr>
            <w:tcW w:w="850"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r w:rsidRPr="00A3052F">
              <w:rPr>
                <w:rFonts w:ascii="Arial" w:eastAsia="DengXian" w:hAnsi="Arial" w:cs="Arial"/>
                <w:b/>
                <w:color w:val="000000" w:themeColor="text1"/>
                <w:kern w:val="2"/>
                <w:sz w:val="16"/>
                <w:szCs w:val="16"/>
              </w:rPr>
              <w:t>Schiefe</w:t>
            </w:r>
          </w:p>
        </w:tc>
        <w:tc>
          <w:tcPr>
            <w:tcW w:w="850" w:type="dxa"/>
            <w:tcBorders>
              <w:top w:val="single" w:sz="8" w:space="0" w:color="000000"/>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b/>
                <w:sz w:val="16"/>
                <w:szCs w:val="16"/>
              </w:rPr>
            </w:pPr>
            <w:proofErr w:type="spellStart"/>
            <w:r w:rsidRPr="00A3052F">
              <w:rPr>
                <w:rFonts w:ascii="Arial" w:eastAsia="DengXian" w:hAnsi="Arial" w:cs="Arial"/>
                <w:b/>
                <w:color w:val="000000" w:themeColor="text1"/>
                <w:kern w:val="2"/>
                <w:sz w:val="16"/>
                <w:szCs w:val="16"/>
              </w:rPr>
              <w:t>Kurtosis</w:t>
            </w:r>
            <w:proofErr w:type="spellEnd"/>
          </w:p>
        </w:tc>
      </w:tr>
      <w:tr w:rsidR="00D91ADF" w:rsidRPr="0095760F" w:rsidTr="00C47F05">
        <w:trPr>
          <w:trHeight w:val="397"/>
        </w:trPr>
        <w:tc>
          <w:tcPr>
            <w:tcW w:w="1701"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Museum (Eltern)</w:t>
            </w:r>
          </w:p>
        </w:tc>
        <w:tc>
          <w:tcPr>
            <w:tcW w:w="1701"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„nie“</w:t>
            </w:r>
          </w:p>
        </w:tc>
        <w:tc>
          <w:tcPr>
            <w:tcW w:w="2211"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 xml:space="preserve">5 = „mehr als </w:t>
            </w:r>
            <w:proofErr w:type="gramStart"/>
            <w:r w:rsidRPr="00A3052F">
              <w:rPr>
                <w:rFonts w:ascii="Arial" w:eastAsia="DengXian" w:hAnsi="Arial" w:cs="Arial"/>
                <w:color w:val="000000" w:themeColor="text1"/>
                <w:kern w:val="2"/>
                <w:sz w:val="16"/>
                <w:szCs w:val="16"/>
              </w:rPr>
              <w:t>5 mal</w:t>
            </w:r>
            <w:proofErr w:type="gramEnd"/>
            <w:r w:rsidRPr="00A3052F">
              <w:rPr>
                <w:rFonts w:ascii="Arial" w:eastAsia="DengXian" w:hAnsi="Arial" w:cs="Arial"/>
                <w:color w:val="000000" w:themeColor="text1"/>
                <w:kern w:val="2"/>
                <w:sz w:val="16"/>
                <w:szCs w:val="16"/>
              </w:rPr>
              <w:t>“</w:t>
            </w:r>
          </w:p>
        </w:tc>
        <w:tc>
          <w:tcPr>
            <w:tcW w:w="850"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2.58</w:t>
            </w:r>
          </w:p>
        </w:tc>
        <w:tc>
          <w:tcPr>
            <w:tcW w:w="850"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1.21</w:t>
            </w:r>
          </w:p>
        </w:tc>
        <w:tc>
          <w:tcPr>
            <w:tcW w:w="850"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0.31</w:t>
            </w:r>
          </w:p>
        </w:tc>
        <w:tc>
          <w:tcPr>
            <w:tcW w:w="850" w:type="dxa"/>
            <w:tcBorders>
              <w:top w:val="single" w:sz="8" w:space="0" w:color="000000"/>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2.31</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Konzert (Eltern)</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„nie“</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 xml:space="preserve">5 = „mehr als </w:t>
            </w:r>
            <w:proofErr w:type="gramStart"/>
            <w:r w:rsidRPr="00A3052F">
              <w:rPr>
                <w:rFonts w:ascii="Arial" w:eastAsia="DengXian" w:hAnsi="Arial" w:cs="Arial"/>
                <w:color w:val="000000" w:themeColor="text1"/>
                <w:kern w:val="2"/>
                <w:sz w:val="16"/>
                <w:szCs w:val="16"/>
              </w:rPr>
              <w:t>5 mal</w:t>
            </w:r>
            <w:proofErr w:type="gramEnd"/>
            <w:r w:rsidRPr="00A3052F">
              <w:rPr>
                <w:rFonts w:ascii="Arial" w:eastAsia="DengXian" w:hAnsi="Arial" w:cs="Arial"/>
                <w:color w:val="000000" w:themeColor="text1"/>
                <w:kern w:val="2"/>
                <w:sz w:val="16"/>
                <w:szCs w:val="16"/>
              </w:rPr>
              <w:t>“</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1.73</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1.06</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1.40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4.20</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Theater (Eltern)</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„nie“</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 xml:space="preserve">5 = „mehr als </w:t>
            </w:r>
            <w:proofErr w:type="gramStart"/>
            <w:r w:rsidRPr="00A3052F">
              <w:rPr>
                <w:rFonts w:ascii="Arial" w:eastAsia="DengXian" w:hAnsi="Arial" w:cs="Arial"/>
                <w:color w:val="000000" w:themeColor="text1"/>
                <w:kern w:val="2"/>
                <w:sz w:val="16"/>
                <w:szCs w:val="16"/>
              </w:rPr>
              <w:t>5 mal</w:t>
            </w:r>
            <w:proofErr w:type="gramEnd"/>
            <w:r w:rsidRPr="00A3052F">
              <w:rPr>
                <w:rFonts w:ascii="Arial" w:eastAsia="DengXian" w:hAnsi="Arial" w:cs="Arial"/>
                <w:color w:val="000000" w:themeColor="text1"/>
                <w:kern w:val="2"/>
                <w:sz w:val="16"/>
                <w:szCs w:val="16"/>
              </w:rPr>
              <w:t>“</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1.95</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1.08</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0.96</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3.24</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Bücher</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„0 – 10 Bücher“</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6 = „mehr als 500 Bücher“</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4.20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1.26</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-0.30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2.41</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Literatur</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0.57</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0.50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-0.27</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1.08</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Gedicht</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0.83</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0.37</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-1.79</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4.21</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Kunst</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0.48</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0.50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0.09</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1.01</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Bildung Elternteil 1</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„kein Abschluss“</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8 = „Universitätsabschluss“</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4.94</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2.00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0.01</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2.21</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Bildung Elternteil 2</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„kein Abschluss“</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8 = „Universitätsabschluss“</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4.68</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2.21</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0.11</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1.88</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Museum (Kind)</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„nie“</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 xml:space="preserve">5 = „mehr als </w:t>
            </w:r>
            <w:proofErr w:type="gramStart"/>
            <w:r w:rsidRPr="00A3052F">
              <w:rPr>
                <w:rFonts w:ascii="Arial" w:eastAsia="DengXian" w:hAnsi="Arial" w:cs="Arial"/>
                <w:color w:val="000000" w:themeColor="text1"/>
                <w:kern w:val="2"/>
                <w:sz w:val="16"/>
                <w:szCs w:val="16"/>
              </w:rPr>
              <w:t>5 mal</w:t>
            </w:r>
            <w:proofErr w:type="gramEnd"/>
            <w:r w:rsidRPr="00A3052F">
              <w:rPr>
                <w:rFonts w:ascii="Arial" w:eastAsia="DengXian" w:hAnsi="Arial" w:cs="Arial"/>
                <w:color w:val="000000" w:themeColor="text1"/>
                <w:kern w:val="2"/>
                <w:sz w:val="16"/>
                <w:szCs w:val="16"/>
              </w:rPr>
              <w:t>“</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2.35</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1.09</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0.52</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2.70</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Konzert (Kind)</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„nie“</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 xml:space="preserve">5 = „mehr als </w:t>
            </w:r>
            <w:proofErr w:type="gramStart"/>
            <w:r w:rsidRPr="00A3052F">
              <w:rPr>
                <w:rFonts w:ascii="Arial" w:eastAsia="DengXian" w:hAnsi="Arial" w:cs="Arial"/>
                <w:color w:val="000000" w:themeColor="text1"/>
                <w:kern w:val="2"/>
                <w:sz w:val="16"/>
                <w:szCs w:val="16"/>
              </w:rPr>
              <w:t>5 mal</w:t>
            </w:r>
            <w:proofErr w:type="gramEnd"/>
            <w:r w:rsidRPr="00A3052F">
              <w:rPr>
                <w:rFonts w:ascii="Arial" w:eastAsia="DengXian" w:hAnsi="Arial" w:cs="Arial"/>
                <w:color w:val="000000" w:themeColor="text1"/>
                <w:kern w:val="2"/>
                <w:sz w:val="16"/>
                <w:szCs w:val="16"/>
              </w:rPr>
              <w:t>“</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1.40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0.75</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2.17</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7.93</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Theater (Kind)</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„nie“</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 xml:space="preserve">5 = „mehr als </w:t>
            </w:r>
            <w:proofErr w:type="gramStart"/>
            <w:r w:rsidRPr="00A3052F">
              <w:rPr>
                <w:rFonts w:ascii="Arial" w:eastAsia="DengXian" w:hAnsi="Arial" w:cs="Arial"/>
                <w:color w:val="000000" w:themeColor="text1"/>
                <w:kern w:val="2"/>
                <w:sz w:val="16"/>
                <w:szCs w:val="16"/>
              </w:rPr>
              <w:t>5 mal</w:t>
            </w:r>
            <w:proofErr w:type="gramEnd"/>
            <w:r w:rsidRPr="00A3052F">
              <w:rPr>
                <w:rFonts w:ascii="Arial" w:eastAsia="DengXian" w:hAnsi="Arial" w:cs="Arial"/>
                <w:color w:val="000000" w:themeColor="text1"/>
                <w:kern w:val="2"/>
                <w:sz w:val="16"/>
                <w:szCs w:val="16"/>
              </w:rPr>
              <w:t>“</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1.70</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0.89</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1.28</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4.42</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Profilschule</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0.22</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0.41</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1.35</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2.83</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Kursbesuch</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0.42</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0.49</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0.33</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1.11</w:t>
            </w:r>
          </w:p>
        </w:tc>
      </w:tr>
      <w:tr w:rsidR="00D91ADF" w:rsidRPr="0095760F" w:rsidTr="00C47F05">
        <w:trPr>
          <w:trHeight w:val="397"/>
        </w:trPr>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Kulturverein</w:t>
            </w:r>
          </w:p>
        </w:tc>
        <w:tc>
          <w:tcPr>
            <w:tcW w:w="170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0.16</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0.37</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1.82</w:t>
            </w:r>
          </w:p>
        </w:tc>
        <w:tc>
          <w:tcPr>
            <w:tcW w:w="850" w:type="dxa"/>
            <w:tcBorders>
              <w:top w:val="nil"/>
              <w:left w:val="nil"/>
              <w:bottom w:val="nil"/>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4.31</w:t>
            </w:r>
          </w:p>
        </w:tc>
      </w:tr>
      <w:tr w:rsidR="00D91ADF" w:rsidRPr="0095760F" w:rsidTr="00C47F05">
        <w:trPr>
          <w:trHeight w:val="397"/>
        </w:trPr>
        <w:tc>
          <w:tcPr>
            <w:tcW w:w="1701"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Jugendzentrum</w:t>
            </w:r>
          </w:p>
        </w:tc>
        <w:tc>
          <w:tcPr>
            <w:tcW w:w="1701"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 = „nein“</w:t>
            </w:r>
          </w:p>
        </w:tc>
        <w:tc>
          <w:tcPr>
            <w:tcW w:w="2211"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 = „ja“</w:t>
            </w:r>
          </w:p>
        </w:tc>
        <w:tc>
          <w:tcPr>
            <w:tcW w:w="850"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0.07</w:t>
            </w:r>
          </w:p>
        </w:tc>
        <w:tc>
          <w:tcPr>
            <w:tcW w:w="850"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0.25</w:t>
            </w:r>
          </w:p>
        </w:tc>
        <w:tc>
          <w:tcPr>
            <w:tcW w:w="850"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3.39</w:t>
            </w:r>
          </w:p>
        </w:tc>
        <w:tc>
          <w:tcPr>
            <w:tcW w:w="850" w:type="dxa"/>
            <w:tcBorders>
              <w:top w:val="nil"/>
              <w:left w:val="nil"/>
              <w:bottom w:val="single" w:sz="8" w:space="0" w:color="000000"/>
              <w:right w:val="nil"/>
            </w:tcBorders>
            <w:shd w:val="clear" w:color="auto" w:fill="auto"/>
            <w:tcMar>
              <w:top w:w="15" w:type="dxa"/>
              <w:left w:w="47" w:type="dxa"/>
              <w:bottom w:w="0" w:type="dxa"/>
              <w:right w:w="47" w:type="dxa"/>
            </w:tcMar>
            <w:vAlign w:val="center"/>
            <w:hideMark/>
          </w:tcPr>
          <w:p w:rsidR="00D91ADF" w:rsidRPr="00A3052F" w:rsidRDefault="00D91ADF" w:rsidP="00C47F05">
            <w:pPr>
              <w:pStyle w:val="StandardWeb"/>
              <w:spacing w:before="0" w:beforeAutospacing="0" w:after="160" w:afterAutospacing="0" w:line="256" w:lineRule="auto"/>
              <w:rPr>
                <w:rFonts w:ascii="Arial" w:hAnsi="Arial" w:cs="Arial"/>
                <w:sz w:val="16"/>
                <w:szCs w:val="16"/>
              </w:rPr>
            </w:pPr>
            <w:r w:rsidRPr="00A3052F">
              <w:rPr>
                <w:rFonts w:ascii="Arial" w:eastAsia="DengXian" w:hAnsi="Arial" w:cs="Arial"/>
                <w:color w:val="000000" w:themeColor="text1"/>
                <w:kern w:val="2"/>
                <w:sz w:val="16"/>
                <w:szCs w:val="16"/>
              </w:rPr>
              <w:t>12.51</w:t>
            </w:r>
          </w:p>
        </w:tc>
      </w:tr>
    </w:tbl>
    <w:p w:rsidR="00D91ADF" w:rsidRDefault="00D91ADF" w:rsidP="00D91ADF">
      <w:pPr>
        <w:spacing w:after="160" w:line="259" w:lineRule="auto"/>
        <w:ind w:left="0" w:right="0" w:firstLine="0"/>
        <w:jc w:val="left"/>
        <w:rPr>
          <w:color w:val="auto"/>
        </w:rPr>
      </w:pPr>
    </w:p>
    <w:p w:rsidR="00D91ADF" w:rsidRDefault="00D91ADF" w:rsidP="00D91ADF">
      <w:pPr>
        <w:spacing w:after="160" w:line="259" w:lineRule="auto"/>
        <w:ind w:left="0" w:right="0" w:firstLine="0"/>
        <w:jc w:val="left"/>
        <w:rPr>
          <w:color w:val="auto"/>
        </w:rPr>
        <w:sectPr w:rsidR="00D91ADF">
          <w:footerReference w:type="even" r:id="rId5"/>
          <w:footerReference w:type="default" r:id="rId6"/>
          <w:footerReference w:type="first" r:id="rId7"/>
          <w:footnotePr>
            <w:numRestart w:val="eachPage"/>
          </w:footnotePr>
          <w:pgSz w:w="11906" w:h="16838"/>
          <w:pgMar w:top="1914" w:right="1747" w:bottom="2984" w:left="1747" w:header="720" w:footer="2035" w:gutter="0"/>
          <w:pgNumType w:start="1"/>
          <w:cols w:space="720"/>
        </w:sectPr>
      </w:pPr>
    </w:p>
    <w:tbl>
      <w:tblPr>
        <w:tblpPr w:leftFromText="141" w:rightFromText="141" w:vertAnchor="text" w:horzAnchor="margin" w:tblpXSpec="center" w:tblpY="-749"/>
        <w:tblW w:w="14403" w:type="dxa"/>
        <w:tblCellMar>
          <w:left w:w="0" w:type="dxa"/>
          <w:right w:w="0" w:type="dxa"/>
        </w:tblCellMar>
        <w:tblLook w:val="04A0" w:firstRow="1" w:lastRow="0" w:firstColumn="1" w:lastColumn="0" w:noHBand="0" w:noVBand="1"/>
      </w:tblPr>
      <w:tblGrid>
        <w:gridCol w:w="2483"/>
        <w:gridCol w:w="745"/>
        <w:gridCol w:w="745"/>
        <w:gridCol w:w="745"/>
        <w:gridCol w:w="745"/>
        <w:gridCol w:w="745"/>
        <w:gridCol w:w="745"/>
        <w:gridCol w:w="745"/>
        <w:gridCol w:w="745"/>
        <w:gridCol w:w="745"/>
        <w:gridCol w:w="745"/>
        <w:gridCol w:w="745"/>
        <w:gridCol w:w="745"/>
        <w:gridCol w:w="745"/>
        <w:gridCol w:w="745"/>
        <w:gridCol w:w="745"/>
        <w:gridCol w:w="745"/>
      </w:tblGrid>
      <w:tr w:rsidR="00D91ADF" w:rsidRPr="00A3052F" w:rsidTr="00C47F05">
        <w:trPr>
          <w:cantSplit/>
          <w:trHeight w:val="978"/>
        </w:trPr>
        <w:tc>
          <w:tcPr>
            <w:tcW w:w="14403" w:type="dxa"/>
            <w:gridSpan w:val="17"/>
            <w:tcBorders>
              <w:left w:val="nil"/>
              <w:bottom w:val="single" w:sz="4" w:space="0" w:color="auto"/>
              <w:right w:val="nil"/>
            </w:tcBorders>
            <w:shd w:val="clear" w:color="auto" w:fill="auto"/>
            <w:tcMar>
              <w:top w:w="15" w:type="dxa"/>
              <w:left w:w="105" w:type="dxa"/>
              <w:bottom w:w="0" w:type="dxa"/>
              <w:right w:w="105" w:type="dxa"/>
            </w:tcMar>
            <w:vAlign w:val="center"/>
          </w:tcPr>
          <w:p w:rsidR="00D91ADF" w:rsidRPr="003C15D4" w:rsidRDefault="00D91ADF" w:rsidP="00D91ADF">
            <w:pPr>
              <w:spacing w:after="0" w:line="259" w:lineRule="auto"/>
              <w:ind w:left="0" w:right="0" w:firstLine="0"/>
              <w:rPr>
                <w:color w:val="auto"/>
              </w:rPr>
            </w:pPr>
            <w:r w:rsidRPr="00D91ADF">
              <w:rPr>
                <w:b/>
                <w:color w:val="auto"/>
              </w:rPr>
              <w:lastRenderedPageBreak/>
              <w:t>Tab</w:t>
            </w:r>
            <w:r w:rsidRPr="00D91ADF">
              <w:rPr>
                <w:b/>
                <w:color w:val="auto"/>
              </w:rPr>
              <w:t>.</w:t>
            </w:r>
            <w:r w:rsidRPr="00D91ADF">
              <w:rPr>
                <w:b/>
                <w:color w:val="auto"/>
              </w:rPr>
              <w:t xml:space="preserve"> 3</w:t>
            </w:r>
            <w:r w:rsidRPr="003D08C6">
              <w:rPr>
                <w:color w:val="auto"/>
              </w:rPr>
              <w:t xml:space="preserve"> Bivariate Korrelationsmatrix aller verwendeten Variablen</w:t>
            </w:r>
          </w:p>
        </w:tc>
      </w:tr>
      <w:tr w:rsidR="00D91ADF" w:rsidRPr="00A3052F" w:rsidTr="00C47F05">
        <w:trPr>
          <w:cantSplit/>
          <w:trHeight w:val="1667"/>
        </w:trPr>
        <w:tc>
          <w:tcPr>
            <w:tcW w:w="2483"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Museum (Eltern)</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Konzert (Eltern)</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Theater (Eltern)</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Bücher</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Literatur</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Gedicht</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Kunst</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Bildung 1. Elternteil</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Bildung 2. Elternteil</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Museum (Kind)</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Konzert (Kind)</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Theater (Kind)</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Profilschule</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Kursbesuch</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Kulturverein</w:t>
            </w:r>
          </w:p>
        </w:tc>
        <w:tc>
          <w:tcPr>
            <w:tcW w:w="745" w:type="dxa"/>
            <w:tcBorders>
              <w:top w:val="single" w:sz="4" w:space="0" w:color="auto"/>
              <w:left w:val="nil"/>
              <w:bottom w:val="single" w:sz="8" w:space="0" w:color="000000"/>
              <w:right w:val="nil"/>
            </w:tcBorders>
            <w:shd w:val="clear" w:color="auto" w:fill="auto"/>
            <w:tcMar>
              <w:top w:w="15" w:type="dxa"/>
              <w:left w:w="105" w:type="dxa"/>
              <w:bottom w:w="0" w:type="dxa"/>
              <w:right w:w="105" w:type="dxa"/>
            </w:tcMar>
            <w:textDirection w:val="btL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Jugendzentrum</w:t>
            </w:r>
          </w:p>
        </w:tc>
      </w:tr>
      <w:tr w:rsidR="00D91ADF" w:rsidRPr="00A3052F" w:rsidTr="00C47F05">
        <w:trPr>
          <w:cantSplit/>
          <w:trHeight w:val="454"/>
        </w:trPr>
        <w:tc>
          <w:tcPr>
            <w:tcW w:w="2483"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Museum (Eltern)</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c>
          <w:tcPr>
            <w:tcW w:w="745" w:type="dxa"/>
            <w:tcBorders>
              <w:top w:val="single" w:sz="8" w:space="0" w:color="000000"/>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Konzert (Eltern)</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Theater (Eltern)</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Bücher</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Literatur</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.34</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Gedicht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Kunst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Bildung Elternteil 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.50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Bildung Elternteil 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.44</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.53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Museum (Kind)</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.46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lastRenderedPageBreak/>
              <w:t>Konzert (Kind)</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Theater (Kind)</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.24</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.50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Profilschule</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.14</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Kursbesuch</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.23</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Kulturverein</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.09</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.05</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.08</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.11</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.14</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.22</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.17</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.06</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.30</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c>
          <w:tcPr>
            <w:tcW w:w="745" w:type="dxa"/>
            <w:tcBorders>
              <w:top w:val="nil"/>
              <w:left w:val="nil"/>
              <w:bottom w:val="nil"/>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 </w:t>
            </w:r>
          </w:p>
        </w:tc>
      </w:tr>
      <w:tr w:rsidR="00D91ADF" w:rsidRPr="00A3052F" w:rsidTr="00C47F05">
        <w:trPr>
          <w:cantSplit/>
          <w:trHeight w:val="454"/>
        </w:trPr>
        <w:tc>
          <w:tcPr>
            <w:tcW w:w="2483"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Jugendzentrum</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.03</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.05</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.01</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.02</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.05</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.03</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-.01</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.01</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.03</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.07</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.09</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.08</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color w:val="auto"/>
                <w:sz w:val="18"/>
                <w:szCs w:val="18"/>
              </w:rPr>
              <w:t>.02</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.12</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.13</w:t>
            </w:r>
          </w:p>
        </w:tc>
        <w:tc>
          <w:tcPr>
            <w:tcW w:w="745" w:type="dxa"/>
            <w:tcBorders>
              <w:top w:val="nil"/>
              <w:left w:val="nil"/>
              <w:bottom w:val="single" w:sz="8" w:space="0" w:color="000000"/>
              <w:right w:val="nil"/>
            </w:tcBorders>
            <w:shd w:val="clear" w:color="auto" w:fill="auto"/>
            <w:tcMar>
              <w:top w:w="15" w:type="dxa"/>
              <w:left w:w="105" w:type="dxa"/>
              <w:bottom w:w="0" w:type="dxa"/>
              <w:right w:w="105" w:type="dxa"/>
            </w:tcMar>
            <w:vAlign w:val="center"/>
            <w:hideMark/>
          </w:tcPr>
          <w:p w:rsidR="00D91ADF" w:rsidRPr="00A3052F" w:rsidRDefault="00D91ADF" w:rsidP="00C47F05">
            <w:pPr>
              <w:spacing w:after="299" w:line="259" w:lineRule="auto"/>
              <w:ind w:left="39" w:right="0" w:firstLine="0"/>
              <w:jc w:val="left"/>
              <w:rPr>
                <w:rFonts w:ascii="Arial" w:hAnsi="Arial" w:cs="Arial"/>
                <w:color w:val="auto"/>
                <w:sz w:val="18"/>
                <w:szCs w:val="18"/>
              </w:rPr>
            </w:pPr>
            <w:r w:rsidRPr="00A3052F">
              <w:rPr>
                <w:rFonts w:ascii="Arial" w:hAnsi="Arial" w:cs="Arial"/>
                <w:b/>
                <w:bCs/>
                <w:color w:val="auto"/>
                <w:sz w:val="18"/>
                <w:szCs w:val="18"/>
              </w:rPr>
              <w:t>-</w:t>
            </w:r>
          </w:p>
        </w:tc>
      </w:tr>
    </w:tbl>
    <w:p w:rsidR="00D91ADF" w:rsidRDefault="00D91ADF" w:rsidP="00D91ADF">
      <w:pPr>
        <w:spacing w:after="545"/>
        <w:ind w:left="26" w:right="9"/>
        <w:rPr>
          <w:color w:val="auto"/>
        </w:rPr>
        <w:sectPr w:rsidR="00D91ADF" w:rsidSect="003C15D4">
          <w:footnotePr>
            <w:numRestart w:val="eachPage"/>
          </w:footnotePr>
          <w:pgSz w:w="16838" w:h="11906" w:orient="landscape"/>
          <w:pgMar w:top="1747" w:right="1914" w:bottom="1747" w:left="2984" w:header="720" w:footer="2035" w:gutter="0"/>
          <w:pgNumType w:start="1"/>
          <w:cols w:space="720"/>
          <w:docGrid w:linePitch="299"/>
        </w:sectPr>
      </w:pPr>
      <w:r w:rsidRPr="003D08C6">
        <w:rPr>
          <w:color w:val="auto"/>
        </w:rPr>
        <w:t>Anmerkung: Alle auf dem 5%-Niveau statistisch signifikanten Korrelationen sind fett gedruckt.</w:t>
      </w:r>
    </w:p>
    <w:p w:rsidR="00D91ADF" w:rsidRPr="003C15D4" w:rsidRDefault="00D91ADF" w:rsidP="00D91ADF">
      <w:pPr>
        <w:spacing w:after="545"/>
        <w:ind w:left="0" w:right="9" w:firstLine="0"/>
        <w:rPr>
          <w:b/>
          <w:color w:val="auto"/>
        </w:rPr>
      </w:pPr>
      <w:r w:rsidRPr="003C15D4">
        <w:rPr>
          <w:b/>
          <w:color w:val="auto"/>
          <w:sz w:val="29"/>
        </w:rPr>
        <w:lastRenderedPageBreak/>
        <w:t>Anhang B</w:t>
      </w:r>
      <w:r w:rsidRPr="003C15D4">
        <w:rPr>
          <w:b/>
          <w:color w:val="auto"/>
          <w:sz w:val="29"/>
        </w:rPr>
        <w:tab/>
        <w:t>Methodische Anmerkungen</w:t>
      </w:r>
    </w:p>
    <w:p w:rsidR="00D91ADF" w:rsidRPr="003D08C6" w:rsidRDefault="00D91ADF" w:rsidP="00D91ADF">
      <w:pPr>
        <w:ind w:left="26" w:right="9"/>
        <w:rPr>
          <w:color w:val="auto"/>
        </w:rPr>
      </w:pPr>
      <w:r w:rsidRPr="003D08C6">
        <w:rPr>
          <w:color w:val="auto"/>
        </w:rPr>
        <w:t xml:space="preserve">Die Stichprobe der NEPS–Daten wurde anhand von Schulen gezogen. Dadurch sind die Fälle nicht unabhängig voneinander, sondern in Schulen geclustert. Diese hierarchische Datenstruktur kann zu verzerrten Schätzungen führen, wenn nicht adäquat mit ihr umgegangen wird (Pötschke, 2019). Um dem entgegenzuwirken wurde die </w:t>
      </w:r>
      <w:proofErr w:type="spellStart"/>
      <w:r w:rsidRPr="003D08C6">
        <w:rPr>
          <w:color w:val="auto"/>
        </w:rPr>
        <w:t>Mehrebenenstruktur</w:t>
      </w:r>
      <w:proofErr w:type="spellEnd"/>
      <w:r w:rsidRPr="003D08C6">
        <w:rPr>
          <w:color w:val="auto"/>
        </w:rPr>
        <w:t xml:space="preserve"> im Modell berücksichtigt, indem die Schul-ID als Clustervariable angegeben wurde. Einige Fälle weisen </w:t>
      </w:r>
      <w:proofErr w:type="gramStart"/>
      <w:r w:rsidRPr="003D08C6">
        <w:rPr>
          <w:color w:val="auto"/>
        </w:rPr>
        <w:t>in dieser Variable</w:t>
      </w:r>
      <w:proofErr w:type="gramEnd"/>
      <w:r w:rsidRPr="003D08C6">
        <w:rPr>
          <w:color w:val="auto"/>
        </w:rPr>
        <w:t xml:space="preserve"> fehlende Werte auf, wofür es unterschiedliche Gründe gibt. Beispielsweise kann es sich dabei um Personen handeln, die eine Berufsausbildung begonnen und daher die NEPS-Schule verlassen haben, aber dennoch individuell nachverfolgt werden. Um die Problematik der fehlenden Werte zu lösen, wurden diese durch den Modus der Clustervariable über die Wellen 1 bis 5 ersetzt. Dadurch erhalten die zugehörigen Fälle die Schul-ID, die sie in den Wellen 1 bis 5 am häufigsten hatten. Neben der hierarchischen Datenstruktur muss auch die Gewichtung der Stichprobendaten Beachtung finden: Sowohl der Einsatz von Gewichten bei nicht-informativen Designs als auch das Fehlen von Gewichten bei informativen Designs kann zu verzerrten Schätzungen führen (Pfeffermann, 1993). Das NEPS bietet verschiedene Gewichte für Datenanalysen an, deren Einsatz davon abhängig ist, ob ein informatives Design vorliegt. Um zu testen, ob dies der Fall ist (also ob in dem Design ein Zusammenhang zwischen Outcome und der Gewichtungsvariable besteht, vgl. Carle, 2009; </w:t>
      </w:r>
      <w:proofErr w:type="spellStart"/>
      <w:r w:rsidRPr="003D08C6">
        <w:rPr>
          <w:color w:val="auto"/>
        </w:rPr>
        <w:t>DuMouchel</w:t>
      </w:r>
      <w:proofErr w:type="spellEnd"/>
      <w:r w:rsidRPr="003D08C6">
        <w:rPr>
          <w:color w:val="auto"/>
        </w:rPr>
        <w:t xml:space="preserve"> und Duncan, 1983), wurde das </w:t>
      </w:r>
      <w:proofErr w:type="spellStart"/>
      <w:r w:rsidRPr="003D08C6">
        <w:rPr>
          <w:color w:val="auto"/>
        </w:rPr>
        <w:t>Surveygewicht</w:t>
      </w:r>
      <w:proofErr w:type="spellEnd"/>
      <w:r w:rsidRPr="003D08C6">
        <w:rPr>
          <w:color w:val="auto"/>
        </w:rPr>
        <w:t xml:space="preserve"> für Zielpersonen in Welle 5 als </w:t>
      </w:r>
      <w:proofErr w:type="spellStart"/>
      <w:r w:rsidRPr="003D08C6">
        <w:rPr>
          <w:color w:val="auto"/>
        </w:rPr>
        <w:t>Kovariate</w:t>
      </w:r>
      <w:proofErr w:type="spellEnd"/>
      <w:r w:rsidRPr="003D08C6">
        <w:rPr>
          <w:color w:val="auto"/>
        </w:rPr>
        <w:t xml:space="preserve"> in das Modell aufgenommen. Die Ergebnisse fallen nicht eindeutig aus: Das Gewicht zeigte nur auf manche endogenen Variablen einen signifikanten Effekt, CFI und TLI zeigen für das Modell mit Gewichten leicht verschlechterte, SRMR gleiche und RMSEA leicht verbesserte Werte. Aufgrund des signifikanten Effekts des Gewichts auf manche Variablen wurde entschieden, die Analysen zu gewichten. Die Gewichte korrigieren für fehlende Werte, die auf </w:t>
      </w:r>
      <w:proofErr w:type="spellStart"/>
      <w:r w:rsidRPr="003D08C6">
        <w:rPr>
          <w:color w:val="auto"/>
        </w:rPr>
        <w:t>unit</w:t>
      </w:r>
      <w:proofErr w:type="spellEnd"/>
      <w:r w:rsidRPr="003D08C6">
        <w:rPr>
          <w:color w:val="auto"/>
        </w:rPr>
        <w:t xml:space="preserve"> </w:t>
      </w:r>
      <w:proofErr w:type="spellStart"/>
      <w:r w:rsidRPr="003D08C6">
        <w:rPr>
          <w:color w:val="auto"/>
        </w:rPr>
        <w:t>nonresponse</w:t>
      </w:r>
      <w:proofErr w:type="spellEnd"/>
      <w:r w:rsidRPr="003D08C6">
        <w:rPr>
          <w:color w:val="auto"/>
        </w:rPr>
        <w:t xml:space="preserve"> der Zielpersonen zurückzuführen sind. Zum Umgang mit fehlenden Werten, die aus item </w:t>
      </w:r>
      <w:proofErr w:type="spellStart"/>
      <w:r w:rsidRPr="003D08C6">
        <w:rPr>
          <w:color w:val="auto"/>
        </w:rPr>
        <w:t>nonresponse</w:t>
      </w:r>
      <w:proofErr w:type="spellEnd"/>
      <w:r w:rsidRPr="003D08C6">
        <w:rPr>
          <w:color w:val="auto"/>
        </w:rPr>
        <w:t xml:space="preserve"> folgen, wurde </w:t>
      </w:r>
      <w:proofErr w:type="spellStart"/>
      <w:r w:rsidRPr="003D08C6">
        <w:rPr>
          <w:color w:val="auto"/>
        </w:rPr>
        <w:t>Full</w:t>
      </w:r>
      <w:proofErr w:type="spellEnd"/>
      <w:r w:rsidRPr="003D08C6">
        <w:rPr>
          <w:color w:val="auto"/>
        </w:rPr>
        <w:t xml:space="preserve"> Information Maximum </w:t>
      </w:r>
      <w:proofErr w:type="spellStart"/>
      <w:r w:rsidRPr="003D08C6">
        <w:rPr>
          <w:color w:val="auto"/>
        </w:rPr>
        <w:t>Likelihood</w:t>
      </w:r>
      <w:proofErr w:type="spellEnd"/>
      <w:r w:rsidRPr="003D08C6">
        <w:rPr>
          <w:color w:val="auto"/>
        </w:rPr>
        <w:t xml:space="preserve"> (FIML) als Vorgehen gewählt. Dieses führt zu vergleichbaren Ergebnissen wie multiple Imputation und ist listenweisem sowie paarweisem Ausschluss von Fällen vorzuziehen (Lee und Shi, 2021). Methodische Einschränkungen ergaben sich durch Limitierungen der Software. In die Analysemodelle gehen kategoriale und dichotome Variablen ein. Für erstere existieren spezielle Schätzer, wie beispielsweise der </w:t>
      </w:r>
      <w:proofErr w:type="spellStart"/>
      <w:r w:rsidRPr="003D08C6">
        <w:rPr>
          <w:color w:val="auto"/>
        </w:rPr>
        <w:t>Diagonally</w:t>
      </w:r>
      <w:proofErr w:type="spellEnd"/>
      <w:r w:rsidRPr="003D08C6">
        <w:rPr>
          <w:color w:val="auto"/>
        </w:rPr>
        <w:t>-</w:t>
      </w:r>
      <w:proofErr w:type="spellStart"/>
      <w:r w:rsidRPr="003D08C6">
        <w:rPr>
          <w:color w:val="auto"/>
        </w:rPr>
        <w:t>Weighted</w:t>
      </w:r>
      <w:proofErr w:type="spellEnd"/>
      <w:r w:rsidRPr="003D08C6">
        <w:rPr>
          <w:color w:val="auto"/>
        </w:rPr>
        <w:t>-Least-</w:t>
      </w:r>
      <w:proofErr w:type="spellStart"/>
      <w:r w:rsidRPr="003D08C6">
        <w:rPr>
          <w:color w:val="auto"/>
        </w:rPr>
        <w:t>Squares</w:t>
      </w:r>
      <w:proofErr w:type="spellEnd"/>
      <w:r w:rsidRPr="003D08C6">
        <w:rPr>
          <w:color w:val="auto"/>
        </w:rPr>
        <w:t>-Schätzer (DWLS); letztere könnten mit logistischen Modellen besser abgebildet werden. Allerdings unterstützt die Software für diese Schätzer bislang weder die Berücksichtigung der hierarchischen Datenstruktur noch steht FIML für den Umgang mit fehlenden Werten zur Verfügung. Daher werden Maximum-</w:t>
      </w:r>
      <w:proofErr w:type="spellStart"/>
      <w:r w:rsidRPr="003D08C6">
        <w:rPr>
          <w:color w:val="auto"/>
        </w:rPr>
        <w:t>Likelihood</w:t>
      </w:r>
      <w:proofErr w:type="spellEnd"/>
      <w:r w:rsidRPr="003D08C6">
        <w:rPr>
          <w:color w:val="auto"/>
        </w:rPr>
        <w:t>-Schätzer (ML) verwendet, die beides unterstützen. Um sicherzugehen, dass sich durch die unterschiedlichen Schätzer keine gravierenden Unterschiede ergeben, wurden die Modelle mit den genannten Einschränkungen sowohl mit ML- als auch mit DWLS-Schätzer berechnet. Beim Vergleich der Ergebnisse ergab sich, dass die Werte der Regressionskoeffizienten und R</w:t>
      </w:r>
      <w:r w:rsidRPr="003D08C6">
        <w:rPr>
          <w:color w:val="auto"/>
          <w:vertAlign w:val="superscript"/>
        </w:rPr>
        <w:t xml:space="preserve">2 </w:t>
      </w:r>
      <w:r w:rsidRPr="003D08C6">
        <w:rPr>
          <w:color w:val="auto"/>
        </w:rPr>
        <w:t xml:space="preserve">teilweise leicht verändert sind, wenn der DWLS-Schätzer verwendet wird. Darüber hinaus wurden die Ergebnisse auch auf Veränderungen bei </w:t>
      </w:r>
      <w:r w:rsidRPr="003D08C6">
        <w:rPr>
          <w:color w:val="auto"/>
        </w:rPr>
        <w:lastRenderedPageBreak/>
        <w:t>Signifikanzen und Vorzeichen der Koeffizienten geprüft, die jedoch nicht festgestellt werden konnten. Insgesamt ist der adäquate Umgang mit fehlenden Werten und der hierarchischen Datenstruktur als wichtig zu betrachten, sodass im Ergebnisteil die ML-Schätzungen berichtet werden.</w:t>
      </w:r>
    </w:p>
    <w:p w:rsidR="005262DA" w:rsidRDefault="005262DA"/>
    <w:sectPr w:rsidR="005262DA" w:rsidSect="003C15D4">
      <w:footnotePr>
        <w:numRestart w:val="eachPage"/>
      </w:footnotePr>
      <w:pgSz w:w="11906" w:h="16838"/>
      <w:pgMar w:top="1914" w:right="1747" w:bottom="2984" w:left="1747" w:header="720" w:footer="2035"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AA6" w:rsidRDefault="00D91ADF">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099186"/>
      <w:docPartObj>
        <w:docPartGallery w:val="Page Numbers (Bottom of Page)"/>
        <w:docPartUnique/>
      </w:docPartObj>
    </w:sdtPr>
    <w:sdtEndPr/>
    <w:sdtContent>
      <w:p w:rsidR="00C57AA6" w:rsidRDefault="00D91ADF">
        <w:pPr>
          <w:pStyle w:val="Fuzeile"/>
        </w:pPr>
        <w:r>
          <w:fldChar w:fldCharType="begin"/>
        </w:r>
        <w:r>
          <w:instrText>PAGE   \* MERGEFORMAT</w:instrText>
        </w:r>
        <w:r>
          <w:fldChar w:fldCharType="separate"/>
        </w:r>
        <w:r>
          <w:t>2</w:t>
        </w:r>
        <w:r>
          <w:fldChar w:fldCharType="end"/>
        </w:r>
      </w:p>
    </w:sdtContent>
  </w:sdt>
  <w:p w:rsidR="00C57AA6" w:rsidRDefault="00D91AD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AA6" w:rsidRDefault="00D91ADF">
    <w:r w:rsidRPr="003C15D4">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507FD"/>
    <w:multiLevelType w:val="hybridMultilevel"/>
    <w:tmpl w:val="6D7C9144"/>
    <w:lvl w:ilvl="0" w:tplc="63B2FBB8">
      <w:start w:val="1"/>
      <w:numFmt w:val="decimal"/>
      <w:pStyle w:val="berschrift1"/>
      <w:lvlText w:val="%1."/>
      <w:lvlJc w:val="left"/>
      <w:pPr>
        <w:ind w:left="0"/>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1" w:tplc="7A0C7B9E">
      <w:start w:val="1"/>
      <w:numFmt w:val="lowerLetter"/>
      <w:lvlText w:val="%2"/>
      <w:lvlJc w:val="left"/>
      <w:pPr>
        <w:ind w:left="109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2" w:tplc="FAA4EEA6">
      <w:start w:val="1"/>
      <w:numFmt w:val="lowerRoman"/>
      <w:lvlText w:val="%3"/>
      <w:lvlJc w:val="left"/>
      <w:pPr>
        <w:ind w:left="181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3" w:tplc="F4422DD4">
      <w:start w:val="1"/>
      <w:numFmt w:val="decimal"/>
      <w:lvlText w:val="%4"/>
      <w:lvlJc w:val="left"/>
      <w:pPr>
        <w:ind w:left="253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4" w:tplc="62F6F1E8">
      <w:start w:val="1"/>
      <w:numFmt w:val="lowerLetter"/>
      <w:lvlText w:val="%5"/>
      <w:lvlJc w:val="left"/>
      <w:pPr>
        <w:ind w:left="325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5" w:tplc="F53E0B86">
      <w:start w:val="1"/>
      <w:numFmt w:val="lowerRoman"/>
      <w:lvlText w:val="%6"/>
      <w:lvlJc w:val="left"/>
      <w:pPr>
        <w:ind w:left="397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6" w:tplc="4EC2E80E">
      <w:start w:val="1"/>
      <w:numFmt w:val="decimal"/>
      <w:lvlText w:val="%7"/>
      <w:lvlJc w:val="left"/>
      <w:pPr>
        <w:ind w:left="469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7" w:tplc="E3F825CC">
      <w:start w:val="1"/>
      <w:numFmt w:val="lowerLetter"/>
      <w:lvlText w:val="%8"/>
      <w:lvlJc w:val="left"/>
      <w:pPr>
        <w:ind w:left="541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lvl w:ilvl="8" w:tplc="86EA5EB0">
      <w:start w:val="1"/>
      <w:numFmt w:val="lowerRoman"/>
      <w:lvlText w:val="%9"/>
      <w:lvlJc w:val="left"/>
      <w:pPr>
        <w:ind w:left="6131"/>
      </w:pPr>
      <w:rPr>
        <w:rFonts w:ascii="Calibri" w:eastAsia="Calibri" w:hAnsi="Calibri" w:cs="Calibri"/>
        <w:b/>
        <w:bCs/>
        <w:i w:val="0"/>
        <w:strike w:val="0"/>
        <w:dstrike w:val="0"/>
        <w:color w:val="000000"/>
        <w:sz w:val="29"/>
        <w:szCs w:val="29"/>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ADF"/>
    <w:rsid w:val="005262DA"/>
    <w:rsid w:val="00D91A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4107"/>
  <w15:chartTrackingRefBased/>
  <w15:docId w15:val="{2A09DCFA-C923-4661-956E-85EE453F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91ADF"/>
    <w:pPr>
      <w:spacing w:after="4" w:line="267" w:lineRule="auto"/>
      <w:ind w:left="552" w:right="708" w:hanging="2"/>
      <w:jc w:val="both"/>
    </w:pPr>
    <w:rPr>
      <w:rFonts w:ascii="Times New Roman" w:eastAsia="Times New Roman" w:hAnsi="Times New Roman" w:cs="Times New Roman"/>
      <w:color w:val="000000"/>
      <w:lang w:eastAsia="de-DE"/>
    </w:rPr>
  </w:style>
  <w:style w:type="paragraph" w:styleId="berschrift1">
    <w:name w:val="heading 1"/>
    <w:next w:val="Standard"/>
    <w:link w:val="berschrift1Zchn"/>
    <w:uiPriority w:val="9"/>
    <w:qFormat/>
    <w:rsid w:val="00D91ADF"/>
    <w:pPr>
      <w:keepNext/>
      <w:keepLines/>
      <w:numPr>
        <w:numId w:val="1"/>
      </w:numPr>
      <w:spacing w:after="114" w:line="265" w:lineRule="auto"/>
      <w:outlineLvl w:val="0"/>
    </w:pPr>
    <w:rPr>
      <w:rFonts w:ascii="Calibri" w:eastAsia="Calibri" w:hAnsi="Calibri" w:cs="Calibri"/>
      <w:b/>
      <w:color w:val="000000"/>
      <w:sz w:val="29"/>
      <w:lang w:eastAsia="de-DE"/>
    </w:rPr>
  </w:style>
  <w:style w:type="paragraph" w:styleId="berschrift2">
    <w:name w:val="heading 2"/>
    <w:next w:val="Standard"/>
    <w:link w:val="berschrift2Zchn"/>
    <w:uiPriority w:val="9"/>
    <w:unhideWhenUsed/>
    <w:qFormat/>
    <w:rsid w:val="00D91ADF"/>
    <w:pPr>
      <w:keepNext/>
      <w:keepLines/>
      <w:spacing w:after="102"/>
      <w:ind w:left="20" w:hanging="10"/>
      <w:outlineLvl w:val="1"/>
    </w:pPr>
    <w:rPr>
      <w:rFonts w:ascii="Calibri" w:eastAsia="Calibri" w:hAnsi="Calibri" w:cs="Calibri"/>
      <w:b/>
      <w:color w:val="000000"/>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1ADF"/>
    <w:rPr>
      <w:rFonts w:ascii="Calibri" w:eastAsia="Calibri" w:hAnsi="Calibri" w:cs="Calibri"/>
      <w:b/>
      <w:color w:val="000000"/>
      <w:sz w:val="29"/>
      <w:lang w:eastAsia="de-DE"/>
    </w:rPr>
  </w:style>
  <w:style w:type="character" w:customStyle="1" w:styleId="berschrift2Zchn">
    <w:name w:val="Überschrift 2 Zchn"/>
    <w:basedOn w:val="Absatz-Standardschriftart"/>
    <w:link w:val="berschrift2"/>
    <w:uiPriority w:val="9"/>
    <w:rsid w:val="00D91ADF"/>
    <w:rPr>
      <w:rFonts w:ascii="Calibri" w:eastAsia="Calibri" w:hAnsi="Calibri" w:cs="Calibri"/>
      <w:b/>
      <w:color w:val="000000"/>
      <w:sz w:val="24"/>
      <w:lang w:eastAsia="de-DE"/>
    </w:rPr>
  </w:style>
  <w:style w:type="paragraph" w:styleId="StandardWeb">
    <w:name w:val="Normal (Web)"/>
    <w:basedOn w:val="Standard"/>
    <w:uiPriority w:val="99"/>
    <w:semiHidden/>
    <w:unhideWhenUsed/>
    <w:rsid w:val="00D91ADF"/>
    <w:pPr>
      <w:spacing w:before="100" w:beforeAutospacing="1" w:after="100" w:afterAutospacing="1" w:line="240" w:lineRule="auto"/>
      <w:ind w:left="0" w:right="0" w:firstLine="0"/>
      <w:jc w:val="left"/>
    </w:pPr>
    <w:rPr>
      <w:color w:val="auto"/>
      <w:sz w:val="24"/>
      <w:szCs w:val="24"/>
    </w:rPr>
  </w:style>
  <w:style w:type="paragraph" w:styleId="Fuzeile">
    <w:name w:val="footer"/>
    <w:basedOn w:val="Standard"/>
    <w:link w:val="FuzeileZchn"/>
    <w:uiPriority w:val="99"/>
    <w:unhideWhenUsed/>
    <w:rsid w:val="00D91A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ADF"/>
    <w:rPr>
      <w:rFonts w:ascii="Times New Roman" w:eastAsia="Times New Roman" w:hAnsi="Times New Roman" w:cs="Times New Roman"/>
      <w:color w:val="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863</Words>
  <Characters>5438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DIPF</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Güldemund, Christin</dc:creator>
  <cp:keywords/>
  <dc:description/>
  <cp:lastModifiedBy>Güldemund, Christin</cp:lastModifiedBy>
  <cp:revision>1</cp:revision>
  <dcterms:created xsi:type="dcterms:W3CDTF">2024-01-22T17:14:00Z</dcterms:created>
  <dcterms:modified xsi:type="dcterms:W3CDTF">2024-01-22T17:25:00Z</dcterms:modified>
</cp:coreProperties>
</file>