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71888" w14:textId="76673214" w:rsidR="008A4804" w:rsidRDefault="008A4804" w:rsidP="008A4804">
      <w:pPr>
        <w:rPr>
          <w:rFonts w:cs="Times New Roman"/>
          <w:b/>
          <w:sz w:val="32"/>
          <w:szCs w:val="32"/>
          <w:lang w:val="en-US"/>
        </w:rPr>
      </w:pPr>
      <w:r w:rsidRPr="00017EE3">
        <w:rPr>
          <w:rFonts w:cs="Times New Roman"/>
          <w:b/>
          <w:sz w:val="32"/>
          <w:szCs w:val="32"/>
          <w:lang w:val="en-US"/>
        </w:rPr>
        <w:t>Effectiveness of interventions in teacher education: Synthesis of reviews (2010</w:t>
      </w:r>
      <w:r>
        <w:rPr>
          <w:rFonts w:cs="Times New Roman"/>
          <w:b/>
          <w:sz w:val="32"/>
          <w:szCs w:val="32"/>
          <w:lang w:val="en-US"/>
        </w:rPr>
        <w:t>–</w:t>
      </w:r>
      <w:r w:rsidRPr="00017EE3">
        <w:rPr>
          <w:rFonts w:cs="Times New Roman"/>
          <w:b/>
          <w:sz w:val="32"/>
          <w:szCs w:val="32"/>
          <w:lang w:val="en-US"/>
        </w:rPr>
        <w:t>2024)</w:t>
      </w:r>
    </w:p>
    <w:p w14:paraId="73A4E60E" w14:textId="77777777" w:rsidR="008A4804" w:rsidRPr="004743D8" w:rsidRDefault="008A4804" w:rsidP="008A4804">
      <w:pPr>
        <w:rPr>
          <w:rFonts w:cs="Times New Roman"/>
          <w:b/>
          <w:sz w:val="32"/>
          <w:szCs w:val="32"/>
        </w:rPr>
      </w:pPr>
      <w:r w:rsidRPr="003071FB">
        <w:rPr>
          <w:rFonts w:cs="Times New Roman"/>
          <w:b/>
          <w:sz w:val="32"/>
          <w:szCs w:val="32"/>
        </w:rPr>
        <w:t>Stichwort Wirksamkeit von Interventionen in der Lehrkräftebildung: Synthese von Reviews</w:t>
      </w:r>
      <w:r>
        <w:rPr>
          <w:rFonts w:cs="Times New Roman"/>
          <w:b/>
          <w:sz w:val="32"/>
          <w:szCs w:val="32"/>
        </w:rPr>
        <w:t xml:space="preserve"> (2010</w:t>
      </w:r>
      <w:r w:rsidRPr="00E84B17">
        <w:rPr>
          <w:rFonts w:cs="Times New Roman"/>
          <w:b/>
          <w:sz w:val="32"/>
          <w:szCs w:val="32"/>
        </w:rPr>
        <w:t>–</w:t>
      </w:r>
      <w:r>
        <w:rPr>
          <w:rFonts w:cs="Times New Roman"/>
          <w:b/>
          <w:sz w:val="32"/>
          <w:szCs w:val="32"/>
        </w:rPr>
        <w:t>2024)</w:t>
      </w:r>
    </w:p>
    <w:p w14:paraId="20EE3496" w14:textId="018F18C3" w:rsidR="008A4804" w:rsidRDefault="008A4804">
      <w:pPr>
        <w:rPr>
          <w:rFonts w:cs="Times New Roman"/>
          <w:b/>
          <w:color w:val="000000" w:themeColor="text1"/>
          <w:sz w:val="24"/>
          <w:szCs w:val="24"/>
        </w:rPr>
      </w:pPr>
    </w:p>
    <w:p w14:paraId="69B5AA28" w14:textId="63D79773" w:rsidR="008A4804" w:rsidRPr="00A21FEB" w:rsidRDefault="008A4804">
      <w:pPr>
        <w:rPr>
          <w:rFonts w:cs="Times New Roman"/>
          <w:b/>
          <w:color w:val="000000" w:themeColor="text1"/>
          <w:sz w:val="24"/>
          <w:szCs w:val="24"/>
          <w:lang w:val="en-US"/>
        </w:rPr>
      </w:pPr>
      <w:r w:rsidRPr="00A21FEB">
        <w:rPr>
          <w:rFonts w:cs="Times New Roman"/>
          <w:b/>
          <w:color w:val="000000" w:themeColor="text1"/>
          <w:sz w:val="24"/>
          <w:szCs w:val="24"/>
          <w:lang w:val="en-US"/>
        </w:rPr>
        <w:t>Supplementary Material</w:t>
      </w:r>
    </w:p>
    <w:p w14:paraId="796770DC" w14:textId="77777777" w:rsidR="008A4804" w:rsidRPr="00A21FEB" w:rsidRDefault="008A4804">
      <w:pPr>
        <w:rPr>
          <w:rFonts w:cs="Times New Roman"/>
          <w:b/>
          <w:color w:val="000000" w:themeColor="text1"/>
          <w:sz w:val="24"/>
          <w:szCs w:val="24"/>
          <w:lang w:val="en-US"/>
        </w:rPr>
      </w:pPr>
    </w:p>
    <w:p w14:paraId="3F8E4498" w14:textId="77777777" w:rsidR="008A4804" w:rsidRDefault="008A4804">
      <w:pPr>
        <w:rPr>
          <w:rFonts w:cs="Times New Roman"/>
          <w:b/>
          <w:color w:val="000000" w:themeColor="text1"/>
          <w:sz w:val="24"/>
          <w:szCs w:val="24"/>
          <w:lang w:val="en-US"/>
        </w:rPr>
      </w:pPr>
      <w:r>
        <w:rPr>
          <w:rFonts w:cs="Times New Roman"/>
          <w:b/>
          <w:color w:val="000000" w:themeColor="text1"/>
          <w:sz w:val="24"/>
          <w:szCs w:val="24"/>
          <w:lang w:val="en-US"/>
        </w:rPr>
        <w:br w:type="page"/>
      </w:r>
    </w:p>
    <w:p w14:paraId="7E57B22A" w14:textId="06F6A7C1" w:rsidR="00822BF6" w:rsidRPr="0009004D" w:rsidRDefault="0009004D">
      <w:pPr>
        <w:rPr>
          <w:rFonts w:cs="Times New Roman"/>
          <w:b/>
          <w:color w:val="000000" w:themeColor="text1"/>
          <w:sz w:val="24"/>
          <w:szCs w:val="24"/>
          <w:lang w:val="en-US"/>
        </w:rPr>
      </w:pPr>
      <w:r w:rsidRPr="0009004D">
        <w:rPr>
          <w:rFonts w:cs="Times New Roman"/>
          <w:b/>
          <w:color w:val="000000" w:themeColor="text1"/>
          <w:sz w:val="24"/>
          <w:szCs w:val="24"/>
          <w:lang w:val="en-US"/>
        </w:rPr>
        <w:lastRenderedPageBreak/>
        <w:t xml:space="preserve">Table </w:t>
      </w:r>
      <w:r w:rsidR="00B62246">
        <w:rPr>
          <w:rFonts w:cs="Times New Roman"/>
          <w:b/>
          <w:color w:val="000000" w:themeColor="text1"/>
          <w:sz w:val="24"/>
          <w:szCs w:val="24"/>
          <w:lang w:val="en-US"/>
        </w:rPr>
        <w:t>S</w:t>
      </w:r>
      <w:r w:rsidRPr="0009004D">
        <w:rPr>
          <w:rFonts w:cs="Times New Roman"/>
          <w:b/>
          <w:color w:val="000000" w:themeColor="text1"/>
          <w:sz w:val="24"/>
          <w:szCs w:val="24"/>
          <w:lang w:val="en-US"/>
        </w:rPr>
        <w:t>1 Overview of included meta-analyses</w:t>
      </w: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976"/>
        <w:gridCol w:w="3777"/>
        <w:gridCol w:w="754"/>
      </w:tblGrid>
      <w:tr w:rsidR="0009004D" w:rsidRPr="008A4804" w14:paraId="188A84CE" w14:textId="77777777" w:rsidTr="0009004D">
        <w:trPr>
          <w:trHeight w:val="77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hideMark/>
          </w:tcPr>
          <w:p w14:paraId="56BFB117" w14:textId="77777777" w:rsidR="0009004D" w:rsidRPr="008A4804" w:rsidRDefault="0009004D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b/>
                <w:sz w:val="20"/>
                <w:szCs w:val="20"/>
                <w:lang w:val="en-US"/>
              </w:rPr>
              <w:t>Meta-analysis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hideMark/>
          </w:tcPr>
          <w:p w14:paraId="12F9B4FF" w14:textId="77777777" w:rsidR="0009004D" w:rsidRPr="008A4804" w:rsidRDefault="0009004D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b/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3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hideMark/>
          </w:tcPr>
          <w:p w14:paraId="10A154DC" w14:textId="77777777" w:rsidR="0009004D" w:rsidRPr="008A4804" w:rsidRDefault="0009004D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b/>
                <w:sz w:val="20"/>
                <w:szCs w:val="20"/>
                <w:lang w:val="en-US"/>
              </w:rPr>
              <w:t xml:space="preserve">Outcomes 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hideMark/>
          </w:tcPr>
          <w:p w14:paraId="18413492" w14:textId="77777777" w:rsidR="0009004D" w:rsidRPr="008A4804" w:rsidRDefault="0009004D">
            <w:pPr>
              <w:rPr>
                <w:rFonts w:cs="Times New Roman"/>
                <w:b/>
                <w:sz w:val="20"/>
                <w:szCs w:val="20"/>
                <w:vertAlign w:val="subscript"/>
                <w:lang w:val="en-US"/>
              </w:rPr>
            </w:pPr>
            <w:r w:rsidRPr="008A4804">
              <w:rPr>
                <w:rFonts w:cs="Times New Roman"/>
                <w:b/>
                <w:i/>
                <w:sz w:val="20"/>
                <w:szCs w:val="20"/>
                <w:lang w:val="en-US"/>
              </w:rPr>
              <w:t>n</w:t>
            </w:r>
            <w:r w:rsidRPr="008A4804">
              <w:rPr>
                <w:rFonts w:cs="Times New Roman"/>
                <w:b/>
                <w:sz w:val="20"/>
                <w:szCs w:val="20"/>
                <w:vertAlign w:val="subscript"/>
                <w:lang w:val="en-US"/>
              </w:rPr>
              <w:t>studies</w:t>
            </w:r>
          </w:p>
        </w:tc>
      </w:tr>
      <w:tr w:rsidR="0009004D" w:rsidRPr="008A4804" w14:paraId="30372649" w14:textId="77777777" w:rsidTr="0009004D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5159C6B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color w:val="000000"/>
                <w:sz w:val="20"/>
                <w:szCs w:val="20"/>
                <w:lang w:val="en-US"/>
              </w:rPr>
              <w:t>Ma et al. (2023)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91E7694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Blended teaching vs. traditional teaching</w:t>
            </w:r>
          </w:p>
        </w:tc>
        <w:tc>
          <w:tcPr>
            <w:tcW w:w="37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0B8176F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Teachers’ academic performance (K)</w:t>
            </w:r>
          </w:p>
          <w:p w14:paraId="5167C6FA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Anxiety (A)</w:t>
            </w:r>
          </w:p>
          <w:p w14:paraId="39B7EE54" w14:textId="603EE681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Attitude (A)</w:t>
            </w:r>
          </w:p>
          <w:p w14:paraId="04F3DD01" w14:textId="1A722A09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Self-efficacy for teaching (A)</w:t>
            </w:r>
          </w:p>
          <w:p w14:paraId="39232678" w14:textId="681DC278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48793A0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15</w:t>
            </w:r>
          </w:p>
        </w:tc>
      </w:tr>
      <w:tr w:rsidR="0009004D" w:rsidRPr="008A4804" w14:paraId="4C6CCD7F" w14:textId="77777777" w:rsidTr="0009004D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EC48B18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color w:val="000000"/>
                <w:sz w:val="20"/>
                <w:szCs w:val="20"/>
                <w:lang w:val="en-US"/>
              </w:rPr>
              <w:t>Ning et al. (2022)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086120E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Teacher education interventions</w:t>
            </w:r>
          </w:p>
          <w:p w14:paraId="651909FC" w14:textId="5FB3D1D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7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CA0E277" w14:textId="28C36E5B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Teachers’ technological pedagogical content knowledge (K)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31CA183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59</w:t>
            </w:r>
          </w:p>
        </w:tc>
      </w:tr>
      <w:tr w:rsidR="0009004D" w:rsidRPr="008A4804" w14:paraId="564DDC3E" w14:textId="77777777" w:rsidTr="0009004D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5144FBE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color w:val="000000"/>
                <w:sz w:val="20"/>
                <w:szCs w:val="20"/>
                <w:lang w:val="en-US"/>
              </w:rPr>
              <w:t>Wilson (2023)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743CDE3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Technology integration courses</w:t>
            </w:r>
          </w:p>
        </w:tc>
        <w:tc>
          <w:tcPr>
            <w:tcW w:w="37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F3E818F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i/>
                <w:sz w:val="20"/>
                <w:szCs w:val="20"/>
                <w:lang w:val="en-US"/>
              </w:rPr>
              <w:t>Pedagogical beliefs on teaching and learning with technology</w:t>
            </w:r>
            <w:r w:rsidRPr="008A4804">
              <w:rPr>
                <w:rFonts w:cs="Times New Roman"/>
                <w:sz w:val="20"/>
                <w:szCs w:val="20"/>
                <w:lang w:val="en-US"/>
              </w:rPr>
              <w:t>:</w:t>
            </w:r>
          </w:p>
          <w:p w14:paraId="54920E71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Attitudes (A)</w:t>
            </w:r>
            <w:r w:rsidRPr="008A4804">
              <w:rPr>
                <w:rFonts w:cs="Times New Roman"/>
                <w:sz w:val="20"/>
                <w:szCs w:val="20"/>
                <w:lang w:val="en-US"/>
              </w:rPr>
              <w:br/>
              <w:t>Beliefs (A)</w:t>
            </w:r>
          </w:p>
          <w:p w14:paraId="1BFD5425" w14:textId="66689110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91D965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39</w:t>
            </w:r>
          </w:p>
        </w:tc>
      </w:tr>
      <w:tr w:rsidR="0009004D" w:rsidRPr="008A4804" w14:paraId="4CD62F88" w14:textId="77777777" w:rsidTr="0009004D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4072D97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color w:val="000000"/>
                <w:sz w:val="20"/>
                <w:szCs w:val="20"/>
                <w:lang w:val="en-US"/>
              </w:rPr>
              <w:t>Wilson et al. (2020)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26C9F06" w14:textId="6C6D7482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Technology integration courses</w:t>
            </w:r>
          </w:p>
        </w:tc>
        <w:tc>
          <w:tcPr>
            <w:tcW w:w="37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C1D6041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Technology-related knowledge (K)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E02647F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38</w:t>
            </w:r>
          </w:p>
        </w:tc>
      </w:tr>
      <w:tr w:rsidR="0009004D" w:rsidRPr="008A4804" w14:paraId="26E6CB3D" w14:textId="77777777" w:rsidTr="0009004D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FEA549D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color w:val="000000"/>
                <w:sz w:val="20"/>
                <w:szCs w:val="20"/>
                <w:lang w:val="en-US"/>
              </w:rPr>
              <w:t>Brock &amp; Carter (2017)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BCED90" w14:textId="3E1B8072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Trainings to foster evidence-based practices (dealing with students with disabilities)</w:t>
            </w:r>
          </w:p>
        </w:tc>
        <w:tc>
          <w:tcPr>
            <w:tcW w:w="37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1C433B0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Implementation fidelity of evidence-based practices (B)</w:t>
            </w:r>
          </w:p>
          <w:p w14:paraId="1F693676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</w:p>
          <w:p w14:paraId="49F2A80B" w14:textId="2EFF9E50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D259C36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12</w:t>
            </w:r>
          </w:p>
        </w:tc>
      </w:tr>
      <w:tr w:rsidR="0009004D" w:rsidRPr="008A4804" w14:paraId="3BFC3D43" w14:textId="77777777" w:rsidTr="0009004D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F0FB44E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color w:val="000000"/>
                <w:sz w:val="20"/>
                <w:szCs w:val="20"/>
                <w:lang w:val="en-US"/>
              </w:rPr>
              <w:t>Dignath et al. (2022)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88509AD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Training and interventions about inclusive education</w:t>
            </w:r>
          </w:p>
        </w:tc>
        <w:tc>
          <w:tcPr>
            <w:tcW w:w="37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2D0F6B5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i/>
                <w:sz w:val="20"/>
                <w:szCs w:val="20"/>
                <w:lang w:val="en-US"/>
              </w:rPr>
              <w:t>Beliefs about inclusive education</w:t>
            </w:r>
            <w:r w:rsidRPr="008A4804">
              <w:rPr>
                <w:rFonts w:cs="Times New Roman"/>
                <w:sz w:val="20"/>
                <w:szCs w:val="20"/>
                <w:lang w:val="en-US"/>
              </w:rPr>
              <w:t>:</w:t>
            </w:r>
          </w:p>
          <w:p w14:paraId="191D56A7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Cognitive appraisals</w:t>
            </w:r>
            <w:r w:rsidRPr="008A4804">
              <w:rPr>
                <w:rFonts w:cs="Times New Roman"/>
                <w:sz w:val="20"/>
                <w:szCs w:val="20"/>
                <w:lang w:val="en-US"/>
              </w:rPr>
              <w:br/>
              <w:t>Emotional appraisals</w:t>
            </w:r>
            <w:r w:rsidRPr="008A4804">
              <w:rPr>
                <w:rFonts w:cs="Times New Roman"/>
                <w:sz w:val="20"/>
                <w:szCs w:val="20"/>
                <w:lang w:val="en-US"/>
              </w:rPr>
              <w:br/>
              <w:t>Self-efficacy</w:t>
            </w:r>
          </w:p>
          <w:p w14:paraId="659554D2" w14:textId="225B06B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E3D8AD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22</w:t>
            </w:r>
          </w:p>
        </w:tc>
      </w:tr>
      <w:tr w:rsidR="0009004D" w:rsidRPr="008A4804" w14:paraId="0FF446B9" w14:textId="77777777" w:rsidTr="0009004D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6C71A11" w14:textId="116EF136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Basma </w:t>
            </w:r>
            <w:r w:rsidR="000B6ACD">
              <w:rPr>
                <w:rFonts w:cs="Times New Roman"/>
                <w:color w:val="000000"/>
                <w:sz w:val="20"/>
                <w:szCs w:val="20"/>
                <w:lang w:val="en-US"/>
              </w:rPr>
              <w:t>and</w:t>
            </w:r>
            <w:r w:rsidRPr="008A4804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Savage (2023)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60AC48E" w14:textId="401B7626" w:rsidR="0009004D" w:rsidRPr="008A4804" w:rsidRDefault="0009004D">
            <w:pPr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color w:val="000000"/>
                <w:sz w:val="20"/>
                <w:szCs w:val="20"/>
                <w:lang w:val="en-US"/>
              </w:rPr>
              <w:t>Teacher professional development</w:t>
            </w:r>
          </w:p>
          <w:p w14:paraId="2F3FD924" w14:textId="1591F2AD" w:rsidR="0009004D" w:rsidRPr="008A4804" w:rsidRDefault="0009004D">
            <w:pPr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7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F7A012F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Students’ reading achievement (S)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68C5060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14</w:t>
            </w:r>
          </w:p>
        </w:tc>
      </w:tr>
      <w:tr w:rsidR="0009004D" w:rsidRPr="008A4804" w14:paraId="064A75E9" w14:textId="77777777" w:rsidTr="0009004D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949E480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color w:val="000000"/>
                <w:sz w:val="20"/>
                <w:szCs w:val="20"/>
                <w:lang w:val="en-US"/>
              </w:rPr>
              <w:t>Didion et al. (2020)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BDA5DEE" w14:textId="78905662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Teacher professional development</w:t>
            </w:r>
          </w:p>
          <w:p w14:paraId="12CFCC4F" w14:textId="742A80E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7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8DDA2F4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Reading outcomes (S)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9C14394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28</w:t>
            </w:r>
          </w:p>
        </w:tc>
      </w:tr>
      <w:tr w:rsidR="0009004D" w:rsidRPr="008A4804" w14:paraId="541328EC" w14:textId="77777777" w:rsidTr="0009004D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19A29E8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color w:val="000000"/>
                <w:sz w:val="20"/>
                <w:szCs w:val="20"/>
                <w:lang w:val="en-US"/>
              </w:rPr>
              <w:t>Ansyari et al. (2022)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F566666" w14:textId="544EF1D9" w:rsidR="0009004D" w:rsidRPr="008A4804" w:rsidRDefault="0009004D">
            <w:pPr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color w:val="000000"/>
                <w:sz w:val="20"/>
                <w:szCs w:val="20"/>
                <w:lang w:val="en-US"/>
              </w:rPr>
              <w:t>Data use (professional development interventions)</w:t>
            </w:r>
          </w:p>
          <w:p w14:paraId="4246A750" w14:textId="22995E0C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7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B8D6F9F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Student outcomes (S)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FFEC25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17</w:t>
            </w:r>
          </w:p>
        </w:tc>
      </w:tr>
      <w:tr w:rsidR="0009004D" w:rsidRPr="008A4804" w14:paraId="69D45AAD" w14:textId="77777777" w:rsidTr="0009004D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E15CBB5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color w:val="000000"/>
                <w:sz w:val="20"/>
                <w:szCs w:val="20"/>
                <w:lang w:val="en-US"/>
              </w:rPr>
              <w:t>Zhang et al. (2023)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534E720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Interventions aiming at promoting teachers’ STEM perceptions</w:t>
            </w:r>
          </w:p>
        </w:tc>
        <w:tc>
          <w:tcPr>
            <w:tcW w:w="37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9938093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i/>
                <w:sz w:val="20"/>
                <w:szCs w:val="20"/>
                <w:lang w:val="en-US"/>
              </w:rPr>
              <w:t>Teachers‘ perceptions about STEM</w:t>
            </w:r>
            <w:r w:rsidRPr="008A4804">
              <w:rPr>
                <w:rFonts w:cs="Times New Roman"/>
                <w:sz w:val="20"/>
                <w:szCs w:val="20"/>
                <w:lang w:val="en-US"/>
              </w:rPr>
              <w:t>:</w:t>
            </w:r>
          </w:p>
          <w:p w14:paraId="5DC1DFFF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STEM knowledge (K)</w:t>
            </w:r>
            <w:r w:rsidRPr="008A4804">
              <w:rPr>
                <w:rFonts w:cs="Times New Roman"/>
                <w:sz w:val="20"/>
                <w:szCs w:val="20"/>
                <w:lang w:val="en-US"/>
              </w:rPr>
              <w:br/>
              <w:t>STEM instruction (B)</w:t>
            </w:r>
            <w:r w:rsidRPr="008A4804">
              <w:rPr>
                <w:rFonts w:cs="Times New Roman"/>
                <w:sz w:val="20"/>
                <w:szCs w:val="20"/>
                <w:lang w:val="en-US"/>
              </w:rPr>
              <w:br/>
              <w:t>STEM learning (S)</w:t>
            </w:r>
          </w:p>
          <w:p w14:paraId="2AB89252" w14:textId="6110D4D5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5D224A4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23</w:t>
            </w:r>
          </w:p>
        </w:tc>
      </w:tr>
      <w:tr w:rsidR="0009004D" w:rsidRPr="008A4804" w14:paraId="51573A95" w14:textId="77777777" w:rsidTr="0009004D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2A79A68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color w:val="000000"/>
                <w:sz w:val="20"/>
                <w:szCs w:val="20"/>
                <w:lang w:val="en-US"/>
              </w:rPr>
              <w:t>Zhou et al. (2023)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8F71A41" w14:textId="1D48701D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Teacher professional development training</w:t>
            </w:r>
          </w:p>
          <w:p w14:paraId="42DB4F6A" w14:textId="71BB13B3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7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28261DB" w14:textId="7C3A3BB0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STEM teacher self-efficacy (A)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EF11249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21</w:t>
            </w:r>
          </w:p>
        </w:tc>
      </w:tr>
      <w:tr w:rsidR="0009004D" w:rsidRPr="008A4804" w14:paraId="3646B65D" w14:textId="77777777" w:rsidTr="0009004D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A6F4B96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color w:val="000000"/>
                <w:sz w:val="20"/>
                <w:szCs w:val="20"/>
                <w:lang w:val="en-US"/>
              </w:rPr>
              <w:t>Oliveira et al. (2021)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CD7F506" w14:textId="7F01C4C6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Social and Emotional Skills Interventions to prevent/reduce burnout</w:t>
            </w:r>
          </w:p>
          <w:p w14:paraId="3AB36AB9" w14:textId="59E0B61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7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011FBA6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Teacher burnout (A)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CEFCAE0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13</w:t>
            </w:r>
          </w:p>
        </w:tc>
      </w:tr>
      <w:tr w:rsidR="0009004D" w:rsidRPr="008A4804" w14:paraId="4C289E76" w14:textId="77777777" w:rsidTr="0009004D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1CED019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color w:val="000000"/>
                <w:sz w:val="20"/>
                <w:szCs w:val="20"/>
                <w:lang w:val="en-US"/>
              </w:rPr>
              <w:t>Kraft et al. (2018)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6121F69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Teacher coaching</w:t>
            </w:r>
          </w:p>
        </w:tc>
        <w:tc>
          <w:tcPr>
            <w:tcW w:w="37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4BA7D6" w14:textId="01E6E1A2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Teacher instruction (B)</w:t>
            </w:r>
            <w:r w:rsidRPr="008A4804">
              <w:rPr>
                <w:rFonts w:cs="Times New Roman"/>
                <w:sz w:val="20"/>
                <w:szCs w:val="20"/>
                <w:lang w:val="en-US"/>
              </w:rPr>
              <w:br/>
              <w:t>Student achievement (S)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172620E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60</w:t>
            </w:r>
          </w:p>
        </w:tc>
      </w:tr>
      <w:tr w:rsidR="0009004D" w:rsidRPr="008A4804" w14:paraId="4BC98151" w14:textId="77777777" w:rsidTr="0009004D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D53E1F8" w14:textId="24D3D70D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Smith </w:t>
            </w:r>
            <w:r w:rsidR="000B6ACD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and </w:t>
            </w:r>
            <w:r w:rsidRPr="008A4804">
              <w:rPr>
                <w:rFonts w:cs="Times New Roman"/>
                <w:color w:val="000000"/>
                <w:sz w:val="20"/>
                <w:szCs w:val="20"/>
                <w:lang w:val="en-US"/>
              </w:rPr>
              <w:t>Sheridan (2019)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610BD6A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Teacher-training programs</w:t>
            </w:r>
          </w:p>
        </w:tc>
        <w:tc>
          <w:tcPr>
            <w:tcW w:w="37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3F4892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Knowledge about family engagement (K)</w:t>
            </w:r>
          </w:p>
          <w:p w14:paraId="75D00AA9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Attitudes toward family engagement (A)</w:t>
            </w:r>
          </w:p>
          <w:p w14:paraId="4935FEE3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Family engagement practices (B)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780304B" w14:textId="77777777" w:rsidR="0009004D" w:rsidRPr="008A4804" w:rsidRDefault="0009004D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A4804">
              <w:rPr>
                <w:rFonts w:cs="Times New Roman"/>
                <w:sz w:val="20"/>
                <w:szCs w:val="20"/>
                <w:lang w:val="en-US"/>
              </w:rPr>
              <w:t>39</w:t>
            </w:r>
          </w:p>
        </w:tc>
      </w:tr>
    </w:tbl>
    <w:p w14:paraId="0C72D2A0" w14:textId="77777777" w:rsidR="0009004D" w:rsidRPr="0009004D" w:rsidRDefault="0009004D" w:rsidP="0009004D">
      <w:pPr>
        <w:rPr>
          <w:rFonts w:asciiTheme="minorHAnsi" w:hAnsiTheme="minorHAnsi"/>
          <w:lang w:val="en-US"/>
        </w:rPr>
      </w:pPr>
      <w:r w:rsidRPr="0009004D">
        <w:rPr>
          <w:i/>
          <w:lang w:val="en-US"/>
        </w:rPr>
        <w:t>Note</w:t>
      </w:r>
      <w:r w:rsidRPr="0009004D">
        <w:rPr>
          <w:lang w:val="en-US"/>
        </w:rPr>
        <w:t xml:space="preserve">. (K) = knowledge, (A) = attitudes/beliefs/affect, (B) = behavior, (S) = student achievement </w:t>
      </w:r>
    </w:p>
    <w:p w14:paraId="0C5BBAB1" w14:textId="7B3A353F" w:rsidR="0009004D" w:rsidRDefault="0009004D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br w:type="page"/>
      </w:r>
    </w:p>
    <w:p w14:paraId="03199D1D" w14:textId="7B862D98" w:rsidR="0009004D" w:rsidRDefault="00037032">
      <w:pPr>
        <w:rPr>
          <w:b/>
          <w:bCs/>
          <w:color w:val="000000" w:themeColor="text1"/>
          <w:lang w:val="en-US"/>
        </w:rPr>
      </w:pPr>
      <w:r w:rsidRPr="00037032">
        <w:rPr>
          <w:b/>
          <w:bCs/>
          <w:color w:val="000000" w:themeColor="text1"/>
          <w:lang w:val="en-US"/>
        </w:rPr>
        <w:lastRenderedPageBreak/>
        <w:t>Investigation of publication bias</w:t>
      </w:r>
    </w:p>
    <w:p w14:paraId="65901135" w14:textId="25560AE1" w:rsidR="00037032" w:rsidRDefault="00037032">
      <w:pPr>
        <w:rPr>
          <w:bCs/>
          <w:i/>
          <w:color w:val="000000" w:themeColor="text1"/>
          <w:lang w:val="en-US"/>
        </w:rPr>
      </w:pPr>
      <w:r w:rsidRPr="00037032">
        <w:rPr>
          <w:bCs/>
          <w:i/>
          <w:color w:val="000000" w:themeColor="text1"/>
          <w:lang w:val="en-US"/>
        </w:rPr>
        <w:t>Method</w:t>
      </w:r>
    </w:p>
    <w:p w14:paraId="7B9576AB" w14:textId="6F06FE1A" w:rsidR="00037032" w:rsidRDefault="00037032" w:rsidP="00037032">
      <w:pPr>
        <w:rPr>
          <w:lang w:val="en-US"/>
        </w:rPr>
      </w:pPr>
      <w:r>
        <w:rPr>
          <w:lang w:val="en-US"/>
        </w:rPr>
        <w:t>T</w:t>
      </w:r>
      <w:r w:rsidRPr="00E12B4B">
        <w:rPr>
          <w:lang w:val="en-US"/>
        </w:rPr>
        <w:t xml:space="preserve">he risk of bias in the results due to publication bias was assessed through visual inspection of funnel plots. Additionally, the Fail-Safe-N method </w:t>
      </w:r>
      <w:r>
        <w:rPr>
          <w:lang w:val="en-US"/>
        </w:rPr>
        <w:t>following</w:t>
      </w:r>
      <w:r w:rsidRPr="00E12B4B">
        <w:rPr>
          <w:lang w:val="en-US"/>
        </w:rPr>
        <w:t xml:space="preserve"> Orwin</w:t>
      </w:r>
      <w:r>
        <w:rPr>
          <w:lang w:val="en-US"/>
        </w:rPr>
        <w:t xml:space="preserve"> (1983)</w:t>
      </w:r>
      <w:r w:rsidRPr="00E12B4B">
        <w:rPr>
          <w:lang w:val="en-US"/>
        </w:rPr>
        <w:t xml:space="preserve"> was used to determine how many unpublished </w:t>
      </w:r>
      <w:r>
        <w:rPr>
          <w:lang w:val="en-US"/>
        </w:rPr>
        <w:t>meta</w:t>
      </w:r>
      <w:r w:rsidR="00A21FEB">
        <w:rPr>
          <w:lang w:val="en-US"/>
        </w:rPr>
        <w:t>-a</w:t>
      </w:r>
      <w:r>
        <w:rPr>
          <w:lang w:val="en-US"/>
        </w:rPr>
        <w:t xml:space="preserve">nalyses </w:t>
      </w:r>
      <w:r w:rsidRPr="00E12B4B">
        <w:rPr>
          <w:lang w:val="en-US"/>
        </w:rPr>
        <w:t xml:space="preserve">with null effects would be necessary to reduce the observed effect size to </w:t>
      </w:r>
      <w:r w:rsidRPr="00E12B4B">
        <w:rPr>
          <w:rFonts w:ascii="Cambria Math" w:hAnsi="Cambria Math" w:cs="Cambria Math"/>
          <w:i/>
          <w:lang w:val="en-US"/>
        </w:rPr>
        <w:t>g</w:t>
      </w:r>
      <w:r>
        <w:rPr>
          <w:rFonts w:ascii="Cambria Math" w:hAnsi="Cambria Math" w:cs="Cambria Math"/>
          <w:lang w:val="en-US"/>
        </w:rPr>
        <w:t xml:space="preserve"> </w:t>
      </w:r>
      <w:r w:rsidRPr="00E12B4B">
        <w:rPr>
          <w:lang w:val="en-US"/>
        </w:rPr>
        <w:t>=</w:t>
      </w:r>
      <w:r>
        <w:rPr>
          <w:lang w:val="en-US"/>
        </w:rPr>
        <w:t xml:space="preserve"> </w:t>
      </w:r>
      <w:r w:rsidRPr="00E12B4B">
        <w:rPr>
          <w:lang w:val="en-US"/>
        </w:rPr>
        <w:t>0.10</w:t>
      </w:r>
      <w:r>
        <w:rPr>
          <w:lang w:val="en-US"/>
        </w:rPr>
        <w:t xml:space="preserve">. </w:t>
      </w:r>
    </w:p>
    <w:p w14:paraId="70EC0F76" w14:textId="6E360775" w:rsidR="00037032" w:rsidRDefault="00037032">
      <w:pPr>
        <w:rPr>
          <w:bCs/>
          <w:i/>
          <w:color w:val="000000" w:themeColor="text1"/>
          <w:lang w:val="en-US"/>
        </w:rPr>
      </w:pPr>
      <w:r>
        <w:rPr>
          <w:bCs/>
          <w:i/>
          <w:color w:val="000000" w:themeColor="text1"/>
          <w:lang w:val="en-US"/>
        </w:rPr>
        <w:t>Results</w:t>
      </w:r>
    </w:p>
    <w:p w14:paraId="197E9173" w14:textId="1D126C19" w:rsidR="00037032" w:rsidRDefault="00037032" w:rsidP="00037032">
      <w:pPr>
        <w:rPr>
          <w:lang w:val="en-US"/>
        </w:rPr>
      </w:pPr>
      <w:r w:rsidRPr="001164A9">
        <w:rPr>
          <w:lang w:val="en-US"/>
        </w:rPr>
        <w:t>For all conducted meta-analyses, asymmetries in the distribution are evident</w:t>
      </w:r>
      <w:r>
        <w:rPr>
          <w:lang w:val="en-US"/>
        </w:rPr>
        <w:t xml:space="preserve"> (see Figures S1–S5)</w:t>
      </w:r>
      <w:r w:rsidRPr="001164A9">
        <w:rPr>
          <w:lang w:val="en-US"/>
        </w:rPr>
        <w:t>. Particularly, it is clear from the overall effect that studies with lower precision or smaller sample sizes report higher effect sizes compared to studies with higher precision. This could suggest that meta-analyses with relatively low precision, which report smaller effect sizes, may not be published or may not appear in peer-reviewed journals.</w:t>
      </w:r>
    </w:p>
    <w:p w14:paraId="279EAC5D" w14:textId="12C6A1BA" w:rsidR="00037032" w:rsidRPr="005603C3" w:rsidRDefault="00037032" w:rsidP="00037032">
      <w:pPr>
        <w:rPr>
          <w:lang w:val="en-US"/>
        </w:rPr>
      </w:pPr>
      <w:r w:rsidRPr="005603C3">
        <w:rPr>
          <w:lang w:val="en-US"/>
        </w:rPr>
        <w:t xml:space="preserve">In contrast, the Fail-Safe-N analysis suggests a relative stability of the results. To reduce the effect size to </w:t>
      </w:r>
      <w:r w:rsidRPr="005603C3">
        <w:rPr>
          <w:i/>
          <w:lang w:val="en-US"/>
        </w:rPr>
        <w:t>g</w:t>
      </w:r>
      <w:r>
        <w:rPr>
          <w:lang w:val="en-US"/>
        </w:rPr>
        <w:t xml:space="preserve"> </w:t>
      </w:r>
      <w:r w:rsidRPr="005603C3">
        <w:rPr>
          <w:lang w:val="en-US"/>
        </w:rPr>
        <w:t>=</w:t>
      </w:r>
      <w:r>
        <w:rPr>
          <w:lang w:val="en-US"/>
        </w:rPr>
        <w:t xml:space="preserve"> </w:t>
      </w:r>
      <w:r w:rsidRPr="005603C3">
        <w:rPr>
          <w:lang w:val="en-US"/>
        </w:rPr>
        <w:t xml:space="preserve">0.10, between 7 and 60 unpublished meta-analyses with null effects would be required (overall: 60; knowledge: 39; </w:t>
      </w:r>
      <w:r>
        <w:rPr>
          <w:lang w:val="en-US"/>
        </w:rPr>
        <w:t>beliefs</w:t>
      </w:r>
      <w:r w:rsidRPr="005603C3">
        <w:rPr>
          <w:lang w:val="en-US"/>
        </w:rPr>
        <w:t>/</w:t>
      </w:r>
      <w:r>
        <w:rPr>
          <w:lang w:val="en-US"/>
        </w:rPr>
        <w:t>attitudes/affect</w:t>
      </w:r>
      <w:r w:rsidRPr="005603C3">
        <w:rPr>
          <w:lang w:val="en-US"/>
        </w:rPr>
        <w:t>: 21; behavior</w:t>
      </w:r>
      <w:r>
        <w:rPr>
          <w:lang w:val="en-US"/>
        </w:rPr>
        <w:t>/instruction/practice</w:t>
      </w:r>
      <w:r w:rsidRPr="005603C3">
        <w:rPr>
          <w:lang w:val="en-US"/>
        </w:rPr>
        <w:t xml:space="preserve">: 27; student </w:t>
      </w:r>
      <w:r>
        <w:rPr>
          <w:lang w:val="en-US"/>
        </w:rPr>
        <w:t>learning</w:t>
      </w:r>
      <w:r w:rsidRPr="005603C3">
        <w:rPr>
          <w:lang w:val="en-US"/>
        </w:rPr>
        <w:t>: 7).</w:t>
      </w:r>
    </w:p>
    <w:p w14:paraId="0D473F7C" w14:textId="77777777" w:rsidR="00037032" w:rsidRPr="005603C3" w:rsidRDefault="00037032" w:rsidP="00037032">
      <w:pPr>
        <w:rPr>
          <w:i/>
          <w:lang w:val="en-US"/>
        </w:rPr>
      </w:pPr>
      <w:r w:rsidRPr="005603C3">
        <w:rPr>
          <w:i/>
          <w:lang w:val="en-US"/>
        </w:rPr>
        <w:t xml:space="preserve">References </w:t>
      </w:r>
    </w:p>
    <w:p w14:paraId="015B2768" w14:textId="1AEC537C" w:rsidR="00037032" w:rsidRDefault="00037032" w:rsidP="00037032">
      <w:r w:rsidRPr="00E12B4B">
        <w:rPr>
          <w:lang w:val="en-US"/>
        </w:rPr>
        <w:t xml:space="preserve">Orwin, R. G. (1983). A fail-safe n for effect size in meta-analysis. </w:t>
      </w:r>
      <w:r w:rsidRPr="00E12B4B">
        <w:rPr>
          <w:i/>
        </w:rPr>
        <w:t xml:space="preserve">Journal </w:t>
      </w:r>
      <w:proofErr w:type="spellStart"/>
      <w:r w:rsidRPr="00E12B4B">
        <w:rPr>
          <w:i/>
        </w:rPr>
        <w:t>of</w:t>
      </w:r>
      <w:proofErr w:type="spellEnd"/>
      <w:r w:rsidRPr="00E12B4B">
        <w:rPr>
          <w:i/>
        </w:rPr>
        <w:t xml:space="preserve"> Educational </w:t>
      </w:r>
      <w:proofErr w:type="spellStart"/>
      <w:r w:rsidRPr="00E12B4B">
        <w:rPr>
          <w:i/>
        </w:rPr>
        <w:t>Statistics</w:t>
      </w:r>
      <w:proofErr w:type="spellEnd"/>
      <w:r w:rsidRPr="00E12B4B">
        <w:t xml:space="preserve">, </w:t>
      </w:r>
      <w:r w:rsidRPr="00302662">
        <w:rPr>
          <w:i/>
          <w:iCs/>
        </w:rPr>
        <w:t>8</w:t>
      </w:r>
      <w:r w:rsidRPr="00E12B4B">
        <w:t>, 157</w:t>
      </w:r>
      <w:r w:rsidR="00302662">
        <w:t>-</w:t>
      </w:r>
      <w:r w:rsidRPr="00E12B4B">
        <w:t>159.</w:t>
      </w:r>
      <w:r w:rsidR="00302662">
        <w:t xml:space="preserve"> </w:t>
      </w:r>
      <w:hyperlink r:id="rId6" w:history="1">
        <w:r w:rsidR="00302662" w:rsidRPr="00302662">
          <w:rPr>
            <w:rStyle w:val="Hyperlink"/>
          </w:rPr>
          <w:t>https://doi.org/10.3102/10769986008002157</w:t>
        </w:r>
      </w:hyperlink>
    </w:p>
    <w:p w14:paraId="1A39113E" w14:textId="77777777" w:rsidR="00037032" w:rsidRPr="00E12B4B" w:rsidRDefault="00037032" w:rsidP="00037032"/>
    <w:p w14:paraId="29C907CB" w14:textId="7FFF5052" w:rsidR="00037032" w:rsidRDefault="00037032">
      <w:pPr>
        <w:rPr>
          <w:bCs/>
          <w:i/>
          <w:color w:val="000000" w:themeColor="text1"/>
          <w:lang w:val="en-US"/>
        </w:rPr>
      </w:pPr>
      <w:r>
        <w:rPr>
          <w:bCs/>
          <w:noProof/>
          <w:color w:val="000000" w:themeColor="text1"/>
          <w:lang w:eastAsia="de-DE"/>
        </w:rPr>
        <w:drawing>
          <wp:inline distT="0" distB="0" distL="0" distR="0" wp14:anchorId="769F863C" wp14:editId="21AC3A73">
            <wp:extent cx="5754370" cy="343662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944A4" w14:textId="7887C625" w:rsidR="00037032" w:rsidRPr="00037032" w:rsidRDefault="00037032">
      <w:pPr>
        <w:rPr>
          <w:b/>
          <w:bCs/>
          <w:color w:val="000000" w:themeColor="text1"/>
          <w:lang w:val="en-US"/>
        </w:rPr>
      </w:pPr>
      <w:r w:rsidRPr="00037032">
        <w:rPr>
          <w:b/>
          <w:bCs/>
          <w:color w:val="000000" w:themeColor="text1"/>
          <w:lang w:val="en-US"/>
        </w:rPr>
        <w:t xml:space="preserve">Figure </w:t>
      </w:r>
      <w:r>
        <w:rPr>
          <w:b/>
          <w:bCs/>
          <w:color w:val="000000" w:themeColor="text1"/>
          <w:lang w:val="en-US"/>
        </w:rPr>
        <w:t>S</w:t>
      </w:r>
      <w:r w:rsidRPr="00037032">
        <w:rPr>
          <w:b/>
          <w:bCs/>
          <w:color w:val="000000" w:themeColor="text1"/>
          <w:lang w:val="en-US"/>
        </w:rPr>
        <w:t>1: Funnel plot of the overall effect</w:t>
      </w:r>
    </w:p>
    <w:p w14:paraId="4330B7F3" w14:textId="61CDC430" w:rsidR="00037032" w:rsidRDefault="00037032">
      <w:pPr>
        <w:rPr>
          <w:bCs/>
          <w:color w:val="000000" w:themeColor="text1"/>
          <w:lang w:val="en-US"/>
        </w:rPr>
      </w:pPr>
      <w:r>
        <w:rPr>
          <w:bCs/>
          <w:noProof/>
          <w:color w:val="000000" w:themeColor="text1"/>
          <w:lang w:eastAsia="de-DE"/>
        </w:rPr>
        <w:lastRenderedPageBreak/>
        <w:drawing>
          <wp:inline distT="0" distB="0" distL="0" distR="0" wp14:anchorId="36C28F1E" wp14:editId="297FAA12">
            <wp:extent cx="5754370" cy="343662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023D2" w14:textId="0BC97F91" w:rsidR="00037032" w:rsidRPr="00037032" w:rsidRDefault="00037032" w:rsidP="00037032">
      <w:pPr>
        <w:rPr>
          <w:b/>
          <w:bCs/>
          <w:color w:val="000000" w:themeColor="text1"/>
          <w:lang w:val="en-US"/>
        </w:rPr>
      </w:pPr>
      <w:r w:rsidRPr="00037032">
        <w:rPr>
          <w:b/>
          <w:bCs/>
          <w:color w:val="000000" w:themeColor="text1"/>
          <w:lang w:val="en-US"/>
        </w:rPr>
        <w:t xml:space="preserve">Figure </w:t>
      </w:r>
      <w:r>
        <w:rPr>
          <w:b/>
          <w:bCs/>
          <w:color w:val="000000" w:themeColor="text1"/>
          <w:lang w:val="en-US"/>
        </w:rPr>
        <w:t>S2</w:t>
      </w:r>
      <w:r w:rsidRPr="00037032">
        <w:rPr>
          <w:b/>
          <w:bCs/>
          <w:color w:val="000000" w:themeColor="text1"/>
          <w:lang w:val="en-US"/>
        </w:rPr>
        <w:t xml:space="preserve">: Funnel plot of </w:t>
      </w:r>
      <w:r>
        <w:rPr>
          <w:b/>
          <w:bCs/>
          <w:color w:val="000000" w:themeColor="text1"/>
          <w:lang w:val="en-US"/>
        </w:rPr>
        <w:t>intervention effects on knowledge</w:t>
      </w:r>
    </w:p>
    <w:p w14:paraId="2DEC49C5" w14:textId="77777777" w:rsidR="00037032" w:rsidRDefault="00037032">
      <w:pPr>
        <w:rPr>
          <w:bCs/>
          <w:color w:val="000000" w:themeColor="text1"/>
          <w:lang w:val="en-US"/>
        </w:rPr>
      </w:pPr>
    </w:p>
    <w:p w14:paraId="2049CBF2" w14:textId="48DE2ED5" w:rsidR="00037032" w:rsidRDefault="00037032">
      <w:pPr>
        <w:rPr>
          <w:bCs/>
          <w:color w:val="000000" w:themeColor="text1"/>
          <w:lang w:val="en-US"/>
        </w:rPr>
      </w:pPr>
      <w:r>
        <w:rPr>
          <w:bCs/>
          <w:noProof/>
          <w:color w:val="000000" w:themeColor="text1"/>
          <w:lang w:eastAsia="de-DE"/>
        </w:rPr>
        <w:drawing>
          <wp:inline distT="0" distB="0" distL="0" distR="0" wp14:anchorId="61C091F0" wp14:editId="05C674E8">
            <wp:extent cx="5754370" cy="343662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94C89" w14:textId="4C2F968C" w:rsidR="00037032" w:rsidRPr="00037032" w:rsidRDefault="00037032" w:rsidP="00037032">
      <w:pPr>
        <w:rPr>
          <w:b/>
          <w:bCs/>
          <w:color w:val="000000" w:themeColor="text1"/>
          <w:lang w:val="en-US"/>
        </w:rPr>
      </w:pPr>
      <w:r w:rsidRPr="00037032">
        <w:rPr>
          <w:b/>
          <w:bCs/>
          <w:color w:val="000000" w:themeColor="text1"/>
          <w:lang w:val="en-US"/>
        </w:rPr>
        <w:t xml:space="preserve">Figure </w:t>
      </w:r>
      <w:r>
        <w:rPr>
          <w:b/>
          <w:bCs/>
          <w:color w:val="000000" w:themeColor="text1"/>
          <w:lang w:val="en-US"/>
        </w:rPr>
        <w:t>S3</w:t>
      </w:r>
      <w:r w:rsidRPr="00037032">
        <w:rPr>
          <w:b/>
          <w:bCs/>
          <w:color w:val="000000" w:themeColor="text1"/>
          <w:lang w:val="en-US"/>
        </w:rPr>
        <w:t xml:space="preserve">: Funnel plot of </w:t>
      </w:r>
      <w:r>
        <w:rPr>
          <w:b/>
          <w:bCs/>
          <w:color w:val="000000" w:themeColor="text1"/>
          <w:lang w:val="en-US"/>
        </w:rPr>
        <w:t>intervention effects on beliefs, attitudes, and affect</w:t>
      </w:r>
    </w:p>
    <w:p w14:paraId="0EB76E42" w14:textId="3F01E495" w:rsidR="00037032" w:rsidRDefault="00037032">
      <w:pPr>
        <w:rPr>
          <w:bCs/>
          <w:color w:val="000000" w:themeColor="text1"/>
          <w:lang w:val="en-US"/>
        </w:rPr>
      </w:pPr>
    </w:p>
    <w:p w14:paraId="46AAF12F" w14:textId="7DDA63D5" w:rsidR="00037032" w:rsidRDefault="00037032">
      <w:pPr>
        <w:rPr>
          <w:bCs/>
          <w:color w:val="000000" w:themeColor="text1"/>
          <w:lang w:val="en-US"/>
        </w:rPr>
      </w:pPr>
      <w:r>
        <w:rPr>
          <w:bCs/>
          <w:noProof/>
          <w:color w:val="000000" w:themeColor="text1"/>
          <w:lang w:eastAsia="de-DE"/>
        </w:rPr>
        <w:lastRenderedPageBreak/>
        <w:drawing>
          <wp:inline distT="0" distB="0" distL="0" distR="0" wp14:anchorId="4DFF3F83" wp14:editId="0CB48E5E">
            <wp:extent cx="5754370" cy="343662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4D363" w14:textId="58AF4D87" w:rsidR="00037032" w:rsidRPr="00037032" w:rsidRDefault="00037032" w:rsidP="00037032">
      <w:pPr>
        <w:rPr>
          <w:b/>
          <w:bCs/>
          <w:color w:val="000000" w:themeColor="text1"/>
          <w:lang w:val="en-US"/>
        </w:rPr>
      </w:pPr>
      <w:r w:rsidRPr="00037032">
        <w:rPr>
          <w:b/>
          <w:bCs/>
          <w:color w:val="000000" w:themeColor="text1"/>
          <w:lang w:val="en-US"/>
        </w:rPr>
        <w:t xml:space="preserve">Figure </w:t>
      </w:r>
      <w:r>
        <w:rPr>
          <w:b/>
          <w:bCs/>
          <w:color w:val="000000" w:themeColor="text1"/>
          <w:lang w:val="en-US"/>
        </w:rPr>
        <w:t>S4</w:t>
      </w:r>
      <w:r w:rsidRPr="00037032">
        <w:rPr>
          <w:b/>
          <w:bCs/>
          <w:color w:val="000000" w:themeColor="text1"/>
          <w:lang w:val="en-US"/>
        </w:rPr>
        <w:t xml:space="preserve">: Funnel plot of </w:t>
      </w:r>
      <w:r>
        <w:rPr>
          <w:b/>
          <w:bCs/>
          <w:color w:val="000000" w:themeColor="text1"/>
          <w:lang w:val="en-US"/>
        </w:rPr>
        <w:t>intervention effects on behavior, instructional quality, and practice</w:t>
      </w:r>
    </w:p>
    <w:p w14:paraId="3E34DE76" w14:textId="77777777" w:rsidR="00037032" w:rsidRDefault="00037032">
      <w:pPr>
        <w:rPr>
          <w:bCs/>
          <w:color w:val="000000" w:themeColor="text1"/>
          <w:lang w:val="en-US"/>
        </w:rPr>
      </w:pPr>
    </w:p>
    <w:p w14:paraId="5E735E07" w14:textId="593CF81F" w:rsidR="00037032" w:rsidRDefault="00037032">
      <w:pPr>
        <w:rPr>
          <w:bCs/>
          <w:color w:val="000000" w:themeColor="text1"/>
          <w:lang w:val="en-US"/>
        </w:rPr>
      </w:pPr>
      <w:r>
        <w:rPr>
          <w:bCs/>
          <w:noProof/>
          <w:color w:val="000000" w:themeColor="text1"/>
          <w:lang w:eastAsia="de-DE"/>
        </w:rPr>
        <w:drawing>
          <wp:inline distT="0" distB="0" distL="0" distR="0" wp14:anchorId="6A5A960E" wp14:editId="2380511D">
            <wp:extent cx="5754370" cy="343662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7A4F7" w14:textId="583E179F" w:rsidR="00037032" w:rsidRPr="00037032" w:rsidRDefault="00037032">
      <w:pPr>
        <w:rPr>
          <w:b/>
          <w:bCs/>
          <w:color w:val="000000" w:themeColor="text1"/>
          <w:lang w:val="en-US"/>
        </w:rPr>
      </w:pPr>
      <w:r w:rsidRPr="00037032">
        <w:rPr>
          <w:b/>
          <w:bCs/>
          <w:color w:val="000000" w:themeColor="text1"/>
          <w:lang w:val="en-US"/>
        </w:rPr>
        <w:t xml:space="preserve">Figure </w:t>
      </w:r>
      <w:r>
        <w:rPr>
          <w:b/>
          <w:bCs/>
          <w:color w:val="000000" w:themeColor="text1"/>
          <w:lang w:val="en-US"/>
        </w:rPr>
        <w:t>S5</w:t>
      </w:r>
      <w:r w:rsidRPr="00037032">
        <w:rPr>
          <w:b/>
          <w:bCs/>
          <w:color w:val="000000" w:themeColor="text1"/>
          <w:lang w:val="en-US"/>
        </w:rPr>
        <w:t xml:space="preserve">: Funnel plot of </w:t>
      </w:r>
      <w:r>
        <w:rPr>
          <w:b/>
          <w:bCs/>
          <w:color w:val="000000" w:themeColor="text1"/>
          <w:lang w:val="en-US"/>
        </w:rPr>
        <w:t>intervention effects on student learning</w:t>
      </w:r>
    </w:p>
    <w:sectPr w:rsidR="00037032" w:rsidRPr="00037032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1B65F" w14:textId="77777777" w:rsidR="00DE47F4" w:rsidRDefault="00DE47F4" w:rsidP="0009004D">
      <w:pPr>
        <w:spacing w:after="0" w:line="240" w:lineRule="auto"/>
      </w:pPr>
      <w:r>
        <w:separator/>
      </w:r>
    </w:p>
  </w:endnote>
  <w:endnote w:type="continuationSeparator" w:id="0">
    <w:p w14:paraId="10363BA0" w14:textId="77777777" w:rsidR="00DE47F4" w:rsidRDefault="00DE47F4" w:rsidP="00090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8475178"/>
      <w:docPartObj>
        <w:docPartGallery w:val="Page Numbers (Bottom of Page)"/>
        <w:docPartUnique/>
      </w:docPartObj>
    </w:sdtPr>
    <w:sdtContent>
      <w:p w14:paraId="60E26696" w14:textId="174FDA02" w:rsidR="008A4804" w:rsidRDefault="008A480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9F1DE4D" w14:textId="77777777" w:rsidR="0009004D" w:rsidRDefault="000900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E65AC" w14:textId="77777777" w:rsidR="00DE47F4" w:rsidRDefault="00DE47F4" w:rsidP="0009004D">
      <w:pPr>
        <w:spacing w:after="0" w:line="240" w:lineRule="auto"/>
      </w:pPr>
      <w:r>
        <w:separator/>
      </w:r>
    </w:p>
  </w:footnote>
  <w:footnote w:type="continuationSeparator" w:id="0">
    <w:p w14:paraId="07991149" w14:textId="77777777" w:rsidR="00DE47F4" w:rsidRDefault="00DE47F4" w:rsidP="000900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ABB"/>
    <w:rsid w:val="00037032"/>
    <w:rsid w:val="000534FB"/>
    <w:rsid w:val="0009004D"/>
    <w:rsid w:val="000B6ACD"/>
    <w:rsid w:val="00302662"/>
    <w:rsid w:val="00403E92"/>
    <w:rsid w:val="005335A8"/>
    <w:rsid w:val="005A0ABB"/>
    <w:rsid w:val="006247CE"/>
    <w:rsid w:val="00653D90"/>
    <w:rsid w:val="00653F01"/>
    <w:rsid w:val="006A01FC"/>
    <w:rsid w:val="007E66EA"/>
    <w:rsid w:val="00822BF6"/>
    <w:rsid w:val="0086146A"/>
    <w:rsid w:val="008A4804"/>
    <w:rsid w:val="00A21FEB"/>
    <w:rsid w:val="00B62246"/>
    <w:rsid w:val="00D238E8"/>
    <w:rsid w:val="00DA3F70"/>
    <w:rsid w:val="00DE47F4"/>
    <w:rsid w:val="00DF2E82"/>
    <w:rsid w:val="00E97C62"/>
    <w:rsid w:val="00EB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9365F"/>
  <w15:chartTrackingRefBased/>
  <w15:docId w15:val="{D1DC91BD-F9AE-40A5-BB72-A2808C809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7032"/>
    <w:rPr>
      <w:rFonts w:ascii="Times New Roman" w:hAnsi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90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004D"/>
  </w:style>
  <w:style w:type="paragraph" w:styleId="Fuzeile">
    <w:name w:val="footer"/>
    <w:basedOn w:val="Standard"/>
    <w:link w:val="FuzeileZchn"/>
    <w:uiPriority w:val="99"/>
    <w:unhideWhenUsed/>
    <w:rsid w:val="00090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004D"/>
  </w:style>
  <w:style w:type="table" w:styleId="Tabellenraster">
    <w:name w:val="Table Grid"/>
    <w:basedOn w:val="NormaleTabelle"/>
    <w:uiPriority w:val="39"/>
    <w:rsid w:val="0009004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0266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2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4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102/10769986008002157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531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Weyers</dc:creator>
  <cp:keywords/>
  <dc:description/>
  <cp:lastModifiedBy>Christin Güldemund</cp:lastModifiedBy>
  <cp:revision>3</cp:revision>
  <dcterms:created xsi:type="dcterms:W3CDTF">2025-06-11T15:02:00Z</dcterms:created>
  <dcterms:modified xsi:type="dcterms:W3CDTF">2025-06-11T15:05:00Z</dcterms:modified>
</cp:coreProperties>
</file>