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B5" w:rsidRPr="006A199E" w:rsidRDefault="003E16B5" w:rsidP="00414C88">
      <w:pPr>
        <w:spacing w:after="0" w:line="480" w:lineRule="auto"/>
        <w:jc w:val="both"/>
        <w:rPr>
          <w:rFonts w:asciiTheme="majorHAnsi" w:hAnsiTheme="majorHAnsi"/>
          <w:b/>
          <w:bCs/>
          <w:sz w:val="32"/>
          <w:szCs w:val="32"/>
        </w:rPr>
      </w:pPr>
      <w:r w:rsidRPr="006A199E">
        <w:rPr>
          <w:rFonts w:asciiTheme="majorHAnsi" w:hAnsiTheme="majorHAnsi"/>
          <w:b/>
          <w:bCs/>
          <w:sz w:val="32"/>
          <w:szCs w:val="32"/>
        </w:rPr>
        <w:t>Appendices</w:t>
      </w:r>
    </w:p>
    <w:p w:rsidR="00987049" w:rsidRPr="006A199E" w:rsidRDefault="00987049" w:rsidP="003E16B5">
      <w:pPr>
        <w:spacing w:after="0" w:line="480" w:lineRule="auto"/>
        <w:jc w:val="both"/>
        <w:rPr>
          <w:rFonts w:asciiTheme="majorHAnsi" w:hAnsiTheme="majorHAnsi"/>
          <w:b/>
          <w:bCs/>
          <w:sz w:val="24"/>
          <w:szCs w:val="24"/>
        </w:rPr>
      </w:pPr>
      <w:r w:rsidRPr="006A199E">
        <w:rPr>
          <w:rFonts w:asciiTheme="majorHAnsi" w:hAnsiTheme="majorHAnsi"/>
          <w:b/>
          <w:bCs/>
          <w:sz w:val="24"/>
          <w:szCs w:val="24"/>
        </w:rPr>
        <w:t>Appendix</w:t>
      </w:r>
      <w:r w:rsidR="003E16B5" w:rsidRPr="006A199E">
        <w:rPr>
          <w:rFonts w:asciiTheme="majorHAnsi" w:hAnsiTheme="majorHAnsi"/>
          <w:b/>
          <w:bCs/>
          <w:sz w:val="24"/>
          <w:szCs w:val="24"/>
        </w:rPr>
        <w:t xml:space="preserve"> I: </w:t>
      </w:r>
      <w:r w:rsidRPr="006A199E">
        <w:rPr>
          <w:rFonts w:asciiTheme="majorHAnsi" w:hAnsiTheme="majorHAnsi"/>
          <w:b/>
          <w:bCs/>
          <w:sz w:val="24"/>
          <w:szCs w:val="24"/>
        </w:rPr>
        <w:t xml:space="preserve">Extraction </w:t>
      </w:r>
      <w:r w:rsidR="003E16B5" w:rsidRPr="006A199E">
        <w:rPr>
          <w:rFonts w:asciiTheme="majorHAnsi" w:hAnsiTheme="majorHAnsi"/>
          <w:b/>
          <w:bCs/>
          <w:sz w:val="24"/>
          <w:szCs w:val="24"/>
        </w:rPr>
        <w:t xml:space="preserve">and accuracy assessment </w:t>
      </w:r>
      <w:r w:rsidRPr="006A199E">
        <w:rPr>
          <w:rFonts w:asciiTheme="majorHAnsi" w:hAnsiTheme="majorHAnsi"/>
          <w:b/>
          <w:bCs/>
          <w:sz w:val="24"/>
          <w:szCs w:val="24"/>
        </w:rPr>
        <w:t>of environmental controls</w:t>
      </w:r>
    </w:p>
    <w:p w:rsidR="006E1FBE" w:rsidRPr="006A199E" w:rsidRDefault="00414C88" w:rsidP="008073DB">
      <w:pPr>
        <w:spacing w:after="0" w:line="480" w:lineRule="auto"/>
        <w:jc w:val="both"/>
        <w:rPr>
          <w:rFonts w:asciiTheme="majorHAnsi" w:hAnsiTheme="majorHAnsi"/>
          <w:sz w:val="24"/>
          <w:szCs w:val="24"/>
        </w:rPr>
      </w:pPr>
      <w:r w:rsidRPr="006A199E">
        <w:rPr>
          <w:rFonts w:asciiTheme="majorHAnsi" w:hAnsiTheme="majorHAnsi"/>
          <w:sz w:val="24"/>
          <w:szCs w:val="24"/>
        </w:rPr>
        <w:t>To calculate union area used for saline and freshwater shrimp farming the Landsat 5TM was radiometric calibrated and atmospherically corrected using the ENVI 5.0</w:t>
      </w:r>
      <w:r w:rsidRPr="006A199E">
        <w:t xml:space="preserve"> </w:t>
      </w:r>
      <w:r w:rsidRPr="006A199E">
        <w:rPr>
          <w:rFonts w:asciiTheme="majorHAnsi" w:hAnsiTheme="majorHAnsi"/>
          <w:sz w:val="24"/>
        </w:rPr>
        <w:t>FLAASH</w:t>
      </w:r>
      <w:r w:rsidRPr="006A199E">
        <w:rPr>
          <w:rFonts w:asciiTheme="majorHAnsi" w:hAnsiTheme="majorHAnsi"/>
          <w:sz w:val="24"/>
          <w:szCs w:val="24"/>
        </w:rPr>
        <w:t xml:space="preserve"> tool set to the Tropical Atmospheric Model (Exelis Visual Information Solutions 2012). Subsequent processing was run in ESRI ArcGIS 10.2 (ESRI 2013). The scenes were mosaicked into a single seamless image and a composite image using bands 4, 5 and 3 was constructed. This band combination offers better definition for water courses, wetter soils appear darker and vegetation as variations in brown and orange colours.  </w:t>
      </w:r>
      <w:r w:rsidR="00130C4B" w:rsidRPr="006A199E">
        <w:rPr>
          <w:rFonts w:asciiTheme="majorHAnsi" w:hAnsiTheme="majorHAnsi"/>
          <w:sz w:val="24"/>
          <w:szCs w:val="24"/>
        </w:rPr>
        <w:t>Using the ISOLCLUSTER tool for unsupervised classification, the composite image was classified into 10 classes, capturing the dominant land covers within the study region.</w:t>
      </w:r>
      <w:r w:rsidRPr="006A199E">
        <w:rPr>
          <w:rFonts w:asciiTheme="majorHAnsi" w:hAnsiTheme="majorHAnsi"/>
          <w:sz w:val="24"/>
          <w:szCs w:val="24"/>
        </w:rPr>
        <w:t xml:space="preserve"> </w:t>
      </w:r>
      <w:r w:rsidR="00057DB8" w:rsidRPr="006A199E">
        <w:rPr>
          <w:rFonts w:asciiTheme="majorHAnsi" w:hAnsiTheme="majorHAnsi"/>
          <w:sz w:val="24"/>
          <w:szCs w:val="24"/>
        </w:rPr>
        <w:t xml:space="preserve">This raster was clipped back to the study area and passed through a majority filter which replaces cells based on the majority value in their contiguous neighbourhoods. This smooths the raster reducing the </w:t>
      </w:r>
      <w:r w:rsidR="008073DB" w:rsidRPr="006A199E">
        <w:rPr>
          <w:rFonts w:asciiTheme="majorHAnsi" w:hAnsiTheme="majorHAnsi"/>
          <w:sz w:val="24"/>
          <w:szCs w:val="24"/>
        </w:rPr>
        <w:t xml:space="preserve">spectral noise </w:t>
      </w:r>
      <w:r w:rsidR="00057DB8" w:rsidRPr="006A199E">
        <w:rPr>
          <w:rFonts w:asciiTheme="majorHAnsi" w:hAnsiTheme="majorHAnsi"/>
          <w:sz w:val="24"/>
          <w:szCs w:val="24"/>
        </w:rPr>
        <w:t xml:space="preserve">created by unsupervised classification. </w:t>
      </w:r>
      <w:r w:rsidRPr="006A199E">
        <w:rPr>
          <w:rFonts w:asciiTheme="majorHAnsi" w:hAnsiTheme="majorHAnsi"/>
          <w:sz w:val="24"/>
          <w:szCs w:val="24"/>
        </w:rPr>
        <w:t xml:space="preserve">A separate raster was built from the seamless image using the Normalised Water Difference index (McFeeters 1996) and water pixels vectorised. </w:t>
      </w:r>
      <w:r w:rsidR="00A47AEF" w:rsidRPr="006A199E">
        <w:rPr>
          <w:rFonts w:asciiTheme="majorHAnsi" w:hAnsiTheme="majorHAnsi"/>
          <w:sz w:val="24"/>
          <w:szCs w:val="24"/>
        </w:rPr>
        <w:t>A visual inspection of this data was carried out to identify what was clearly river channel from flooded fields.</w:t>
      </w:r>
      <w:r w:rsidRPr="006A199E">
        <w:rPr>
          <w:rFonts w:asciiTheme="majorHAnsi" w:hAnsiTheme="majorHAnsi"/>
          <w:sz w:val="24"/>
          <w:szCs w:val="24"/>
        </w:rPr>
        <w:t xml:space="preserve"> </w:t>
      </w:r>
    </w:p>
    <w:p w:rsidR="00414C88" w:rsidRPr="006A199E" w:rsidRDefault="006E1FBE" w:rsidP="00A11772">
      <w:pPr>
        <w:spacing w:after="0" w:line="480" w:lineRule="auto"/>
        <w:ind w:firstLine="720"/>
        <w:jc w:val="both"/>
        <w:rPr>
          <w:rFonts w:asciiTheme="majorHAnsi" w:hAnsiTheme="majorHAnsi"/>
          <w:sz w:val="24"/>
          <w:szCs w:val="24"/>
        </w:rPr>
      </w:pPr>
      <w:r w:rsidRPr="006A199E">
        <w:rPr>
          <w:rFonts w:asciiTheme="majorHAnsi" w:hAnsiTheme="majorHAnsi"/>
          <w:sz w:val="24"/>
          <w:szCs w:val="24"/>
        </w:rPr>
        <w:t>The river channels identified from the visual inspection were converted back into a raster and mosaicked with the unsupervised classification raster. This improved the delineation of the river network within the study area and it’s separation from aquaculture or water-logged land cover classes.</w:t>
      </w:r>
      <w:r w:rsidR="00414C88" w:rsidRPr="006A199E">
        <w:rPr>
          <w:rFonts w:asciiTheme="majorHAnsi" w:hAnsiTheme="majorHAnsi"/>
          <w:sz w:val="24"/>
          <w:szCs w:val="24"/>
        </w:rPr>
        <w:t xml:space="preserve"> The 2010 limits of the cities of Khulna and Barisal were digitised and merged into the land use raster. A Mangrove mask was manually delineated and used to reclassify spurious pixel values primarily within the </w:t>
      </w:r>
      <w:r w:rsidR="00414C88" w:rsidRPr="006A199E">
        <w:rPr>
          <w:rFonts w:asciiTheme="majorHAnsi" w:hAnsiTheme="majorHAnsi"/>
          <w:sz w:val="24"/>
          <w:szCs w:val="24"/>
        </w:rPr>
        <w:lastRenderedPageBreak/>
        <w:t>Sundarban regions.</w:t>
      </w:r>
      <w:r w:rsidR="00414C88" w:rsidRPr="006A199E">
        <w:t xml:space="preserve"> </w:t>
      </w:r>
      <w:r w:rsidR="00414C88" w:rsidRPr="006A199E">
        <w:rPr>
          <w:rFonts w:asciiTheme="majorHAnsi" w:hAnsiTheme="majorHAnsi"/>
          <w:sz w:val="24"/>
          <w:szCs w:val="24"/>
        </w:rPr>
        <w:t xml:space="preserve">The remaining pixel values identified areas of bare ground or rural settlement. The final processing step aggregated pixel values considered to represent a single class into a single value. The final raster identified 9 land use classes </w:t>
      </w:r>
      <w:r w:rsidR="00A11772" w:rsidRPr="006A199E">
        <w:rPr>
          <w:rFonts w:asciiTheme="majorHAnsi" w:hAnsiTheme="majorHAnsi"/>
          <w:sz w:val="24"/>
          <w:szCs w:val="24"/>
        </w:rPr>
        <w:t>(</w:t>
      </w:r>
      <w:r w:rsidR="00414C88" w:rsidRPr="006A199E">
        <w:rPr>
          <w:rFonts w:asciiTheme="majorHAnsi" w:hAnsiTheme="majorHAnsi"/>
          <w:sz w:val="24"/>
          <w:szCs w:val="24"/>
        </w:rPr>
        <w:t>Fig. 1</w:t>
      </w:r>
      <w:r w:rsidR="00A11772" w:rsidRPr="006A199E">
        <w:rPr>
          <w:rFonts w:asciiTheme="majorHAnsi" w:hAnsiTheme="majorHAnsi"/>
          <w:sz w:val="24"/>
          <w:szCs w:val="24"/>
        </w:rPr>
        <w:t>)</w:t>
      </w:r>
      <w:r w:rsidR="00414C88" w:rsidRPr="006A199E">
        <w:rPr>
          <w:rFonts w:asciiTheme="majorHAnsi" w:hAnsiTheme="majorHAnsi"/>
          <w:sz w:val="24"/>
          <w:szCs w:val="24"/>
        </w:rPr>
        <w:t>.</w:t>
      </w:r>
    </w:p>
    <w:p w:rsidR="00C03C2E" w:rsidRPr="006A199E" w:rsidRDefault="0005472A" w:rsidP="00AE3B6A">
      <w:pPr>
        <w:spacing w:after="0" w:line="480" w:lineRule="auto"/>
        <w:ind w:firstLine="720"/>
        <w:jc w:val="both"/>
      </w:pPr>
      <w:r w:rsidRPr="006A199E">
        <w:rPr>
          <w:rFonts w:asciiTheme="majorHAnsi" w:hAnsiTheme="majorHAnsi"/>
          <w:sz w:val="24"/>
          <w:szCs w:val="24"/>
        </w:rPr>
        <w:t xml:space="preserve">Aquaculture pixels were reclassified into fresh and saline water shrimp farms using salinity regime and the associated structure of aquaculture ponds. </w:t>
      </w:r>
      <w:r w:rsidR="00AE3B6A" w:rsidRPr="006A199E">
        <w:rPr>
          <w:rFonts w:asciiTheme="majorHAnsi" w:hAnsiTheme="majorHAnsi"/>
          <w:sz w:val="24"/>
          <w:szCs w:val="24"/>
        </w:rPr>
        <w:t>A</w:t>
      </w:r>
      <w:r w:rsidRPr="006A199E">
        <w:rPr>
          <w:rFonts w:asciiTheme="majorHAnsi" w:hAnsiTheme="majorHAnsi"/>
          <w:sz w:val="24"/>
          <w:szCs w:val="24"/>
        </w:rPr>
        <w:t>quaculture pixels near</w:t>
      </w:r>
      <w:r w:rsidR="00AE3B6A" w:rsidRPr="006A199E">
        <w:rPr>
          <w:rFonts w:asciiTheme="majorHAnsi" w:hAnsiTheme="majorHAnsi"/>
          <w:sz w:val="24"/>
          <w:szCs w:val="24"/>
        </w:rPr>
        <w:t xml:space="preserve"> the</w:t>
      </w:r>
      <w:r w:rsidRPr="006A199E">
        <w:rPr>
          <w:rFonts w:asciiTheme="majorHAnsi" w:hAnsiTheme="majorHAnsi"/>
          <w:sz w:val="24"/>
          <w:szCs w:val="24"/>
        </w:rPr>
        <w:t xml:space="preserve"> Sundarbans and coast are considered as saline water shrimp farms as the area comes under high saline regime whereas the aquaculture pixels more inner part of the land where the soil and ground water salinity is less or nil were ta</w:t>
      </w:r>
      <w:r w:rsidR="00AE3B6A" w:rsidRPr="006A199E">
        <w:rPr>
          <w:rFonts w:asciiTheme="majorHAnsi" w:hAnsiTheme="majorHAnsi"/>
          <w:sz w:val="24"/>
          <w:szCs w:val="24"/>
        </w:rPr>
        <w:t>ken as fresh water farms. More</w:t>
      </w:r>
      <w:r w:rsidRPr="006A199E">
        <w:rPr>
          <w:rFonts w:asciiTheme="majorHAnsi" w:hAnsiTheme="majorHAnsi"/>
          <w:sz w:val="24"/>
          <w:szCs w:val="24"/>
        </w:rPr>
        <w:t xml:space="preserve">over </w:t>
      </w:r>
      <w:r w:rsidR="00AE3B6A" w:rsidRPr="006A199E">
        <w:rPr>
          <w:rFonts w:asciiTheme="majorHAnsi" w:hAnsiTheme="majorHAnsi"/>
          <w:sz w:val="24"/>
          <w:szCs w:val="24"/>
        </w:rPr>
        <w:t>f</w:t>
      </w:r>
      <w:r w:rsidRPr="006A199E">
        <w:rPr>
          <w:rFonts w:asciiTheme="majorHAnsi" w:hAnsiTheme="majorHAnsi"/>
          <w:sz w:val="24"/>
          <w:szCs w:val="24"/>
        </w:rPr>
        <w:t xml:space="preserve">resh water aquaculture farms are typically smaller in shape with more vegetation cover than saline aquaculture farms. These differences were used to reclassify aquaculture pixels into fresh or saline aquaculture farms using post classification manual editing using comparatively 24 meter resolution IRS P6 (ResourceSat-1) and IRS R2 (Resourcesat-2) provided by the Indian Space Research Organization. </w:t>
      </w:r>
      <w:r w:rsidR="00414C88" w:rsidRPr="006A199E">
        <w:rPr>
          <w:rFonts w:asciiTheme="majorHAnsi" w:hAnsiTheme="majorHAnsi"/>
          <w:sz w:val="24"/>
          <w:szCs w:val="24"/>
        </w:rPr>
        <w:t xml:space="preserve">This </w:t>
      </w:r>
      <w:r w:rsidR="00A11772" w:rsidRPr="006A199E">
        <w:rPr>
          <w:rFonts w:asciiTheme="majorHAnsi" w:hAnsiTheme="majorHAnsi"/>
          <w:sz w:val="24"/>
          <w:szCs w:val="24"/>
        </w:rPr>
        <w:t xml:space="preserve">was used to calculate </w:t>
      </w:r>
      <w:r w:rsidR="00414C88" w:rsidRPr="006A199E">
        <w:rPr>
          <w:rFonts w:asciiTheme="majorHAnsi" w:hAnsiTheme="majorHAnsi"/>
          <w:sz w:val="24"/>
          <w:szCs w:val="24"/>
        </w:rPr>
        <w:t>the percentage of union area used for fresh and saline water shrimp farms.</w:t>
      </w:r>
    </w:p>
    <w:p w:rsidR="00C03C2E" w:rsidRPr="006A199E" w:rsidRDefault="00C03C2E" w:rsidP="001728E3">
      <w:pPr>
        <w:spacing w:after="0" w:line="480" w:lineRule="auto"/>
        <w:ind w:firstLine="720"/>
        <w:jc w:val="both"/>
        <w:rPr>
          <w:rFonts w:asciiTheme="majorHAnsi" w:hAnsiTheme="majorHAnsi"/>
          <w:sz w:val="24"/>
          <w:szCs w:val="24"/>
        </w:rPr>
      </w:pPr>
      <w:r w:rsidRPr="006A199E">
        <w:rPr>
          <w:rFonts w:asciiTheme="majorHAnsi" w:hAnsiTheme="majorHAnsi"/>
          <w:sz w:val="24"/>
          <w:szCs w:val="24"/>
        </w:rPr>
        <w:t xml:space="preserve">To identify water logged agricultural lands, the Landsat was augmented with surface soil moisture content from the MODIS TSI. A Temperature-Vegetation Dryness Index proposed by Sandholt </w:t>
      </w:r>
      <w:r w:rsidRPr="006A199E">
        <w:rPr>
          <w:rFonts w:asciiTheme="majorHAnsi" w:hAnsiTheme="majorHAnsi"/>
          <w:iCs/>
          <w:sz w:val="24"/>
          <w:szCs w:val="24"/>
        </w:rPr>
        <w:t>et al.</w:t>
      </w:r>
      <w:r w:rsidRPr="006A199E">
        <w:rPr>
          <w:rFonts w:asciiTheme="majorHAnsi" w:hAnsiTheme="majorHAnsi"/>
          <w:sz w:val="24"/>
          <w:szCs w:val="24"/>
        </w:rPr>
        <w:t xml:space="preserve"> (2002) was used to derive surface soil moisture from the MODIS TSI for March, April and May 2010. The dry season (November to March; cool, dry winter) in Bangladesh is followed by a pre-monsoon season (March to June; hot, humid summer) with gradually increasing precipitation. Irrigation only occurs in the dry season in coastal Bangladesh; therefore, observed high soil moisture in the March, April and May generally implies soils that have poor drainage properties and thus can be susceptible to water logging caused by both rain and flooding events in any part of the year. Based on this information, we calculated the percentage of water </w:t>
      </w:r>
      <w:r w:rsidRPr="006A199E">
        <w:rPr>
          <w:rFonts w:asciiTheme="majorHAnsi" w:hAnsiTheme="majorHAnsi"/>
          <w:sz w:val="24"/>
          <w:szCs w:val="24"/>
        </w:rPr>
        <w:lastRenderedPageBreak/>
        <w:t>logged agricultural land in each union. Ahsan (2012) documented that moderate to very high salinity intrusion can lead to prolonged artificial water logging with saline water for aquaculture and high existence of toxic buried acid sulphate layer with adverse effects for agriculture productivity.</w:t>
      </w:r>
    </w:p>
    <w:p w:rsidR="008C254D" w:rsidRPr="006A199E" w:rsidRDefault="008C254D" w:rsidP="004C69B3">
      <w:pPr>
        <w:spacing w:after="0" w:line="480" w:lineRule="auto"/>
        <w:ind w:firstLine="720"/>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t>An accuracy assess</w:t>
      </w:r>
      <w:r w:rsidR="001728E3" w:rsidRPr="006A199E">
        <w:rPr>
          <w:rFonts w:asciiTheme="majorHAnsi" w:eastAsiaTheme="minorHAnsi" w:hAnsiTheme="majorHAnsi"/>
          <w:sz w:val="24"/>
          <w:szCs w:val="24"/>
          <w:lang w:eastAsia="en-US"/>
        </w:rPr>
        <w:t>ment was conducted on the 2010 l</w:t>
      </w:r>
      <w:r w:rsidRPr="006A199E">
        <w:rPr>
          <w:rFonts w:asciiTheme="majorHAnsi" w:eastAsiaTheme="minorHAnsi" w:hAnsiTheme="majorHAnsi"/>
          <w:sz w:val="24"/>
          <w:szCs w:val="24"/>
          <w:lang w:eastAsia="en-US"/>
        </w:rPr>
        <w:t>and cover map. The project lacked the resources to ground truth sites within the study region</w:t>
      </w:r>
      <w:r w:rsidR="001728E3" w:rsidRPr="006A199E">
        <w:rPr>
          <w:rFonts w:asciiTheme="majorHAnsi" w:eastAsiaTheme="minorHAnsi" w:hAnsiTheme="majorHAnsi"/>
          <w:sz w:val="24"/>
          <w:szCs w:val="24"/>
          <w:lang w:eastAsia="en-US"/>
        </w:rPr>
        <w:t>,</w:t>
      </w:r>
      <w:r w:rsidRPr="006A199E">
        <w:rPr>
          <w:rFonts w:asciiTheme="majorHAnsi" w:eastAsiaTheme="minorHAnsi" w:hAnsiTheme="majorHAnsi"/>
          <w:sz w:val="24"/>
          <w:szCs w:val="24"/>
          <w:lang w:eastAsia="en-US"/>
        </w:rPr>
        <w:t xml:space="preserve"> thus the assessment was conducted using photo interpretation of Google Earth imagery from the same period. </w:t>
      </w:r>
      <w:r w:rsidR="001728E3" w:rsidRPr="006A199E">
        <w:rPr>
          <w:rFonts w:asciiTheme="majorHAnsi" w:eastAsiaTheme="minorHAnsi" w:hAnsiTheme="majorHAnsi"/>
          <w:sz w:val="24"/>
          <w:szCs w:val="24"/>
          <w:lang w:eastAsia="en-US"/>
        </w:rPr>
        <w:t xml:space="preserve">Stratification by the land cover classes were used to </w:t>
      </w:r>
      <w:r w:rsidRPr="006A199E">
        <w:rPr>
          <w:rFonts w:asciiTheme="majorHAnsi" w:eastAsiaTheme="minorHAnsi" w:hAnsiTheme="majorHAnsi"/>
          <w:sz w:val="24"/>
          <w:szCs w:val="24"/>
          <w:lang w:eastAsia="en-US"/>
        </w:rPr>
        <w:t>ensure</w:t>
      </w:r>
      <w:r w:rsidR="001728E3" w:rsidRPr="006A199E">
        <w:rPr>
          <w:rFonts w:asciiTheme="majorHAnsi" w:eastAsiaTheme="minorHAnsi" w:hAnsiTheme="majorHAnsi"/>
          <w:sz w:val="24"/>
          <w:szCs w:val="24"/>
          <w:lang w:eastAsia="en-US"/>
        </w:rPr>
        <w:t xml:space="preserve"> that</w:t>
      </w:r>
      <w:r w:rsidRPr="006A199E">
        <w:rPr>
          <w:rFonts w:asciiTheme="majorHAnsi" w:eastAsiaTheme="minorHAnsi" w:hAnsiTheme="majorHAnsi"/>
          <w:sz w:val="24"/>
          <w:szCs w:val="24"/>
          <w:lang w:eastAsia="en-US"/>
        </w:rPr>
        <w:t xml:space="preserve"> all classes were sampled. </w:t>
      </w:r>
      <w:r w:rsidR="001728E3" w:rsidRPr="006A199E">
        <w:rPr>
          <w:rFonts w:asciiTheme="majorHAnsi" w:eastAsiaTheme="minorHAnsi" w:hAnsiTheme="majorHAnsi"/>
          <w:sz w:val="24"/>
          <w:szCs w:val="24"/>
          <w:lang w:eastAsia="en-US"/>
        </w:rPr>
        <w:t xml:space="preserve">Seventy-five </w:t>
      </w:r>
      <w:r w:rsidRPr="006A199E">
        <w:rPr>
          <w:rFonts w:asciiTheme="majorHAnsi" w:eastAsiaTheme="minorHAnsi" w:hAnsiTheme="majorHAnsi"/>
          <w:sz w:val="24"/>
          <w:szCs w:val="24"/>
          <w:lang w:eastAsia="en-US"/>
        </w:rPr>
        <w:t xml:space="preserve">random locations per class </w:t>
      </w:r>
      <w:r w:rsidR="001728E3" w:rsidRPr="006A199E">
        <w:rPr>
          <w:rFonts w:asciiTheme="majorHAnsi" w:eastAsiaTheme="minorHAnsi" w:hAnsiTheme="majorHAnsi"/>
          <w:sz w:val="24"/>
          <w:szCs w:val="24"/>
          <w:lang w:eastAsia="en-US"/>
        </w:rPr>
        <w:t xml:space="preserve">were selected based on the recommendations of </w:t>
      </w:r>
      <w:r w:rsidRPr="006A199E">
        <w:rPr>
          <w:rFonts w:asciiTheme="majorHAnsi" w:eastAsiaTheme="minorHAnsi" w:hAnsiTheme="majorHAnsi"/>
          <w:sz w:val="24"/>
          <w:szCs w:val="24"/>
          <w:lang w:eastAsia="en-US"/>
        </w:rPr>
        <w:t xml:space="preserve">Lillesand </w:t>
      </w:r>
      <w:r w:rsidR="001728E3" w:rsidRPr="006A199E">
        <w:rPr>
          <w:rFonts w:asciiTheme="majorHAnsi" w:eastAsiaTheme="minorHAnsi" w:hAnsiTheme="majorHAnsi"/>
          <w:sz w:val="24"/>
          <w:szCs w:val="24"/>
          <w:lang w:eastAsia="en-US"/>
        </w:rPr>
        <w:t xml:space="preserve">and </w:t>
      </w:r>
      <w:r w:rsidRPr="006A199E">
        <w:rPr>
          <w:rFonts w:asciiTheme="majorHAnsi" w:eastAsiaTheme="minorHAnsi" w:hAnsiTheme="majorHAnsi"/>
          <w:sz w:val="24"/>
          <w:szCs w:val="24"/>
          <w:lang w:eastAsia="en-US"/>
        </w:rPr>
        <w:t xml:space="preserve">Kiefer </w:t>
      </w:r>
      <w:r w:rsidR="001728E3" w:rsidRPr="006A199E">
        <w:rPr>
          <w:rFonts w:asciiTheme="majorHAnsi" w:eastAsiaTheme="minorHAnsi" w:hAnsiTheme="majorHAnsi"/>
          <w:sz w:val="24"/>
          <w:szCs w:val="24"/>
          <w:lang w:eastAsia="en-US"/>
        </w:rPr>
        <w:t>(</w:t>
      </w:r>
      <w:r w:rsidRPr="006A199E">
        <w:rPr>
          <w:rFonts w:asciiTheme="majorHAnsi" w:eastAsiaTheme="minorHAnsi" w:hAnsiTheme="majorHAnsi"/>
          <w:sz w:val="24"/>
          <w:szCs w:val="24"/>
          <w:lang w:eastAsia="en-US"/>
        </w:rPr>
        <w:t xml:space="preserve">2000). Sampling points were converted to polygons (30x30m), the resolution of the Landsat and exported into KML so they could be displayed in Google Earth. The assessment was conducted by an individual </w:t>
      </w:r>
      <w:r w:rsidR="001728E3" w:rsidRPr="006A199E">
        <w:rPr>
          <w:rFonts w:asciiTheme="majorHAnsi" w:eastAsiaTheme="minorHAnsi" w:hAnsiTheme="majorHAnsi"/>
          <w:sz w:val="24"/>
          <w:szCs w:val="24"/>
          <w:lang w:eastAsia="en-US"/>
        </w:rPr>
        <w:t xml:space="preserve">with substantial years of experience </w:t>
      </w:r>
      <w:r w:rsidRPr="006A199E">
        <w:rPr>
          <w:rFonts w:asciiTheme="majorHAnsi" w:eastAsiaTheme="minorHAnsi" w:hAnsiTheme="majorHAnsi"/>
          <w:sz w:val="24"/>
          <w:szCs w:val="24"/>
          <w:lang w:eastAsia="en-US"/>
        </w:rPr>
        <w:t>visit</w:t>
      </w:r>
      <w:r w:rsidR="001728E3" w:rsidRPr="006A199E">
        <w:rPr>
          <w:rFonts w:asciiTheme="majorHAnsi" w:eastAsiaTheme="minorHAnsi" w:hAnsiTheme="majorHAnsi"/>
          <w:sz w:val="24"/>
          <w:szCs w:val="24"/>
          <w:lang w:eastAsia="en-US"/>
        </w:rPr>
        <w:t xml:space="preserve">ing and working in </w:t>
      </w:r>
      <w:r w:rsidRPr="006A199E">
        <w:rPr>
          <w:rFonts w:asciiTheme="majorHAnsi" w:eastAsiaTheme="minorHAnsi" w:hAnsiTheme="majorHAnsi"/>
          <w:sz w:val="24"/>
          <w:szCs w:val="24"/>
          <w:lang w:eastAsia="en-US"/>
        </w:rPr>
        <w:t>the region.</w:t>
      </w:r>
    </w:p>
    <w:p w:rsidR="00E8396D" w:rsidRPr="006A199E" w:rsidRDefault="004B652B" w:rsidP="006117CB">
      <w:pPr>
        <w:spacing w:after="0" w:line="480" w:lineRule="auto"/>
        <w:ind w:firstLine="720"/>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t>T</w:t>
      </w:r>
      <w:r w:rsidR="00857628" w:rsidRPr="006A199E">
        <w:rPr>
          <w:rFonts w:asciiTheme="majorHAnsi" w:eastAsiaTheme="minorHAnsi" w:hAnsiTheme="majorHAnsi"/>
          <w:sz w:val="24"/>
          <w:szCs w:val="24"/>
          <w:lang w:eastAsia="en-US"/>
        </w:rPr>
        <w:t xml:space="preserve">able </w:t>
      </w:r>
      <w:r w:rsidRPr="006A199E">
        <w:rPr>
          <w:rFonts w:asciiTheme="majorHAnsi" w:eastAsiaTheme="minorHAnsi" w:hAnsiTheme="majorHAnsi"/>
          <w:sz w:val="24"/>
          <w:szCs w:val="24"/>
          <w:lang w:eastAsia="en-US"/>
        </w:rPr>
        <w:t xml:space="preserve">1 </w:t>
      </w:r>
      <w:r w:rsidR="00213DE0" w:rsidRPr="006A199E">
        <w:rPr>
          <w:rFonts w:asciiTheme="majorHAnsi" w:eastAsiaTheme="minorHAnsi" w:hAnsiTheme="majorHAnsi"/>
          <w:sz w:val="24"/>
          <w:szCs w:val="24"/>
          <w:lang w:eastAsia="en-US"/>
        </w:rPr>
        <w:t xml:space="preserve">show the error matrix of the 675 sampled units by class. The table shows that </w:t>
      </w:r>
      <w:r w:rsidR="00857628" w:rsidRPr="006A199E">
        <w:rPr>
          <w:rFonts w:asciiTheme="majorHAnsi" w:eastAsiaTheme="minorHAnsi" w:hAnsiTheme="majorHAnsi"/>
          <w:sz w:val="24"/>
          <w:szCs w:val="24"/>
          <w:lang w:eastAsia="en-US"/>
        </w:rPr>
        <w:t xml:space="preserve">the </w:t>
      </w:r>
      <w:r w:rsidR="00213DE0" w:rsidRPr="006A199E">
        <w:rPr>
          <w:rFonts w:asciiTheme="majorHAnsi" w:eastAsiaTheme="minorHAnsi" w:hAnsiTheme="majorHAnsi"/>
          <w:sz w:val="24"/>
          <w:szCs w:val="24"/>
          <w:lang w:eastAsia="en-US"/>
        </w:rPr>
        <w:t xml:space="preserve">majority of </w:t>
      </w:r>
      <w:r w:rsidR="00857628" w:rsidRPr="006A199E">
        <w:rPr>
          <w:rFonts w:asciiTheme="majorHAnsi" w:eastAsiaTheme="minorHAnsi" w:hAnsiTheme="majorHAnsi"/>
          <w:sz w:val="24"/>
          <w:szCs w:val="24"/>
          <w:lang w:eastAsia="en-US"/>
        </w:rPr>
        <w:t>water logged agricultur</w:t>
      </w:r>
      <w:r w:rsidR="00213DE0" w:rsidRPr="006A199E">
        <w:rPr>
          <w:rFonts w:asciiTheme="majorHAnsi" w:eastAsiaTheme="minorHAnsi" w:hAnsiTheme="majorHAnsi"/>
          <w:sz w:val="24"/>
          <w:szCs w:val="24"/>
          <w:lang w:eastAsia="en-US"/>
        </w:rPr>
        <w:t>al land</w:t>
      </w:r>
      <w:r w:rsidR="00857628" w:rsidRPr="006A199E">
        <w:rPr>
          <w:rFonts w:asciiTheme="majorHAnsi" w:eastAsiaTheme="minorHAnsi" w:hAnsiTheme="majorHAnsi"/>
          <w:sz w:val="24"/>
          <w:szCs w:val="24"/>
          <w:lang w:eastAsia="en-US"/>
        </w:rPr>
        <w:t xml:space="preserve"> has been assigned to non-water logged agricultur</w:t>
      </w:r>
      <w:r w:rsidR="00213DE0" w:rsidRPr="006A199E">
        <w:rPr>
          <w:rFonts w:asciiTheme="majorHAnsi" w:eastAsiaTheme="minorHAnsi" w:hAnsiTheme="majorHAnsi"/>
          <w:sz w:val="24"/>
          <w:szCs w:val="24"/>
          <w:lang w:eastAsia="en-US"/>
        </w:rPr>
        <w:t>al land</w:t>
      </w:r>
      <w:r w:rsidR="00857628" w:rsidRPr="006A199E">
        <w:rPr>
          <w:rFonts w:asciiTheme="majorHAnsi" w:eastAsiaTheme="minorHAnsi" w:hAnsiTheme="majorHAnsi"/>
          <w:sz w:val="24"/>
          <w:szCs w:val="24"/>
          <w:lang w:eastAsia="en-US"/>
        </w:rPr>
        <w:t>. Th</w:t>
      </w:r>
      <w:r w:rsidR="00213DE0" w:rsidRPr="006A199E">
        <w:rPr>
          <w:rFonts w:asciiTheme="majorHAnsi" w:eastAsiaTheme="minorHAnsi" w:hAnsiTheme="majorHAnsi"/>
          <w:sz w:val="24"/>
          <w:szCs w:val="24"/>
          <w:lang w:eastAsia="en-US"/>
        </w:rPr>
        <w:t>e reason being that water-logged a</w:t>
      </w:r>
      <w:r w:rsidR="00857628" w:rsidRPr="006A199E">
        <w:rPr>
          <w:rFonts w:asciiTheme="majorHAnsi" w:eastAsiaTheme="minorHAnsi" w:hAnsiTheme="majorHAnsi"/>
          <w:sz w:val="24"/>
          <w:szCs w:val="24"/>
          <w:lang w:eastAsia="en-US"/>
        </w:rPr>
        <w:t xml:space="preserve">gricultural </w:t>
      </w:r>
      <w:r w:rsidR="00213DE0" w:rsidRPr="006A199E">
        <w:rPr>
          <w:rFonts w:asciiTheme="majorHAnsi" w:eastAsiaTheme="minorHAnsi" w:hAnsiTheme="majorHAnsi"/>
          <w:sz w:val="24"/>
          <w:szCs w:val="24"/>
          <w:lang w:eastAsia="en-US"/>
        </w:rPr>
        <w:t xml:space="preserve">land </w:t>
      </w:r>
      <w:r w:rsidR="00857628" w:rsidRPr="006A199E">
        <w:rPr>
          <w:rFonts w:asciiTheme="majorHAnsi" w:eastAsiaTheme="minorHAnsi" w:hAnsiTheme="majorHAnsi"/>
          <w:sz w:val="24"/>
          <w:szCs w:val="24"/>
          <w:lang w:eastAsia="en-US"/>
        </w:rPr>
        <w:t xml:space="preserve">is a class identified using surface soil moisture content from MODIS an attribute that </w:t>
      </w:r>
      <w:r w:rsidR="007D06B8" w:rsidRPr="006A199E">
        <w:rPr>
          <w:rFonts w:asciiTheme="majorHAnsi" w:eastAsiaTheme="minorHAnsi" w:hAnsiTheme="majorHAnsi"/>
          <w:sz w:val="24"/>
          <w:szCs w:val="24"/>
          <w:lang w:eastAsia="en-US"/>
        </w:rPr>
        <w:t xml:space="preserve">is </w:t>
      </w:r>
      <w:r w:rsidR="00857628" w:rsidRPr="006A199E">
        <w:rPr>
          <w:rFonts w:asciiTheme="majorHAnsi" w:eastAsiaTheme="minorHAnsi" w:hAnsiTheme="majorHAnsi"/>
          <w:sz w:val="24"/>
          <w:szCs w:val="24"/>
          <w:lang w:eastAsia="en-US"/>
        </w:rPr>
        <w:t xml:space="preserve">not </w:t>
      </w:r>
      <w:r w:rsidR="007D06B8" w:rsidRPr="006A199E">
        <w:rPr>
          <w:rFonts w:asciiTheme="majorHAnsi" w:eastAsiaTheme="minorHAnsi" w:hAnsiTheme="majorHAnsi"/>
          <w:sz w:val="24"/>
          <w:szCs w:val="24"/>
          <w:lang w:eastAsia="en-US"/>
        </w:rPr>
        <w:t xml:space="preserve">visible </w:t>
      </w:r>
      <w:r w:rsidR="00857628" w:rsidRPr="006A199E">
        <w:rPr>
          <w:rFonts w:asciiTheme="majorHAnsi" w:eastAsiaTheme="minorHAnsi" w:hAnsiTheme="majorHAnsi"/>
          <w:sz w:val="24"/>
          <w:szCs w:val="24"/>
          <w:lang w:eastAsia="en-US"/>
        </w:rPr>
        <w:t xml:space="preserve">within Google Earth imagery. </w:t>
      </w:r>
      <w:r w:rsidR="00213DE0" w:rsidRPr="006A199E">
        <w:rPr>
          <w:rFonts w:asciiTheme="majorHAnsi" w:eastAsiaTheme="minorHAnsi" w:hAnsiTheme="majorHAnsi"/>
          <w:sz w:val="24"/>
          <w:szCs w:val="24"/>
          <w:lang w:eastAsia="en-US"/>
        </w:rPr>
        <w:t>Therefore, the assessor had no means of identifying water-logged agricultural land. In this regard, t</w:t>
      </w:r>
      <w:r w:rsidR="00857628" w:rsidRPr="006A199E">
        <w:rPr>
          <w:rFonts w:asciiTheme="majorHAnsi" w:eastAsiaTheme="minorHAnsi" w:hAnsiTheme="majorHAnsi"/>
          <w:sz w:val="24"/>
          <w:szCs w:val="24"/>
          <w:lang w:eastAsia="en-US"/>
        </w:rPr>
        <w:t>he two agricultur</w:t>
      </w:r>
      <w:r w:rsidR="00213DE0" w:rsidRPr="006A199E">
        <w:rPr>
          <w:rFonts w:asciiTheme="majorHAnsi" w:eastAsiaTheme="minorHAnsi" w:hAnsiTheme="majorHAnsi"/>
          <w:sz w:val="24"/>
          <w:szCs w:val="24"/>
          <w:lang w:eastAsia="en-US"/>
        </w:rPr>
        <w:t>al land</w:t>
      </w:r>
      <w:r w:rsidR="00857628" w:rsidRPr="006A199E">
        <w:rPr>
          <w:rFonts w:asciiTheme="majorHAnsi" w:eastAsiaTheme="minorHAnsi" w:hAnsiTheme="majorHAnsi"/>
          <w:sz w:val="24"/>
          <w:szCs w:val="24"/>
          <w:lang w:eastAsia="en-US"/>
        </w:rPr>
        <w:t xml:space="preserve"> classes were aggregated into a single class</w:t>
      </w:r>
      <w:r w:rsidR="00213DE0" w:rsidRPr="006A199E">
        <w:rPr>
          <w:rFonts w:asciiTheme="majorHAnsi" w:eastAsiaTheme="minorHAnsi" w:hAnsiTheme="majorHAnsi"/>
          <w:sz w:val="24"/>
          <w:szCs w:val="24"/>
          <w:lang w:eastAsia="en-US"/>
        </w:rPr>
        <w:t xml:space="preserve"> – agricultural land (Table 2)</w:t>
      </w:r>
      <w:r w:rsidR="00857628" w:rsidRPr="006A199E">
        <w:rPr>
          <w:rFonts w:asciiTheme="majorHAnsi" w:eastAsiaTheme="minorHAnsi" w:hAnsiTheme="majorHAnsi"/>
          <w:sz w:val="24"/>
          <w:szCs w:val="24"/>
          <w:lang w:eastAsia="en-US"/>
        </w:rPr>
        <w:t>.</w:t>
      </w:r>
      <w:r w:rsidR="00213DE0" w:rsidRPr="006A199E">
        <w:rPr>
          <w:rFonts w:asciiTheme="majorHAnsi" w:eastAsiaTheme="minorHAnsi" w:hAnsiTheme="majorHAnsi"/>
          <w:sz w:val="24"/>
          <w:szCs w:val="24"/>
          <w:lang w:eastAsia="en-US"/>
        </w:rPr>
        <w:t xml:space="preserve"> </w:t>
      </w:r>
      <w:r w:rsidR="00E8396D" w:rsidRPr="006A199E">
        <w:rPr>
          <w:rFonts w:asciiTheme="majorHAnsi" w:eastAsiaTheme="minorHAnsi" w:hAnsiTheme="majorHAnsi"/>
          <w:sz w:val="24"/>
          <w:szCs w:val="24"/>
          <w:lang w:eastAsia="en-US"/>
        </w:rPr>
        <w:t xml:space="preserve">From Table 2, the proportion of correctly classified land cover is 80% (Overall Accuracy – </w:t>
      </w:r>
      <w:r w:rsidR="00213DE0" w:rsidRPr="006A199E">
        <w:rPr>
          <w:rFonts w:asciiTheme="majorHAnsi" w:eastAsiaTheme="minorHAnsi" w:hAnsiTheme="majorHAnsi"/>
          <w:sz w:val="24"/>
          <w:szCs w:val="24"/>
          <w:lang w:eastAsia="en-US"/>
        </w:rPr>
        <w:t>OA)</w:t>
      </w:r>
      <w:r w:rsidR="00E8396D" w:rsidRPr="006A199E">
        <w:rPr>
          <w:rFonts w:asciiTheme="majorHAnsi" w:eastAsiaTheme="minorHAnsi" w:hAnsiTheme="majorHAnsi"/>
          <w:sz w:val="24"/>
          <w:szCs w:val="24"/>
          <w:lang w:eastAsia="en-US"/>
        </w:rPr>
        <w:t>. The</w:t>
      </w:r>
      <w:r w:rsidR="00213DE0" w:rsidRPr="006A199E">
        <w:rPr>
          <w:rFonts w:asciiTheme="majorHAnsi" w:eastAsiaTheme="minorHAnsi" w:hAnsiTheme="majorHAnsi"/>
          <w:sz w:val="24"/>
          <w:szCs w:val="24"/>
          <w:lang w:eastAsia="en-US"/>
        </w:rPr>
        <w:t xml:space="preserve"> Kappa </w:t>
      </w:r>
      <w:r w:rsidR="00E8396D" w:rsidRPr="006A199E">
        <w:rPr>
          <w:rFonts w:asciiTheme="majorHAnsi" w:eastAsiaTheme="minorHAnsi" w:hAnsiTheme="majorHAnsi"/>
          <w:sz w:val="24"/>
          <w:szCs w:val="24"/>
          <w:lang w:eastAsia="en-US"/>
        </w:rPr>
        <w:t xml:space="preserve">statistics </w:t>
      </w:r>
      <w:r w:rsidR="007248C8" w:rsidRPr="006A199E">
        <w:rPr>
          <w:rFonts w:asciiTheme="majorHAnsi" w:eastAsiaTheme="minorHAnsi" w:hAnsiTheme="majorHAnsi"/>
          <w:sz w:val="24"/>
          <w:szCs w:val="24"/>
          <w:lang w:eastAsia="en-US"/>
        </w:rPr>
        <w:t xml:space="preserve">(76%) </w:t>
      </w:r>
      <w:r w:rsidR="00E8396D" w:rsidRPr="006A199E">
        <w:rPr>
          <w:rFonts w:asciiTheme="majorHAnsi" w:eastAsiaTheme="minorHAnsi" w:hAnsiTheme="majorHAnsi"/>
          <w:sz w:val="24"/>
          <w:szCs w:val="24"/>
          <w:lang w:eastAsia="en-US"/>
        </w:rPr>
        <w:t>which compares the observed accuracy with the expected accuracy (random chance)</w:t>
      </w:r>
      <w:r w:rsidR="007248C8" w:rsidRPr="006A199E">
        <w:rPr>
          <w:rFonts w:asciiTheme="majorHAnsi" w:eastAsiaTheme="minorHAnsi" w:hAnsiTheme="majorHAnsi"/>
          <w:sz w:val="24"/>
          <w:szCs w:val="24"/>
          <w:lang w:eastAsia="en-US"/>
        </w:rPr>
        <w:t xml:space="preserve"> shows that there is almost a perfect agreement between what was observed and what was expected (Munoz and Bangdiwala 1997).</w:t>
      </w:r>
      <w:r w:rsidR="00E8396D" w:rsidRPr="006A199E">
        <w:rPr>
          <w:rFonts w:asciiTheme="majorHAnsi" w:eastAsiaTheme="minorHAnsi" w:hAnsiTheme="majorHAnsi"/>
          <w:sz w:val="24"/>
          <w:szCs w:val="24"/>
          <w:lang w:eastAsia="en-US"/>
        </w:rPr>
        <w:t xml:space="preserve">  </w:t>
      </w:r>
    </w:p>
    <w:p w:rsidR="00E8396D" w:rsidRPr="006A199E" w:rsidRDefault="00213DE0" w:rsidP="00994F64">
      <w:pPr>
        <w:spacing w:after="0" w:line="480" w:lineRule="auto"/>
        <w:ind w:firstLine="720"/>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lastRenderedPageBreak/>
        <w:t>The User Accuracy is the probability of a pixel on the map representing the correct land cover category. In other words from the perspective of the assessor how accurate was the map</w:t>
      </w:r>
      <w:r w:rsidR="007248C8" w:rsidRPr="006A199E">
        <w:rPr>
          <w:rFonts w:asciiTheme="majorHAnsi" w:eastAsiaTheme="minorHAnsi" w:hAnsiTheme="majorHAnsi"/>
          <w:sz w:val="24"/>
          <w:szCs w:val="24"/>
          <w:lang w:eastAsia="en-US"/>
        </w:rPr>
        <w:t>.</w:t>
      </w:r>
      <w:r w:rsidRPr="006A199E">
        <w:rPr>
          <w:rFonts w:asciiTheme="majorHAnsi" w:eastAsiaTheme="minorHAnsi" w:hAnsiTheme="majorHAnsi"/>
          <w:sz w:val="24"/>
          <w:szCs w:val="24"/>
          <w:lang w:eastAsia="en-US"/>
        </w:rPr>
        <w:t xml:space="preserve"> Mangrove, agricultur</w:t>
      </w:r>
      <w:r w:rsidR="007248C8" w:rsidRPr="006A199E">
        <w:rPr>
          <w:rFonts w:asciiTheme="majorHAnsi" w:eastAsiaTheme="minorHAnsi" w:hAnsiTheme="majorHAnsi"/>
          <w:sz w:val="24"/>
          <w:szCs w:val="24"/>
          <w:lang w:eastAsia="en-US"/>
        </w:rPr>
        <w:t>al land</w:t>
      </w:r>
      <w:r w:rsidRPr="006A199E">
        <w:rPr>
          <w:rFonts w:asciiTheme="majorHAnsi" w:eastAsiaTheme="minorHAnsi" w:hAnsiTheme="majorHAnsi"/>
          <w:sz w:val="24"/>
          <w:szCs w:val="24"/>
          <w:lang w:eastAsia="en-US"/>
        </w:rPr>
        <w:t xml:space="preserve"> and </w:t>
      </w:r>
      <w:r w:rsidR="007248C8" w:rsidRPr="006A199E">
        <w:rPr>
          <w:rFonts w:asciiTheme="majorHAnsi" w:eastAsiaTheme="minorHAnsi" w:hAnsiTheme="majorHAnsi"/>
          <w:sz w:val="24"/>
          <w:szCs w:val="24"/>
          <w:lang w:eastAsia="en-US"/>
        </w:rPr>
        <w:t>saline water shrimp farms h</w:t>
      </w:r>
      <w:r w:rsidRPr="006A199E">
        <w:rPr>
          <w:rFonts w:asciiTheme="majorHAnsi" w:eastAsiaTheme="minorHAnsi" w:hAnsiTheme="majorHAnsi"/>
          <w:sz w:val="24"/>
          <w:szCs w:val="24"/>
          <w:lang w:eastAsia="en-US"/>
        </w:rPr>
        <w:t>ad the highest user accuracy (&gt;90%). Major urban area has a user accuracy of 80% with the bulk of the 20% commission error identified as rural settlement. The definition of Major urban area was defined by the urban limits of 2 key cities within the study region and it is clear that within these urban limits is a patch work of dense urban area and rural settlement like habitats. Rural settlement has a user accuracy of 73% with the bulk of the commission error identified as agriculture. This is unsurprising as rural settlement is set within a landsc</w:t>
      </w:r>
      <w:r w:rsidR="007248C8" w:rsidRPr="006A199E">
        <w:rPr>
          <w:rFonts w:asciiTheme="majorHAnsi" w:eastAsiaTheme="minorHAnsi" w:hAnsiTheme="majorHAnsi"/>
          <w:sz w:val="24"/>
          <w:szCs w:val="24"/>
          <w:lang w:eastAsia="en-US"/>
        </w:rPr>
        <w:t>ape of predominantly agricultural areas</w:t>
      </w:r>
      <w:r w:rsidRPr="006A199E">
        <w:rPr>
          <w:rFonts w:asciiTheme="majorHAnsi" w:eastAsiaTheme="minorHAnsi" w:hAnsiTheme="majorHAnsi"/>
          <w:sz w:val="24"/>
          <w:szCs w:val="24"/>
          <w:lang w:eastAsia="en-US"/>
        </w:rPr>
        <w:t xml:space="preserve">. </w:t>
      </w:r>
      <w:r w:rsidR="00994F64" w:rsidRPr="006A199E">
        <w:rPr>
          <w:rFonts w:asciiTheme="majorHAnsi" w:eastAsiaTheme="minorHAnsi" w:hAnsiTheme="majorHAnsi"/>
          <w:sz w:val="24"/>
          <w:szCs w:val="24"/>
          <w:lang w:eastAsia="en-US"/>
        </w:rPr>
        <w:t xml:space="preserve">Twenty-one percent </w:t>
      </w:r>
      <w:r w:rsidR="009119F4" w:rsidRPr="006A199E">
        <w:rPr>
          <w:rFonts w:asciiTheme="majorHAnsi" w:eastAsiaTheme="minorHAnsi" w:hAnsiTheme="majorHAnsi"/>
          <w:sz w:val="24"/>
          <w:szCs w:val="24"/>
          <w:lang w:eastAsia="en-US"/>
        </w:rPr>
        <w:t>of f</w:t>
      </w:r>
      <w:r w:rsidR="007D06B8" w:rsidRPr="006A199E">
        <w:rPr>
          <w:rFonts w:asciiTheme="majorHAnsi" w:eastAsiaTheme="minorHAnsi" w:hAnsiTheme="majorHAnsi"/>
          <w:sz w:val="24"/>
          <w:szCs w:val="24"/>
          <w:lang w:eastAsia="en-US"/>
        </w:rPr>
        <w:t xml:space="preserve">reshwater shrimp farms </w:t>
      </w:r>
      <w:r w:rsidR="009119F4" w:rsidRPr="006A199E">
        <w:rPr>
          <w:rFonts w:asciiTheme="majorHAnsi" w:eastAsiaTheme="minorHAnsi" w:hAnsiTheme="majorHAnsi"/>
          <w:sz w:val="24"/>
          <w:szCs w:val="24"/>
          <w:lang w:eastAsia="en-US"/>
        </w:rPr>
        <w:t xml:space="preserve">are </w:t>
      </w:r>
      <w:r w:rsidRPr="006A199E">
        <w:rPr>
          <w:rFonts w:asciiTheme="majorHAnsi" w:eastAsiaTheme="minorHAnsi" w:hAnsiTheme="majorHAnsi"/>
          <w:sz w:val="24"/>
          <w:szCs w:val="24"/>
          <w:lang w:eastAsia="en-US"/>
        </w:rPr>
        <w:t xml:space="preserve">identified as </w:t>
      </w:r>
      <w:r w:rsidR="009119F4" w:rsidRPr="006A199E">
        <w:rPr>
          <w:rFonts w:asciiTheme="majorHAnsi" w:eastAsiaTheme="minorHAnsi" w:hAnsiTheme="majorHAnsi"/>
          <w:sz w:val="24"/>
          <w:szCs w:val="24"/>
          <w:lang w:eastAsia="en-US"/>
        </w:rPr>
        <w:t>saline shrimp farms</w:t>
      </w:r>
      <w:r w:rsidRPr="006A199E">
        <w:rPr>
          <w:rFonts w:asciiTheme="majorHAnsi" w:eastAsiaTheme="minorHAnsi" w:hAnsiTheme="majorHAnsi"/>
          <w:sz w:val="24"/>
          <w:szCs w:val="24"/>
          <w:lang w:eastAsia="en-US"/>
        </w:rPr>
        <w:t>. A key separation of these two shrimp farms is their shape and size, a property that in some cases may be too small for Landsat, yet clearly visible in Google Earth. Wetland/Mudflats were poorly identified; the principal source of error is that these narrow linear features are missed through spatial misalignment with Google Earth imagery.</w:t>
      </w:r>
      <w:r w:rsidR="00E8396D" w:rsidRPr="006A199E">
        <w:rPr>
          <w:rFonts w:asciiTheme="majorHAnsi" w:eastAsiaTheme="minorHAnsi" w:hAnsiTheme="majorHAnsi"/>
          <w:sz w:val="24"/>
          <w:szCs w:val="24"/>
          <w:lang w:eastAsia="en-US"/>
        </w:rPr>
        <w:t xml:space="preserve"> </w:t>
      </w:r>
    </w:p>
    <w:p w:rsidR="004C69B3" w:rsidRPr="006A199E" w:rsidRDefault="00213DE0" w:rsidP="00994F64">
      <w:pPr>
        <w:spacing w:line="480" w:lineRule="auto"/>
        <w:ind w:firstLine="720"/>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t xml:space="preserve">Producer Accuracy is the probability of reference pixel being correctly classified. In other words from the perspective of the map maker how accurate was the classification?  Major urban area, mangrove and </w:t>
      </w:r>
      <w:r w:rsidR="004C69B3" w:rsidRPr="006A199E">
        <w:rPr>
          <w:rFonts w:asciiTheme="majorHAnsi" w:eastAsiaTheme="minorHAnsi" w:hAnsiTheme="majorHAnsi"/>
          <w:sz w:val="24"/>
          <w:szCs w:val="24"/>
          <w:lang w:eastAsia="en-US"/>
        </w:rPr>
        <w:t>freshwater shrimp farms</w:t>
      </w:r>
      <w:r w:rsidRPr="006A199E">
        <w:rPr>
          <w:rFonts w:asciiTheme="majorHAnsi" w:eastAsiaTheme="minorHAnsi" w:hAnsiTheme="majorHAnsi"/>
          <w:sz w:val="24"/>
          <w:szCs w:val="24"/>
          <w:lang w:eastAsia="en-US"/>
        </w:rPr>
        <w:t xml:space="preserve"> all had high procedure accuracy (&gt;= 90%). Rural settlement, agriculture and wetland/mudflats had similar but lower producer accuracy. </w:t>
      </w:r>
      <w:r w:rsidR="004C69B3" w:rsidRPr="006A199E">
        <w:rPr>
          <w:rFonts w:asciiTheme="majorHAnsi" w:eastAsiaTheme="minorHAnsi" w:hAnsiTheme="majorHAnsi"/>
          <w:sz w:val="24"/>
          <w:szCs w:val="24"/>
          <w:lang w:eastAsia="en-US"/>
        </w:rPr>
        <w:t>S</w:t>
      </w:r>
      <w:r w:rsidRPr="006A199E">
        <w:rPr>
          <w:rFonts w:asciiTheme="majorHAnsi" w:eastAsiaTheme="minorHAnsi" w:hAnsiTheme="majorHAnsi"/>
          <w:sz w:val="24"/>
          <w:szCs w:val="24"/>
          <w:lang w:eastAsia="en-US"/>
        </w:rPr>
        <w:t xml:space="preserve">aline shrimp farms had the lowest producer accuracy and it is clear the bulk of the omission errors </w:t>
      </w:r>
      <w:r w:rsidR="009119F4" w:rsidRPr="006A199E">
        <w:rPr>
          <w:rFonts w:asciiTheme="majorHAnsi" w:eastAsiaTheme="minorHAnsi" w:hAnsiTheme="majorHAnsi"/>
          <w:sz w:val="24"/>
          <w:szCs w:val="24"/>
          <w:lang w:eastAsia="en-US"/>
        </w:rPr>
        <w:t>we</w:t>
      </w:r>
      <w:r w:rsidRPr="006A199E">
        <w:rPr>
          <w:rFonts w:asciiTheme="majorHAnsi" w:eastAsiaTheme="minorHAnsi" w:hAnsiTheme="majorHAnsi"/>
          <w:sz w:val="24"/>
          <w:szCs w:val="24"/>
          <w:lang w:eastAsia="en-US"/>
        </w:rPr>
        <w:t>re identified as</w:t>
      </w:r>
      <w:r w:rsidR="00994F64" w:rsidRPr="006A199E">
        <w:rPr>
          <w:rFonts w:asciiTheme="majorHAnsi" w:eastAsiaTheme="minorHAnsi" w:hAnsiTheme="majorHAnsi"/>
          <w:sz w:val="24"/>
          <w:szCs w:val="24"/>
          <w:lang w:eastAsia="en-US"/>
        </w:rPr>
        <w:t xml:space="preserve"> </w:t>
      </w:r>
      <w:r w:rsidR="009119F4" w:rsidRPr="006A199E">
        <w:rPr>
          <w:rFonts w:asciiTheme="majorHAnsi" w:eastAsiaTheme="minorHAnsi" w:hAnsiTheme="majorHAnsi"/>
          <w:sz w:val="24"/>
          <w:szCs w:val="24"/>
          <w:lang w:eastAsia="en-US"/>
        </w:rPr>
        <w:t>freshwater shrimp farms</w:t>
      </w:r>
      <w:r w:rsidRPr="006A199E">
        <w:rPr>
          <w:rFonts w:asciiTheme="majorHAnsi" w:eastAsiaTheme="minorHAnsi" w:hAnsiTheme="majorHAnsi"/>
          <w:sz w:val="24"/>
          <w:szCs w:val="24"/>
          <w:lang w:eastAsia="en-US"/>
        </w:rPr>
        <w:t>, these</w:t>
      </w:r>
      <w:r w:rsidR="009119F4" w:rsidRPr="006A199E">
        <w:rPr>
          <w:rFonts w:asciiTheme="majorHAnsi" w:eastAsiaTheme="minorHAnsi" w:hAnsiTheme="majorHAnsi"/>
          <w:sz w:val="24"/>
          <w:szCs w:val="24"/>
          <w:lang w:eastAsia="en-US"/>
        </w:rPr>
        <w:t xml:space="preserve"> are likely </w:t>
      </w:r>
      <w:r w:rsidRPr="006A199E">
        <w:rPr>
          <w:rFonts w:asciiTheme="majorHAnsi" w:eastAsiaTheme="minorHAnsi" w:hAnsiTheme="majorHAnsi"/>
          <w:sz w:val="24"/>
          <w:szCs w:val="24"/>
          <w:lang w:eastAsia="en-US"/>
        </w:rPr>
        <w:t>d</w:t>
      </w:r>
      <w:r w:rsidR="009119F4" w:rsidRPr="006A199E">
        <w:rPr>
          <w:rFonts w:asciiTheme="majorHAnsi" w:eastAsiaTheme="minorHAnsi" w:hAnsiTheme="majorHAnsi"/>
          <w:sz w:val="24"/>
          <w:szCs w:val="24"/>
          <w:lang w:eastAsia="en-US"/>
        </w:rPr>
        <w:t xml:space="preserve">ue to misclassification of </w:t>
      </w:r>
      <w:r w:rsidRPr="006A199E">
        <w:rPr>
          <w:rFonts w:asciiTheme="majorHAnsi" w:eastAsiaTheme="minorHAnsi" w:hAnsiTheme="majorHAnsi"/>
          <w:sz w:val="24"/>
          <w:szCs w:val="24"/>
          <w:lang w:eastAsia="en-US"/>
        </w:rPr>
        <w:t>shrimp farms with similar size.</w:t>
      </w:r>
    </w:p>
    <w:p w:rsidR="00D11242" w:rsidRDefault="00D11242" w:rsidP="00A11772">
      <w:pPr>
        <w:spacing w:after="0" w:line="480" w:lineRule="auto"/>
        <w:jc w:val="both"/>
        <w:rPr>
          <w:rFonts w:asciiTheme="majorHAnsi" w:eastAsiaTheme="minorHAnsi" w:hAnsiTheme="majorHAnsi"/>
          <w:b/>
          <w:bCs/>
          <w:sz w:val="24"/>
          <w:szCs w:val="24"/>
          <w:lang w:eastAsia="en-US"/>
        </w:rPr>
      </w:pPr>
    </w:p>
    <w:p w:rsidR="004C69B3" w:rsidRPr="006A199E" w:rsidRDefault="00213DE0" w:rsidP="00A11772">
      <w:pPr>
        <w:spacing w:after="0" w:line="480" w:lineRule="auto"/>
        <w:jc w:val="both"/>
        <w:rPr>
          <w:rFonts w:asciiTheme="majorHAnsi" w:eastAsiaTheme="minorHAnsi" w:hAnsiTheme="majorHAnsi"/>
          <w:b/>
          <w:bCs/>
          <w:sz w:val="24"/>
          <w:szCs w:val="24"/>
          <w:lang w:eastAsia="en-US"/>
        </w:rPr>
      </w:pPr>
      <w:r w:rsidRPr="006A199E">
        <w:rPr>
          <w:rFonts w:asciiTheme="majorHAnsi" w:eastAsiaTheme="minorHAnsi" w:hAnsiTheme="majorHAnsi"/>
          <w:b/>
          <w:bCs/>
          <w:sz w:val="24"/>
          <w:szCs w:val="24"/>
          <w:lang w:eastAsia="en-US"/>
        </w:rPr>
        <w:lastRenderedPageBreak/>
        <w:t>References</w:t>
      </w:r>
    </w:p>
    <w:p w:rsidR="00D11242" w:rsidRPr="00E41534" w:rsidRDefault="00D11242" w:rsidP="00D11242">
      <w:pPr>
        <w:spacing w:after="0" w:line="480" w:lineRule="auto"/>
        <w:ind w:left="720" w:hanging="720"/>
        <w:jc w:val="both"/>
        <w:rPr>
          <w:rFonts w:asciiTheme="majorHAnsi" w:hAnsiTheme="majorHAnsi"/>
          <w:sz w:val="24"/>
          <w:szCs w:val="24"/>
        </w:rPr>
      </w:pPr>
      <w:proofErr w:type="gramStart"/>
      <w:r w:rsidRPr="00E41534">
        <w:rPr>
          <w:rFonts w:asciiTheme="majorHAnsi" w:hAnsiTheme="majorHAnsi"/>
          <w:sz w:val="24"/>
          <w:szCs w:val="24"/>
        </w:rPr>
        <w:t>ESRI (2013) ArcGIS 10.2.</w:t>
      </w:r>
      <w:proofErr w:type="gramEnd"/>
      <w:r w:rsidRPr="00E41534">
        <w:rPr>
          <w:rFonts w:asciiTheme="majorHAnsi" w:hAnsiTheme="majorHAnsi"/>
          <w:sz w:val="24"/>
          <w:szCs w:val="24"/>
        </w:rPr>
        <w:t xml:space="preserve"> </w:t>
      </w:r>
      <w:proofErr w:type="gramStart"/>
      <w:r w:rsidRPr="00E41534">
        <w:rPr>
          <w:rFonts w:asciiTheme="majorHAnsi" w:hAnsiTheme="majorHAnsi"/>
          <w:sz w:val="24"/>
          <w:szCs w:val="24"/>
        </w:rPr>
        <w:t>Environmental Systems Resource Institute, Redlands, California.</w:t>
      </w:r>
      <w:proofErr w:type="gramEnd"/>
    </w:p>
    <w:p w:rsidR="00D11242" w:rsidRPr="00E41534" w:rsidRDefault="00D11242" w:rsidP="00D11242">
      <w:pPr>
        <w:spacing w:after="0" w:line="480" w:lineRule="auto"/>
        <w:ind w:left="720" w:hanging="720"/>
        <w:jc w:val="both"/>
        <w:rPr>
          <w:rFonts w:asciiTheme="majorHAnsi" w:hAnsiTheme="majorHAnsi"/>
          <w:sz w:val="24"/>
          <w:szCs w:val="24"/>
        </w:rPr>
      </w:pPr>
      <w:proofErr w:type="spellStart"/>
      <w:proofErr w:type="gramStart"/>
      <w:r w:rsidRPr="00D11242">
        <w:rPr>
          <w:rFonts w:asciiTheme="majorHAnsi" w:hAnsiTheme="majorHAnsi"/>
          <w:sz w:val="24"/>
          <w:szCs w:val="24"/>
        </w:rPr>
        <w:t>Exelis</w:t>
      </w:r>
      <w:proofErr w:type="spellEnd"/>
      <w:r w:rsidRPr="00D11242">
        <w:rPr>
          <w:rFonts w:asciiTheme="majorHAnsi" w:hAnsiTheme="majorHAnsi"/>
          <w:sz w:val="24"/>
          <w:szCs w:val="24"/>
        </w:rPr>
        <w:t xml:space="preserve"> Visual Information Solutions (Ed.), 2012.</w:t>
      </w:r>
      <w:proofErr w:type="gramEnd"/>
      <w:r w:rsidRPr="00D11242">
        <w:rPr>
          <w:rFonts w:asciiTheme="majorHAnsi" w:hAnsiTheme="majorHAnsi"/>
          <w:sz w:val="24"/>
          <w:szCs w:val="24"/>
        </w:rPr>
        <w:t xml:space="preserve"> </w:t>
      </w:r>
      <w:r w:rsidRPr="00E41534">
        <w:rPr>
          <w:rFonts w:asciiTheme="majorHAnsi" w:hAnsiTheme="majorHAnsi"/>
          <w:sz w:val="24"/>
          <w:szCs w:val="24"/>
        </w:rPr>
        <w:t>ENVI Documentation, ENVI v5.0.</w:t>
      </w:r>
    </w:p>
    <w:p w:rsidR="00A11772" w:rsidRDefault="00213DE0" w:rsidP="00A11772">
      <w:pPr>
        <w:spacing w:after="0" w:line="480" w:lineRule="auto"/>
        <w:ind w:left="720" w:hanging="720"/>
        <w:jc w:val="both"/>
        <w:rPr>
          <w:rFonts w:asciiTheme="majorHAnsi" w:eastAsiaTheme="minorHAnsi" w:hAnsiTheme="majorHAnsi"/>
          <w:sz w:val="24"/>
          <w:szCs w:val="24"/>
          <w:lang w:eastAsia="en-US"/>
        </w:rPr>
      </w:pPr>
      <w:proofErr w:type="spellStart"/>
      <w:r w:rsidRPr="006A199E">
        <w:rPr>
          <w:rFonts w:asciiTheme="majorHAnsi" w:eastAsiaTheme="minorHAnsi" w:hAnsiTheme="majorHAnsi"/>
          <w:sz w:val="24"/>
          <w:szCs w:val="24"/>
          <w:lang w:eastAsia="en-US"/>
        </w:rPr>
        <w:t>Lillesand</w:t>
      </w:r>
      <w:proofErr w:type="spellEnd"/>
      <w:r w:rsidRPr="006A199E">
        <w:rPr>
          <w:rFonts w:asciiTheme="majorHAnsi" w:eastAsiaTheme="minorHAnsi" w:hAnsiTheme="majorHAnsi"/>
          <w:sz w:val="24"/>
          <w:szCs w:val="24"/>
          <w:lang w:eastAsia="en-US"/>
        </w:rPr>
        <w:t xml:space="preserve"> TM, Kiefer RW (2000) Remote Sensing and Image Interpretation, 4th ed., John Wiley</w:t>
      </w:r>
      <w:r w:rsidR="004C69B3" w:rsidRPr="006A199E">
        <w:rPr>
          <w:rFonts w:asciiTheme="majorHAnsi" w:eastAsiaTheme="minorHAnsi" w:hAnsiTheme="majorHAnsi"/>
          <w:sz w:val="24"/>
          <w:szCs w:val="24"/>
          <w:lang w:eastAsia="en-US"/>
        </w:rPr>
        <w:t>:</w:t>
      </w:r>
      <w:r w:rsidRPr="006A199E">
        <w:rPr>
          <w:rFonts w:asciiTheme="majorHAnsi" w:eastAsiaTheme="minorHAnsi" w:hAnsiTheme="majorHAnsi"/>
          <w:sz w:val="24"/>
          <w:szCs w:val="24"/>
          <w:lang w:eastAsia="en-US"/>
        </w:rPr>
        <w:t xml:space="preserve"> New York.</w:t>
      </w:r>
    </w:p>
    <w:p w:rsidR="00D11242" w:rsidRPr="00E41534" w:rsidRDefault="00D11242" w:rsidP="00D11242">
      <w:pPr>
        <w:spacing w:after="0" w:line="480" w:lineRule="auto"/>
        <w:ind w:left="720" w:hanging="720"/>
        <w:jc w:val="both"/>
        <w:rPr>
          <w:rFonts w:asciiTheme="majorHAnsi" w:hAnsiTheme="majorHAnsi"/>
          <w:sz w:val="24"/>
          <w:szCs w:val="24"/>
        </w:rPr>
      </w:pPr>
      <w:proofErr w:type="spellStart"/>
      <w:r w:rsidRPr="00E41534">
        <w:rPr>
          <w:rFonts w:asciiTheme="majorHAnsi" w:hAnsiTheme="majorHAnsi"/>
          <w:sz w:val="24"/>
          <w:szCs w:val="24"/>
        </w:rPr>
        <w:t>McFeeters</w:t>
      </w:r>
      <w:proofErr w:type="spellEnd"/>
      <w:r w:rsidRPr="00E41534">
        <w:rPr>
          <w:rFonts w:asciiTheme="majorHAnsi" w:hAnsiTheme="majorHAnsi"/>
          <w:sz w:val="24"/>
          <w:szCs w:val="24"/>
        </w:rPr>
        <w:t xml:space="preserve"> SK (1996) </w:t>
      </w:r>
      <w:proofErr w:type="gramStart"/>
      <w:r w:rsidRPr="00E41534">
        <w:rPr>
          <w:rFonts w:asciiTheme="majorHAnsi" w:hAnsiTheme="majorHAnsi"/>
          <w:sz w:val="24"/>
          <w:szCs w:val="24"/>
        </w:rPr>
        <w:t>The</w:t>
      </w:r>
      <w:proofErr w:type="gramEnd"/>
      <w:r w:rsidRPr="00E41534">
        <w:rPr>
          <w:rFonts w:asciiTheme="majorHAnsi" w:hAnsiTheme="majorHAnsi"/>
          <w:sz w:val="24"/>
          <w:szCs w:val="24"/>
        </w:rPr>
        <w:t xml:space="preserve"> use of normalized difference water index (NDWI) in the delineation of open water features. International Journal of Remote Sensing 17:1425-1432.</w:t>
      </w:r>
    </w:p>
    <w:p w:rsidR="00213DE0" w:rsidRDefault="007248C8" w:rsidP="00994F64">
      <w:pPr>
        <w:spacing w:after="0" w:line="480" w:lineRule="auto"/>
        <w:ind w:left="720" w:hanging="720"/>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t xml:space="preserve">Munoz SR, </w:t>
      </w:r>
      <w:proofErr w:type="spellStart"/>
      <w:r w:rsidRPr="006A199E">
        <w:rPr>
          <w:rFonts w:asciiTheme="majorHAnsi" w:eastAsiaTheme="minorHAnsi" w:hAnsiTheme="majorHAnsi"/>
          <w:sz w:val="24"/>
          <w:szCs w:val="24"/>
          <w:lang w:eastAsia="en-US"/>
        </w:rPr>
        <w:t>Bangdiwala</w:t>
      </w:r>
      <w:proofErr w:type="spellEnd"/>
      <w:r w:rsidRPr="006A199E">
        <w:rPr>
          <w:rFonts w:asciiTheme="majorHAnsi" w:eastAsiaTheme="minorHAnsi" w:hAnsiTheme="majorHAnsi"/>
          <w:sz w:val="24"/>
          <w:szCs w:val="24"/>
          <w:lang w:eastAsia="en-US"/>
        </w:rPr>
        <w:t xml:space="preserve"> SI (1997) Interpretation of Kappa and B statistics measures of agreement. Journal of Applied Statistics 24(1):105-112, </w:t>
      </w:r>
      <w:proofErr w:type="spellStart"/>
      <w:r w:rsidRPr="006A199E">
        <w:rPr>
          <w:rFonts w:asciiTheme="majorHAnsi" w:eastAsiaTheme="minorHAnsi" w:hAnsiTheme="majorHAnsi"/>
          <w:sz w:val="24"/>
          <w:szCs w:val="24"/>
          <w:lang w:eastAsia="en-US"/>
        </w:rPr>
        <w:t>doi</w:t>
      </w:r>
      <w:proofErr w:type="spellEnd"/>
      <w:r w:rsidRPr="006A199E">
        <w:rPr>
          <w:rFonts w:asciiTheme="majorHAnsi" w:eastAsiaTheme="minorHAnsi" w:hAnsiTheme="majorHAnsi"/>
          <w:sz w:val="24"/>
          <w:szCs w:val="24"/>
          <w:lang w:eastAsia="en-US"/>
        </w:rPr>
        <w:t>: 10.1080/02664769723918</w:t>
      </w:r>
      <w:r w:rsidR="00D11242">
        <w:rPr>
          <w:rFonts w:asciiTheme="majorHAnsi" w:eastAsiaTheme="minorHAnsi" w:hAnsiTheme="majorHAnsi"/>
          <w:sz w:val="24"/>
          <w:szCs w:val="24"/>
          <w:lang w:eastAsia="en-US"/>
        </w:rPr>
        <w:t>.</w:t>
      </w:r>
    </w:p>
    <w:p w:rsidR="00D11242" w:rsidRPr="00E41534" w:rsidRDefault="00D11242" w:rsidP="00D11242">
      <w:pPr>
        <w:spacing w:after="0" w:line="480" w:lineRule="auto"/>
        <w:ind w:left="720" w:hanging="720"/>
        <w:jc w:val="both"/>
        <w:rPr>
          <w:rFonts w:asciiTheme="majorHAnsi" w:hAnsiTheme="majorHAnsi"/>
          <w:sz w:val="24"/>
          <w:szCs w:val="24"/>
        </w:rPr>
      </w:pPr>
      <w:proofErr w:type="spellStart"/>
      <w:r w:rsidRPr="00E41534">
        <w:rPr>
          <w:rFonts w:asciiTheme="majorHAnsi" w:hAnsiTheme="majorHAnsi"/>
          <w:sz w:val="24"/>
          <w:szCs w:val="24"/>
        </w:rPr>
        <w:t>Sandholt</w:t>
      </w:r>
      <w:proofErr w:type="spellEnd"/>
      <w:r w:rsidRPr="00E41534">
        <w:rPr>
          <w:rFonts w:asciiTheme="majorHAnsi" w:hAnsiTheme="majorHAnsi"/>
          <w:sz w:val="24"/>
          <w:szCs w:val="24"/>
        </w:rPr>
        <w:t xml:space="preserve"> I, Rasmussen K, Andersen J (2002) </w:t>
      </w:r>
      <w:proofErr w:type="gramStart"/>
      <w:r w:rsidRPr="00E41534">
        <w:rPr>
          <w:rFonts w:asciiTheme="majorHAnsi" w:hAnsiTheme="majorHAnsi"/>
          <w:sz w:val="24"/>
          <w:szCs w:val="24"/>
        </w:rPr>
        <w:t>A</w:t>
      </w:r>
      <w:proofErr w:type="gramEnd"/>
      <w:r w:rsidRPr="00E41534">
        <w:rPr>
          <w:rFonts w:asciiTheme="majorHAnsi" w:hAnsiTheme="majorHAnsi"/>
          <w:sz w:val="24"/>
          <w:szCs w:val="24"/>
        </w:rPr>
        <w:t xml:space="preserve"> simple interpretation of the surface temperature/vegetation index space for assessment of surface moisture status. Remote Sensing of Environment 79(2-3):213-224.</w:t>
      </w:r>
    </w:p>
    <w:p w:rsidR="00D11242" w:rsidRPr="006A199E" w:rsidRDefault="00D11242" w:rsidP="00994F64">
      <w:pPr>
        <w:spacing w:after="0" w:line="480" w:lineRule="auto"/>
        <w:ind w:left="720" w:hanging="720"/>
        <w:jc w:val="both"/>
        <w:rPr>
          <w:rFonts w:asciiTheme="majorHAnsi" w:eastAsiaTheme="minorHAnsi" w:hAnsiTheme="majorHAnsi"/>
          <w:sz w:val="24"/>
          <w:szCs w:val="24"/>
          <w:lang w:eastAsia="en-US"/>
        </w:rPr>
      </w:pPr>
    </w:p>
    <w:p w:rsidR="006117CB" w:rsidRPr="006A199E" w:rsidRDefault="006117CB" w:rsidP="00213DE0">
      <w:pPr>
        <w:spacing w:after="0" w:line="240" w:lineRule="auto"/>
        <w:jc w:val="both"/>
        <w:rPr>
          <w:rFonts w:asciiTheme="majorHAnsi" w:eastAsiaTheme="minorHAnsi" w:hAnsiTheme="majorHAnsi"/>
          <w:sz w:val="24"/>
          <w:szCs w:val="24"/>
          <w:lang w:eastAsia="en-US"/>
        </w:rPr>
        <w:sectPr w:rsidR="006117CB" w:rsidRPr="006A199E">
          <w:footerReference w:type="default" r:id="rId7"/>
          <w:pgSz w:w="11906" w:h="16838"/>
          <w:pgMar w:top="1440" w:right="1440" w:bottom="1440" w:left="1440" w:header="708" w:footer="708" w:gutter="0"/>
          <w:cols w:space="708"/>
          <w:docGrid w:linePitch="360"/>
        </w:sectPr>
      </w:pPr>
      <w:bookmarkStart w:id="0" w:name="_GoBack"/>
      <w:bookmarkEnd w:id="0"/>
    </w:p>
    <w:p w:rsidR="00857628" w:rsidRPr="006A199E" w:rsidRDefault="00857628" w:rsidP="00994F64">
      <w:pPr>
        <w:spacing w:after="0" w:line="240" w:lineRule="auto"/>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lastRenderedPageBreak/>
        <w:t xml:space="preserve">Table 1: </w:t>
      </w:r>
      <w:r w:rsidR="00213DE0" w:rsidRPr="006A199E">
        <w:rPr>
          <w:rFonts w:asciiTheme="majorHAnsi" w:eastAsiaTheme="minorHAnsi" w:hAnsiTheme="majorHAnsi"/>
          <w:sz w:val="24"/>
          <w:szCs w:val="24"/>
          <w:lang w:eastAsia="en-US"/>
        </w:rPr>
        <w:t xml:space="preserve">Error </w:t>
      </w:r>
      <w:r w:rsidRPr="006A199E">
        <w:rPr>
          <w:rFonts w:asciiTheme="majorHAnsi" w:eastAsiaTheme="minorHAnsi" w:hAnsiTheme="majorHAnsi"/>
          <w:sz w:val="24"/>
          <w:szCs w:val="24"/>
          <w:lang w:eastAsia="en-US"/>
        </w:rPr>
        <w:t>matrix sampl</w:t>
      </w:r>
      <w:r w:rsidR="00994F64" w:rsidRPr="006A199E">
        <w:rPr>
          <w:rFonts w:asciiTheme="majorHAnsi" w:eastAsiaTheme="minorHAnsi" w:hAnsiTheme="majorHAnsi"/>
          <w:sz w:val="24"/>
          <w:szCs w:val="24"/>
          <w:lang w:eastAsia="en-US"/>
        </w:rPr>
        <w:t>ed</w:t>
      </w:r>
      <w:r w:rsidRPr="006A199E">
        <w:rPr>
          <w:rFonts w:asciiTheme="majorHAnsi" w:eastAsiaTheme="minorHAnsi" w:hAnsiTheme="majorHAnsi"/>
          <w:sz w:val="24"/>
          <w:szCs w:val="24"/>
          <w:lang w:eastAsia="en-US"/>
        </w:rPr>
        <w:t xml:space="preserve"> units by class</w:t>
      </w:r>
    </w:p>
    <w:tbl>
      <w:tblPr>
        <w:tblStyle w:val="TableGrid"/>
        <w:tblW w:w="13750" w:type="dxa"/>
        <w:tblInd w:w="108" w:type="dxa"/>
        <w:tblLayout w:type="fixed"/>
        <w:tblLook w:val="04A0" w:firstRow="1" w:lastRow="0" w:firstColumn="1" w:lastColumn="0" w:noHBand="0" w:noVBand="1"/>
      </w:tblPr>
      <w:tblGrid>
        <w:gridCol w:w="1701"/>
        <w:gridCol w:w="1559"/>
        <w:gridCol w:w="1560"/>
        <w:gridCol w:w="1417"/>
        <w:gridCol w:w="1276"/>
        <w:gridCol w:w="1134"/>
        <w:gridCol w:w="1134"/>
        <w:gridCol w:w="1275"/>
        <w:gridCol w:w="851"/>
        <w:gridCol w:w="993"/>
        <w:gridCol w:w="850"/>
      </w:tblGrid>
      <w:tr w:rsidR="00857628" w:rsidRPr="006A199E" w:rsidTr="00994F64">
        <w:tc>
          <w:tcPr>
            <w:tcW w:w="1701" w:type="dxa"/>
            <w:vMerge w:val="restart"/>
          </w:tcPr>
          <w:p w:rsidR="00857628" w:rsidRPr="006A199E" w:rsidRDefault="00857628" w:rsidP="00857628">
            <w:pPr>
              <w:rPr>
                <w:rFonts w:asciiTheme="majorHAnsi" w:hAnsiTheme="majorHAnsi"/>
                <w:sz w:val="18"/>
                <w:szCs w:val="18"/>
              </w:rPr>
            </w:pPr>
            <w:r w:rsidRPr="006A199E">
              <w:rPr>
                <w:rFonts w:asciiTheme="majorHAnsi" w:hAnsiTheme="majorHAnsi"/>
                <w:sz w:val="18"/>
                <w:szCs w:val="18"/>
              </w:rPr>
              <w:t>Map Class</w:t>
            </w:r>
          </w:p>
        </w:tc>
        <w:tc>
          <w:tcPr>
            <w:tcW w:w="11199" w:type="dxa"/>
            <w:gridSpan w:val="9"/>
            <w:tcBorders>
              <w:top w:val="single" w:sz="4" w:space="0" w:color="auto"/>
            </w:tcBorders>
          </w:tcPr>
          <w:p w:rsidR="00857628" w:rsidRPr="006A199E" w:rsidRDefault="00857628" w:rsidP="00857628">
            <w:pPr>
              <w:rPr>
                <w:rFonts w:asciiTheme="majorHAnsi" w:hAnsiTheme="majorHAnsi"/>
                <w:sz w:val="18"/>
                <w:szCs w:val="18"/>
              </w:rPr>
            </w:pPr>
            <w:r w:rsidRPr="006A199E">
              <w:rPr>
                <w:rFonts w:asciiTheme="majorHAnsi" w:hAnsiTheme="majorHAnsi"/>
                <w:sz w:val="18"/>
                <w:szCs w:val="18"/>
              </w:rPr>
              <w:t>Reference data –observed using Google Earth</w:t>
            </w:r>
          </w:p>
        </w:tc>
        <w:tc>
          <w:tcPr>
            <w:tcW w:w="850" w:type="dxa"/>
            <w:vMerge w:val="restart"/>
            <w:tcBorders>
              <w:top w:val="single" w:sz="4" w:space="0" w:color="auto"/>
              <w:right w:val="single" w:sz="4" w:space="0" w:color="auto"/>
            </w:tcBorders>
          </w:tcPr>
          <w:p w:rsidR="00857628" w:rsidRPr="006A199E" w:rsidRDefault="00857628" w:rsidP="00857628">
            <w:pPr>
              <w:rPr>
                <w:rFonts w:asciiTheme="majorHAnsi" w:hAnsiTheme="majorHAnsi"/>
                <w:sz w:val="18"/>
                <w:szCs w:val="18"/>
              </w:rPr>
            </w:pPr>
            <w:r w:rsidRPr="006A199E">
              <w:rPr>
                <w:rFonts w:asciiTheme="majorHAnsi" w:hAnsiTheme="majorHAnsi"/>
                <w:sz w:val="18"/>
                <w:szCs w:val="18"/>
              </w:rPr>
              <w:t>Total</w:t>
            </w:r>
          </w:p>
        </w:tc>
      </w:tr>
      <w:tr w:rsidR="00857628" w:rsidRPr="006A199E" w:rsidTr="00994F64">
        <w:tc>
          <w:tcPr>
            <w:tcW w:w="1701" w:type="dxa"/>
            <w:vMerge/>
          </w:tcPr>
          <w:p w:rsidR="00857628" w:rsidRPr="006A199E" w:rsidRDefault="00857628" w:rsidP="008C254D">
            <w:pPr>
              <w:rPr>
                <w:rFonts w:asciiTheme="majorHAnsi" w:hAnsiTheme="majorHAnsi"/>
                <w:sz w:val="18"/>
                <w:szCs w:val="18"/>
              </w:rPr>
            </w:pPr>
          </w:p>
        </w:tc>
        <w:tc>
          <w:tcPr>
            <w:tcW w:w="1559" w:type="dxa"/>
          </w:tcPr>
          <w:p w:rsidR="00857628" w:rsidRPr="006A199E" w:rsidRDefault="00213DE0" w:rsidP="00213DE0">
            <w:pPr>
              <w:rPr>
                <w:rFonts w:asciiTheme="majorHAnsi" w:hAnsiTheme="majorHAnsi"/>
                <w:sz w:val="18"/>
                <w:szCs w:val="18"/>
              </w:rPr>
            </w:pPr>
            <w:r w:rsidRPr="006A199E">
              <w:rPr>
                <w:rFonts w:asciiTheme="majorHAnsi" w:hAnsiTheme="majorHAnsi"/>
                <w:sz w:val="18"/>
                <w:szCs w:val="18"/>
              </w:rPr>
              <w:t>Non-water logged agricultural land</w:t>
            </w:r>
            <w:r w:rsidR="00857628" w:rsidRPr="006A199E">
              <w:rPr>
                <w:rFonts w:asciiTheme="majorHAnsi" w:hAnsiTheme="majorHAnsi"/>
                <w:sz w:val="18"/>
                <w:szCs w:val="18"/>
              </w:rPr>
              <w:t xml:space="preserve"> </w:t>
            </w:r>
          </w:p>
        </w:tc>
        <w:tc>
          <w:tcPr>
            <w:tcW w:w="1560" w:type="dxa"/>
          </w:tcPr>
          <w:p w:rsidR="00857628" w:rsidRPr="006A199E" w:rsidRDefault="00213DE0" w:rsidP="00213DE0">
            <w:pPr>
              <w:rPr>
                <w:rFonts w:asciiTheme="majorHAnsi" w:hAnsiTheme="majorHAnsi"/>
                <w:sz w:val="18"/>
                <w:szCs w:val="18"/>
              </w:rPr>
            </w:pPr>
            <w:r w:rsidRPr="006A199E">
              <w:rPr>
                <w:rFonts w:asciiTheme="majorHAnsi" w:hAnsiTheme="majorHAnsi"/>
                <w:sz w:val="18"/>
                <w:szCs w:val="18"/>
              </w:rPr>
              <w:t>Water logged Agricultural land</w:t>
            </w:r>
          </w:p>
        </w:tc>
        <w:tc>
          <w:tcPr>
            <w:tcW w:w="1417" w:type="dxa"/>
          </w:tcPr>
          <w:p w:rsidR="00857628" w:rsidRPr="006A199E" w:rsidRDefault="00857628" w:rsidP="006117CB">
            <w:pPr>
              <w:ind w:right="175"/>
              <w:rPr>
                <w:rFonts w:asciiTheme="majorHAnsi" w:hAnsiTheme="majorHAnsi"/>
                <w:sz w:val="18"/>
                <w:szCs w:val="18"/>
              </w:rPr>
            </w:pPr>
            <w:r w:rsidRPr="006A199E">
              <w:rPr>
                <w:rFonts w:asciiTheme="majorHAnsi" w:hAnsiTheme="majorHAnsi"/>
                <w:sz w:val="18"/>
                <w:szCs w:val="18"/>
              </w:rPr>
              <w:t>S</w:t>
            </w:r>
            <w:r w:rsidR="006117CB" w:rsidRPr="006A199E">
              <w:rPr>
                <w:rFonts w:asciiTheme="majorHAnsi" w:hAnsiTheme="majorHAnsi"/>
                <w:sz w:val="18"/>
                <w:szCs w:val="18"/>
              </w:rPr>
              <w:t>aline water shrimp farm</w:t>
            </w:r>
          </w:p>
        </w:tc>
        <w:tc>
          <w:tcPr>
            <w:tcW w:w="1276" w:type="dxa"/>
          </w:tcPr>
          <w:p w:rsidR="00857628" w:rsidRPr="006A199E" w:rsidRDefault="00857628" w:rsidP="006117CB">
            <w:pPr>
              <w:rPr>
                <w:rFonts w:asciiTheme="majorHAnsi" w:hAnsiTheme="majorHAnsi"/>
                <w:sz w:val="18"/>
                <w:szCs w:val="18"/>
              </w:rPr>
            </w:pPr>
            <w:r w:rsidRPr="006A199E">
              <w:rPr>
                <w:rFonts w:asciiTheme="majorHAnsi" w:hAnsiTheme="majorHAnsi"/>
                <w:sz w:val="18"/>
                <w:szCs w:val="18"/>
              </w:rPr>
              <w:t>F</w:t>
            </w:r>
            <w:r w:rsidR="006117CB" w:rsidRPr="006A199E">
              <w:rPr>
                <w:rFonts w:asciiTheme="majorHAnsi" w:hAnsiTheme="majorHAnsi"/>
                <w:sz w:val="18"/>
                <w:szCs w:val="18"/>
              </w:rPr>
              <w:t>reshwater shrimp farm</w:t>
            </w:r>
          </w:p>
        </w:tc>
        <w:tc>
          <w:tcPr>
            <w:tcW w:w="1134" w:type="dxa"/>
          </w:tcPr>
          <w:p w:rsidR="00857628" w:rsidRPr="006A199E" w:rsidRDefault="00857628" w:rsidP="008C254D">
            <w:pPr>
              <w:rPr>
                <w:rFonts w:asciiTheme="majorHAnsi" w:hAnsiTheme="majorHAnsi"/>
                <w:sz w:val="18"/>
                <w:szCs w:val="18"/>
              </w:rPr>
            </w:pPr>
            <w:r w:rsidRPr="006A199E">
              <w:rPr>
                <w:rFonts w:asciiTheme="majorHAnsi" w:hAnsiTheme="majorHAnsi"/>
                <w:sz w:val="18"/>
                <w:szCs w:val="18"/>
              </w:rPr>
              <w:t>Major Urban Area</w:t>
            </w:r>
          </w:p>
        </w:tc>
        <w:tc>
          <w:tcPr>
            <w:tcW w:w="1134" w:type="dxa"/>
          </w:tcPr>
          <w:p w:rsidR="00857628" w:rsidRPr="006A199E" w:rsidRDefault="00857628" w:rsidP="008C254D">
            <w:pPr>
              <w:rPr>
                <w:rFonts w:asciiTheme="majorHAnsi" w:hAnsiTheme="majorHAnsi"/>
                <w:sz w:val="18"/>
                <w:szCs w:val="18"/>
              </w:rPr>
            </w:pPr>
            <w:r w:rsidRPr="006A199E">
              <w:rPr>
                <w:rFonts w:asciiTheme="majorHAnsi" w:hAnsiTheme="majorHAnsi"/>
                <w:sz w:val="18"/>
                <w:szCs w:val="18"/>
              </w:rPr>
              <w:t>Mangrove</w:t>
            </w:r>
          </w:p>
        </w:tc>
        <w:tc>
          <w:tcPr>
            <w:tcW w:w="1275" w:type="dxa"/>
          </w:tcPr>
          <w:p w:rsidR="00857628" w:rsidRPr="006A199E" w:rsidRDefault="00857628" w:rsidP="008C254D">
            <w:pPr>
              <w:rPr>
                <w:rFonts w:asciiTheme="majorHAnsi" w:hAnsiTheme="majorHAnsi"/>
                <w:sz w:val="18"/>
                <w:szCs w:val="18"/>
              </w:rPr>
            </w:pPr>
            <w:r w:rsidRPr="006A199E">
              <w:rPr>
                <w:rFonts w:asciiTheme="majorHAnsi" w:hAnsiTheme="majorHAnsi"/>
                <w:sz w:val="18"/>
                <w:szCs w:val="18"/>
              </w:rPr>
              <w:t>Rural Settlement</w:t>
            </w:r>
          </w:p>
        </w:tc>
        <w:tc>
          <w:tcPr>
            <w:tcW w:w="851" w:type="dxa"/>
          </w:tcPr>
          <w:p w:rsidR="00857628" w:rsidRPr="006A199E" w:rsidRDefault="00857628" w:rsidP="008C254D">
            <w:pPr>
              <w:rPr>
                <w:rFonts w:asciiTheme="majorHAnsi" w:hAnsiTheme="majorHAnsi"/>
                <w:sz w:val="18"/>
                <w:szCs w:val="18"/>
              </w:rPr>
            </w:pPr>
            <w:r w:rsidRPr="006A199E">
              <w:rPr>
                <w:rFonts w:asciiTheme="majorHAnsi" w:hAnsiTheme="majorHAnsi"/>
                <w:sz w:val="18"/>
                <w:szCs w:val="18"/>
              </w:rPr>
              <w:t>Water</w:t>
            </w:r>
          </w:p>
        </w:tc>
        <w:tc>
          <w:tcPr>
            <w:tcW w:w="993" w:type="dxa"/>
          </w:tcPr>
          <w:p w:rsidR="00857628" w:rsidRPr="006A199E" w:rsidRDefault="00857628" w:rsidP="008C254D">
            <w:pPr>
              <w:rPr>
                <w:rFonts w:asciiTheme="majorHAnsi" w:hAnsiTheme="majorHAnsi"/>
                <w:sz w:val="18"/>
                <w:szCs w:val="18"/>
              </w:rPr>
            </w:pPr>
            <w:r w:rsidRPr="006A199E">
              <w:rPr>
                <w:rFonts w:asciiTheme="majorHAnsi" w:hAnsiTheme="majorHAnsi"/>
                <w:sz w:val="18"/>
                <w:szCs w:val="18"/>
              </w:rPr>
              <w:t>Wetland/Mudflats</w:t>
            </w:r>
          </w:p>
        </w:tc>
        <w:tc>
          <w:tcPr>
            <w:tcW w:w="850" w:type="dxa"/>
            <w:vMerge/>
            <w:tcBorders>
              <w:right w:val="single" w:sz="4" w:space="0" w:color="auto"/>
            </w:tcBorders>
          </w:tcPr>
          <w:p w:rsidR="00857628" w:rsidRPr="006A199E" w:rsidRDefault="00857628" w:rsidP="008C254D">
            <w:pPr>
              <w:rPr>
                <w:rFonts w:asciiTheme="majorHAnsi" w:hAnsiTheme="majorHAnsi"/>
                <w:sz w:val="18"/>
                <w:szCs w:val="18"/>
              </w:rPr>
            </w:pPr>
          </w:p>
        </w:tc>
      </w:tr>
      <w:tr w:rsidR="008C254D" w:rsidRPr="006A199E" w:rsidTr="00994F64">
        <w:tc>
          <w:tcPr>
            <w:tcW w:w="1701" w:type="dxa"/>
          </w:tcPr>
          <w:p w:rsidR="008C254D" w:rsidRPr="006A199E" w:rsidRDefault="00213DE0" w:rsidP="008C254D">
            <w:pPr>
              <w:rPr>
                <w:rFonts w:asciiTheme="majorHAnsi" w:hAnsiTheme="majorHAnsi"/>
                <w:sz w:val="18"/>
                <w:szCs w:val="18"/>
              </w:rPr>
            </w:pPr>
            <w:r w:rsidRPr="006A199E">
              <w:rPr>
                <w:rFonts w:asciiTheme="majorHAnsi" w:hAnsiTheme="majorHAnsi"/>
                <w:sz w:val="18"/>
                <w:szCs w:val="18"/>
              </w:rPr>
              <w:t>Non-water logged agricultural land</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68</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A11772" w:rsidP="008C254D">
            <w:pPr>
              <w:rPr>
                <w:rFonts w:asciiTheme="majorHAnsi" w:hAnsiTheme="majorHAnsi"/>
                <w:sz w:val="18"/>
                <w:szCs w:val="18"/>
              </w:rPr>
            </w:pPr>
            <w:r w:rsidRPr="006A199E">
              <w:rPr>
                <w:rFonts w:asciiTheme="majorHAnsi" w:hAnsiTheme="majorHAnsi"/>
                <w:sz w:val="18"/>
                <w:szCs w:val="18"/>
              </w:rPr>
              <w:t>Water logged a</w:t>
            </w:r>
            <w:r w:rsidR="00213DE0" w:rsidRPr="006A199E">
              <w:rPr>
                <w:rFonts w:asciiTheme="majorHAnsi" w:hAnsiTheme="majorHAnsi"/>
                <w:sz w:val="18"/>
                <w:szCs w:val="18"/>
              </w:rPr>
              <w:t>gricultural land</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71</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4</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6117CB" w:rsidP="008C254D">
            <w:pPr>
              <w:rPr>
                <w:rFonts w:asciiTheme="majorHAnsi" w:hAnsiTheme="majorHAnsi"/>
                <w:sz w:val="18"/>
                <w:szCs w:val="18"/>
              </w:rPr>
            </w:pPr>
            <w:r w:rsidRPr="006A199E">
              <w:rPr>
                <w:rFonts w:asciiTheme="majorHAnsi" w:hAnsiTheme="majorHAnsi"/>
                <w:sz w:val="18"/>
                <w:szCs w:val="18"/>
              </w:rPr>
              <w:t>Saline water shrimp farm</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68</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6117CB" w:rsidP="008C254D">
            <w:pPr>
              <w:rPr>
                <w:rFonts w:asciiTheme="majorHAnsi" w:hAnsiTheme="majorHAnsi"/>
                <w:sz w:val="18"/>
                <w:szCs w:val="18"/>
              </w:rPr>
            </w:pPr>
            <w:r w:rsidRPr="006A199E">
              <w:rPr>
                <w:rFonts w:asciiTheme="majorHAnsi" w:hAnsiTheme="majorHAnsi"/>
                <w:sz w:val="18"/>
                <w:szCs w:val="18"/>
              </w:rPr>
              <w:t>Freshwater shrimp farm</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16</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55</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Major Urban Area</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13</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Mangrove</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Rural Settlement</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15</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55</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Water</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62</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4</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6117CB">
            <w:pPr>
              <w:rPr>
                <w:rFonts w:asciiTheme="majorHAnsi" w:hAnsiTheme="majorHAnsi"/>
                <w:sz w:val="18"/>
                <w:szCs w:val="18"/>
              </w:rPr>
            </w:pPr>
            <w:r w:rsidRPr="006A199E">
              <w:rPr>
                <w:rFonts w:asciiTheme="majorHAnsi" w:hAnsiTheme="majorHAnsi"/>
                <w:sz w:val="18"/>
                <w:szCs w:val="18"/>
              </w:rPr>
              <w:t>Wetland/Mudflats</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30</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23</w:t>
            </w:r>
          </w:p>
        </w:tc>
        <w:tc>
          <w:tcPr>
            <w:tcW w:w="85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r>
      <w:tr w:rsidR="008C254D" w:rsidRPr="006A199E" w:rsidTr="00994F64">
        <w:tc>
          <w:tcPr>
            <w:tcW w:w="170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Total</w:t>
            </w:r>
          </w:p>
        </w:tc>
        <w:tc>
          <w:tcPr>
            <w:tcW w:w="155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189</w:t>
            </w:r>
          </w:p>
        </w:tc>
        <w:tc>
          <w:tcPr>
            <w:tcW w:w="1560"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141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101</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61</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79</w:t>
            </w:r>
          </w:p>
        </w:tc>
        <w:tc>
          <w:tcPr>
            <w:tcW w:w="1275"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77</w:t>
            </w:r>
          </w:p>
        </w:tc>
        <w:tc>
          <w:tcPr>
            <w:tcW w:w="851"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76</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29</w:t>
            </w:r>
          </w:p>
        </w:tc>
        <w:tc>
          <w:tcPr>
            <w:tcW w:w="850" w:type="dxa"/>
            <w:tcBorders>
              <w:right w:val="single" w:sz="4" w:space="0" w:color="auto"/>
            </w:tcBorders>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675</w:t>
            </w:r>
          </w:p>
        </w:tc>
      </w:tr>
    </w:tbl>
    <w:p w:rsidR="008C254D" w:rsidRPr="006A199E" w:rsidRDefault="008C254D" w:rsidP="006117CB">
      <w:pPr>
        <w:spacing w:after="0" w:line="240" w:lineRule="auto"/>
        <w:jc w:val="both"/>
        <w:rPr>
          <w:rFonts w:asciiTheme="majorHAnsi" w:eastAsiaTheme="minorHAnsi" w:hAnsiTheme="majorHAnsi"/>
          <w:sz w:val="17"/>
          <w:szCs w:val="17"/>
          <w:lang w:eastAsia="en-US"/>
        </w:rPr>
      </w:pPr>
    </w:p>
    <w:p w:rsidR="008C254D" w:rsidRPr="006A199E" w:rsidRDefault="00A11772" w:rsidP="00994F64">
      <w:pPr>
        <w:spacing w:after="0" w:line="240" w:lineRule="auto"/>
        <w:jc w:val="both"/>
        <w:rPr>
          <w:rFonts w:asciiTheme="majorHAnsi" w:eastAsiaTheme="minorHAnsi" w:hAnsiTheme="majorHAnsi"/>
          <w:sz w:val="24"/>
          <w:szCs w:val="24"/>
          <w:lang w:eastAsia="en-US"/>
        </w:rPr>
      </w:pPr>
      <w:r w:rsidRPr="006A199E">
        <w:rPr>
          <w:rFonts w:asciiTheme="majorHAnsi" w:eastAsiaTheme="minorHAnsi" w:hAnsiTheme="majorHAnsi"/>
          <w:sz w:val="24"/>
          <w:szCs w:val="24"/>
          <w:lang w:eastAsia="en-US"/>
        </w:rPr>
        <w:t>Table 2: Error matrix sampl</w:t>
      </w:r>
      <w:r w:rsidR="00994F64" w:rsidRPr="006A199E">
        <w:rPr>
          <w:rFonts w:asciiTheme="majorHAnsi" w:eastAsiaTheme="minorHAnsi" w:hAnsiTheme="majorHAnsi"/>
          <w:sz w:val="24"/>
          <w:szCs w:val="24"/>
          <w:lang w:eastAsia="en-US"/>
        </w:rPr>
        <w:t xml:space="preserve">ed units by class – </w:t>
      </w:r>
      <w:r w:rsidRPr="006A199E">
        <w:rPr>
          <w:rFonts w:asciiTheme="majorHAnsi" w:hAnsiTheme="majorHAnsi"/>
          <w:sz w:val="24"/>
          <w:szCs w:val="24"/>
        </w:rPr>
        <w:t>non-water</w:t>
      </w:r>
      <w:r w:rsidR="00994F64" w:rsidRPr="006A199E">
        <w:rPr>
          <w:rFonts w:asciiTheme="majorHAnsi" w:hAnsiTheme="majorHAnsi"/>
          <w:sz w:val="24"/>
          <w:szCs w:val="24"/>
        </w:rPr>
        <w:t xml:space="preserve"> </w:t>
      </w:r>
      <w:r w:rsidRPr="006A199E">
        <w:rPr>
          <w:rFonts w:asciiTheme="majorHAnsi" w:hAnsiTheme="majorHAnsi"/>
          <w:sz w:val="24"/>
          <w:szCs w:val="24"/>
        </w:rPr>
        <w:t>logged agricultural land and water logged agricultural land combined</w:t>
      </w:r>
      <w:r w:rsidR="00994F64" w:rsidRPr="006A199E">
        <w:rPr>
          <w:rFonts w:asciiTheme="majorHAnsi" w:hAnsiTheme="majorHAnsi"/>
          <w:sz w:val="24"/>
          <w:szCs w:val="24"/>
        </w:rPr>
        <w:t>)</w:t>
      </w:r>
    </w:p>
    <w:tbl>
      <w:tblPr>
        <w:tblStyle w:val="TableGrid"/>
        <w:tblW w:w="14182" w:type="dxa"/>
        <w:tblInd w:w="108" w:type="dxa"/>
        <w:tblLayout w:type="fixed"/>
        <w:tblLook w:val="04A0" w:firstRow="1" w:lastRow="0" w:firstColumn="1" w:lastColumn="0" w:noHBand="0" w:noVBand="1"/>
      </w:tblPr>
      <w:tblGrid>
        <w:gridCol w:w="2127"/>
        <w:gridCol w:w="1416"/>
        <w:gridCol w:w="1133"/>
        <w:gridCol w:w="1278"/>
        <w:gridCol w:w="1134"/>
        <w:gridCol w:w="993"/>
        <w:gridCol w:w="1137"/>
        <w:gridCol w:w="709"/>
        <w:gridCol w:w="992"/>
        <w:gridCol w:w="712"/>
        <w:gridCol w:w="1275"/>
        <w:gridCol w:w="1276"/>
      </w:tblGrid>
      <w:tr w:rsidR="002F7CDC" w:rsidRPr="006A199E" w:rsidTr="00994F64">
        <w:tc>
          <w:tcPr>
            <w:tcW w:w="2127" w:type="dxa"/>
            <w:vMerge w:val="restart"/>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Map Class</w:t>
            </w:r>
          </w:p>
        </w:tc>
        <w:tc>
          <w:tcPr>
            <w:tcW w:w="8792" w:type="dxa"/>
            <w:gridSpan w:val="8"/>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Reference data –observed using Google Earth</w:t>
            </w:r>
          </w:p>
        </w:tc>
        <w:tc>
          <w:tcPr>
            <w:tcW w:w="712" w:type="dxa"/>
            <w:vMerge w:val="restart"/>
            <w:tcBorders>
              <w:top w:val="single" w:sz="4" w:space="0" w:color="auto"/>
              <w:right w:val="single" w:sz="4" w:space="0" w:color="auto"/>
            </w:tcBorders>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Total</w:t>
            </w:r>
          </w:p>
        </w:tc>
        <w:tc>
          <w:tcPr>
            <w:tcW w:w="1275" w:type="dxa"/>
            <w:vMerge w:val="restart"/>
            <w:tcBorders>
              <w:top w:val="single" w:sz="4" w:space="0" w:color="auto"/>
              <w:right w:val="single" w:sz="4" w:space="0" w:color="auto"/>
            </w:tcBorders>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User</w:t>
            </w:r>
          </w:p>
          <w:p w:rsidR="002F7CDC" w:rsidRPr="006A199E" w:rsidRDefault="002F7CDC" w:rsidP="002F7CDC">
            <w:pPr>
              <w:rPr>
                <w:rFonts w:asciiTheme="majorHAnsi" w:hAnsiTheme="majorHAnsi"/>
                <w:sz w:val="18"/>
                <w:szCs w:val="18"/>
              </w:rPr>
            </w:pPr>
            <w:r w:rsidRPr="006A199E">
              <w:rPr>
                <w:rFonts w:asciiTheme="majorHAnsi" w:hAnsiTheme="majorHAnsi"/>
                <w:sz w:val="18"/>
                <w:szCs w:val="18"/>
              </w:rPr>
              <w:t>Accuracy (%)</w:t>
            </w:r>
          </w:p>
        </w:tc>
        <w:tc>
          <w:tcPr>
            <w:tcW w:w="1276" w:type="dxa"/>
            <w:vMerge w:val="restart"/>
            <w:tcBorders>
              <w:top w:val="single" w:sz="4" w:space="0" w:color="auto"/>
              <w:right w:val="single" w:sz="4" w:space="0" w:color="auto"/>
            </w:tcBorders>
          </w:tcPr>
          <w:p w:rsidR="002F7CDC" w:rsidRPr="006A199E" w:rsidRDefault="002F7CDC" w:rsidP="002F7CDC">
            <w:pPr>
              <w:rPr>
                <w:rFonts w:asciiTheme="majorHAnsi" w:hAnsiTheme="majorHAnsi"/>
                <w:sz w:val="18"/>
                <w:szCs w:val="18"/>
              </w:rPr>
            </w:pPr>
            <w:r w:rsidRPr="006A199E">
              <w:rPr>
                <w:rFonts w:asciiTheme="majorHAnsi" w:hAnsiTheme="majorHAnsi"/>
                <w:sz w:val="18"/>
                <w:szCs w:val="18"/>
              </w:rPr>
              <w:t>Commission Error (%)</w:t>
            </w:r>
          </w:p>
        </w:tc>
      </w:tr>
      <w:tr w:rsidR="002F7CDC" w:rsidRPr="006A199E" w:rsidTr="00994F64">
        <w:tc>
          <w:tcPr>
            <w:tcW w:w="2127" w:type="dxa"/>
            <w:vMerge/>
          </w:tcPr>
          <w:p w:rsidR="002F7CDC" w:rsidRPr="006A199E" w:rsidRDefault="002F7CDC" w:rsidP="008C254D">
            <w:pPr>
              <w:rPr>
                <w:rFonts w:asciiTheme="majorHAnsi" w:hAnsiTheme="majorHAnsi"/>
                <w:sz w:val="18"/>
                <w:szCs w:val="18"/>
              </w:rPr>
            </w:pPr>
          </w:p>
        </w:tc>
        <w:tc>
          <w:tcPr>
            <w:tcW w:w="1416"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 xml:space="preserve">Agricultural land </w:t>
            </w:r>
          </w:p>
        </w:tc>
        <w:tc>
          <w:tcPr>
            <w:tcW w:w="1133" w:type="dxa"/>
            <w:tcMar>
              <w:left w:w="85" w:type="dxa"/>
              <w:right w:w="85" w:type="dxa"/>
            </w:tcMar>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Saline water shrimp farm</w:t>
            </w:r>
          </w:p>
        </w:tc>
        <w:tc>
          <w:tcPr>
            <w:tcW w:w="1278"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Freshwater shrimp farm</w:t>
            </w:r>
          </w:p>
        </w:tc>
        <w:tc>
          <w:tcPr>
            <w:tcW w:w="1134"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Major Urban Area</w:t>
            </w:r>
          </w:p>
        </w:tc>
        <w:tc>
          <w:tcPr>
            <w:tcW w:w="993"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Mangrove</w:t>
            </w:r>
          </w:p>
        </w:tc>
        <w:tc>
          <w:tcPr>
            <w:tcW w:w="1137"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Rural Settlement</w:t>
            </w:r>
          </w:p>
        </w:tc>
        <w:tc>
          <w:tcPr>
            <w:tcW w:w="709"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Water</w:t>
            </w:r>
          </w:p>
        </w:tc>
        <w:tc>
          <w:tcPr>
            <w:tcW w:w="992" w:type="dxa"/>
          </w:tcPr>
          <w:p w:rsidR="002F7CDC" w:rsidRPr="006A199E" w:rsidRDefault="002F7CDC" w:rsidP="008C254D">
            <w:pPr>
              <w:rPr>
                <w:rFonts w:asciiTheme="majorHAnsi" w:hAnsiTheme="majorHAnsi"/>
                <w:sz w:val="18"/>
                <w:szCs w:val="18"/>
              </w:rPr>
            </w:pPr>
            <w:r w:rsidRPr="006A199E">
              <w:rPr>
                <w:rFonts w:asciiTheme="majorHAnsi" w:hAnsiTheme="majorHAnsi"/>
                <w:sz w:val="18"/>
                <w:szCs w:val="18"/>
              </w:rPr>
              <w:t>Wetland/Mudflats</w:t>
            </w:r>
          </w:p>
        </w:tc>
        <w:tc>
          <w:tcPr>
            <w:tcW w:w="712" w:type="dxa"/>
            <w:vMerge/>
          </w:tcPr>
          <w:p w:rsidR="002F7CDC" w:rsidRPr="006A199E" w:rsidRDefault="002F7CDC" w:rsidP="008C254D">
            <w:pPr>
              <w:rPr>
                <w:rFonts w:asciiTheme="majorHAnsi" w:hAnsiTheme="majorHAnsi"/>
                <w:sz w:val="18"/>
                <w:szCs w:val="18"/>
              </w:rPr>
            </w:pPr>
          </w:p>
        </w:tc>
        <w:tc>
          <w:tcPr>
            <w:tcW w:w="1275" w:type="dxa"/>
            <w:vMerge/>
          </w:tcPr>
          <w:p w:rsidR="002F7CDC" w:rsidRPr="006A199E" w:rsidRDefault="002F7CDC" w:rsidP="002F7CDC">
            <w:pPr>
              <w:rPr>
                <w:rFonts w:asciiTheme="majorHAnsi" w:hAnsiTheme="majorHAnsi"/>
                <w:sz w:val="18"/>
                <w:szCs w:val="18"/>
              </w:rPr>
            </w:pPr>
          </w:p>
        </w:tc>
        <w:tc>
          <w:tcPr>
            <w:tcW w:w="1276" w:type="dxa"/>
            <w:vMerge/>
            <w:tcBorders>
              <w:right w:val="single" w:sz="4" w:space="0" w:color="auto"/>
            </w:tcBorders>
          </w:tcPr>
          <w:p w:rsidR="002F7CDC" w:rsidRPr="006A199E" w:rsidRDefault="002F7CDC" w:rsidP="002F7CDC">
            <w:pPr>
              <w:rPr>
                <w:rFonts w:asciiTheme="majorHAnsi" w:hAnsiTheme="majorHAnsi"/>
                <w:sz w:val="18"/>
                <w:szCs w:val="18"/>
              </w:rPr>
            </w:pP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Agriculture</w:t>
            </w:r>
          </w:p>
        </w:tc>
        <w:tc>
          <w:tcPr>
            <w:tcW w:w="1416"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139</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150</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93</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w:t>
            </w:r>
          </w:p>
        </w:tc>
      </w:tr>
      <w:tr w:rsidR="002F7CDC" w:rsidRPr="006A199E" w:rsidTr="00994F64">
        <w:tc>
          <w:tcPr>
            <w:tcW w:w="2127" w:type="dxa"/>
          </w:tcPr>
          <w:p w:rsidR="008C254D" w:rsidRPr="006A199E" w:rsidRDefault="006117CB" w:rsidP="008C254D">
            <w:pPr>
              <w:rPr>
                <w:rFonts w:asciiTheme="majorHAnsi" w:hAnsiTheme="majorHAnsi"/>
                <w:sz w:val="18"/>
                <w:szCs w:val="18"/>
              </w:rPr>
            </w:pPr>
            <w:r w:rsidRPr="006A199E">
              <w:rPr>
                <w:rFonts w:asciiTheme="majorHAnsi" w:hAnsiTheme="majorHAnsi"/>
                <w:sz w:val="18"/>
                <w:szCs w:val="18"/>
              </w:rPr>
              <w:t>Saline water shrimp farm</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4</w:t>
            </w:r>
          </w:p>
        </w:tc>
        <w:tc>
          <w:tcPr>
            <w:tcW w:w="1133"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68</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91</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9</w:t>
            </w:r>
          </w:p>
        </w:tc>
      </w:tr>
      <w:tr w:rsidR="002F7CDC" w:rsidRPr="006A199E" w:rsidTr="00994F64">
        <w:tc>
          <w:tcPr>
            <w:tcW w:w="2127" w:type="dxa"/>
          </w:tcPr>
          <w:p w:rsidR="008C254D" w:rsidRPr="006A199E" w:rsidRDefault="006117CB" w:rsidP="008C254D">
            <w:pPr>
              <w:rPr>
                <w:rFonts w:asciiTheme="majorHAnsi" w:hAnsiTheme="majorHAnsi"/>
                <w:sz w:val="18"/>
                <w:szCs w:val="18"/>
              </w:rPr>
            </w:pPr>
            <w:r w:rsidRPr="006A199E">
              <w:rPr>
                <w:rFonts w:asciiTheme="majorHAnsi" w:hAnsiTheme="majorHAnsi"/>
                <w:sz w:val="18"/>
                <w:szCs w:val="18"/>
              </w:rPr>
              <w:t>Freshwater shrimp farm</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16</w:t>
            </w:r>
          </w:p>
        </w:tc>
        <w:tc>
          <w:tcPr>
            <w:tcW w:w="1278"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55</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73</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27</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Major Urban Area</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134"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13</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80</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20</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Mangrove</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100</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Rural Settlement</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15</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7"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55</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73</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27</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Water</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709"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62</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4</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83</w:t>
            </w:r>
          </w:p>
        </w:tc>
        <w:tc>
          <w:tcPr>
            <w:tcW w:w="127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17</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Wetland/</w:t>
            </w:r>
          </w:p>
          <w:p w:rsidR="008C254D" w:rsidRPr="006A199E" w:rsidRDefault="008C254D" w:rsidP="008C254D">
            <w:pPr>
              <w:rPr>
                <w:rFonts w:asciiTheme="majorHAnsi" w:hAnsiTheme="majorHAnsi"/>
                <w:sz w:val="18"/>
                <w:szCs w:val="18"/>
              </w:rPr>
            </w:pPr>
            <w:r w:rsidRPr="006A199E">
              <w:rPr>
                <w:rFonts w:asciiTheme="majorHAnsi" w:hAnsiTheme="majorHAnsi"/>
                <w:sz w:val="18"/>
                <w:szCs w:val="18"/>
              </w:rPr>
              <w:t>Mudflats</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31</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w:t>
            </w:r>
          </w:p>
        </w:tc>
        <w:tc>
          <w:tcPr>
            <w:tcW w:w="992" w:type="dxa"/>
            <w:shd w:val="clear" w:color="auto" w:fill="F2F2F2" w:themeFill="background1" w:themeFillShade="F2"/>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23</w:t>
            </w:r>
          </w:p>
        </w:tc>
        <w:tc>
          <w:tcPr>
            <w:tcW w:w="71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75</w:t>
            </w:r>
          </w:p>
        </w:tc>
        <w:tc>
          <w:tcPr>
            <w:tcW w:w="1275" w:type="dxa"/>
            <w:tcBorders>
              <w:bottom w:val="single" w:sz="4" w:space="0" w:color="auto"/>
            </w:tcBorders>
            <w:shd w:val="clear" w:color="auto" w:fill="D9D9D9" w:themeFill="background1" w:themeFillShade="D9"/>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31</w:t>
            </w:r>
          </w:p>
        </w:tc>
        <w:tc>
          <w:tcPr>
            <w:tcW w:w="1276" w:type="dxa"/>
            <w:tcBorders>
              <w:bottom w:val="single" w:sz="4" w:space="0" w:color="auto"/>
            </w:tcBorders>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69</w:t>
            </w: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Total</w:t>
            </w:r>
          </w:p>
        </w:tc>
        <w:tc>
          <w:tcPr>
            <w:tcW w:w="1416"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192</w:t>
            </w:r>
          </w:p>
        </w:tc>
        <w:tc>
          <w:tcPr>
            <w:tcW w:w="113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101</w:t>
            </w:r>
          </w:p>
        </w:tc>
        <w:tc>
          <w:tcPr>
            <w:tcW w:w="1278"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61</w:t>
            </w:r>
          </w:p>
        </w:tc>
        <w:tc>
          <w:tcPr>
            <w:tcW w:w="1134"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60</w:t>
            </w:r>
          </w:p>
        </w:tc>
        <w:tc>
          <w:tcPr>
            <w:tcW w:w="993"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79</w:t>
            </w:r>
          </w:p>
        </w:tc>
        <w:tc>
          <w:tcPr>
            <w:tcW w:w="1137"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77</w:t>
            </w:r>
          </w:p>
        </w:tc>
        <w:tc>
          <w:tcPr>
            <w:tcW w:w="709"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76</w:t>
            </w:r>
          </w:p>
        </w:tc>
        <w:tc>
          <w:tcPr>
            <w:tcW w:w="992" w:type="dxa"/>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29</w:t>
            </w:r>
          </w:p>
        </w:tc>
        <w:tc>
          <w:tcPr>
            <w:tcW w:w="712" w:type="dxa"/>
            <w:tcBorders>
              <w:right w:val="single" w:sz="4" w:space="0" w:color="auto"/>
            </w:tcBorders>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675</w:t>
            </w:r>
          </w:p>
        </w:tc>
        <w:tc>
          <w:tcPr>
            <w:tcW w:w="1275" w:type="dxa"/>
            <w:tcBorders>
              <w:left w:val="single" w:sz="4" w:space="0" w:color="auto"/>
              <w:right w:val="single" w:sz="4" w:space="0" w:color="auto"/>
            </w:tcBorders>
          </w:tcPr>
          <w:p w:rsidR="008C254D" w:rsidRPr="006A199E" w:rsidRDefault="008C254D" w:rsidP="008C254D">
            <w:pPr>
              <w:rPr>
                <w:rFonts w:asciiTheme="majorHAnsi" w:hAnsiTheme="majorHAnsi"/>
                <w:sz w:val="18"/>
                <w:szCs w:val="18"/>
              </w:rPr>
            </w:pPr>
          </w:p>
        </w:tc>
        <w:tc>
          <w:tcPr>
            <w:tcW w:w="1276" w:type="dxa"/>
            <w:tcBorders>
              <w:left w:val="single" w:sz="4" w:space="0" w:color="auto"/>
              <w:right w:val="single" w:sz="4" w:space="0" w:color="auto"/>
            </w:tcBorders>
          </w:tcPr>
          <w:p w:rsidR="008C254D" w:rsidRPr="006A199E" w:rsidRDefault="008C254D" w:rsidP="008C254D">
            <w:pPr>
              <w:rPr>
                <w:rFonts w:asciiTheme="majorHAnsi" w:hAnsiTheme="majorHAnsi"/>
                <w:sz w:val="18"/>
                <w:szCs w:val="18"/>
              </w:rPr>
            </w:pPr>
          </w:p>
        </w:tc>
      </w:tr>
      <w:tr w:rsidR="002F7CDC" w:rsidRPr="006A199E" w:rsidTr="00994F64">
        <w:tc>
          <w:tcPr>
            <w:tcW w:w="212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Producer Accuracy (%)</w:t>
            </w:r>
          </w:p>
        </w:tc>
        <w:tc>
          <w:tcPr>
            <w:tcW w:w="1416"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72</w:t>
            </w:r>
          </w:p>
        </w:tc>
        <w:tc>
          <w:tcPr>
            <w:tcW w:w="1133"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67</w:t>
            </w:r>
          </w:p>
        </w:tc>
        <w:tc>
          <w:tcPr>
            <w:tcW w:w="1278"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90</w:t>
            </w:r>
          </w:p>
        </w:tc>
        <w:tc>
          <w:tcPr>
            <w:tcW w:w="1134"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100</w:t>
            </w:r>
          </w:p>
        </w:tc>
        <w:tc>
          <w:tcPr>
            <w:tcW w:w="993"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95</w:t>
            </w:r>
          </w:p>
        </w:tc>
        <w:tc>
          <w:tcPr>
            <w:tcW w:w="1137"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71</w:t>
            </w:r>
          </w:p>
        </w:tc>
        <w:tc>
          <w:tcPr>
            <w:tcW w:w="709" w:type="dxa"/>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82</w:t>
            </w:r>
          </w:p>
        </w:tc>
        <w:tc>
          <w:tcPr>
            <w:tcW w:w="992" w:type="dxa"/>
            <w:tcBorders>
              <w:bottom w:val="single" w:sz="4" w:space="0" w:color="auto"/>
            </w:tcBorders>
            <w:shd w:val="clear" w:color="auto" w:fill="D9D9D9" w:themeFill="background1" w:themeFillShade="D9"/>
            <w:tcMar>
              <w:left w:w="0" w:type="dxa"/>
              <w:right w:w="85" w:type="dxa"/>
            </w:tcMa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79</w:t>
            </w:r>
          </w:p>
        </w:tc>
        <w:tc>
          <w:tcPr>
            <w:tcW w:w="712" w:type="dxa"/>
            <w:tcBorders>
              <w:bottom w:val="single" w:sz="4" w:space="0" w:color="auto"/>
            </w:tcBorders>
            <w:tcMar>
              <w:left w:w="0" w:type="dxa"/>
              <w:right w:w="85" w:type="dxa"/>
            </w:tcMar>
          </w:tcPr>
          <w:p w:rsidR="008C254D" w:rsidRPr="006A199E" w:rsidRDefault="008C254D" w:rsidP="008C254D">
            <w:pPr>
              <w:rPr>
                <w:rFonts w:asciiTheme="majorHAnsi" w:hAnsiTheme="majorHAnsi"/>
                <w:sz w:val="18"/>
                <w:szCs w:val="18"/>
              </w:rPr>
            </w:pPr>
          </w:p>
        </w:tc>
        <w:tc>
          <w:tcPr>
            <w:tcW w:w="1275" w:type="dxa"/>
            <w:vAlign w:val="cente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OA</w:t>
            </w:r>
          </w:p>
        </w:tc>
        <w:tc>
          <w:tcPr>
            <w:tcW w:w="1276" w:type="dxa"/>
            <w:shd w:val="clear" w:color="auto" w:fill="D9D9D9" w:themeFill="background1" w:themeFillShade="D9"/>
            <w:vAlign w:val="cente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80</w:t>
            </w:r>
          </w:p>
        </w:tc>
      </w:tr>
      <w:tr w:rsidR="002F7CDC" w:rsidRPr="006A199E" w:rsidTr="00994F64">
        <w:tc>
          <w:tcPr>
            <w:tcW w:w="2127" w:type="dxa"/>
          </w:tcPr>
          <w:p w:rsidR="008C254D" w:rsidRPr="006A199E" w:rsidRDefault="008C254D" w:rsidP="002F7CDC">
            <w:pPr>
              <w:rPr>
                <w:rFonts w:asciiTheme="majorHAnsi" w:hAnsiTheme="majorHAnsi"/>
                <w:sz w:val="18"/>
                <w:szCs w:val="18"/>
              </w:rPr>
            </w:pPr>
            <w:r w:rsidRPr="006A199E">
              <w:rPr>
                <w:rFonts w:asciiTheme="majorHAnsi" w:hAnsiTheme="majorHAnsi"/>
                <w:sz w:val="18"/>
                <w:szCs w:val="18"/>
              </w:rPr>
              <w:t>Omission Error</w:t>
            </w:r>
            <w:r w:rsidR="002F7CDC" w:rsidRPr="006A199E">
              <w:rPr>
                <w:rFonts w:asciiTheme="majorHAnsi" w:hAnsiTheme="majorHAnsi"/>
                <w:sz w:val="18"/>
                <w:szCs w:val="18"/>
              </w:rPr>
              <w:t xml:space="preserve"> </w:t>
            </w:r>
            <w:r w:rsidRPr="006A199E">
              <w:rPr>
                <w:rFonts w:asciiTheme="majorHAnsi" w:hAnsiTheme="majorHAnsi"/>
                <w:sz w:val="18"/>
                <w:szCs w:val="18"/>
              </w:rPr>
              <w:t>(%)</w:t>
            </w:r>
          </w:p>
        </w:tc>
        <w:tc>
          <w:tcPr>
            <w:tcW w:w="1416"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28</w:t>
            </w:r>
          </w:p>
        </w:tc>
        <w:tc>
          <w:tcPr>
            <w:tcW w:w="113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33</w:t>
            </w:r>
          </w:p>
        </w:tc>
        <w:tc>
          <w:tcPr>
            <w:tcW w:w="1278"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10</w:t>
            </w:r>
          </w:p>
        </w:tc>
        <w:tc>
          <w:tcPr>
            <w:tcW w:w="1134"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0</w:t>
            </w:r>
          </w:p>
        </w:tc>
        <w:tc>
          <w:tcPr>
            <w:tcW w:w="993"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5</w:t>
            </w:r>
          </w:p>
        </w:tc>
        <w:tc>
          <w:tcPr>
            <w:tcW w:w="1137"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29</w:t>
            </w:r>
          </w:p>
        </w:tc>
        <w:tc>
          <w:tcPr>
            <w:tcW w:w="709"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18</w:t>
            </w:r>
          </w:p>
        </w:tc>
        <w:tc>
          <w:tcPr>
            <w:tcW w:w="992" w:type="dxa"/>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21</w:t>
            </w:r>
          </w:p>
        </w:tc>
        <w:tc>
          <w:tcPr>
            <w:tcW w:w="712" w:type="dxa"/>
            <w:tcBorders>
              <w:top w:val="nil"/>
              <w:bottom w:val="single" w:sz="4" w:space="0" w:color="auto"/>
            </w:tcBorders>
          </w:tcPr>
          <w:p w:rsidR="008C254D" w:rsidRPr="006A199E" w:rsidRDefault="008C254D" w:rsidP="008C254D">
            <w:pPr>
              <w:rPr>
                <w:rFonts w:asciiTheme="majorHAnsi" w:hAnsiTheme="majorHAnsi"/>
                <w:sz w:val="18"/>
                <w:szCs w:val="18"/>
              </w:rPr>
            </w:pPr>
          </w:p>
        </w:tc>
        <w:tc>
          <w:tcPr>
            <w:tcW w:w="1275" w:type="dxa"/>
            <w:vAlign w:val="cente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Kappa</w:t>
            </w:r>
          </w:p>
        </w:tc>
        <w:tc>
          <w:tcPr>
            <w:tcW w:w="1276" w:type="dxa"/>
            <w:shd w:val="clear" w:color="auto" w:fill="D9D9D9" w:themeFill="background1" w:themeFillShade="D9"/>
            <w:vAlign w:val="center"/>
          </w:tcPr>
          <w:p w:rsidR="008C254D" w:rsidRPr="006A199E" w:rsidRDefault="008C254D" w:rsidP="008C254D">
            <w:pPr>
              <w:rPr>
                <w:rFonts w:asciiTheme="majorHAnsi" w:hAnsiTheme="majorHAnsi"/>
                <w:sz w:val="18"/>
                <w:szCs w:val="18"/>
              </w:rPr>
            </w:pPr>
            <w:r w:rsidRPr="006A199E">
              <w:rPr>
                <w:rFonts w:asciiTheme="majorHAnsi" w:hAnsiTheme="majorHAnsi"/>
                <w:sz w:val="18"/>
                <w:szCs w:val="18"/>
              </w:rPr>
              <w:t>76</w:t>
            </w:r>
          </w:p>
        </w:tc>
      </w:tr>
    </w:tbl>
    <w:p w:rsidR="00987049" w:rsidRPr="006A199E" w:rsidRDefault="00987049" w:rsidP="00F15712">
      <w:pPr>
        <w:spacing w:after="0" w:line="480" w:lineRule="auto"/>
        <w:jc w:val="both"/>
        <w:rPr>
          <w:rFonts w:asciiTheme="majorHAnsi" w:hAnsiTheme="majorHAnsi"/>
          <w:sz w:val="24"/>
          <w:szCs w:val="24"/>
        </w:rPr>
      </w:pPr>
    </w:p>
    <w:p w:rsidR="006117CB" w:rsidRPr="006A199E" w:rsidRDefault="006117CB" w:rsidP="00F15712">
      <w:pPr>
        <w:spacing w:after="0" w:line="480" w:lineRule="auto"/>
        <w:jc w:val="both"/>
        <w:rPr>
          <w:rFonts w:asciiTheme="majorHAnsi" w:hAnsiTheme="majorHAnsi"/>
          <w:sz w:val="24"/>
          <w:szCs w:val="24"/>
        </w:rPr>
        <w:sectPr w:rsidR="006117CB" w:rsidRPr="006A199E" w:rsidSect="006117CB">
          <w:pgSz w:w="16838" w:h="11906" w:orient="landscape"/>
          <w:pgMar w:top="1440" w:right="1440" w:bottom="1440" w:left="1440" w:header="709" w:footer="709" w:gutter="0"/>
          <w:cols w:space="708"/>
          <w:docGrid w:linePitch="360"/>
        </w:sectPr>
      </w:pPr>
    </w:p>
    <w:p w:rsidR="00987049" w:rsidRPr="006A199E" w:rsidRDefault="003E16B5" w:rsidP="00C63B64">
      <w:pPr>
        <w:spacing w:after="0" w:line="480" w:lineRule="auto"/>
        <w:jc w:val="both"/>
        <w:rPr>
          <w:rFonts w:asciiTheme="majorHAnsi" w:hAnsiTheme="majorHAnsi"/>
          <w:b/>
          <w:bCs/>
          <w:sz w:val="24"/>
          <w:szCs w:val="24"/>
        </w:rPr>
      </w:pPr>
      <w:r w:rsidRPr="006A199E">
        <w:rPr>
          <w:rFonts w:asciiTheme="majorHAnsi" w:hAnsiTheme="majorHAnsi"/>
          <w:b/>
          <w:bCs/>
          <w:sz w:val="24"/>
          <w:szCs w:val="24"/>
        </w:rPr>
        <w:lastRenderedPageBreak/>
        <w:t xml:space="preserve">Appendix II: </w:t>
      </w:r>
      <w:r w:rsidR="00C63B64" w:rsidRPr="006A199E">
        <w:rPr>
          <w:rFonts w:asciiTheme="majorHAnsi" w:hAnsiTheme="majorHAnsi"/>
          <w:b/>
          <w:bCs/>
          <w:sz w:val="24"/>
          <w:szCs w:val="24"/>
        </w:rPr>
        <w:t>Statistical analysis</w:t>
      </w:r>
    </w:p>
    <w:p w:rsidR="00F15712" w:rsidRPr="006A199E" w:rsidRDefault="00987049" w:rsidP="00987049">
      <w:pPr>
        <w:spacing w:after="0" w:line="480" w:lineRule="auto"/>
        <w:jc w:val="both"/>
        <w:rPr>
          <w:rFonts w:asciiTheme="majorHAnsi" w:hAnsiTheme="majorHAnsi"/>
          <w:sz w:val="24"/>
          <w:szCs w:val="24"/>
        </w:rPr>
      </w:pPr>
      <w:r w:rsidRPr="006A199E">
        <w:rPr>
          <w:rFonts w:asciiTheme="majorHAnsi" w:hAnsiTheme="majorHAnsi"/>
          <w:sz w:val="24"/>
          <w:szCs w:val="24"/>
        </w:rPr>
        <w:t xml:space="preserve">This section describes the Bayesian Geo-additive Semi-parametric regression procedure used for the multivariate spatial analysis. The </w:t>
      </w:r>
      <w:r w:rsidR="00F15712" w:rsidRPr="006A199E">
        <w:rPr>
          <w:rFonts w:asciiTheme="majorHAnsi" w:hAnsiTheme="majorHAnsi"/>
          <w:sz w:val="24"/>
          <w:szCs w:val="24"/>
        </w:rPr>
        <w:t xml:space="preserve">outcome variable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00F15712" w:rsidRPr="006A199E">
        <w:rPr>
          <w:rFonts w:asciiTheme="majorHAnsi" w:hAnsiTheme="majorHAnsi"/>
          <w:sz w:val="24"/>
          <w:szCs w:val="24"/>
        </w:rPr>
        <w:t xml:space="preserve"> is coded 1 if a union is in the asset poverty bottom quintile and 0 otherwise. In this regard, the outcome variable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oMath>
      <w:r w:rsidR="00F15712" w:rsidRPr="006A199E">
        <w:rPr>
          <w:rFonts w:asciiTheme="majorHAnsi" w:hAnsiTheme="majorHAnsi"/>
          <w:sz w:val="24"/>
          <w:szCs w:val="24"/>
        </w:rPr>
        <w:t xml:space="preserve"> follows a binomial distribution with parameters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oMath>
      <w:r w:rsidR="00F15712" w:rsidRPr="006A199E">
        <w:rPr>
          <w:rFonts w:asciiTheme="majorHAnsi" w:hAnsiTheme="majorHAnsi"/>
          <w:sz w:val="24"/>
          <w:szCs w:val="24"/>
        </w:rPr>
        <w:t xml:space="preserve"> and </w:t>
      </w:r>
      <m:oMath>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i</m:t>
            </m:r>
          </m:sub>
        </m:sSub>
      </m:oMath>
      <w:r w:rsidR="00F15712" w:rsidRPr="006A199E">
        <w:rPr>
          <w:rFonts w:asciiTheme="majorHAnsi" w:hAnsiTheme="majorHAnsi"/>
          <w:sz w:val="24"/>
          <w:szCs w:val="24"/>
        </w:rPr>
        <w:t xml:space="preserve">; that is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~B(</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i</m:t>
            </m:r>
          </m:sub>
        </m:sSub>
        <m:r>
          <w:rPr>
            <w:rFonts w:ascii="Cambria Math" w:hAnsi="Cambria Math"/>
            <w:sz w:val="24"/>
            <w:szCs w:val="24"/>
          </w:rPr>
          <m:t>)</m:t>
        </m:r>
      </m:oMath>
      <w:r w:rsidR="00F15712" w:rsidRPr="006A199E">
        <w:rPr>
          <w:rFonts w:asciiTheme="majorHAnsi" w:hAnsiTheme="majorHAnsi"/>
          <w:sz w:val="24"/>
          <w:szCs w:val="24"/>
        </w:rPr>
        <w:t xml:space="preserve">, where </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π</m:t>
            </m:r>
          </m:e>
          <m:sub>
            <m:r>
              <w:rPr>
                <w:rFonts w:ascii="Cambria Math" w:hAnsi="Cambria Math"/>
                <w:sz w:val="24"/>
                <w:szCs w:val="24"/>
              </w:rPr>
              <m:t>i</m:t>
            </m:r>
          </m:sub>
        </m:sSub>
      </m:oMath>
      <w:r w:rsidR="00F15712" w:rsidRPr="006A199E">
        <w:rPr>
          <w:rFonts w:asciiTheme="majorHAnsi" w:hAnsiTheme="majorHAnsi"/>
          <w:sz w:val="24"/>
          <w:szCs w:val="24"/>
        </w:rPr>
        <w:t xml:space="preserve"> is the probability of a union being in the bottom quintile and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oMath>
      <w:r w:rsidR="00F15712" w:rsidRPr="006A199E">
        <w:rPr>
          <w:rFonts w:asciiTheme="majorHAnsi" w:hAnsiTheme="majorHAnsi"/>
          <w:sz w:val="24"/>
          <w:szCs w:val="24"/>
        </w:rPr>
        <w:t xml:space="preserve"> is the number of unions in the Delta. The model linking the probabilities of a union being in the bottom asset wealth quintile with the covariates is the logistic model of the form</w:t>
      </w:r>
    </w:p>
    <w:p w:rsidR="00F15712" w:rsidRPr="006A199E" w:rsidRDefault="00E72807" w:rsidP="00F15712">
      <w:pPr>
        <w:spacing w:after="0" w:line="480" w:lineRule="auto"/>
        <w:ind w:left="1440"/>
        <w:rPr>
          <w:rFonts w:asciiTheme="majorHAnsi" w:hAnsiTheme="majorHAnsi"/>
          <w:sz w:val="24"/>
          <w:szCs w:val="24"/>
        </w:rPr>
      </w:pPr>
      <m:oMath>
        <m:sSub>
          <m:sSubPr>
            <m:ctrlPr>
              <w:rPr>
                <w:rFonts w:ascii="Cambria Math" w:hAnsi="Cambria Math"/>
                <w:sz w:val="24"/>
                <w:szCs w:val="24"/>
              </w:rPr>
            </m:ctrlPr>
          </m:sSubPr>
          <m:e>
            <m:r>
              <w:rPr>
                <w:rFonts w:ascii="Cambria Math" w:hAnsi="Cambria Math"/>
                <w:sz w:val="24"/>
                <w:szCs w:val="24"/>
              </w:rPr>
              <m:t>π</m:t>
            </m:r>
          </m:e>
          <m:sub>
            <m:r>
              <w:rPr>
                <w:rFonts w:ascii="Cambria Math" w:hAnsi="Cambria Math"/>
                <w:sz w:val="24"/>
                <w:szCs w:val="24"/>
              </w:rPr>
              <m:t>i</m:t>
            </m:r>
          </m:sub>
        </m:sSub>
        <m:r>
          <m:rPr>
            <m:sty m:val="p"/>
          </m:rP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i</m:t>
            </m:r>
          </m:sub>
        </m:sSub>
        <m:r>
          <m:rPr>
            <m:sty m:val="p"/>
          </m:rPr>
          <w:rPr>
            <w:rFonts w:ascii="Cambria Math" w:hAnsi="Cambria Math"/>
            <w:sz w:val="24"/>
            <w:szCs w:val="24"/>
          </w:rPr>
          <m:t>1|</m:t>
        </m:r>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exp⁡</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r>
              <w:rPr>
                <w:rFonts w:ascii="Cambria Math" w:hAnsi="Cambria Math"/>
                <w:sz w:val="24"/>
                <w:szCs w:val="24"/>
              </w:rPr>
              <m:t>)</m:t>
            </m:r>
          </m:num>
          <m:den>
            <m:r>
              <w:rPr>
                <w:rFonts w:ascii="Cambria Math" w:hAnsi="Cambria Math"/>
                <w:sz w:val="24"/>
                <w:szCs w:val="24"/>
              </w:rPr>
              <m:t>1+</m:t>
            </m:r>
            <m:r>
              <m:rPr>
                <m:sty m:val="p"/>
              </m:rPr>
              <w:rPr>
                <w:rFonts w:ascii="Cambria Math" w:hAnsi="Cambria Math"/>
                <w:sz w:val="24"/>
                <w:szCs w:val="24"/>
              </w:rPr>
              <m:t>exp⁡</m:t>
            </m:r>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r>
              <w:rPr>
                <w:rFonts w:ascii="Cambria Math" w:hAnsi="Cambria Math"/>
                <w:sz w:val="24"/>
                <w:szCs w:val="24"/>
              </w:rPr>
              <m:t>)</m:t>
            </m:r>
          </m:den>
        </m:f>
      </m:oMath>
      <w:r w:rsidR="00F15712" w:rsidRPr="006A199E">
        <w:rPr>
          <w:rFonts w:asciiTheme="majorHAnsi" w:hAnsiTheme="majorHAnsi"/>
          <w:b/>
          <w:bCs/>
          <w:sz w:val="24"/>
          <w:szCs w:val="24"/>
        </w:rPr>
        <w:tab/>
      </w:r>
      <w:r w:rsidR="00F15712" w:rsidRPr="006A199E">
        <w:rPr>
          <w:rFonts w:asciiTheme="majorHAnsi" w:hAnsiTheme="majorHAnsi"/>
          <w:b/>
          <w:bCs/>
          <w:sz w:val="24"/>
          <w:szCs w:val="24"/>
        </w:rPr>
        <w:tab/>
      </w:r>
      <w:r w:rsidR="00F15712" w:rsidRPr="006A199E">
        <w:rPr>
          <w:rFonts w:asciiTheme="majorHAnsi" w:hAnsiTheme="majorHAnsi"/>
          <w:b/>
          <w:bCs/>
          <w:sz w:val="24"/>
          <w:szCs w:val="24"/>
        </w:rPr>
        <w:tab/>
      </w:r>
      <w:r w:rsidR="00F15712" w:rsidRPr="006A199E">
        <w:rPr>
          <w:rFonts w:asciiTheme="majorHAnsi" w:hAnsiTheme="majorHAnsi"/>
          <w:sz w:val="24"/>
          <w:szCs w:val="24"/>
        </w:rPr>
        <w:t>1</w:t>
      </w:r>
    </w:p>
    <w:p w:rsidR="00F15712" w:rsidRPr="006A199E" w:rsidRDefault="00F15712" w:rsidP="00F15712">
      <w:pPr>
        <w:spacing w:after="0" w:line="480" w:lineRule="auto"/>
        <w:jc w:val="both"/>
        <w:rPr>
          <w:rFonts w:asciiTheme="majorHAnsi" w:hAnsiTheme="majorHAnsi"/>
          <w:sz w:val="24"/>
          <w:szCs w:val="24"/>
        </w:rPr>
      </w:pPr>
      <w:r w:rsidRPr="006A199E">
        <w:rPr>
          <w:rFonts w:asciiTheme="majorHAnsi" w:hAnsiTheme="majorHAnsi"/>
          <w:sz w:val="24"/>
          <w:szCs w:val="24"/>
        </w:rPr>
        <w:t xml:space="preserve">where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oMath>
      <w:r w:rsidRPr="006A199E">
        <w:rPr>
          <w:rFonts w:asciiTheme="majorHAnsi" w:hAnsiTheme="majorHAnsi"/>
          <w:sz w:val="24"/>
          <w:szCs w:val="24"/>
        </w:rPr>
        <w:t xml:space="preserve"> is the predictor of interest. If we have a vector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ik</m:t>
                </m:r>
              </m:sub>
            </m:sSub>
            <m:r>
              <w:rPr>
                <w:rFonts w:ascii="Cambria Math" w:hAnsi="Cambria Math"/>
                <w:sz w:val="24"/>
                <w:szCs w:val="24"/>
              </w:rPr>
              <m:t>)</m:t>
            </m:r>
          </m:e>
          <m:sup>
            <m:r>
              <w:rPr>
                <w:rFonts w:ascii="Cambria Math" w:hAnsi="Cambria Math"/>
                <w:sz w:val="24"/>
                <w:szCs w:val="24"/>
              </w:rPr>
              <m:t>'</m:t>
            </m:r>
          </m:sup>
        </m:sSup>
      </m:oMath>
      <w:r w:rsidRPr="006A199E">
        <w:rPr>
          <w:rFonts w:asciiTheme="majorHAnsi" w:hAnsiTheme="majorHAnsi"/>
          <w:sz w:val="24"/>
          <w:szCs w:val="24"/>
        </w:rPr>
        <w:t xml:space="preserve"> of </w:t>
      </w:r>
      <w:r w:rsidRPr="006A199E">
        <w:rPr>
          <w:rFonts w:asciiTheme="majorHAnsi" w:hAnsiTheme="majorHAnsi"/>
          <w:i/>
          <w:iCs/>
          <w:sz w:val="24"/>
          <w:szCs w:val="24"/>
        </w:rPr>
        <w:t>k</w:t>
      </w:r>
      <w:r w:rsidRPr="006A199E">
        <w:rPr>
          <w:rFonts w:asciiTheme="majorHAnsi" w:hAnsiTheme="majorHAnsi"/>
          <w:sz w:val="24"/>
          <w:szCs w:val="24"/>
        </w:rPr>
        <w:t xml:space="preserve"> continuous covariates and </w:t>
      </w:r>
      <m:oMath>
        <m:sSubSup>
          <m:sSubSupPr>
            <m:ctrlPr>
              <w:rPr>
                <w:rFonts w:ascii="Cambria Math" w:hAnsi="Cambria Math"/>
                <w:i/>
                <w:sz w:val="24"/>
                <w:szCs w:val="24"/>
              </w:rPr>
            </m:ctrlPr>
          </m:sSubSupPr>
          <m:e>
            <m:r>
              <w:rPr>
                <w:rFonts w:ascii="Cambria Math" w:hAnsi="Cambria Math"/>
                <w:sz w:val="24"/>
                <w:szCs w:val="24"/>
              </w:rPr>
              <m:t>λ</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id</m:t>
                </m:r>
              </m:sub>
            </m:sSub>
            <m:r>
              <w:rPr>
                <w:rFonts w:ascii="Cambria Math" w:hAnsi="Cambria Math"/>
                <w:sz w:val="24"/>
                <w:szCs w:val="24"/>
              </w:rPr>
              <m:t>)</m:t>
            </m:r>
          </m:e>
          <m:sup>
            <m:r>
              <w:rPr>
                <w:rFonts w:ascii="Cambria Math" w:hAnsi="Cambria Math"/>
                <w:sz w:val="24"/>
                <w:szCs w:val="24"/>
              </w:rPr>
              <m:t>'</m:t>
            </m:r>
          </m:sup>
        </m:sSup>
      </m:oMath>
      <w:r w:rsidRPr="006A199E">
        <w:rPr>
          <w:rFonts w:asciiTheme="majorHAnsi" w:hAnsiTheme="majorHAnsi"/>
          <w:sz w:val="24"/>
          <w:szCs w:val="24"/>
        </w:rPr>
        <w:t xml:space="preserve"> a vector of </w:t>
      </w:r>
      <w:r w:rsidRPr="006A199E">
        <w:rPr>
          <w:rFonts w:asciiTheme="majorHAnsi" w:hAnsiTheme="majorHAnsi"/>
          <w:i/>
          <w:iCs/>
          <w:sz w:val="24"/>
          <w:szCs w:val="24"/>
        </w:rPr>
        <w:t>d</w:t>
      </w:r>
      <w:r w:rsidRPr="006A199E">
        <w:rPr>
          <w:rFonts w:asciiTheme="majorHAnsi" w:hAnsiTheme="majorHAnsi"/>
          <w:sz w:val="24"/>
          <w:szCs w:val="24"/>
        </w:rPr>
        <w:t xml:space="preserve"> categorical covariates, then predictor </w:t>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oMath>
      <w:r w:rsidRPr="006A199E">
        <w:rPr>
          <w:rFonts w:asciiTheme="majorHAnsi" w:hAnsiTheme="majorHAnsi"/>
          <w:sz w:val="24"/>
          <w:szCs w:val="24"/>
        </w:rPr>
        <w:t xml:space="preserve"> can be specified as</w:t>
      </w:r>
    </w:p>
    <w:p w:rsidR="00F15712" w:rsidRPr="006A199E" w:rsidRDefault="00F15712" w:rsidP="00F15712">
      <w:pPr>
        <w:spacing w:after="0" w:line="480" w:lineRule="auto"/>
        <w:jc w:val="both"/>
        <w:rPr>
          <w:rFonts w:asciiTheme="majorHAnsi" w:hAnsiTheme="majorHAnsi"/>
          <w:sz w:val="24"/>
          <w:szCs w:val="24"/>
        </w:rPr>
      </w:pPr>
      <w:r w:rsidRPr="006A199E">
        <w:rPr>
          <w:rFonts w:asciiTheme="majorHAnsi" w:hAnsiTheme="majorHAnsi"/>
          <w:sz w:val="24"/>
          <w:szCs w:val="24"/>
        </w:rPr>
        <w:tab/>
      </w:r>
      <w:r w:rsidRPr="006A199E">
        <w:rPr>
          <w:rFonts w:asciiTheme="majorHAnsi" w:hAnsiTheme="majorHAnsi"/>
          <w:sz w:val="24"/>
          <w:szCs w:val="24"/>
        </w:rPr>
        <w:tab/>
      </w:r>
      <m:oMath>
        <m:sSub>
          <m:sSubPr>
            <m:ctrlPr>
              <w:rPr>
                <w:rFonts w:ascii="Cambria Math" w:hAnsi="Cambria Math"/>
                <w:i/>
                <w:sz w:val="24"/>
                <w:szCs w:val="24"/>
              </w:rPr>
            </m:ctrlPr>
          </m:sSubPr>
          <m:e>
            <m:r>
              <w:rPr>
                <w:rFonts w:ascii="Cambria Math" w:hAnsi="Cambria Math"/>
                <w:sz w:val="24"/>
                <w:szCs w:val="24"/>
              </w:rPr>
              <m:t>η</m:t>
            </m:r>
          </m:e>
          <m:sub>
            <m:r>
              <w:rPr>
                <w:rFonts w:ascii="Cambria Math" w:hAnsi="Cambria Math"/>
                <w:sz w:val="24"/>
                <w:szCs w:val="24"/>
              </w:rPr>
              <m:t>i</m:t>
            </m:r>
          </m:sub>
        </m:sSub>
        <m:r>
          <w:rPr>
            <w:rFonts w:ascii="Cambria Math" w:hAnsi="Cambria Math"/>
            <w:sz w:val="24"/>
            <w:szCs w:val="24"/>
          </w:rPr>
          <m:t>=α</m:t>
        </m:r>
        <m:sSubSup>
          <m:sSubSupPr>
            <m:ctrlPr>
              <w:rPr>
                <w:rFonts w:ascii="Cambria Math" w:hAnsi="Cambria Math"/>
                <w:i/>
                <w:sz w:val="24"/>
                <w:szCs w:val="24"/>
              </w:rPr>
            </m:ctrlPr>
          </m:sSubSupPr>
          <m:e>
            <m:r>
              <w:rPr>
                <w:rFonts w:ascii="Cambria Math" w:hAnsi="Cambria Math"/>
                <w:sz w:val="24"/>
                <w:szCs w:val="24"/>
              </w:rPr>
              <m:t>λ</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+β</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m:t>
            </m:r>
          </m:sup>
        </m:sSubSup>
      </m:oMath>
      <w:r w:rsidRPr="006A199E">
        <w:rPr>
          <w:rFonts w:asciiTheme="majorHAnsi" w:hAnsiTheme="majorHAnsi"/>
          <w:sz w:val="24"/>
          <w:szCs w:val="24"/>
        </w:rPr>
        <w:tab/>
      </w:r>
      <w:r w:rsidRPr="006A199E">
        <w:rPr>
          <w:rFonts w:asciiTheme="majorHAnsi" w:hAnsiTheme="majorHAnsi"/>
          <w:sz w:val="24"/>
          <w:szCs w:val="24"/>
        </w:rPr>
        <w:tab/>
      </w:r>
      <w:r w:rsidRPr="006A199E">
        <w:rPr>
          <w:rFonts w:asciiTheme="majorHAnsi" w:hAnsiTheme="majorHAnsi"/>
          <w:sz w:val="24"/>
          <w:szCs w:val="24"/>
        </w:rPr>
        <w:tab/>
      </w:r>
      <w:r w:rsidRPr="006A199E">
        <w:rPr>
          <w:rFonts w:asciiTheme="majorHAnsi" w:hAnsiTheme="majorHAnsi"/>
          <w:sz w:val="24"/>
          <w:szCs w:val="24"/>
        </w:rPr>
        <w:tab/>
        <w:t>2</w:t>
      </w:r>
    </w:p>
    <w:p w:rsidR="00F15712" w:rsidRPr="006A199E" w:rsidRDefault="00F15712" w:rsidP="00F15712">
      <w:pPr>
        <w:spacing w:after="0" w:line="480" w:lineRule="auto"/>
        <w:jc w:val="both"/>
        <w:rPr>
          <w:rFonts w:asciiTheme="majorHAnsi" w:hAnsiTheme="majorHAnsi"/>
          <w:sz w:val="24"/>
          <w:szCs w:val="24"/>
        </w:rPr>
      </w:pPr>
      <w:r w:rsidRPr="006A199E">
        <w:rPr>
          <w:rFonts w:asciiTheme="majorHAnsi" w:hAnsiTheme="majorHAnsi"/>
          <w:sz w:val="24"/>
          <w:szCs w:val="24"/>
        </w:rPr>
        <w:t xml:space="preserve">Where </w:t>
      </w:r>
      <m:oMath>
        <m:r>
          <w:rPr>
            <w:rFonts w:ascii="Cambria Math" w:hAnsi="Cambria Math"/>
            <w:sz w:val="24"/>
            <w:szCs w:val="24"/>
          </w:rPr>
          <m:t>α</m:t>
        </m:r>
      </m:oMath>
      <w:r w:rsidRPr="006A199E">
        <w:rPr>
          <w:rFonts w:asciiTheme="majorHAnsi" w:hAnsiTheme="majorHAnsi"/>
          <w:sz w:val="24"/>
          <w:szCs w:val="24"/>
        </w:rPr>
        <w:t xml:space="preserve"> is a </w:t>
      </w:r>
      <w:r w:rsidRPr="006A199E">
        <w:rPr>
          <w:rFonts w:asciiTheme="majorHAnsi" w:hAnsiTheme="majorHAnsi"/>
          <w:i/>
          <w:iCs/>
          <w:sz w:val="24"/>
          <w:szCs w:val="24"/>
        </w:rPr>
        <w:t>d</w:t>
      </w:r>
      <w:r w:rsidRPr="006A199E">
        <w:rPr>
          <w:rFonts w:asciiTheme="majorHAnsi" w:hAnsiTheme="majorHAnsi"/>
          <w:sz w:val="24"/>
          <w:szCs w:val="24"/>
        </w:rPr>
        <w:t xml:space="preserve">-dimensional vector of unknown regression coefficients for the categorical covariates </w:t>
      </w:r>
      <m:oMath>
        <m:sSubSup>
          <m:sSubSupPr>
            <m:ctrlPr>
              <w:rPr>
                <w:rFonts w:ascii="Cambria Math" w:hAnsi="Cambria Math"/>
                <w:i/>
                <w:sz w:val="24"/>
                <w:szCs w:val="24"/>
              </w:rPr>
            </m:ctrlPr>
          </m:sSubSupPr>
          <m:e>
            <m:r>
              <w:rPr>
                <w:rFonts w:ascii="Cambria Math" w:hAnsi="Cambria Math"/>
                <w:sz w:val="24"/>
                <w:szCs w:val="24"/>
              </w:rPr>
              <m:t>λ</m:t>
            </m:r>
          </m:e>
          <m:sub>
            <m:r>
              <w:rPr>
                <w:rFonts w:ascii="Cambria Math" w:hAnsi="Cambria Math"/>
                <w:sz w:val="24"/>
                <w:szCs w:val="24"/>
              </w:rPr>
              <m:t>i</m:t>
            </m:r>
          </m:sub>
          <m:sup>
            <m:r>
              <w:rPr>
                <w:rFonts w:ascii="Cambria Math" w:hAnsi="Cambria Math"/>
                <w:sz w:val="24"/>
                <w:szCs w:val="24"/>
              </w:rPr>
              <m:t>'</m:t>
            </m:r>
          </m:sup>
        </m:sSubSup>
      </m:oMath>
      <w:r w:rsidRPr="006A199E">
        <w:rPr>
          <w:rFonts w:asciiTheme="majorHAnsi" w:hAnsiTheme="majorHAnsi"/>
          <w:sz w:val="24"/>
          <w:szCs w:val="24"/>
        </w:rPr>
        <w:t xml:space="preserve"> ,</w:t>
      </w:r>
      <m:oMath>
        <m:r>
          <w:rPr>
            <w:rFonts w:ascii="Cambria Math" w:hAnsi="Cambria Math"/>
            <w:sz w:val="24"/>
            <w:szCs w:val="24"/>
          </w:rPr>
          <m:t>β</m:t>
        </m:r>
      </m:oMath>
      <w:r w:rsidRPr="006A199E">
        <w:rPr>
          <w:rFonts w:asciiTheme="majorHAnsi" w:hAnsiTheme="majorHAnsi"/>
          <w:sz w:val="24"/>
          <w:szCs w:val="24"/>
        </w:rPr>
        <w:t xml:space="preserve"> is a </w:t>
      </w:r>
      <w:r w:rsidRPr="006A199E">
        <w:rPr>
          <w:rFonts w:asciiTheme="majorHAnsi" w:hAnsiTheme="majorHAnsi"/>
          <w:i/>
          <w:iCs/>
          <w:sz w:val="24"/>
          <w:szCs w:val="24"/>
        </w:rPr>
        <w:t>k</w:t>
      </w:r>
      <w:r w:rsidRPr="006A199E">
        <w:rPr>
          <w:rFonts w:asciiTheme="majorHAnsi" w:hAnsiTheme="majorHAnsi"/>
          <w:sz w:val="24"/>
          <w:szCs w:val="24"/>
        </w:rPr>
        <w:t xml:space="preserve">-dimensional vector of unknown regression coefficients for the continuous covariates </w:t>
      </w:r>
      <m:oMath>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m:t>
            </m:r>
          </m:sub>
          <m:sup>
            <m:r>
              <w:rPr>
                <w:rFonts w:ascii="Cambria Math" w:hAnsi="Cambria Math"/>
                <w:sz w:val="24"/>
                <w:szCs w:val="24"/>
              </w:rPr>
              <m:t>'</m:t>
            </m:r>
          </m:sup>
        </m:sSubSup>
      </m:oMath>
      <w:r w:rsidRPr="006A199E">
        <w:rPr>
          <w:rFonts w:asciiTheme="majorHAnsi" w:hAnsiTheme="majorHAnsi"/>
          <w:sz w:val="24"/>
          <w:szCs w:val="24"/>
        </w:rPr>
        <w:t xml:space="preserve"> . To account for non-linear effects of the continuous covariates and spatial dependence in asset wealth, the BGS framework which replaces the strictly linear predictors with flexible semi-parametric predictors was adopted. The BGS model is then specified as shown in Equation 3 below</w:t>
      </w:r>
    </w:p>
    <w:p w:rsidR="00F15712" w:rsidRPr="006A199E" w:rsidRDefault="00E72807" w:rsidP="00F15712">
      <w:pPr>
        <w:spacing w:after="0" w:line="480" w:lineRule="auto"/>
        <w:ind w:left="1440"/>
        <w:jc w:val="both"/>
        <w:rPr>
          <w:rFonts w:asciiTheme="majorHAnsi" w:hAnsiTheme="majorHAnsi"/>
          <w:sz w:val="24"/>
          <w:szCs w:val="24"/>
        </w:rPr>
      </w:pPr>
      <m:oMath>
        <m:sSub>
          <m:sSubPr>
            <m:ctrlPr>
              <w:rPr>
                <w:rFonts w:ascii="Cambria Math" w:hAnsi="Cambria Math"/>
                <w:i/>
                <w:iCs/>
                <w:sz w:val="24"/>
                <w:szCs w:val="24"/>
              </w:rPr>
            </m:ctrlPr>
          </m:sSubPr>
          <m:e>
            <m:r>
              <w:rPr>
                <w:rFonts w:ascii="Cambria Math" w:hAnsi="Cambria Math"/>
                <w:sz w:val="24"/>
                <w:szCs w:val="24"/>
              </w:rPr>
              <m:t>η</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α</m:t>
        </m:r>
        <m:sSubSup>
          <m:sSubSupPr>
            <m:ctrlPr>
              <w:rPr>
                <w:rFonts w:ascii="Cambria Math" w:hAnsi="Cambria Math"/>
                <w:i/>
                <w:sz w:val="24"/>
                <w:szCs w:val="24"/>
              </w:rPr>
            </m:ctrlPr>
          </m:sSubSupPr>
          <m:e>
            <m:r>
              <w:rPr>
                <w:rFonts w:ascii="Cambria Math" w:hAnsi="Cambria Math"/>
                <w:sz w:val="24"/>
                <w:szCs w:val="24"/>
              </w:rPr>
              <m:t>λ</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ik</m:t>
            </m:r>
          </m:sub>
          <m:sup>
            <m:r>
              <w:rPr>
                <w:rFonts w:ascii="Cambria Math" w:hAnsi="Cambria Math"/>
                <w:sz w:val="24"/>
                <w:szCs w:val="24"/>
              </w:rPr>
              <m:t>'</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spat(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m:t>
            </m:r>
          </m:sup>
        </m:sSup>
      </m:oMath>
      <w:r w:rsidR="00F15712" w:rsidRPr="006A199E">
        <w:rPr>
          <w:rFonts w:asciiTheme="majorHAnsi" w:hAnsiTheme="majorHAnsi"/>
          <w:sz w:val="24"/>
          <w:szCs w:val="24"/>
        </w:rPr>
        <w:tab/>
      </w:r>
      <w:r w:rsidR="00F15712" w:rsidRPr="006A199E">
        <w:rPr>
          <w:rFonts w:asciiTheme="majorHAnsi" w:hAnsiTheme="majorHAnsi"/>
          <w:sz w:val="24"/>
          <w:szCs w:val="24"/>
        </w:rPr>
        <w:tab/>
      </w:r>
      <w:r w:rsidR="00F15712" w:rsidRPr="006A199E">
        <w:rPr>
          <w:rFonts w:asciiTheme="majorHAnsi" w:hAnsiTheme="majorHAnsi"/>
          <w:sz w:val="24"/>
          <w:szCs w:val="24"/>
        </w:rPr>
        <w:tab/>
        <w:t>3</w:t>
      </w:r>
    </w:p>
    <w:p w:rsidR="00F15712" w:rsidRPr="006A199E" w:rsidRDefault="00F15712" w:rsidP="00F15712">
      <w:pPr>
        <w:spacing w:after="0" w:line="480" w:lineRule="auto"/>
        <w:jc w:val="both"/>
        <w:rPr>
          <w:rFonts w:asciiTheme="majorHAnsi" w:hAnsiTheme="majorHAnsi"/>
          <w:sz w:val="24"/>
          <w:szCs w:val="24"/>
        </w:rPr>
      </w:pPr>
      <w:r w:rsidRPr="006A199E">
        <w:rPr>
          <w:rFonts w:asciiTheme="majorHAnsi" w:hAnsiTheme="majorHAnsi"/>
          <w:sz w:val="24"/>
          <w:szCs w:val="24"/>
        </w:rPr>
        <w:t xml:space="preserve">where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r>
          <w:rPr>
            <w:rFonts w:ascii="Cambria Math" w:hAnsi="Cambria Math"/>
            <w:sz w:val="24"/>
            <w:szCs w:val="24"/>
          </w:rPr>
          <m:t>(x)</m:t>
        </m:r>
      </m:oMath>
      <w:r w:rsidRPr="006A199E">
        <w:rPr>
          <w:rFonts w:asciiTheme="majorHAnsi" w:hAnsiTheme="majorHAnsi"/>
          <w:sz w:val="24"/>
          <w:szCs w:val="24"/>
        </w:rPr>
        <w:t xml:space="preserve"> are non-linear smoothing function of the continuous variables </w:t>
      </w: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ik</m:t>
            </m:r>
          </m:sub>
        </m:sSub>
      </m:oMath>
      <w:r w:rsidRPr="006A199E">
        <w:rPr>
          <w:rFonts w:asciiTheme="majorHAnsi" w:hAnsiTheme="majorHAnsi"/>
          <w:sz w:val="24"/>
          <w:szCs w:val="24"/>
        </w:rPr>
        <w:t xml:space="preserve"> and </w:t>
      </w: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spat(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m:t>
            </m:r>
          </m:sup>
        </m:sSup>
      </m:oMath>
      <w:r w:rsidRPr="006A199E">
        <w:rPr>
          <w:rFonts w:asciiTheme="majorHAnsi" w:hAnsiTheme="majorHAnsi"/>
          <w:sz w:val="24"/>
          <w:szCs w:val="24"/>
        </w:rPr>
        <w:t xml:space="preserve"> accounts for unobserved spatial heterogeneity at location </w:t>
      </w:r>
      <w:r w:rsidRPr="006A199E">
        <w:rPr>
          <w:rFonts w:asciiTheme="majorHAnsi" w:hAnsiTheme="majorHAnsi"/>
          <w:i/>
          <w:iCs/>
          <w:sz w:val="24"/>
          <w:szCs w:val="24"/>
        </w:rPr>
        <w:t xml:space="preserve">i </w:t>
      </w:r>
      <w:r w:rsidRPr="006A199E">
        <w:rPr>
          <w:rFonts w:asciiTheme="majorHAnsi" w:hAnsiTheme="majorHAnsi"/>
          <w:sz w:val="24"/>
          <w:szCs w:val="24"/>
        </w:rPr>
        <w:t>(</w:t>
      </w:r>
      <w:r w:rsidRPr="006A199E">
        <w:rPr>
          <w:rFonts w:asciiTheme="majorHAnsi" w:hAnsiTheme="majorHAnsi"/>
          <w:i/>
          <w:iCs/>
          <w:sz w:val="24"/>
          <w:szCs w:val="24"/>
        </w:rPr>
        <w:t>i</w:t>
      </w:r>
      <w:r w:rsidRPr="006A199E">
        <w:rPr>
          <w:rFonts w:asciiTheme="majorHAnsi" w:hAnsiTheme="majorHAnsi"/>
          <w:sz w:val="24"/>
          <w:szCs w:val="24"/>
        </w:rPr>
        <w:t xml:space="preserve">=1,...,S), some of which may be spatially structured and others unstructured. The spatially structured </w:t>
      </w:r>
      <w:r w:rsidRPr="006A199E">
        <w:rPr>
          <w:rFonts w:asciiTheme="majorHAnsi" w:hAnsiTheme="majorHAnsi"/>
          <w:sz w:val="24"/>
          <w:szCs w:val="24"/>
        </w:rPr>
        <w:lastRenderedPageBreak/>
        <w:t>effects shows the effect of location by assuming that geographically close areas are more similar than distant areas, whist the unstructured spatial effect accounts for spatial randomness in the model. In this regard, equation 3 can be specified as</w:t>
      </w:r>
    </w:p>
    <w:p w:rsidR="00F15712" w:rsidRPr="006A199E" w:rsidRDefault="00F15712" w:rsidP="00F15712">
      <w:pPr>
        <w:spacing w:after="0" w:line="480" w:lineRule="auto"/>
        <w:ind w:left="720" w:firstLine="720"/>
        <w:jc w:val="both"/>
        <w:rPr>
          <w:rFonts w:asciiTheme="majorHAnsi" w:hAnsiTheme="majorHAnsi"/>
          <w:sz w:val="24"/>
          <w:szCs w:val="24"/>
        </w:rPr>
      </w:pPr>
      <w:r w:rsidRPr="006A199E">
        <w:rPr>
          <w:rFonts w:asciiTheme="majorHAnsi" w:hAnsiTheme="majorHAnsi"/>
          <w:sz w:val="24"/>
          <w:szCs w:val="24"/>
        </w:rPr>
        <w:t xml:space="preserve"> </w:t>
      </w:r>
      <m:oMath>
        <m:sSub>
          <m:sSubPr>
            <m:ctrlPr>
              <w:rPr>
                <w:rFonts w:ascii="Cambria Math" w:hAnsi="Cambria Math"/>
                <w:i/>
                <w:iCs/>
                <w:sz w:val="24"/>
                <w:szCs w:val="24"/>
              </w:rPr>
            </m:ctrlPr>
          </m:sSubPr>
          <m:e>
            <m:r>
              <w:rPr>
                <w:rFonts w:ascii="Cambria Math" w:hAnsi="Cambria Math"/>
                <w:sz w:val="24"/>
                <w:szCs w:val="24"/>
              </w:rPr>
              <m:t>η</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α</m:t>
        </m:r>
        <m:sSubSup>
          <m:sSubSupPr>
            <m:ctrlPr>
              <w:rPr>
                <w:rFonts w:ascii="Cambria Math" w:hAnsi="Cambria Math"/>
                <w:i/>
                <w:sz w:val="24"/>
                <w:szCs w:val="24"/>
              </w:rPr>
            </m:ctrlPr>
          </m:sSubSupPr>
          <m:e>
            <m:r>
              <w:rPr>
                <w:rFonts w:ascii="Cambria Math" w:hAnsi="Cambria Math"/>
                <w:sz w:val="24"/>
                <w:szCs w:val="24"/>
              </w:rPr>
              <m:t>λ</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k</m:t>
            </m:r>
          </m:sub>
        </m:sSub>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ik</m:t>
            </m:r>
          </m:sub>
          <m:sup>
            <m:r>
              <w:rPr>
                <w:rFonts w:ascii="Cambria Math" w:hAnsi="Cambria Math"/>
                <w:sz w:val="24"/>
                <w:szCs w:val="24"/>
              </w:rPr>
              <m:t>'</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str(</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unstr(</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m:t>
            </m:r>
          </m:sup>
        </m:sSup>
      </m:oMath>
      <w:r w:rsidRPr="006A199E">
        <w:rPr>
          <w:rFonts w:asciiTheme="majorHAnsi" w:hAnsiTheme="majorHAnsi"/>
          <w:sz w:val="24"/>
          <w:szCs w:val="24"/>
        </w:rPr>
        <w:tab/>
        <w:t>4</w:t>
      </w:r>
    </w:p>
    <w:p w:rsidR="00F15712" w:rsidRPr="00987049" w:rsidRDefault="00F15712" w:rsidP="00987049">
      <w:pPr>
        <w:spacing w:after="0" w:line="480" w:lineRule="auto"/>
        <w:jc w:val="both"/>
        <w:rPr>
          <w:rFonts w:asciiTheme="majorHAnsi" w:hAnsiTheme="majorHAnsi"/>
          <w:sz w:val="24"/>
          <w:szCs w:val="24"/>
        </w:rPr>
      </w:pPr>
      <w:r w:rsidRPr="006A199E">
        <w:rPr>
          <w:rFonts w:asciiTheme="majorHAnsi" w:hAnsiTheme="majorHAnsi"/>
          <w:sz w:val="24"/>
          <w:szCs w:val="24"/>
        </w:rPr>
        <w:t xml:space="preserve">where </w:t>
      </w: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str</m:t>
            </m:r>
          </m:sup>
        </m:sSup>
      </m:oMath>
      <w:r w:rsidRPr="006A199E">
        <w:rPr>
          <w:rFonts w:asciiTheme="majorHAnsi" w:hAnsiTheme="majorHAnsi"/>
          <w:sz w:val="24"/>
          <w:szCs w:val="24"/>
        </w:rPr>
        <w:t xml:space="preserve">  is the structured spatial effects and  </w:t>
      </w: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unstr</m:t>
            </m:r>
          </m:sup>
        </m:sSup>
      </m:oMath>
      <w:r w:rsidRPr="006A199E">
        <w:rPr>
          <w:rFonts w:asciiTheme="majorHAnsi" w:hAnsiTheme="majorHAnsi"/>
          <w:sz w:val="24"/>
          <w:szCs w:val="24"/>
        </w:rPr>
        <w:t xml:space="preserve"> is the unstructured spatial effects and  </w:t>
      </w:r>
      <m:oMath>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spat(</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str</m:t>
            </m:r>
          </m:sup>
        </m:s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f</m:t>
            </m:r>
          </m:e>
          <m:sup>
            <m:r>
              <w:rPr>
                <w:rFonts w:ascii="Cambria Math" w:hAnsi="Cambria Math"/>
                <w:sz w:val="24"/>
                <w:szCs w:val="24"/>
              </w:rPr>
              <m:t>unstr</m:t>
            </m:r>
          </m:sup>
        </m:sSup>
      </m:oMath>
      <w:r w:rsidRPr="006A199E">
        <w:rPr>
          <w:rFonts w:asciiTheme="majorHAnsi" w:hAnsiTheme="majorHAnsi"/>
          <w:sz w:val="24"/>
          <w:szCs w:val="24"/>
        </w:rPr>
        <w:t xml:space="preserve">. In the case of this study, the spatially structured effects depicts the extent of clustering of asset poverty and the influence of unaccounted predictor variables that themselves may be spatially clustered </w:t>
      </w:r>
      <w:r w:rsidRPr="006A199E">
        <w:rPr>
          <w:rFonts w:asciiTheme="majorHAnsi" w:hAnsiTheme="majorHAnsi"/>
          <w:sz w:val="24"/>
          <w:szCs w:val="24"/>
          <w:cs/>
        </w:rPr>
        <w:t>‎</w:t>
      </w:r>
      <w:r w:rsidRPr="006A199E">
        <w:rPr>
          <w:rFonts w:asciiTheme="majorHAnsi" w:hAnsiTheme="majorHAnsi"/>
          <w:sz w:val="24"/>
          <w:szCs w:val="24"/>
        </w:rPr>
        <w:t>or random. The smooth effects of continuous factors are modelled with P-spline priors, whilst the spatial effects are modelled using Markov random field priors. BGS models produce a map of the posterior spatial effect, which allows for the impact of the covariates in explaining the spatial patterns of poverty to be examined.</w:t>
      </w:r>
      <w:r>
        <w:rPr>
          <w:rFonts w:asciiTheme="majorHAnsi" w:hAnsiTheme="majorHAnsi"/>
          <w:sz w:val="24"/>
          <w:szCs w:val="24"/>
        </w:rPr>
        <w:t xml:space="preserve"> </w:t>
      </w:r>
    </w:p>
    <w:sectPr w:rsidR="00F15712" w:rsidRPr="009870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807" w:rsidRDefault="00E72807" w:rsidP="00A11772">
      <w:pPr>
        <w:spacing w:after="0" w:line="240" w:lineRule="auto"/>
      </w:pPr>
      <w:r>
        <w:separator/>
      </w:r>
    </w:p>
  </w:endnote>
  <w:endnote w:type="continuationSeparator" w:id="0">
    <w:p w:rsidR="00E72807" w:rsidRDefault="00E72807" w:rsidP="00A11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12165"/>
      <w:docPartObj>
        <w:docPartGallery w:val="Page Numbers (Bottom of Page)"/>
        <w:docPartUnique/>
      </w:docPartObj>
    </w:sdtPr>
    <w:sdtEndPr>
      <w:rPr>
        <w:noProof/>
      </w:rPr>
    </w:sdtEndPr>
    <w:sdtContent>
      <w:p w:rsidR="00994F64" w:rsidRDefault="00994F64">
        <w:pPr>
          <w:pStyle w:val="Footer"/>
          <w:jc w:val="center"/>
        </w:pPr>
        <w:r>
          <w:fldChar w:fldCharType="begin"/>
        </w:r>
        <w:r>
          <w:instrText xml:space="preserve"> PAGE   \* MERGEFORMAT </w:instrText>
        </w:r>
        <w:r>
          <w:fldChar w:fldCharType="separate"/>
        </w:r>
        <w:r w:rsidR="00D11242">
          <w:rPr>
            <w:noProof/>
          </w:rPr>
          <w:t>1</w:t>
        </w:r>
        <w:r>
          <w:rPr>
            <w:noProof/>
          </w:rPr>
          <w:fldChar w:fldCharType="end"/>
        </w:r>
      </w:p>
    </w:sdtContent>
  </w:sdt>
  <w:p w:rsidR="00994F64" w:rsidRDefault="00994F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807" w:rsidRDefault="00E72807" w:rsidP="00A11772">
      <w:pPr>
        <w:spacing w:after="0" w:line="240" w:lineRule="auto"/>
      </w:pPr>
      <w:r>
        <w:separator/>
      </w:r>
    </w:p>
  </w:footnote>
  <w:footnote w:type="continuationSeparator" w:id="0">
    <w:p w:rsidR="00E72807" w:rsidRDefault="00E72807" w:rsidP="00A117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88"/>
    <w:rsid w:val="0005472A"/>
    <w:rsid w:val="00057DB8"/>
    <w:rsid w:val="000C3665"/>
    <w:rsid w:val="000C6070"/>
    <w:rsid w:val="000E4715"/>
    <w:rsid w:val="00130C4B"/>
    <w:rsid w:val="001356BE"/>
    <w:rsid w:val="001728E3"/>
    <w:rsid w:val="00191174"/>
    <w:rsid w:val="001B2DE6"/>
    <w:rsid w:val="00213DE0"/>
    <w:rsid w:val="002F7CDC"/>
    <w:rsid w:val="0034133F"/>
    <w:rsid w:val="003E16B5"/>
    <w:rsid w:val="00414C88"/>
    <w:rsid w:val="004B652B"/>
    <w:rsid w:val="004C69B3"/>
    <w:rsid w:val="004D3D48"/>
    <w:rsid w:val="006117CB"/>
    <w:rsid w:val="006A199E"/>
    <w:rsid w:val="006E1FBE"/>
    <w:rsid w:val="007248C8"/>
    <w:rsid w:val="0078046A"/>
    <w:rsid w:val="007D06B8"/>
    <w:rsid w:val="008073DB"/>
    <w:rsid w:val="00857628"/>
    <w:rsid w:val="008C254D"/>
    <w:rsid w:val="009119F4"/>
    <w:rsid w:val="00974769"/>
    <w:rsid w:val="00987049"/>
    <w:rsid w:val="00994F64"/>
    <w:rsid w:val="009F03B6"/>
    <w:rsid w:val="00A11772"/>
    <w:rsid w:val="00A47AEF"/>
    <w:rsid w:val="00AE3B6A"/>
    <w:rsid w:val="00C03C2E"/>
    <w:rsid w:val="00C63B64"/>
    <w:rsid w:val="00D11242"/>
    <w:rsid w:val="00DC4418"/>
    <w:rsid w:val="00E44DBC"/>
    <w:rsid w:val="00E72807"/>
    <w:rsid w:val="00E8396D"/>
    <w:rsid w:val="00F15712"/>
    <w:rsid w:val="00FC25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712"/>
    <w:rPr>
      <w:rFonts w:ascii="Tahoma" w:hAnsi="Tahoma" w:cs="Tahoma"/>
      <w:sz w:val="16"/>
      <w:szCs w:val="16"/>
    </w:rPr>
  </w:style>
  <w:style w:type="table" w:styleId="TableGrid">
    <w:name w:val="Table Grid"/>
    <w:basedOn w:val="TableNormal"/>
    <w:uiPriority w:val="59"/>
    <w:rsid w:val="008C25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69B3"/>
    <w:rPr>
      <w:sz w:val="16"/>
      <w:szCs w:val="16"/>
    </w:rPr>
  </w:style>
  <w:style w:type="paragraph" w:styleId="CommentText">
    <w:name w:val="annotation text"/>
    <w:basedOn w:val="Normal"/>
    <w:link w:val="CommentTextChar"/>
    <w:uiPriority w:val="99"/>
    <w:semiHidden/>
    <w:unhideWhenUsed/>
    <w:rsid w:val="004C69B3"/>
    <w:pPr>
      <w:spacing w:line="240" w:lineRule="auto"/>
    </w:pPr>
    <w:rPr>
      <w:sz w:val="20"/>
      <w:szCs w:val="20"/>
    </w:rPr>
  </w:style>
  <w:style w:type="character" w:customStyle="1" w:styleId="CommentTextChar">
    <w:name w:val="Comment Text Char"/>
    <w:basedOn w:val="DefaultParagraphFont"/>
    <w:link w:val="CommentText"/>
    <w:uiPriority w:val="99"/>
    <w:semiHidden/>
    <w:rsid w:val="004C69B3"/>
    <w:rPr>
      <w:sz w:val="20"/>
      <w:szCs w:val="20"/>
    </w:rPr>
  </w:style>
  <w:style w:type="paragraph" w:styleId="CommentSubject">
    <w:name w:val="annotation subject"/>
    <w:basedOn w:val="CommentText"/>
    <w:next w:val="CommentText"/>
    <w:link w:val="CommentSubjectChar"/>
    <w:uiPriority w:val="99"/>
    <w:semiHidden/>
    <w:unhideWhenUsed/>
    <w:rsid w:val="004C69B3"/>
    <w:rPr>
      <w:b/>
      <w:bCs/>
    </w:rPr>
  </w:style>
  <w:style w:type="character" w:customStyle="1" w:styleId="CommentSubjectChar">
    <w:name w:val="Comment Subject Char"/>
    <w:basedOn w:val="CommentTextChar"/>
    <w:link w:val="CommentSubject"/>
    <w:uiPriority w:val="99"/>
    <w:semiHidden/>
    <w:rsid w:val="004C69B3"/>
    <w:rPr>
      <w:b/>
      <w:bCs/>
      <w:sz w:val="20"/>
      <w:szCs w:val="20"/>
    </w:rPr>
  </w:style>
  <w:style w:type="paragraph" w:styleId="Header">
    <w:name w:val="header"/>
    <w:basedOn w:val="Normal"/>
    <w:link w:val="HeaderChar"/>
    <w:uiPriority w:val="99"/>
    <w:unhideWhenUsed/>
    <w:rsid w:val="00A11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772"/>
  </w:style>
  <w:style w:type="paragraph" w:styleId="Footer">
    <w:name w:val="footer"/>
    <w:basedOn w:val="Normal"/>
    <w:link w:val="FooterChar"/>
    <w:uiPriority w:val="99"/>
    <w:unhideWhenUsed/>
    <w:rsid w:val="00A11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C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712"/>
    <w:rPr>
      <w:rFonts w:ascii="Tahoma" w:hAnsi="Tahoma" w:cs="Tahoma"/>
      <w:sz w:val="16"/>
      <w:szCs w:val="16"/>
    </w:rPr>
  </w:style>
  <w:style w:type="table" w:styleId="TableGrid">
    <w:name w:val="Table Grid"/>
    <w:basedOn w:val="TableNormal"/>
    <w:uiPriority w:val="59"/>
    <w:rsid w:val="008C25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69B3"/>
    <w:rPr>
      <w:sz w:val="16"/>
      <w:szCs w:val="16"/>
    </w:rPr>
  </w:style>
  <w:style w:type="paragraph" w:styleId="CommentText">
    <w:name w:val="annotation text"/>
    <w:basedOn w:val="Normal"/>
    <w:link w:val="CommentTextChar"/>
    <w:uiPriority w:val="99"/>
    <w:semiHidden/>
    <w:unhideWhenUsed/>
    <w:rsid w:val="004C69B3"/>
    <w:pPr>
      <w:spacing w:line="240" w:lineRule="auto"/>
    </w:pPr>
    <w:rPr>
      <w:sz w:val="20"/>
      <w:szCs w:val="20"/>
    </w:rPr>
  </w:style>
  <w:style w:type="character" w:customStyle="1" w:styleId="CommentTextChar">
    <w:name w:val="Comment Text Char"/>
    <w:basedOn w:val="DefaultParagraphFont"/>
    <w:link w:val="CommentText"/>
    <w:uiPriority w:val="99"/>
    <w:semiHidden/>
    <w:rsid w:val="004C69B3"/>
    <w:rPr>
      <w:sz w:val="20"/>
      <w:szCs w:val="20"/>
    </w:rPr>
  </w:style>
  <w:style w:type="paragraph" w:styleId="CommentSubject">
    <w:name w:val="annotation subject"/>
    <w:basedOn w:val="CommentText"/>
    <w:next w:val="CommentText"/>
    <w:link w:val="CommentSubjectChar"/>
    <w:uiPriority w:val="99"/>
    <w:semiHidden/>
    <w:unhideWhenUsed/>
    <w:rsid w:val="004C69B3"/>
    <w:rPr>
      <w:b/>
      <w:bCs/>
    </w:rPr>
  </w:style>
  <w:style w:type="character" w:customStyle="1" w:styleId="CommentSubjectChar">
    <w:name w:val="Comment Subject Char"/>
    <w:basedOn w:val="CommentTextChar"/>
    <w:link w:val="CommentSubject"/>
    <w:uiPriority w:val="99"/>
    <w:semiHidden/>
    <w:rsid w:val="004C69B3"/>
    <w:rPr>
      <w:b/>
      <w:bCs/>
      <w:sz w:val="20"/>
      <w:szCs w:val="20"/>
    </w:rPr>
  </w:style>
  <w:style w:type="paragraph" w:styleId="Header">
    <w:name w:val="header"/>
    <w:basedOn w:val="Normal"/>
    <w:link w:val="HeaderChar"/>
    <w:uiPriority w:val="99"/>
    <w:unhideWhenUsed/>
    <w:rsid w:val="00A11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772"/>
  </w:style>
  <w:style w:type="paragraph" w:styleId="Footer">
    <w:name w:val="footer"/>
    <w:basedOn w:val="Normal"/>
    <w:link w:val="FooterChar"/>
    <w:uiPriority w:val="99"/>
    <w:unhideWhenUsed/>
    <w:rsid w:val="00A11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1945</Words>
  <Characters>11089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Amoako Johnson F.</dc:creator>
  <cp:lastModifiedBy>Amoako Johnson F.</cp:lastModifiedBy>
  <cp:revision>8</cp:revision>
  <dcterms:created xsi:type="dcterms:W3CDTF">2015-10-16T09:06:00Z</dcterms:created>
  <dcterms:modified xsi:type="dcterms:W3CDTF">2016-03-14T17:54:00Z</dcterms:modified>
</cp:coreProperties>
</file>