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8F3" w:rsidRPr="0038649F" w:rsidRDefault="00C677B9" w:rsidP="00BD5955">
      <w:pPr>
        <w:pStyle w:val="Heading1"/>
        <w:suppressAutoHyphens/>
        <w:spacing w:line="480" w:lineRule="auto"/>
        <w:rPr>
          <w:rFonts w:asciiTheme="minorHAnsi" w:eastAsia="Calibri" w:hAnsiTheme="minorHAnsi" w:cstheme="minorHAnsi"/>
          <w:sz w:val="28"/>
          <w:szCs w:val="24"/>
        </w:rPr>
      </w:pPr>
      <w:r w:rsidRPr="0038649F">
        <w:rPr>
          <w:rFonts w:eastAsia="Calibri" w:cstheme="minorHAnsi"/>
          <w:sz w:val="28"/>
          <w:szCs w:val="24"/>
        </w:rPr>
        <w:t>Supplementary Material</w:t>
      </w:r>
    </w:p>
    <w:p w:rsidR="008D58F3" w:rsidRPr="00284EBB" w:rsidRDefault="00843E2B" w:rsidP="00D10A9B">
      <w:pPr>
        <w:pStyle w:val="Heading2"/>
        <w:suppressAutoHyphens/>
        <w:spacing w:line="480" w:lineRule="auto"/>
        <w:rPr>
          <w:rFonts w:asciiTheme="minorHAnsi" w:eastAsia="Calibri" w:hAnsiTheme="minorHAnsi" w:cstheme="minorHAnsi"/>
          <w:sz w:val="24"/>
          <w:szCs w:val="24"/>
        </w:rPr>
      </w:pPr>
      <w:r>
        <w:rPr>
          <w:rFonts w:eastAsia="Calibri" w:cstheme="minorHAnsi"/>
          <w:sz w:val="24"/>
          <w:szCs w:val="24"/>
        </w:rPr>
        <w:t>T</w:t>
      </w:r>
      <w:r w:rsidR="00C677B9" w:rsidRPr="006F2A9B">
        <w:rPr>
          <w:rFonts w:eastAsia="Calibri" w:cstheme="minorHAnsi"/>
          <w:sz w:val="24"/>
          <w:szCs w:val="24"/>
        </w:rPr>
        <w:t xml:space="preserve">able S1. List of 70 </w:t>
      </w:r>
      <w:r w:rsidR="00262164">
        <w:rPr>
          <w:rFonts w:eastAsia="Calibri" w:cstheme="minorHAnsi"/>
          <w:sz w:val="24"/>
          <w:szCs w:val="24"/>
        </w:rPr>
        <w:t>sub-themes</w:t>
      </w:r>
      <w:r w:rsidR="00C677B9" w:rsidRPr="00284EBB">
        <w:rPr>
          <w:rFonts w:eastAsia="Calibri" w:cstheme="minorHAnsi"/>
          <w:sz w:val="24"/>
          <w:szCs w:val="24"/>
        </w:rPr>
        <w:t xml:space="preserve"> informing quantitative analysis, based on themes derived from sustainability literature (Table 1), </w:t>
      </w:r>
      <w:r w:rsidR="00C677B9" w:rsidRPr="00A85D07">
        <w:rPr>
          <w:rFonts w:cstheme="minorHAnsi"/>
          <w:sz w:val="24"/>
          <w:szCs w:val="24"/>
        </w:rPr>
        <w:t>GR: Gol</w:t>
      </w:r>
      <w:r w:rsidR="00C677B9" w:rsidRPr="008219D4">
        <w:rPr>
          <w:rFonts w:cstheme="minorHAnsi"/>
          <w:sz w:val="24"/>
          <w:szCs w:val="24"/>
        </w:rPr>
        <w:t>den Rice, VAD: vitamin A deficiency.</w:t>
      </w:r>
    </w:p>
    <w:p w:rsidR="008D58F3" w:rsidRPr="00262164" w:rsidRDefault="00C677B9" w:rsidP="00D10A9B">
      <w:pPr>
        <w:pStyle w:val="NoSpacing"/>
        <w:suppressAutoHyphens/>
        <w:spacing w:line="480" w:lineRule="auto"/>
        <w:rPr>
          <w:rFonts w:cstheme="minorHAnsi"/>
          <w:b/>
          <w:sz w:val="24"/>
          <w:szCs w:val="24"/>
          <w:lang w:val="en-US"/>
        </w:rPr>
      </w:pPr>
      <w:r w:rsidRPr="00262164">
        <w:rPr>
          <w:rFonts w:cstheme="minorHAnsi"/>
          <w:b/>
          <w:sz w:val="24"/>
          <w:szCs w:val="24"/>
          <w:lang w:val="en-US"/>
        </w:rPr>
        <w:t>Message</w:t>
      </w:r>
    </w:p>
    <w:p w:rsidR="008D58F3" w:rsidRPr="008441BA" w:rsidRDefault="00C677B9" w:rsidP="00D10A9B">
      <w:pPr>
        <w:pStyle w:val="NoSpacing"/>
        <w:numPr>
          <w:ilvl w:val="0"/>
          <w:numId w:val="2"/>
        </w:numPr>
        <w:suppressAutoHyphens/>
        <w:spacing w:line="480" w:lineRule="auto"/>
        <w:ind w:left="360"/>
        <w:rPr>
          <w:rFonts w:cstheme="minorHAnsi"/>
          <w:sz w:val="24"/>
          <w:szCs w:val="24"/>
          <w:lang w:val="en-US"/>
        </w:rPr>
      </w:pPr>
      <w:r w:rsidRPr="006F2A9B">
        <w:rPr>
          <w:rFonts w:cstheme="minorHAnsi"/>
          <w:sz w:val="24"/>
          <w:szCs w:val="24"/>
          <w:lang w:val="en-US"/>
        </w:rPr>
        <w:t>Neutral: no judgement</w:t>
      </w:r>
    </w:p>
    <w:p w:rsidR="008D58F3" w:rsidRPr="008441BA" w:rsidRDefault="00C677B9" w:rsidP="00C31AD2">
      <w:pPr>
        <w:pStyle w:val="NoSpacing"/>
        <w:numPr>
          <w:ilvl w:val="0"/>
          <w:numId w:val="2"/>
        </w:numPr>
        <w:suppressAutoHyphens/>
        <w:spacing w:line="480" w:lineRule="auto"/>
        <w:ind w:left="360"/>
        <w:rPr>
          <w:rFonts w:cstheme="minorHAnsi"/>
          <w:sz w:val="24"/>
          <w:szCs w:val="24"/>
          <w:lang w:val="en-US"/>
        </w:rPr>
      </w:pPr>
      <w:r w:rsidRPr="008441BA">
        <w:rPr>
          <w:rFonts w:cstheme="minorHAnsi"/>
          <w:sz w:val="24"/>
          <w:szCs w:val="24"/>
          <w:lang w:val="en-US"/>
        </w:rPr>
        <w:t>Cautious: a lack of empirical data prohibits judgement</w:t>
      </w:r>
    </w:p>
    <w:p w:rsidR="008D58F3" w:rsidRPr="00A85D07" w:rsidRDefault="00C677B9" w:rsidP="00C31AD2">
      <w:pPr>
        <w:pStyle w:val="NoSpacing"/>
        <w:numPr>
          <w:ilvl w:val="0"/>
          <w:numId w:val="2"/>
        </w:numPr>
        <w:suppressAutoHyphens/>
        <w:spacing w:line="480" w:lineRule="auto"/>
        <w:ind w:left="360"/>
        <w:rPr>
          <w:rFonts w:cstheme="minorHAnsi"/>
          <w:sz w:val="24"/>
          <w:szCs w:val="24"/>
          <w:lang w:val="en-US"/>
        </w:rPr>
      </w:pPr>
      <w:r w:rsidRPr="008441BA">
        <w:rPr>
          <w:rFonts w:cstheme="minorHAnsi"/>
          <w:sz w:val="24"/>
          <w:szCs w:val="24"/>
          <w:lang w:val="en-US"/>
        </w:rPr>
        <w:t>Doubtful: GR is regarded as an option, but serious concerns are mentioned and/or</w:t>
      </w:r>
      <w:r w:rsidRPr="00284EBB">
        <w:rPr>
          <w:rFonts w:cstheme="minorHAnsi"/>
          <w:sz w:val="24"/>
          <w:szCs w:val="24"/>
          <w:lang w:val="en-US"/>
        </w:rPr>
        <w:t xml:space="preserve"> more promising solutions are proposed </w:t>
      </w:r>
    </w:p>
    <w:p w:rsidR="008D58F3" w:rsidRPr="00A85D07" w:rsidRDefault="00C677B9" w:rsidP="00C31AD2">
      <w:pPr>
        <w:pStyle w:val="NoSpacing"/>
        <w:numPr>
          <w:ilvl w:val="0"/>
          <w:numId w:val="2"/>
        </w:numPr>
        <w:suppressAutoHyphens/>
        <w:spacing w:line="480" w:lineRule="auto"/>
        <w:ind w:left="360"/>
        <w:rPr>
          <w:rFonts w:cstheme="minorHAnsi"/>
          <w:sz w:val="24"/>
          <w:szCs w:val="24"/>
          <w:lang w:val="en-US"/>
        </w:rPr>
      </w:pPr>
      <w:r w:rsidRPr="00284EBB">
        <w:rPr>
          <w:rFonts w:cstheme="minorHAnsi"/>
          <w:sz w:val="24"/>
          <w:szCs w:val="24"/>
          <w:lang w:val="en-US"/>
        </w:rPr>
        <w:t>Opposing: rejection of GR due to its described inadequateness</w:t>
      </w:r>
    </w:p>
    <w:p w:rsidR="008D58F3" w:rsidRPr="00A85D07" w:rsidRDefault="00C677B9" w:rsidP="007A3DA5">
      <w:pPr>
        <w:pStyle w:val="NoSpacing"/>
        <w:numPr>
          <w:ilvl w:val="0"/>
          <w:numId w:val="2"/>
        </w:numPr>
        <w:suppressAutoHyphens/>
        <w:spacing w:line="480" w:lineRule="auto"/>
        <w:ind w:left="360"/>
        <w:rPr>
          <w:rFonts w:cstheme="minorHAnsi"/>
          <w:sz w:val="24"/>
          <w:szCs w:val="24"/>
          <w:lang w:val="en-US"/>
        </w:rPr>
      </w:pPr>
      <w:r w:rsidRPr="00284EBB">
        <w:rPr>
          <w:rFonts w:cstheme="minorHAnsi"/>
          <w:sz w:val="24"/>
          <w:szCs w:val="24"/>
          <w:lang w:val="en-US"/>
        </w:rPr>
        <w:t>Optimistic: GR is a promising solution to VAD, there are minor reservations</w:t>
      </w:r>
    </w:p>
    <w:p w:rsidR="008D58F3" w:rsidRPr="00A85D07" w:rsidRDefault="00C677B9" w:rsidP="00D07DC8">
      <w:pPr>
        <w:pStyle w:val="NoSpacing"/>
        <w:numPr>
          <w:ilvl w:val="0"/>
          <w:numId w:val="2"/>
        </w:numPr>
        <w:suppressAutoHyphens/>
        <w:spacing w:line="480" w:lineRule="auto"/>
        <w:ind w:left="360"/>
        <w:rPr>
          <w:rFonts w:cstheme="minorHAnsi"/>
          <w:sz w:val="24"/>
          <w:szCs w:val="24"/>
          <w:lang w:val="en-US"/>
        </w:rPr>
      </w:pPr>
      <w:r w:rsidRPr="00284EBB">
        <w:rPr>
          <w:rFonts w:cstheme="minorHAnsi"/>
          <w:sz w:val="24"/>
          <w:szCs w:val="24"/>
          <w:lang w:val="en-US"/>
        </w:rPr>
        <w:t>Passionate: if GR will not be approved fast children die, no concerns expressed</w:t>
      </w:r>
    </w:p>
    <w:p w:rsidR="008D58F3" w:rsidRPr="00262164" w:rsidRDefault="00C677B9" w:rsidP="00CD17A4">
      <w:pPr>
        <w:pStyle w:val="NoSpacing"/>
        <w:suppressAutoHyphens/>
        <w:spacing w:line="480" w:lineRule="auto"/>
        <w:rPr>
          <w:rFonts w:cstheme="minorHAnsi"/>
          <w:b/>
          <w:sz w:val="24"/>
          <w:szCs w:val="24"/>
          <w:lang w:val="en-US"/>
        </w:rPr>
      </w:pPr>
      <w:r w:rsidRPr="00262164">
        <w:rPr>
          <w:rFonts w:cstheme="minorHAnsi"/>
          <w:b/>
          <w:sz w:val="24"/>
          <w:szCs w:val="24"/>
          <w:lang w:val="en-US"/>
        </w:rPr>
        <w:t>Personal Background</w:t>
      </w:r>
    </w:p>
    <w:p w:rsidR="008D58F3" w:rsidRPr="008441BA" w:rsidRDefault="00C677B9" w:rsidP="000F29A9">
      <w:pPr>
        <w:pStyle w:val="NoSpacing"/>
        <w:numPr>
          <w:ilvl w:val="0"/>
          <w:numId w:val="3"/>
        </w:numPr>
        <w:suppressAutoHyphens/>
        <w:spacing w:line="480" w:lineRule="auto"/>
        <w:ind w:left="360"/>
        <w:rPr>
          <w:rFonts w:cstheme="minorHAnsi"/>
          <w:sz w:val="24"/>
          <w:szCs w:val="24"/>
          <w:lang w:val="en-US"/>
        </w:rPr>
      </w:pPr>
      <w:r w:rsidRPr="008441BA">
        <w:rPr>
          <w:rFonts w:cstheme="minorHAnsi"/>
          <w:sz w:val="24"/>
          <w:szCs w:val="24"/>
          <w:lang w:val="en-US"/>
        </w:rPr>
        <w:t>Mixed Team</w:t>
      </w:r>
    </w:p>
    <w:p w:rsidR="008D58F3" w:rsidRPr="008441BA" w:rsidRDefault="008441BA">
      <w:pPr>
        <w:pStyle w:val="NoSpacing"/>
        <w:numPr>
          <w:ilvl w:val="0"/>
          <w:numId w:val="3"/>
        </w:numPr>
        <w:suppressAutoHyphens/>
        <w:spacing w:line="480" w:lineRule="auto"/>
        <w:ind w:left="360"/>
        <w:rPr>
          <w:rFonts w:cstheme="minorHAnsi"/>
          <w:sz w:val="24"/>
          <w:szCs w:val="24"/>
          <w:lang w:val="en-US"/>
        </w:rPr>
      </w:pPr>
      <w:r>
        <w:rPr>
          <w:rFonts w:cstheme="minorHAnsi"/>
          <w:sz w:val="24"/>
          <w:szCs w:val="24"/>
          <w:lang w:val="en-US"/>
        </w:rPr>
        <w:t>Global South</w:t>
      </w:r>
    </w:p>
    <w:p w:rsidR="008D58F3" w:rsidRPr="008441BA" w:rsidRDefault="00C677B9">
      <w:pPr>
        <w:pStyle w:val="NoSpacing"/>
        <w:numPr>
          <w:ilvl w:val="0"/>
          <w:numId w:val="3"/>
        </w:numPr>
        <w:suppressAutoHyphens/>
        <w:spacing w:line="480" w:lineRule="auto"/>
        <w:ind w:left="360"/>
        <w:rPr>
          <w:rFonts w:cstheme="minorHAnsi"/>
          <w:sz w:val="24"/>
          <w:szCs w:val="24"/>
          <w:lang w:val="en-US"/>
        </w:rPr>
      </w:pPr>
      <w:r w:rsidRPr="008441BA">
        <w:rPr>
          <w:rFonts w:cstheme="minorHAnsi"/>
          <w:sz w:val="24"/>
          <w:szCs w:val="24"/>
          <w:lang w:val="en-US"/>
        </w:rPr>
        <w:t>Global North</w:t>
      </w:r>
    </w:p>
    <w:p w:rsidR="008D58F3" w:rsidRPr="00262164" w:rsidRDefault="00C677B9">
      <w:pPr>
        <w:pStyle w:val="NoSpacing"/>
        <w:suppressAutoHyphens/>
        <w:spacing w:line="480" w:lineRule="auto"/>
        <w:rPr>
          <w:rFonts w:cstheme="minorHAnsi"/>
          <w:b/>
          <w:sz w:val="24"/>
          <w:szCs w:val="24"/>
          <w:lang w:val="en-US"/>
        </w:rPr>
      </w:pPr>
      <w:r w:rsidRPr="00262164">
        <w:rPr>
          <w:rFonts w:cstheme="minorHAnsi"/>
          <w:b/>
          <w:sz w:val="24"/>
          <w:szCs w:val="24"/>
          <w:lang w:val="en-US"/>
        </w:rPr>
        <w:t>Affiliation</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Interdisciplinary</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Social Science incl. Philosophy</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Economics</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Nutrition</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Plant Science</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Others</w:t>
      </w:r>
    </w:p>
    <w:p w:rsidR="008D58F3" w:rsidRPr="008441BA" w:rsidRDefault="00C677B9">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t>Employee of Syngenta or Monsanto</w:t>
      </w:r>
    </w:p>
    <w:p w:rsidR="008D58F3" w:rsidRPr="00D30BFE" w:rsidRDefault="00C677B9" w:rsidP="00D30BFE">
      <w:pPr>
        <w:pStyle w:val="NoSpacing"/>
        <w:numPr>
          <w:ilvl w:val="0"/>
          <w:numId w:val="4"/>
        </w:numPr>
        <w:suppressAutoHyphens/>
        <w:spacing w:line="480" w:lineRule="auto"/>
        <w:ind w:left="360"/>
        <w:rPr>
          <w:rFonts w:cstheme="minorHAnsi"/>
          <w:sz w:val="24"/>
          <w:szCs w:val="24"/>
          <w:lang w:val="en-US"/>
        </w:rPr>
      </w:pPr>
      <w:r w:rsidRPr="008441BA">
        <w:rPr>
          <w:rFonts w:cstheme="minorHAnsi"/>
          <w:sz w:val="24"/>
          <w:szCs w:val="24"/>
          <w:lang w:val="en-US"/>
        </w:rPr>
        <w:lastRenderedPageBreak/>
        <w:t>Part of the GR Humanitarian Board or working at one of the network’s institutes on GR</w:t>
      </w:r>
    </w:p>
    <w:p w:rsidR="008D58F3" w:rsidRPr="008441BA" w:rsidRDefault="00C677B9">
      <w:pPr>
        <w:pStyle w:val="NoSpacing"/>
        <w:suppressAutoHyphens/>
        <w:spacing w:line="480" w:lineRule="auto"/>
        <w:rPr>
          <w:rFonts w:cstheme="minorHAnsi"/>
          <w:i/>
          <w:sz w:val="24"/>
          <w:szCs w:val="24"/>
          <w:lang w:val="en-US"/>
        </w:rPr>
      </w:pPr>
      <w:r w:rsidRPr="008441BA">
        <w:rPr>
          <w:rFonts w:cstheme="minorHAnsi"/>
          <w:i/>
          <w:sz w:val="24"/>
          <w:szCs w:val="24"/>
          <w:lang w:val="en-US"/>
        </w:rPr>
        <w:t>Does the respective article address…?</w:t>
      </w:r>
    </w:p>
    <w:p w:rsidR="008D58F3" w:rsidRPr="00262164" w:rsidRDefault="00C677B9" w:rsidP="009234FC">
      <w:pPr>
        <w:pStyle w:val="GoldenRice"/>
        <w:rPr>
          <w:b/>
        </w:rPr>
      </w:pPr>
      <w:r w:rsidRPr="00262164">
        <w:rPr>
          <w:b/>
        </w:rPr>
        <w:t>Participation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call for an engagement of stakeholders in the choice of a malnutrition strategy/ of GR’s regulation?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local interests?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Have interviews been conducted?</w:t>
      </w:r>
    </w:p>
    <w:p w:rsidR="008D58F3" w:rsidRPr="00262164" w:rsidRDefault="00C677B9">
      <w:pPr>
        <w:pStyle w:val="NoSpacing"/>
        <w:suppressAutoHyphens/>
        <w:spacing w:line="480" w:lineRule="auto"/>
        <w:rPr>
          <w:rFonts w:cstheme="minorHAnsi"/>
          <w:b/>
          <w:sz w:val="24"/>
          <w:szCs w:val="24"/>
          <w:lang w:val="en-US"/>
        </w:rPr>
      </w:pPr>
      <w:r w:rsidRPr="00262164">
        <w:rPr>
          <w:rFonts w:cstheme="minorHAnsi"/>
          <w:b/>
          <w:sz w:val="24"/>
          <w:szCs w:val="24"/>
          <w:lang w:val="en-US"/>
        </w:rPr>
        <w:t>Local culture</w:t>
      </w:r>
    </w:p>
    <w:p w:rsidR="008D58F3" w:rsidRPr="008441BA" w:rsidRDefault="001C3FF8">
      <w:pPr>
        <w:pStyle w:val="NoSpacing"/>
        <w:numPr>
          <w:ilvl w:val="0"/>
          <w:numId w:val="1"/>
        </w:numPr>
        <w:suppressAutoHyphens/>
        <w:spacing w:line="480" w:lineRule="auto"/>
        <w:rPr>
          <w:rFonts w:cstheme="minorHAnsi"/>
          <w:sz w:val="24"/>
          <w:szCs w:val="24"/>
          <w:lang w:val="en-US"/>
        </w:rPr>
      </w:pPr>
      <w:r>
        <w:rPr>
          <w:rFonts w:cstheme="minorHAnsi"/>
          <w:sz w:val="24"/>
          <w:szCs w:val="24"/>
          <w:lang w:val="en-US"/>
        </w:rPr>
        <w:t xml:space="preserve">Has </w:t>
      </w:r>
      <w:r w:rsidR="00C677B9" w:rsidRPr="008441BA">
        <w:rPr>
          <w:rFonts w:cstheme="minorHAnsi"/>
          <w:sz w:val="24"/>
          <w:szCs w:val="24"/>
          <w:lang w:val="en-US"/>
        </w:rPr>
        <w:t>local data</w:t>
      </w:r>
      <w:r>
        <w:rPr>
          <w:rFonts w:cstheme="minorHAnsi"/>
          <w:sz w:val="24"/>
          <w:szCs w:val="24"/>
          <w:lang w:val="en-US"/>
        </w:rPr>
        <w:t xml:space="preserve"> been</w:t>
      </w:r>
      <w:r w:rsidR="00C677B9" w:rsidRPr="008441BA">
        <w:rPr>
          <w:rFonts w:cstheme="minorHAnsi"/>
          <w:i/>
          <w:sz w:val="24"/>
          <w:szCs w:val="24"/>
          <w:lang w:val="en-US"/>
        </w:rPr>
        <w:t xml:space="preserve"> </w:t>
      </w:r>
      <w:r w:rsidR="00C677B9" w:rsidRPr="008441BA">
        <w:rPr>
          <w:rFonts w:cstheme="minorHAnsi"/>
          <w:sz w:val="24"/>
          <w:szCs w:val="24"/>
          <w:lang w:val="en-US"/>
        </w:rPr>
        <w:t>used?</w:t>
      </w:r>
    </w:p>
    <w:p w:rsidR="008D58F3" w:rsidRPr="008441BA" w:rsidRDefault="001C3FF8">
      <w:pPr>
        <w:pStyle w:val="NoSpacing"/>
        <w:numPr>
          <w:ilvl w:val="0"/>
          <w:numId w:val="1"/>
        </w:numPr>
        <w:suppressAutoHyphens/>
        <w:spacing w:line="480" w:lineRule="auto"/>
        <w:rPr>
          <w:rFonts w:cstheme="minorHAnsi"/>
          <w:sz w:val="24"/>
          <w:szCs w:val="24"/>
          <w:lang w:val="en-US"/>
        </w:rPr>
      </w:pPr>
      <w:r>
        <w:rPr>
          <w:rFonts w:cstheme="minorHAnsi"/>
          <w:sz w:val="24"/>
          <w:szCs w:val="24"/>
          <w:lang w:val="en-US"/>
        </w:rPr>
        <w:t>Does it</w:t>
      </w:r>
      <w:r w:rsidR="00C677B9" w:rsidRPr="008441BA">
        <w:rPr>
          <w:rFonts w:cstheme="minorHAnsi"/>
          <w:sz w:val="24"/>
          <w:szCs w:val="24"/>
          <w:lang w:val="en-US"/>
        </w:rPr>
        <w:t xml:space="preserve"> analyze the need for GR or speak</w:t>
      </w:r>
      <w:bookmarkStart w:id="0" w:name="_GoBack"/>
      <w:bookmarkEnd w:id="0"/>
      <w:r w:rsidR="00C677B9" w:rsidRPr="008441BA">
        <w:rPr>
          <w:rFonts w:cstheme="minorHAnsi"/>
          <w:sz w:val="24"/>
          <w:szCs w:val="24"/>
          <w:lang w:val="en-US"/>
        </w:rPr>
        <w:t xml:space="preserve"> of such analysis as prerequisite? (Only coded if the argument for GR’s necessity goes beyond “rice does not contain beta-carotene”)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address the acceptance of farmers and consumers?</w:t>
      </w:r>
    </w:p>
    <w:p w:rsidR="008D58F3" w:rsidRPr="00E22588"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speak of eating habits (beyond a large share of rice in diet) and/or provide context information, name social norms? </w:t>
      </w:r>
    </w:p>
    <w:p w:rsidR="008D58F3" w:rsidRPr="00262164" w:rsidRDefault="007034E3">
      <w:pPr>
        <w:pStyle w:val="NoSpacing"/>
        <w:suppressAutoHyphens/>
        <w:spacing w:line="480" w:lineRule="auto"/>
        <w:rPr>
          <w:rFonts w:cstheme="minorHAnsi"/>
          <w:b/>
          <w:sz w:val="24"/>
          <w:szCs w:val="24"/>
          <w:lang w:val="en-US"/>
        </w:rPr>
      </w:pPr>
      <w:r>
        <w:rPr>
          <w:rFonts w:cstheme="minorHAnsi"/>
          <w:b/>
          <w:sz w:val="24"/>
          <w:szCs w:val="24"/>
          <w:lang w:val="en-US"/>
        </w:rPr>
        <w:t>Health &amp; well-b</w:t>
      </w:r>
      <w:r w:rsidR="00C677B9" w:rsidRPr="00262164">
        <w:rPr>
          <w:rFonts w:cstheme="minorHAnsi"/>
          <w:b/>
          <w:sz w:val="24"/>
          <w:szCs w:val="24"/>
          <w:lang w:val="en-US"/>
        </w:rPr>
        <w:t>eing</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predictor</w:t>
      </w:r>
      <w:r w:rsidR="00262164">
        <w:rPr>
          <w:rFonts w:cstheme="minorHAnsi"/>
          <w:sz w:val="24"/>
          <w:szCs w:val="24"/>
          <w:lang w:val="en-US"/>
        </w:rPr>
        <w:t xml:space="preserve">s/causes of VAD? Min. 3 out of: </w:t>
      </w:r>
      <w:r w:rsidRPr="008441BA">
        <w:rPr>
          <w:rFonts w:cstheme="minorHAnsi"/>
          <w:sz w:val="24"/>
          <w:szCs w:val="24"/>
          <w:lang w:val="en-US"/>
        </w:rPr>
        <w:t>p</w:t>
      </w:r>
      <w:r w:rsidR="00262164">
        <w:rPr>
          <w:rFonts w:cstheme="minorHAnsi"/>
          <w:sz w:val="24"/>
          <w:szCs w:val="24"/>
          <w:lang w:val="en-US"/>
        </w:rPr>
        <w:t xml:space="preserve">overty; lack of access to land; parasitic infestations; seasonality; education; </w:t>
      </w:r>
      <w:r w:rsidRPr="008441BA">
        <w:rPr>
          <w:rFonts w:cstheme="minorHAnsi"/>
          <w:sz w:val="24"/>
          <w:szCs w:val="24"/>
          <w:lang w:val="en-US"/>
        </w:rPr>
        <w:t>refugees/famine</w:t>
      </w:r>
      <w:r w:rsidR="00262164">
        <w:rPr>
          <w:rFonts w:cstheme="minorHAnsi"/>
          <w:sz w:val="24"/>
          <w:szCs w:val="24"/>
          <w:lang w:val="en-US"/>
        </w:rPr>
        <w:t>; life stage; eating habits:</w:t>
      </w:r>
      <w:r w:rsidRPr="008441BA">
        <w:rPr>
          <w:rFonts w:cstheme="minorHAnsi"/>
          <w:sz w:val="24"/>
          <w:szCs w:val="24"/>
          <w:lang w:val="en-US"/>
        </w:rPr>
        <w:t xml:space="preserve"> polished rice, food variety, vegetarianis</w:t>
      </w:r>
      <w:r w:rsidR="00262164">
        <w:rPr>
          <w:rFonts w:cstheme="minorHAnsi"/>
          <w:sz w:val="24"/>
          <w:szCs w:val="24"/>
          <w:lang w:val="en-US"/>
        </w:rPr>
        <w:t>m, fat in diet, breast-feeding</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list consequences of VAD?</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explain the interrelations of deficiencies, parasites and diseases, either as mutual reinforcement or the effect of other diseases on VAD? (Only naming a weakened immune system is regarded as consequence.)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lastRenderedPageBreak/>
        <w:t xml:space="preserve">Does it mention well-being or life quality? </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Dignity</w:t>
      </w:r>
      <w:r w:rsidR="007034E3">
        <w:rPr>
          <w:rFonts w:cstheme="minorHAnsi"/>
          <w:b/>
          <w:sz w:val="24"/>
          <w:szCs w:val="24"/>
          <w:lang w:val="en-US"/>
        </w:rPr>
        <w:t xml:space="preserve"> &amp; human rights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human rights or dignity?</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address autonomy and self-determination of local people, in the sense of food sovereignty? </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Equity</w:t>
      </w:r>
      <w:r w:rsidR="007034E3">
        <w:rPr>
          <w:rFonts w:cstheme="minorHAnsi"/>
          <w:b/>
          <w:sz w:val="24"/>
          <w:szCs w:val="24"/>
          <w:lang w:val="en-US"/>
        </w:rPr>
        <w:t xml:space="preserve"> &amp; empowerment</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mention inequality and social disparities or distributional justice?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empowerment &amp; education?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state a positive effect of GR on poverty &amp; access to food (e.g. commercial advantage for GR farmers, more productive workforce)?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state a negative effect of GR on poverty (e.g. competing for resources in poverty alleviation) or no change of situation?</w:t>
      </w:r>
    </w:p>
    <w:p w:rsidR="008D58F3" w:rsidRPr="007034E3" w:rsidRDefault="007034E3">
      <w:pPr>
        <w:pStyle w:val="NoSpacing"/>
        <w:suppressAutoHyphens/>
        <w:spacing w:line="480" w:lineRule="auto"/>
        <w:rPr>
          <w:rFonts w:cstheme="minorHAnsi"/>
          <w:b/>
          <w:sz w:val="24"/>
          <w:szCs w:val="24"/>
          <w:lang w:val="en-US"/>
        </w:rPr>
      </w:pPr>
      <w:r>
        <w:rPr>
          <w:rFonts w:cstheme="minorHAnsi"/>
          <w:b/>
          <w:sz w:val="24"/>
          <w:szCs w:val="24"/>
          <w:lang w:val="en-US"/>
        </w:rPr>
        <w:t>A</w:t>
      </w:r>
      <w:r w:rsidR="00C677B9" w:rsidRPr="007034E3">
        <w:rPr>
          <w:rFonts w:cstheme="minorHAnsi"/>
          <w:b/>
          <w:sz w:val="24"/>
          <w:szCs w:val="24"/>
          <w:lang w:val="en-US"/>
        </w:rPr>
        <w:t>c</w:t>
      </w:r>
      <w:r>
        <w:rPr>
          <w:rFonts w:cstheme="minorHAnsi"/>
          <w:b/>
          <w:sz w:val="24"/>
          <w:szCs w:val="24"/>
          <w:lang w:val="en-US"/>
        </w:rPr>
        <w:t xml:space="preserve">tors, </w:t>
      </w:r>
      <w:r w:rsidR="00C677B9" w:rsidRPr="007034E3">
        <w:rPr>
          <w:rFonts w:cstheme="minorHAnsi"/>
          <w:b/>
          <w:sz w:val="24"/>
          <w:szCs w:val="24"/>
          <w:lang w:val="en-US"/>
        </w:rPr>
        <w:t>resources</w:t>
      </w:r>
      <w:r>
        <w:rPr>
          <w:rFonts w:cstheme="minorHAnsi"/>
          <w:b/>
          <w:sz w:val="24"/>
          <w:szCs w:val="24"/>
          <w:lang w:val="en-US"/>
        </w:rPr>
        <w:t xml:space="preserve"> &amp; power</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speak of power relations, networks or dynamics?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media as relevant actor?</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the GMO opposition as relevant actor?</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describe the role/interest of corporations?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describe the role/interest of scientists?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national governments as relevant actors?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the CIGAR network or philanthropic foundations as actor?</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ascribe GR a potential as marketing tool or as business opportunity?</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Governance</w:t>
      </w:r>
      <w:r w:rsidR="007034E3">
        <w:rPr>
          <w:rFonts w:cstheme="minorHAnsi"/>
          <w:b/>
          <w:sz w:val="24"/>
          <w:szCs w:val="24"/>
          <w:lang w:val="en-US"/>
        </w:rPr>
        <w:t xml:space="preserve"> &amp; institutions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current biotech regulation policies as hurdle?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speak of current biotech regulation policies as illegitimate over-regulation?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lastRenderedPageBreak/>
        <w:t>Does it speak of biotech regulation in a neutral tone or describe them as a prerequisite for safe use?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property</w:t>
      </w:r>
      <w:r w:rsidR="007034E3">
        <w:rPr>
          <w:rFonts w:cstheme="minorHAnsi"/>
          <w:sz w:val="24"/>
          <w:szCs w:val="24"/>
          <w:lang w:val="en-US"/>
        </w:rPr>
        <w:t xml:space="preserve"> rights</w:t>
      </w:r>
      <w:r w:rsidRPr="008441BA">
        <w:rPr>
          <w:rFonts w:cstheme="minorHAnsi"/>
          <w:sz w:val="24"/>
          <w:szCs w:val="24"/>
          <w:lang w:val="en-US"/>
        </w:rPr>
        <w:t>?</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international institutions and unions (UN, WHO, WTO, EU…)?</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local governance concerning the regulation and monitoring in target countries?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address governance issues on a broader level?</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name effects of international trade policies? </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Climate change</w:t>
      </w:r>
    </w:p>
    <w:p w:rsidR="008D58F3" w:rsidRPr="00E22588"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mention climate change?</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Biodiversity</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a potential loss of biodiversity (through monocultures, dominance of few cultivars or outcrossing)?</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state there will be no adverse effect on biodiversity (compatible with traditional landraces)?</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Water and soil conservation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current adverse effects of industrial agriculture on soil and water?</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propose alternative agricultural practices like agroecology?</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state GR will have no </w:t>
      </w:r>
      <w:r w:rsidR="007034E3">
        <w:rPr>
          <w:rFonts w:cstheme="minorHAnsi"/>
          <w:sz w:val="24"/>
          <w:szCs w:val="24"/>
          <w:lang w:val="en-US"/>
        </w:rPr>
        <w:t>adverse environmental impact or even a positive one</w:t>
      </w:r>
      <w:r w:rsidRPr="008441BA">
        <w:rPr>
          <w:rFonts w:cstheme="minorHAnsi"/>
          <w:sz w:val="24"/>
          <w:szCs w:val="24"/>
          <w:lang w:val="en-US"/>
        </w:rPr>
        <w:t xml:space="preserve">? </w:t>
      </w:r>
    </w:p>
    <w:p w:rsidR="008D58F3" w:rsidRPr="007034E3" w:rsidRDefault="007034E3">
      <w:pPr>
        <w:pStyle w:val="NoSpacing"/>
        <w:suppressAutoHyphens/>
        <w:spacing w:line="480" w:lineRule="auto"/>
        <w:rPr>
          <w:rFonts w:cstheme="minorHAnsi"/>
          <w:b/>
          <w:sz w:val="24"/>
          <w:szCs w:val="24"/>
          <w:lang w:val="en-US"/>
        </w:rPr>
      </w:pPr>
      <w:r>
        <w:rPr>
          <w:rFonts w:cstheme="minorHAnsi"/>
          <w:b/>
          <w:sz w:val="24"/>
          <w:szCs w:val="24"/>
          <w:lang w:val="en-US"/>
        </w:rPr>
        <w:t xml:space="preserve">Resilience &amp; </w:t>
      </w:r>
      <w:r w:rsidR="00C677B9" w:rsidRPr="007034E3">
        <w:rPr>
          <w:rFonts w:cstheme="minorHAnsi"/>
          <w:b/>
          <w:sz w:val="24"/>
          <w:szCs w:val="24"/>
          <w:lang w:val="en-US"/>
        </w:rPr>
        <w:t>risks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describe the issue as complex and/or uncertain?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state that case-by-</w:t>
      </w:r>
      <w:r w:rsidR="007034E3">
        <w:rPr>
          <w:rFonts w:cstheme="minorHAnsi"/>
          <w:sz w:val="24"/>
          <w:szCs w:val="24"/>
          <w:lang w:val="en-US"/>
        </w:rPr>
        <w:t>case assessments are needed and/</w:t>
      </w:r>
      <w:r w:rsidRPr="008441BA">
        <w:rPr>
          <w:rFonts w:cstheme="minorHAnsi"/>
          <w:sz w:val="24"/>
          <w:szCs w:val="24"/>
          <w:lang w:val="en-US"/>
        </w:rPr>
        <w:t>or</w:t>
      </w:r>
      <w:r w:rsidR="007034E3">
        <w:rPr>
          <w:rFonts w:cstheme="minorHAnsi"/>
          <w:sz w:val="24"/>
          <w:szCs w:val="24"/>
          <w:lang w:val="en-US"/>
        </w:rPr>
        <w:t xml:space="preserve"> that risks are a concern</w:t>
      </w:r>
      <w:r w:rsidRPr="008441BA">
        <w:rPr>
          <w:rFonts w:cstheme="minorHAnsi"/>
          <w:sz w:val="24"/>
          <w:szCs w:val="24"/>
          <w:lang w:val="en-US"/>
        </w:rPr>
        <w:t xml:space="preserve">?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stat</w:t>
      </w:r>
      <w:r w:rsidR="007034E3">
        <w:rPr>
          <w:rFonts w:cstheme="minorHAnsi"/>
          <w:sz w:val="24"/>
          <w:szCs w:val="24"/>
          <w:lang w:val="en-US"/>
        </w:rPr>
        <w:t>e that risks are negligible or non-existent</w:t>
      </w:r>
      <w:r w:rsidRPr="008441BA">
        <w:rPr>
          <w:rFonts w:cstheme="minorHAnsi"/>
          <w:sz w:val="24"/>
          <w:szCs w:val="24"/>
          <w:lang w:val="en-US"/>
        </w:rPr>
        <w:t xml:space="preserve">?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lastRenderedPageBreak/>
        <w:t>Does it propose a diversified st</w:t>
      </w:r>
      <w:r w:rsidR="007034E3">
        <w:rPr>
          <w:rFonts w:cstheme="minorHAnsi"/>
          <w:sz w:val="24"/>
          <w:szCs w:val="24"/>
          <w:lang w:val="en-US"/>
        </w:rPr>
        <w:t xml:space="preserve">rategy to combat malnutrition?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propose long term poverty alleviation?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propose GR to be a complement only to fortification &amp; supplementation?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describe GR as superior to other strategies?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describe external influences </w:t>
      </w:r>
      <w:r w:rsidR="007034E3">
        <w:rPr>
          <w:rFonts w:cstheme="minorHAnsi"/>
          <w:sz w:val="24"/>
          <w:szCs w:val="24"/>
          <w:lang w:val="en-US"/>
        </w:rPr>
        <w:t xml:space="preserve">on the system, esp. threats and/or </w:t>
      </w:r>
      <w:r w:rsidRPr="008441BA">
        <w:rPr>
          <w:rFonts w:cstheme="minorHAnsi"/>
          <w:sz w:val="24"/>
          <w:szCs w:val="24"/>
          <w:lang w:val="en-US"/>
        </w:rPr>
        <w:t>GR’s</w:t>
      </w:r>
      <w:r w:rsidR="007034E3">
        <w:rPr>
          <w:rFonts w:cstheme="minorHAnsi"/>
          <w:sz w:val="24"/>
          <w:szCs w:val="24"/>
          <w:lang w:val="en-US"/>
        </w:rPr>
        <w:t xml:space="preserve"> possible reaction to those</w:t>
      </w:r>
      <w:r w:rsidRPr="008441BA">
        <w:rPr>
          <w:rFonts w:cstheme="minorHAnsi"/>
          <w:sz w:val="24"/>
          <w:szCs w:val="24"/>
          <w:lang w:val="en-US"/>
        </w:rPr>
        <w:t>?</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speak of emotions and irrational behavior?</w:t>
      </w:r>
    </w:p>
    <w:p w:rsidR="008D58F3" w:rsidRPr="007034E3" w:rsidRDefault="007034E3">
      <w:pPr>
        <w:pStyle w:val="NoSpacing"/>
        <w:suppressAutoHyphens/>
        <w:spacing w:line="480" w:lineRule="auto"/>
        <w:rPr>
          <w:rFonts w:cstheme="minorHAnsi"/>
          <w:b/>
          <w:sz w:val="24"/>
          <w:szCs w:val="24"/>
          <w:lang w:val="en-US"/>
        </w:rPr>
      </w:pPr>
      <w:r>
        <w:rPr>
          <w:rFonts w:cstheme="minorHAnsi"/>
          <w:b/>
          <w:sz w:val="24"/>
          <w:szCs w:val="24"/>
          <w:lang w:val="en-US"/>
        </w:rPr>
        <w:t>Holism &amp; systems thinking</w:t>
      </w:r>
    </w:p>
    <w:p w:rsidR="008D58F3" w:rsidRPr="008441BA" w:rsidRDefault="007034E3">
      <w:pPr>
        <w:pStyle w:val="NoSpacing"/>
        <w:numPr>
          <w:ilvl w:val="0"/>
          <w:numId w:val="1"/>
        </w:numPr>
        <w:suppressAutoHyphens/>
        <w:spacing w:line="480" w:lineRule="auto"/>
        <w:rPr>
          <w:rFonts w:cstheme="minorHAnsi"/>
          <w:sz w:val="24"/>
          <w:szCs w:val="24"/>
          <w:lang w:val="en-US"/>
        </w:rPr>
      </w:pPr>
      <w:r>
        <w:rPr>
          <w:rFonts w:cstheme="minorHAnsi"/>
          <w:sz w:val="24"/>
          <w:szCs w:val="24"/>
          <w:lang w:val="en-US"/>
        </w:rPr>
        <w:t xml:space="preserve">Does it call for holism </w:t>
      </w:r>
      <w:r w:rsidR="00C677B9" w:rsidRPr="008441BA">
        <w:rPr>
          <w:rFonts w:cstheme="minorHAnsi"/>
          <w:sz w:val="24"/>
          <w:szCs w:val="24"/>
          <w:lang w:val="en-US"/>
        </w:rPr>
        <w:t>and</w:t>
      </w:r>
      <w:r>
        <w:rPr>
          <w:rFonts w:cstheme="minorHAnsi"/>
          <w:sz w:val="24"/>
          <w:szCs w:val="24"/>
          <w:lang w:val="en-US"/>
        </w:rPr>
        <w:t>/or</w:t>
      </w:r>
      <w:r w:rsidR="00C677B9" w:rsidRPr="008441BA">
        <w:rPr>
          <w:rFonts w:cstheme="minorHAnsi"/>
          <w:sz w:val="24"/>
          <w:szCs w:val="24"/>
          <w:lang w:val="en-US"/>
        </w:rPr>
        <w:t xml:space="preserve"> speak in </w:t>
      </w:r>
      <w:r>
        <w:rPr>
          <w:rFonts w:cstheme="minorHAnsi"/>
          <w:sz w:val="24"/>
          <w:szCs w:val="24"/>
          <w:lang w:val="en-US"/>
        </w:rPr>
        <w:t>systems thinking terminology</w:t>
      </w:r>
      <w:r w:rsidR="00C677B9" w:rsidRPr="008441BA">
        <w:rPr>
          <w:rFonts w:cstheme="minorHAnsi"/>
          <w:sz w:val="24"/>
          <w:szCs w:val="24"/>
          <w:lang w:val="en-US"/>
        </w:rPr>
        <w:t>?</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make use of modelling, diagrams and/or explicit explain causal relations and underlying assumptions?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describe system dynamics across scales?</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 xml:space="preserve">Cost-utility-analysis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weigh cost and utility of GR’s implementation?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distinguish short and long-term effects of GR or of biofortification in general?  </w:t>
      </w:r>
    </w:p>
    <w:p w:rsidR="008D58F3" w:rsidRPr="007034E3" w:rsidRDefault="007034E3">
      <w:pPr>
        <w:pStyle w:val="NoSpacing"/>
        <w:suppressAutoHyphens/>
        <w:spacing w:line="480" w:lineRule="auto"/>
        <w:rPr>
          <w:rFonts w:cstheme="minorHAnsi"/>
          <w:b/>
          <w:sz w:val="24"/>
          <w:szCs w:val="24"/>
          <w:lang w:val="en-US"/>
        </w:rPr>
      </w:pPr>
      <w:r w:rsidRPr="007034E3">
        <w:rPr>
          <w:rFonts w:cstheme="minorHAnsi"/>
          <w:b/>
          <w:sz w:val="24"/>
          <w:szCs w:val="24"/>
          <w:lang w:val="en-US"/>
        </w:rPr>
        <w:t>Achievability &amp; realization prospects</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reflect on the feasibility of bringing GR to the consumer?</w:t>
      </w:r>
    </w:p>
    <w:p w:rsidR="008D58F3" w:rsidRPr="008441BA" w:rsidRDefault="007034E3">
      <w:pPr>
        <w:pStyle w:val="NoSpacing"/>
        <w:numPr>
          <w:ilvl w:val="0"/>
          <w:numId w:val="1"/>
        </w:numPr>
        <w:suppressAutoHyphens/>
        <w:spacing w:line="480" w:lineRule="auto"/>
        <w:rPr>
          <w:rFonts w:cstheme="minorHAnsi"/>
          <w:sz w:val="24"/>
          <w:szCs w:val="24"/>
          <w:lang w:val="en-US"/>
        </w:rPr>
      </w:pPr>
      <w:r>
        <w:rPr>
          <w:rFonts w:cstheme="minorHAnsi"/>
          <w:sz w:val="24"/>
          <w:szCs w:val="24"/>
          <w:lang w:val="en-US"/>
        </w:rPr>
        <w:t>Does it speak of an evaluation</w:t>
      </w:r>
      <w:r w:rsidR="00C677B9" w:rsidRPr="008441BA">
        <w:rPr>
          <w:rFonts w:cstheme="minorHAnsi"/>
          <w:sz w:val="24"/>
          <w:szCs w:val="24"/>
          <w:lang w:val="en-US"/>
        </w:rPr>
        <w:t>/ monitoring of GR following implementation or of royalty payments of farmers earning more than $10,000?</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cost estimations of parts of the implementation process or the entire GR project?</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address the nutritious efficacy of GR?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criticize a lack of details on GR’s rollout?</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lastRenderedPageBreak/>
        <w:t>Does it comment on the funding of the distribution?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name concrete project steps?</w:t>
      </w:r>
    </w:p>
    <w:p w:rsidR="008D58F3" w:rsidRPr="00E22588"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mention information campaigns as tool to increase adoption?</w:t>
      </w:r>
    </w:p>
    <w:p w:rsidR="008D58F3" w:rsidRPr="007034E3" w:rsidRDefault="00C677B9">
      <w:pPr>
        <w:pStyle w:val="NoSpacing"/>
        <w:suppressAutoHyphens/>
        <w:spacing w:line="480" w:lineRule="auto"/>
        <w:rPr>
          <w:rFonts w:cstheme="minorHAnsi"/>
          <w:b/>
          <w:sz w:val="24"/>
          <w:szCs w:val="24"/>
          <w:lang w:val="en-US"/>
        </w:rPr>
      </w:pPr>
      <w:r w:rsidRPr="007034E3">
        <w:rPr>
          <w:rFonts w:cstheme="minorHAnsi"/>
          <w:b/>
          <w:sz w:val="24"/>
          <w:szCs w:val="24"/>
          <w:lang w:val="en-US"/>
        </w:rPr>
        <w:t>Values &amp; transparency</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propose a framework to evaluate GR?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mention biases of scientists and/or advocacy?</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regard the global spread of biotechnology as moral imperative? </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describe ethics, principles and/or heuristics in a broad sense?</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describe the precautionary principle as useful?</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 xml:space="preserve">Does it describe the precautionary principle as unnecessary and hindrance to innovation? </w:t>
      </w:r>
    </w:p>
    <w:p w:rsidR="00E22588"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the author disclose his or her standpoint?</w:t>
      </w:r>
    </w:p>
    <w:p w:rsidR="008D58F3" w:rsidRPr="007034E3" w:rsidRDefault="007034E3">
      <w:pPr>
        <w:pStyle w:val="NoSpacing"/>
        <w:suppressAutoHyphens/>
        <w:spacing w:line="480" w:lineRule="auto"/>
        <w:rPr>
          <w:rFonts w:cstheme="minorHAnsi"/>
          <w:b/>
          <w:sz w:val="24"/>
          <w:szCs w:val="24"/>
          <w:lang w:val="en-US"/>
        </w:rPr>
      </w:pPr>
      <w:r w:rsidRPr="007034E3">
        <w:rPr>
          <w:rFonts w:cstheme="minorHAnsi"/>
          <w:b/>
          <w:sz w:val="24"/>
          <w:szCs w:val="24"/>
          <w:lang w:val="en-US"/>
        </w:rPr>
        <w:t>Philosophy &amp; reflection</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address the technological fix criticism?</w:t>
      </w:r>
    </w:p>
    <w:p w:rsidR="008D58F3" w:rsidRPr="008441BA" w:rsidRDefault="00C677B9">
      <w:pPr>
        <w:pStyle w:val="NoSpacing"/>
        <w:numPr>
          <w:ilvl w:val="0"/>
          <w:numId w:val="1"/>
        </w:numPr>
        <w:suppressAutoHyphens/>
        <w:spacing w:line="480" w:lineRule="auto"/>
        <w:rPr>
          <w:rFonts w:cstheme="minorHAnsi"/>
          <w:sz w:val="24"/>
          <w:szCs w:val="24"/>
          <w:lang w:val="en-US"/>
        </w:rPr>
      </w:pPr>
      <w:r w:rsidRPr="008441BA">
        <w:rPr>
          <w:rFonts w:cstheme="minorHAnsi"/>
          <w:sz w:val="24"/>
          <w:szCs w:val="24"/>
          <w:lang w:val="en-US"/>
        </w:rPr>
        <w:t>Does it reflect on the role of science/scientists?</w:t>
      </w:r>
    </w:p>
    <w:p w:rsidR="007034E3" w:rsidRDefault="007034E3">
      <w:pPr>
        <w:pStyle w:val="Heading2"/>
        <w:suppressAutoHyphens/>
        <w:spacing w:line="480" w:lineRule="auto"/>
        <w:rPr>
          <w:rFonts w:eastAsia="Calibri" w:cstheme="minorHAnsi"/>
          <w:sz w:val="24"/>
          <w:szCs w:val="24"/>
        </w:rPr>
      </w:pPr>
      <w:r>
        <w:rPr>
          <w:rFonts w:eastAsia="Calibri" w:cstheme="minorHAnsi"/>
          <w:sz w:val="24"/>
          <w:szCs w:val="24"/>
        </w:rPr>
        <w:br w:type="page"/>
      </w:r>
    </w:p>
    <w:p w:rsidR="008D58F3" w:rsidRPr="008441BA" w:rsidRDefault="00C677B9">
      <w:pPr>
        <w:pStyle w:val="Heading2"/>
        <w:suppressAutoHyphens/>
        <w:spacing w:line="480" w:lineRule="auto"/>
        <w:rPr>
          <w:rFonts w:asciiTheme="minorHAnsi" w:eastAsia="Calibri" w:hAnsiTheme="minorHAnsi" w:cstheme="minorHAnsi"/>
          <w:sz w:val="24"/>
          <w:szCs w:val="24"/>
        </w:rPr>
      </w:pPr>
      <w:r w:rsidRPr="008441BA">
        <w:rPr>
          <w:rFonts w:eastAsia="Calibri" w:cstheme="minorHAnsi"/>
          <w:sz w:val="24"/>
          <w:szCs w:val="24"/>
        </w:rPr>
        <w:lastRenderedPageBreak/>
        <w:t>Table S2. Quotes illustrating each cluster’s narrative, five quotes per cluster.</w:t>
      </w:r>
    </w:p>
    <w:p w:rsidR="008D58F3" w:rsidRPr="008441BA" w:rsidRDefault="00C677B9">
      <w:pPr>
        <w:suppressAutoHyphens/>
        <w:spacing w:after="0" w:line="480" w:lineRule="auto"/>
        <w:jc w:val="both"/>
        <w:rPr>
          <w:rFonts w:eastAsia="Calibri" w:cstheme="minorHAnsi"/>
          <w:b/>
          <w:bCs/>
          <w:sz w:val="24"/>
          <w:szCs w:val="24"/>
        </w:rPr>
      </w:pPr>
      <w:r w:rsidRPr="008441BA">
        <w:rPr>
          <w:rFonts w:eastAsia="Calibri" w:cstheme="minorHAnsi"/>
          <w:b/>
          <w:sz w:val="24"/>
          <w:szCs w:val="24"/>
        </w:rPr>
        <w:t>Technical effectiveness</w:t>
      </w:r>
      <w:r w:rsidRPr="008441BA">
        <w:rPr>
          <w:rFonts w:eastAsia="Calibri" w:cstheme="minorHAnsi"/>
          <w:b/>
          <w:bCs/>
          <w:sz w:val="24"/>
          <w:szCs w:val="24"/>
        </w:rPr>
        <w:t xml:space="preserve"> (n=23)</w:t>
      </w:r>
      <w:r w:rsidRPr="008441BA">
        <w:rPr>
          <w:rFonts w:eastAsia="Calibri" w:cstheme="minorHAnsi"/>
          <w:b/>
          <w:sz w:val="24"/>
          <w:szCs w:val="24"/>
        </w:rPr>
        <w:t xml:space="preserve"> </w:t>
      </w:r>
    </w:p>
    <w:p w:rsidR="008D58F3" w:rsidRPr="00A85D07" w:rsidRDefault="00C677B9">
      <w:pPr>
        <w:suppressAutoHyphens/>
        <w:spacing w:after="120" w:line="480" w:lineRule="auto"/>
        <w:jc w:val="both"/>
      </w:pPr>
      <w:r w:rsidRPr="008441BA">
        <w:rPr>
          <w:rFonts w:eastAsia="Calibri" w:cstheme="minorHAnsi"/>
          <w:sz w:val="24"/>
          <w:szCs w:val="24"/>
        </w:rPr>
        <w:t xml:space="preserve">“This significant achievement in nutritional biofortification of rice endosperm was a major milestone in combating vitamin A deficiency and its associated effects. Golden Rice has now been demonstrated as an effective source of vitamin A [ref.]  and studies that focused on Golden Rice in view of public health in India suggest that, with governmental and public support, it has the potential to significantly reduce the disease burden of vitamin A deficiency [ref.].” </w:t>
      </w:r>
      <w:r w:rsidR="001F2776" w:rsidRPr="001F2776">
        <w:rPr>
          <w:rFonts w:eastAsia="Calibri" w:cstheme="minorHAnsi"/>
          <w:noProof/>
          <w:sz w:val="24"/>
          <w:szCs w:val="24"/>
        </w:rPr>
        <w:t>(Bhullar &amp; Gruissem, 2013, p. 52)</w:t>
      </w:r>
    </w:p>
    <w:p w:rsidR="008D58F3" w:rsidRPr="00A85D07" w:rsidRDefault="00C677B9">
      <w:pPr>
        <w:suppressAutoHyphens/>
        <w:spacing w:after="120" w:line="480" w:lineRule="auto"/>
        <w:jc w:val="both"/>
      </w:pPr>
      <w:r w:rsidRPr="008219D4">
        <w:rPr>
          <w:rFonts w:eastAsia="Calibri" w:cstheme="minorHAnsi"/>
          <w:sz w:val="24"/>
          <w:szCs w:val="24"/>
        </w:rPr>
        <w:t>“Genetic modification (GM) technology has provided a solution to overcome this problem [of vitamin A deficiency (VAD)]: rice developed with the help of GM technology at the ETH Zurich and the University of Freiburg</w:t>
      </w:r>
      <w:r w:rsidRPr="006F2A9B">
        <w:rPr>
          <w:rFonts w:eastAsia="Calibri" w:cstheme="minorHAnsi"/>
          <w:sz w:val="24"/>
          <w:szCs w:val="24"/>
        </w:rPr>
        <w:t>, known as Golden Rice (GR), which is claimed to be a source of VA [ref.]. Therefore, to achieve the millennium development goals (MDGs), particularly elimination of VAD, GR is likely to play a significant role. The commercial cultivation of GR is likely t</w:t>
      </w:r>
      <w:r w:rsidRPr="008441BA">
        <w:rPr>
          <w:rFonts w:eastAsia="Calibri" w:cstheme="minorHAnsi"/>
          <w:sz w:val="24"/>
          <w:szCs w:val="24"/>
        </w:rPr>
        <w:t xml:space="preserve">o commence in some Asian countries around 2012 [ref.].” </w:t>
      </w:r>
      <w:r w:rsidR="001F2776" w:rsidRPr="001F2776">
        <w:rPr>
          <w:rFonts w:eastAsia="Calibri" w:cstheme="minorHAnsi"/>
          <w:noProof/>
          <w:sz w:val="24"/>
          <w:szCs w:val="24"/>
        </w:rPr>
        <w:t>(Kajale &amp; Becker, 2014, p. 2)</w:t>
      </w:r>
    </w:p>
    <w:p w:rsidR="008D58F3" w:rsidRPr="00A85D07" w:rsidRDefault="00C677B9">
      <w:pPr>
        <w:suppressAutoHyphens/>
        <w:spacing w:after="120" w:line="480" w:lineRule="auto"/>
        <w:jc w:val="both"/>
      </w:pPr>
      <w:r w:rsidRPr="008219D4">
        <w:rPr>
          <w:rFonts w:eastAsia="Calibri" w:cstheme="minorHAnsi"/>
          <w:sz w:val="24"/>
          <w:szCs w:val="24"/>
        </w:rPr>
        <w:t>“Another exciting field of modern plant biotechnology is represented by the enhancement of crop n</w:t>
      </w:r>
      <w:r w:rsidRPr="006F2A9B">
        <w:rPr>
          <w:rFonts w:eastAsia="Calibri" w:cstheme="minorHAnsi"/>
          <w:sz w:val="24"/>
          <w:szCs w:val="24"/>
        </w:rPr>
        <w:t xml:space="preserve">utritional properties through genetic modification [ref.]. There are multiple nutritional advances underway and this review focuses on two representative examples that illustrate the potential impact of this technology.” </w:t>
      </w:r>
      <w:r w:rsidR="001F2776" w:rsidRPr="001F2776">
        <w:rPr>
          <w:rFonts w:eastAsia="Calibri" w:cstheme="minorHAnsi"/>
          <w:noProof/>
          <w:sz w:val="24"/>
          <w:szCs w:val="24"/>
        </w:rPr>
        <w:t>(Schwember, 2008, p. 241)</w:t>
      </w:r>
    </w:p>
    <w:p w:rsidR="008D58F3" w:rsidRPr="00A85D07" w:rsidRDefault="00C677B9">
      <w:pPr>
        <w:suppressAutoHyphens/>
        <w:spacing w:after="120" w:line="480" w:lineRule="auto"/>
        <w:jc w:val="both"/>
      </w:pPr>
      <w:r w:rsidRPr="008219D4">
        <w:rPr>
          <w:rFonts w:eastAsia="Calibri" w:cstheme="minorHAnsi"/>
          <w:sz w:val="24"/>
          <w:szCs w:val="24"/>
        </w:rPr>
        <w:t xml:space="preserve"> “Poor people whose diets primarily consist of cereal grains and tubers have serious prevalence of VAD. Thus, the focus</w:t>
      </w:r>
      <w:r w:rsidRPr="006F2A9B">
        <w:rPr>
          <w:rFonts w:eastAsia="Calibri" w:cstheme="minorHAnsi"/>
          <w:sz w:val="24"/>
          <w:szCs w:val="24"/>
        </w:rPr>
        <w:t xml:space="preserve"> of crop improvement for enhancing vitamin A is on cereal and tuber crops. The main target for provitamin A biofortification is b-carotene, </w:t>
      </w:r>
      <w:r w:rsidRPr="006F2A9B">
        <w:rPr>
          <w:rFonts w:eastAsia="Calibri" w:cstheme="minorHAnsi"/>
          <w:sz w:val="24"/>
          <w:szCs w:val="24"/>
        </w:rPr>
        <w:lastRenderedPageBreak/>
        <w:t>and increased carotenoid accumulation can be achieved by directing and enhancing flux into carotenoid biosynthetic p</w:t>
      </w:r>
      <w:r w:rsidRPr="008441BA">
        <w:rPr>
          <w:rFonts w:eastAsia="Calibri" w:cstheme="minorHAnsi"/>
          <w:sz w:val="24"/>
          <w:szCs w:val="24"/>
        </w:rPr>
        <w:t xml:space="preserve">athway or by downregulating the turnover of b-carotene [ref.]. The best example of the former strategy is the development of so-called Golden Rice [ref.].” </w:t>
      </w:r>
      <w:r w:rsidR="001F2776" w:rsidRPr="001F2776">
        <w:rPr>
          <w:rFonts w:eastAsia="Calibri" w:cstheme="minorHAnsi"/>
          <w:noProof/>
          <w:sz w:val="24"/>
          <w:szCs w:val="24"/>
        </w:rPr>
        <w:t>(Khush, Lee, Cho, &amp; Jeon, 2012, p. 198)</w:t>
      </w:r>
    </w:p>
    <w:p w:rsidR="008D58F3" w:rsidRPr="00A85D07" w:rsidRDefault="00C677B9">
      <w:pPr>
        <w:suppressAutoHyphens/>
        <w:spacing w:after="120" w:line="480" w:lineRule="auto"/>
        <w:jc w:val="both"/>
      </w:pPr>
      <w:r w:rsidRPr="008219D4">
        <w:rPr>
          <w:rFonts w:eastAsia="Calibri" w:cstheme="minorHAnsi"/>
          <w:sz w:val="24"/>
          <w:szCs w:val="24"/>
        </w:rPr>
        <w:t>“Rice feeds more than half the human population worldwide, most of whom live in developing countries and many have (at least during certain seasons) no oth</w:t>
      </w:r>
      <w:r w:rsidRPr="006F2A9B">
        <w:rPr>
          <w:rFonts w:eastAsia="Calibri" w:cstheme="minorHAnsi"/>
          <w:sz w:val="24"/>
          <w:szCs w:val="24"/>
        </w:rPr>
        <w:t>er or virtually no other diet. Rice contains small amounts of Fe and provitamin A in the aleurone layer of the seeds, which is polished away in order to prevent the kernels becoming rancid. Consequently, vitamin A and Fe deficiencies are widespread. Althou</w:t>
      </w:r>
      <w:r w:rsidRPr="008441BA">
        <w:rPr>
          <w:rFonts w:eastAsia="Calibri" w:cstheme="minorHAnsi"/>
          <w:sz w:val="24"/>
          <w:szCs w:val="24"/>
        </w:rPr>
        <w:t xml:space="preserve">gh certain rice varieties have been reported to contain more provitamin A or Fe in the central part of the seeds [ref.], traditional breeding has not yet solved the problem. Although for vitamin A the problem is close to being solved, for Fe a solution is currently actively being sought. These studies will be reviewed.” </w:t>
      </w:r>
      <w:r w:rsidR="001F2776" w:rsidRPr="001F2776">
        <w:rPr>
          <w:rFonts w:eastAsia="Calibri" w:cstheme="minorHAnsi"/>
          <w:noProof/>
          <w:sz w:val="24"/>
          <w:szCs w:val="24"/>
        </w:rPr>
        <w:t>(Sautter, Poletti, Zhang, &amp; Gruissem, 2006, p. 155)</w:t>
      </w:r>
    </w:p>
    <w:p w:rsidR="008D58F3" w:rsidRPr="006F2A9B" w:rsidRDefault="00886237">
      <w:pPr>
        <w:suppressAutoHyphens/>
        <w:spacing w:after="120" w:line="480" w:lineRule="auto"/>
        <w:jc w:val="both"/>
        <w:rPr>
          <w:rFonts w:eastAsia="Calibri" w:cstheme="minorHAnsi"/>
          <w:b/>
          <w:sz w:val="24"/>
          <w:szCs w:val="24"/>
        </w:rPr>
      </w:pPr>
      <w:r>
        <w:rPr>
          <w:rFonts w:eastAsia="Calibri" w:cstheme="minorHAnsi"/>
          <w:b/>
          <w:sz w:val="24"/>
          <w:szCs w:val="24"/>
        </w:rPr>
        <w:t>A</w:t>
      </w:r>
      <w:r w:rsidR="00C677B9" w:rsidRPr="008219D4">
        <w:rPr>
          <w:rFonts w:eastAsia="Calibri" w:cstheme="minorHAnsi"/>
          <w:b/>
          <w:sz w:val="24"/>
          <w:szCs w:val="24"/>
        </w:rPr>
        <w:t>dvocacy</w:t>
      </w:r>
      <w:r>
        <w:rPr>
          <w:rFonts w:eastAsia="Calibri" w:cstheme="minorHAnsi"/>
          <w:b/>
          <w:sz w:val="24"/>
          <w:szCs w:val="24"/>
        </w:rPr>
        <w:t xml:space="preserve"> </w:t>
      </w:r>
      <w:r w:rsidR="00C677B9" w:rsidRPr="008219D4">
        <w:rPr>
          <w:rFonts w:eastAsia="Calibri" w:cstheme="minorHAnsi"/>
          <w:b/>
          <w:sz w:val="24"/>
          <w:szCs w:val="24"/>
        </w:rPr>
        <w:t>(n=17)</w:t>
      </w:r>
    </w:p>
    <w:p w:rsidR="008D58F3" w:rsidRPr="00A85D07" w:rsidRDefault="00C677B9">
      <w:pPr>
        <w:suppressAutoHyphens/>
        <w:spacing w:after="120" w:line="480" w:lineRule="auto"/>
        <w:jc w:val="both"/>
      </w:pPr>
      <w:r w:rsidRPr="008441BA">
        <w:rPr>
          <w:rFonts w:eastAsia="Calibri" w:cstheme="minorHAnsi"/>
          <w:sz w:val="24"/>
          <w:szCs w:val="24"/>
        </w:rPr>
        <w:t xml:space="preserve"> “The moral calculus is surprisingly simple: if GR had been distributed in 2002 or 2003, millions of lives might have been saved. Not to have disseminated the seeds of GR until now has allowed as many people to die silently as were killed in the holocaust.”</w:t>
      </w:r>
      <w:r w:rsidR="001F2776" w:rsidRPr="001F2776">
        <w:rPr>
          <w:rFonts w:eastAsia="Calibri" w:cstheme="minorHAnsi"/>
          <w:noProof/>
          <w:sz w:val="24"/>
          <w:szCs w:val="24"/>
        </w:rPr>
        <w:t>(Chassy, 2010, p. 543)</w:t>
      </w:r>
    </w:p>
    <w:p w:rsidR="008D58F3" w:rsidRPr="00A85D07" w:rsidRDefault="00C677B9">
      <w:pPr>
        <w:suppressAutoHyphens/>
        <w:spacing w:after="120" w:line="480" w:lineRule="auto"/>
        <w:jc w:val="both"/>
      </w:pPr>
      <w:r w:rsidRPr="008219D4">
        <w:rPr>
          <w:rFonts w:eastAsia="Calibri" w:cstheme="minorHAnsi"/>
          <w:sz w:val="24"/>
          <w:szCs w:val="24"/>
        </w:rPr>
        <w:t xml:space="preserve">“What else is necessary to open </w:t>
      </w:r>
      <w:r w:rsidRPr="006F2A9B">
        <w:rPr>
          <w:rFonts w:eastAsia="Calibri" w:cstheme="minorHAnsi"/>
          <w:sz w:val="24"/>
          <w:szCs w:val="24"/>
        </w:rPr>
        <w:t xml:space="preserve">the eyes of those, who carry political responsibility, to understand that not changing GE-regulation from extreme precautionary to science-based regulation, guided by considerations of the risks and benefits of the trait instead </w:t>
      </w:r>
      <w:r w:rsidRPr="006F2A9B">
        <w:rPr>
          <w:rFonts w:eastAsia="Calibri" w:cstheme="minorHAnsi"/>
          <w:sz w:val="24"/>
          <w:szCs w:val="24"/>
        </w:rPr>
        <w:lastRenderedPageBreak/>
        <w:t xml:space="preserve">of regulating a technology </w:t>
      </w:r>
      <w:r w:rsidRPr="008441BA">
        <w:rPr>
          <w:rFonts w:eastAsia="Calibri" w:cstheme="minorHAnsi"/>
          <w:sz w:val="24"/>
          <w:szCs w:val="24"/>
        </w:rPr>
        <w:t xml:space="preserve">on ideological terms, constitutes a ‘crime against humanity’ [ref]?” </w:t>
      </w:r>
      <w:r w:rsidR="001F2776" w:rsidRPr="001F2776">
        <w:rPr>
          <w:rFonts w:eastAsia="Calibri" w:cstheme="minorHAnsi"/>
          <w:noProof/>
          <w:sz w:val="24"/>
          <w:szCs w:val="24"/>
        </w:rPr>
        <w:t>(Potrykus, 2010, p. 472)</w:t>
      </w:r>
    </w:p>
    <w:p w:rsidR="008D58F3" w:rsidRPr="00A85D07" w:rsidRDefault="00C677B9">
      <w:pPr>
        <w:suppressAutoHyphens/>
        <w:spacing w:after="120" w:line="480" w:lineRule="auto"/>
        <w:jc w:val="both"/>
      </w:pPr>
      <w:r w:rsidRPr="00A85D07">
        <w:rPr>
          <w:rFonts w:eastAsia="Calibri" w:cstheme="minorHAnsi"/>
          <w:sz w:val="24"/>
          <w:szCs w:val="24"/>
        </w:rPr>
        <w:t>“The consequence [of GMO opposition]: millions of avoidable blind and dead children. The author considers those who are responsible for this avoidable suffering of many innocent children (and mothers at childbirth) a c</w:t>
      </w:r>
      <w:r w:rsidRPr="008219D4">
        <w:rPr>
          <w:rFonts w:eastAsia="Calibri" w:cstheme="minorHAnsi"/>
          <w:sz w:val="24"/>
          <w:szCs w:val="24"/>
        </w:rPr>
        <w:t xml:space="preserve">rime to humanity. There are those who commit this deliberately and those who are participating passively, such as numerous ‘humanitarian organizations’ and ‘decision makers’ in politics and elsewhere. There is a wealth of scientific information and broad </w:t>
      </w:r>
      <w:r w:rsidRPr="006F2A9B">
        <w:rPr>
          <w:rFonts w:eastAsia="Calibri" w:cstheme="minorHAnsi"/>
          <w:sz w:val="24"/>
          <w:szCs w:val="24"/>
        </w:rPr>
        <w:t>consensus that GMO-technology is at least as safe as any other technology involved in any context with our food or our environment. What we experience here is an example of ‘unreason’ and a perfect example in the context of The March of Unreason. Our ‘enli</w:t>
      </w:r>
      <w:r w:rsidRPr="008441BA">
        <w:rPr>
          <w:rFonts w:eastAsia="Calibri" w:cstheme="minorHAnsi"/>
          <w:sz w:val="24"/>
          <w:szCs w:val="24"/>
        </w:rPr>
        <w:t xml:space="preserve">ghtenment’ and science-based successful European culture is on the verge of being replaced by unreason-based failure and lack of culture.” </w:t>
      </w:r>
      <w:r w:rsidR="001F2776" w:rsidRPr="001F2776">
        <w:rPr>
          <w:rFonts w:eastAsia="Calibri" w:cstheme="minorHAnsi"/>
          <w:noProof/>
          <w:sz w:val="24"/>
          <w:szCs w:val="24"/>
        </w:rPr>
        <w:t>(Potrykus, 2013, p. S86)</w:t>
      </w:r>
    </w:p>
    <w:p w:rsidR="008D58F3" w:rsidRPr="00A85D07" w:rsidRDefault="00C677B9">
      <w:pPr>
        <w:suppressAutoHyphens/>
        <w:spacing w:after="120" w:line="480" w:lineRule="auto"/>
        <w:jc w:val="both"/>
      </w:pPr>
      <w:r w:rsidRPr="008219D4">
        <w:rPr>
          <w:rFonts w:eastAsia="Calibri" w:cstheme="minorHAnsi"/>
          <w:sz w:val="24"/>
          <w:szCs w:val="24"/>
        </w:rPr>
        <w:t>“The controversy over Golden Rice has been very frustrating to many of us. As Potrykus says, it is unfortunate that offering a tec</w:t>
      </w:r>
      <w:r w:rsidRPr="006F2A9B">
        <w:rPr>
          <w:rFonts w:eastAsia="Calibri" w:cstheme="minorHAnsi"/>
          <w:sz w:val="24"/>
          <w:szCs w:val="24"/>
        </w:rPr>
        <w:t>hnology for free that could save so many children and pregnant mothers has been delayed for so long. Since the invention of Golden Rice, 2.5 million children are estimated to have died each year from VAD. Around 500,000 go blind each year, of whom 70 % die</w:t>
      </w:r>
      <w:r w:rsidRPr="008441BA">
        <w:rPr>
          <w:rFonts w:eastAsia="Calibri" w:cstheme="minorHAnsi"/>
          <w:sz w:val="24"/>
          <w:szCs w:val="24"/>
        </w:rPr>
        <w:t xml:space="preserve">. They wouldn’t all have been saved by Golden Rice, of course, but every delay means many unnecessary dead or blind children [ref.]. As IRRI’s director general, I believe that it is high time that activists stop using their cynical and destructive ways to oppose Golden Rice and instead support scientific research, development, and assessment of the product because of its strong potential benefit to humanity.” </w:t>
      </w:r>
      <w:r w:rsidR="001F2776" w:rsidRPr="001F2776">
        <w:rPr>
          <w:rFonts w:eastAsia="Calibri" w:cstheme="minorHAnsi"/>
          <w:noProof/>
          <w:sz w:val="24"/>
          <w:szCs w:val="24"/>
        </w:rPr>
        <w:t>(Zeigler, 2014, p. 260)</w:t>
      </w:r>
    </w:p>
    <w:p w:rsidR="008D58F3" w:rsidRPr="00A85D07" w:rsidRDefault="00C677B9">
      <w:pPr>
        <w:suppressAutoHyphens/>
        <w:spacing w:after="120" w:line="480" w:lineRule="auto"/>
        <w:jc w:val="both"/>
      </w:pPr>
      <w:r w:rsidRPr="008219D4">
        <w:rPr>
          <w:rFonts w:eastAsia="Calibri" w:cstheme="minorHAnsi"/>
          <w:sz w:val="24"/>
          <w:szCs w:val="24"/>
        </w:rPr>
        <w:lastRenderedPageBreak/>
        <w:t xml:space="preserve"> “EU opposition and NGO domino politics are the real rea</w:t>
      </w:r>
      <w:r w:rsidRPr="006F2A9B">
        <w:rPr>
          <w:rFonts w:eastAsia="Calibri" w:cstheme="minorHAnsi"/>
          <w:sz w:val="24"/>
          <w:szCs w:val="24"/>
        </w:rPr>
        <w:t>sons we have been waiting since 1982 for the eradication of blindness in the developing world. NGOs like Greenpeace will never reconsider. Publics, however, could be a different story. The most important group to sway is the European public (…). Awareness should be premised on three key facts: GM foods have never been shown harmful. Golden Rice is not intended for export to Europe, and the obstructionism of their governments is allowing the blindness and deaths of hundreds of thousands. Public awareness cam</w:t>
      </w:r>
      <w:r w:rsidRPr="008441BA">
        <w:rPr>
          <w:rFonts w:eastAsia="Calibri" w:cstheme="minorHAnsi"/>
          <w:sz w:val="24"/>
          <w:szCs w:val="24"/>
        </w:rPr>
        <w:t xml:space="preserve">paigns like those conducted by the Golden Rice Project, as well as the addition of the topic to the local Rotary Club meeting, could do much to promote grassroots knowledge. Additionally, the United States should try to get the European Union and developing countries talking specifically about Golden Rice, not the far more threatening specter of GM foods at large.” </w:t>
      </w:r>
      <w:r w:rsidR="001F2776" w:rsidRPr="001F2776">
        <w:rPr>
          <w:rFonts w:eastAsia="Calibri" w:cstheme="minorHAnsi"/>
          <w:noProof/>
          <w:sz w:val="24"/>
          <w:szCs w:val="24"/>
        </w:rPr>
        <w:t>(Baggott, 2006, p. 30)</w:t>
      </w:r>
    </w:p>
    <w:p w:rsidR="008D58F3" w:rsidRPr="006F2A9B" w:rsidRDefault="00C677B9">
      <w:pPr>
        <w:suppressAutoHyphens/>
        <w:spacing w:line="480" w:lineRule="auto"/>
        <w:rPr>
          <w:rFonts w:eastAsia="Calibri" w:cstheme="minorHAnsi"/>
          <w:b/>
          <w:bCs/>
          <w:sz w:val="24"/>
          <w:szCs w:val="24"/>
        </w:rPr>
      </w:pPr>
      <w:r w:rsidRPr="008219D4">
        <w:rPr>
          <w:rFonts w:eastAsia="Calibri" w:cstheme="minorHAnsi"/>
          <w:b/>
          <w:bCs/>
          <w:sz w:val="24"/>
          <w:szCs w:val="24"/>
        </w:rPr>
        <w:t>Economic efficiency (n=10)</w:t>
      </w:r>
    </w:p>
    <w:p w:rsidR="008D58F3" w:rsidRPr="00A85D07" w:rsidRDefault="00C677B9">
      <w:pPr>
        <w:suppressAutoHyphens/>
        <w:spacing w:line="480" w:lineRule="auto"/>
      </w:pPr>
      <w:r w:rsidRPr="008441BA">
        <w:rPr>
          <w:rFonts w:eastAsia="Calibri" w:cstheme="minorHAnsi"/>
          <w:bCs/>
          <w:sz w:val="24"/>
          <w:szCs w:val="24"/>
        </w:rPr>
        <w:t xml:space="preserve">“We develop a methodology for comprehensive ex ante evaluation, which substantially improves upon the previous, more partial impact studies. Dawe et al. (2002) focused on the potential effects of GR on b-carotene intakes, but without considering actual health impacts. Zimmermann and Qaim (2004) considered health aspects, but only at a highly aggregate level and without taking into account important nutritional features like dietary heterogeneity across different regions and social groups or the role of reference intakes in dietary assessments. We use a truly interdisciplinary approach, integrating epidemiological and nutrition details, as well as socioeconomic and policy factors. In particular, we determine the current public disease burden of VAD in a country with an important rice-eating population, and simulate to what extent this burden could be reduced through GR. The simulations build on new insights of the technology’s efficacy </w:t>
      </w:r>
      <w:r w:rsidRPr="008441BA">
        <w:rPr>
          <w:rFonts w:eastAsia="Calibri" w:cstheme="minorHAnsi"/>
          <w:bCs/>
          <w:sz w:val="24"/>
          <w:szCs w:val="24"/>
        </w:rPr>
        <w:lastRenderedPageBreak/>
        <w:t xml:space="preserve">[ref]. Finally, we assess the cost-effectiveness of GR more comprehensively than the previous work and compare the results with the cost-effectiveness of alternative VA interventions and other public health programs.” </w:t>
      </w:r>
      <w:r w:rsidR="001F2776" w:rsidRPr="001F2776">
        <w:rPr>
          <w:rFonts w:eastAsia="Calibri" w:cstheme="minorHAnsi"/>
          <w:bCs/>
          <w:noProof/>
          <w:sz w:val="24"/>
          <w:szCs w:val="24"/>
        </w:rPr>
        <w:t>(Stein, Sachdev, &amp; Qaim, 2008, p. 145)</w:t>
      </w:r>
    </w:p>
    <w:p w:rsidR="008D58F3" w:rsidRPr="00A85D07" w:rsidRDefault="00C677B9">
      <w:pPr>
        <w:suppressAutoHyphens/>
        <w:spacing w:line="480" w:lineRule="auto"/>
      </w:pPr>
      <w:r w:rsidRPr="00A85D07">
        <w:rPr>
          <w:rFonts w:eastAsia="Calibri" w:cstheme="minorHAnsi"/>
          <w:bCs/>
          <w:sz w:val="24"/>
          <w:szCs w:val="24"/>
        </w:rPr>
        <w:t xml:space="preserve"> “The larger moral point is that the perfect should not be the enemy of the good; in general, even if </w:t>
      </w:r>
      <w:r w:rsidRPr="008219D4">
        <w:rPr>
          <w:rFonts w:eastAsia="Calibri" w:cstheme="minorHAnsi"/>
          <w:bCs/>
          <w:sz w:val="24"/>
          <w:szCs w:val="24"/>
        </w:rPr>
        <w:t>the best ethical analysis of existing systems demonstrates that they are seriously flawed, it would not without further argument justify a categorical refusal to improve those systems, even if ideally a more comprehensive, but also more remote, solution b</w:t>
      </w:r>
      <w:r w:rsidRPr="006F2A9B">
        <w:rPr>
          <w:rFonts w:eastAsia="Calibri" w:cstheme="minorHAnsi"/>
          <w:bCs/>
          <w:sz w:val="24"/>
          <w:szCs w:val="24"/>
        </w:rPr>
        <w:t xml:space="preserve">e to replace them entirely with better ones.” </w:t>
      </w:r>
      <w:r w:rsidR="001F2776" w:rsidRPr="001F2776">
        <w:rPr>
          <w:rFonts w:eastAsia="Calibri" w:cstheme="minorHAnsi"/>
          <w:bCs/>
          <w:noProof/>
          <w:sz w:val="24"/>
          <w:szCs w:val="24"/>
        </w:rPr>
        <w:t>(Hessler, 2011, p. 275)</w:t>
      </w:r>
    </w:p>
    <w:p w:rsidR="008D58F3" w:rsidRPr="00A85D07" w:rsidRDefault="00C677B9">
      <w:pPr>
        <w:suppressAutoHyphens/>
        <w:spacing w:line="480" w:lineRule="auto"/>
      </w:pPr>
      <w:r w:rsidRPr="008219D4">
        <w:rPr>
          <w:rFonts w:eastAsia="Calibri" w:cstheme="minorHAnsi"/>
          <w:bCs/>
          <w:sz w:val="24"/>
          <w:szCs w:val="24"/>
        </w:rPr>
        <w:t>“In this co</w:t>
      </w:r>
      <w:r w:rsidRPr="006F2A9B">
        <w:rPr>
          <w:rFonts w:eastAsia="Calibri" w:cstheme="minorHAnsi"/>
          <w:bCs/>
          <w:sz w:val="24"/>
          <w:szCs w:val="24"/>
        </w:rPr>
        <w:t>ntext, widespread consumption of Golden Rice could reduce the burden by 59%, which includes the saving of almost 40,000 lives every year (Table 3). Because the severity of VAD is negatively correlated with income, the positive effects are most pronounced i</w:t>
      </w:r>
      <w:r w:rsidRPr="008441BA">
        <w:rPr>
          <w:rFonts w:eastAsia="Calibri" w:cstheme="minorHAnsi"/>
          <w:bCs/>
          <w:sz w:val="24"/>
          <w:szCs w:val="24"/>
        </w:rPr>
        <w:t xml:space="preserve">n the poorest income groups (Stein et al., 2008). While these results suggest that Golden Rice alone is unlikely to eliminate the problems of VAD, the projected improvements in public health and nutrition are huge.” </w:t>
      </w:r>
      <w:r w:rsidR="001F2776" w:rsidRPr="001F2776">
        <w:rPr>
          <w:rFonts w:eastAsia="Calibri" w:cstheme="minorHAnsi"/>
          <w:bCs/>
          <w:noProof/>
          <w:sz w:val="24"/>
          <w:szCs w:val="24"/>
        </w:rPr>
        <w:t>(Qaim, 2011, p. 45f.)</w:t>
      </w:r>
    </w:p>
    <w:p w:rsidR="008D58F3" w:rsidRPr="008219D4" w:rsidRDefault="00C677B9">
      <w:pPr>
        <w:suppressAutoHyphens/>
        <w:spacing w:line="480" w:lineRule="auto"/>
      </w:pPr>
      <w:r w:rsidRPr="008219D4">
        <w:rPr>
          <w:rFonts w:eastAsia="Calibri" w:cstheme="minorHAnsi"/>
          <w:bCs/>
          <w:sz w:val="24"/>
          <w:szCs w:val="24"/>
        </w:rPr>
        <w:t>“Their influence [of NGOs advocating organic farming] is not to be ignored, and if GR is to be adopted, educational campaigns targeted to farmers and the gene</w:t>
      </w:r>
      <w:r w:rsidRPr="006F2A9B">
        <w:rPr>
          <w:rFonts w:eastAsia="Calibri" w:cstheme="minorHAnsi"/>
          <w:bCs/>
          <w:sz w:val="24"/>
          <w:szCs w:val="24"/>
        </w:rPr>
        <w:t>ral public will be of crucial importance. There are several other risks that could be important. First, after substantial investment, GR may not be widely adopted and will have little semblance of the impact envisioned. Farmers who wish to sell it in marke</w:t>
      </w:r>
      <w:r w:rsidRPr="008441BA">
        <w:rPr>
          <w:rFonts w:eastAsia="Calibri" w:cstheme="minorHAnsi"/>
          <w:bCs/>
          <w:sz w:val="24"/>
          <w:szCs w:val="24"/>
        </w:rPr>
        <w:t xml:space="preserve">ts (…) may not want to take the risks of adopting a new variety (…) unless they are compensated with higher prices or yields.” </w:t>
      </w:r>
      <w:bookmarkStart w:id="1" w:name="__Fieldmark__5424_1393660456"/>
      <w:r w:rsidR="001F2776" w:rsidRPr="001F2776">
        <w:rPr>
          <w:rFonts w:eastAsia="Calibri" w:cstheme="minorHAnsi"/>
          <w:bCs/>
          <w:noProof/>
          <w:sz w:val="24"/>
          <w:szCs w:val="24"/>
        </w:rPr>
        <w:t>(Dawe &amp; Unnevehr, 2007, p. 158)</w:t>
      </w:r>
      <w:bookmarkEnd w:id="1"/>
      <w:r w:rsidRPr="00A85D07">
        <w:rPr>
          <w:rFonts w:cstheme="minorHAnsi"/>
          <w:sz w:val="24"/>
          <w:szCs w:val="24"/>
        </w:rPr>
        <w:t xml:space="preserve"> </w:t>
      </w:r>
    </w:p>
    <w:p w:rsidR="008D58F3" w:rsidRPr="00231B87" w:rsidRDefault="00C677B9">
      <w:pPr>
        <w:suppressAutoHyphens/>
        <w:spacing w:line="480" w:lineRule="auto"/>
      </w:pPr>
      <w:r w:rsidRPr="006F2A9B">
        <w:rPr>
          <w:rFonts w:cstheme="minorHAnsi"/>
          <w:sz w:val="24"/>
          <w:szCs w:val="24"/>
        </w:rPr>
        <w:lastRenderedPageBreak/>
        <w:t>“</w:t>
      </w:r>
      <w:r w:rsidRPr="008441BA">
        <w:rPr>
          <w:rFonts w:eastAsia="Calibri" w:cstheme="minorHAnsi"/>
          <w:bCs/>
          <w:sz w:val="24"/>
          <w:szCs w:val="24"/>
        </w:rPr>
        <w:t xml:space="preserve">This paper analyses potential impacts in a Philippine context. Since the technology is still at the stage of R&amp;D, benefits are simulated with a scenario approach. Health effects are quantified using the methodology of disability-adjusted life years (DALYs). Golden Rice will not completely eliminate the problems of vitamin A deficiency, such as blindness or increased mortality. Therefore, it should be seen as a complement rather than a substitute for alternative micronutrient interventions. Yet the technology could bring about significant benefits. Depending on the underlying assumptions, annual health improvements are worth between US$ 16 and 88 million, and rates of return on R&amp;D investments range between 66% and 133%. Due to the uncertainty related to key parameters, these results should be treated as preliminary.” </w:t>
      </w:r>
      <w:r w:rsidR="001F2776" w:rsidRPr="001F2776">
        <w:rPr>
          <w:rFonts w:eastAsia="Calibri" w:cstheme="minorHAnsi"/>
          <w:bCs/>
          <w:noProof/>
          <w:sz w:val="24"/>
          <w:szCs w:val="24"/>
        </w:rPr>
        <w:t>(Zimmermann &amp; Qaim, 2004, p. 147)</w:t>
      </w:r>
    </w:p>
    <w:p w:rsidR="008D58F3" w:rsidRPr="008441BA" w:rsidRDefault="00C677B9">
      <w:pPr>
        <w:suppressAutoHyphens/>
        <w:spacing w:line="480" w:lineRule="auto"/>
        <w:rPr>
          <w:rFonts w:eastAsia="Calibri" w:cstheme="minorHAnsi"/>
          <w:b/>
          <w:bCs/>
          <w:sz w:val="24"/>
          <w:szCs w:val="24"/>
        </w:rPr>
      </w:pPr>
      <w:r w:rsidRPr="006F2A9B">
        <w:rPr>
          <w:rFonts w:eastAsia="Calibri" w:cstheme="minorHAnsi"/>
          <w:b/>
          <w:bCs/>
          <w:sz w:val="24"/>
          <w:szCs w:val="24"/>
        </w:rPr>
        <w:t>Equity &amp;</w:t>
      </w:r>
      <w:r w:rsidR="000049A4">
        <w:rPr>
          <w:rFonts w:eastAsia="Calibri" w:cstheme="minorHAnsi"/>
          <w:b/>
          <w:bCs/>
          <w:sz w:val="24"/>
          <w:szCs w:val="24"/>
        </w:rPr>
        <w:t xml:space="preserve"> h</w:t>
      </w:r>
      <w:r w:rsidRPr="008441BA">
        <w:rPr>
          <w:rFonts w:eastAsia="Calibri" w:cstheme="minorHAnsi"/>
          <w:b/>
          <w:bCs/>
          <w:sz w:val="24"/>
          <w:szCs w:val="24"/>
        </w:rPr>
        <w:t>olism (n=14)</w:t>
      </w:r>
    </w:p>
    <w:p w:rsidR="008D58F3" w:rsidRPr="00A85D07" w:rsidRDefault="00C677B9">
      <w:pPr>
        <w:suppressAutoHyphens/>
        <w:spacing w:line="480" w:lineRule="auto"/>
      </w:pPr>
      <w:r w:rsidRPr="008441BA">
        <w:rPr>
          <w:rFonts w:eastAsia="Calibri" w:cstheme="minorHAnsi"/>
          <w:bCs/>
          <w:sz w:val="24"/>
          <w:szCs w:val="24"/>
        </w:rPr>
        <w:t xml:space="preserve">“Unless participatory approaches are used to reflect indigenous knowledge and cultural systems and are gender sensitive with respect to women’s knowledge, contributions and needs, biofortification may not succeed as intended. (…) Addressing the most immediate and fundamental problems of food insecurity and undernutrition such as micronutrient deficiency, while essential, can only succeed in the long run by proceeding in balance with environmental, sociocultural, political, economic, behavioral and biomedical perspectives. (…). Focusing on staple cereals is unlikely to benefit the poor for economic and nutritional reasons alike, and as it leads to even greater dietary simplification can do more harm than good. Biofortification would better focus on local vegetatively propagated species.” </w:t>
      </w:r>
      <w:r w:rsidR="001F2776" w:rsidRPr="001F2776">
        <w:rPr>
          <w:rFonts w:eastAsia="Calibri" w:cstheme="minorHAnsi"/>
          <w:bCs/>
          <w:noProof/>
          <w:sz w:val="24"/>
          <w:szCs w:val="24"/>
        </w:rPr>
        <w:t>(Johns &amp; Eyzaguirre, 2007, p. 17ff.)</w:t>
      </w:r>
    </w:p>
    <w:p w:rsidR="008D58F3" w:rsidRPr="00A85D07" w:rsidRDefault="00C677B9">
      <w:pPr>
        <w:suppressAutoHyphens/>
        <w:spacing w:line="480" w:lineRule="auto"/>
      </w:pPr>
      <w:r w:rsidRPr="008219D4">
        <w:rPr>
          <w:rFonts w:eastAsia="Calibri" w:cstheme="minorHAnsi"/>
          <w:bCs/>
          <w:sz w:val="24"/>
          <w:szCs w:val="24"/>
        </w:rPr>
        <w:lastRenderedPageBreak/>
        <w:t>“Golden rice will not offer the solutions needed for the elimination of VAD/xerop</w:t>
      </w:r>
      <w:r w:rsidRPr="006F2A9B">
        <w:rPr>
          <w:rFonts w:eastAsia="Calibri" w:cstheme="minorHAnsi"/>
          <w:bCs/>
          <w:sz w:val="24"/>
          <w:szCs w:val="24"/>
        </w:rPr>
        <w:t xml:space="preserve">hthalmia and indeed the researchers themselves know this. There were several instances where golden rice as an intervention appears to fall short of providing the holistic approach needed to eliminate VAD/xerophthalmia. For instance, the prevalence of parasitic infestation and inadequate fat intake in high-risk communities have to be taken into account if real breakthroughs are to be made.” </w:t>
      </w:r>
      <w:r w:rsidR="001F2776" w:rsidRPr="001F2776">
        <w:rPr>
          <w:rFonts w:eastAsia="Calibri" w:cstheme="minorHAnsi"/>
          <w:bCs/>
          <w:noProof/>
          <w:sz w:val="24"/>
          <w:szCs w:val="24"/>
        </w:rPr>
        <w:t>(Egana, 2003, p. 174)</w:t>
      </w:r>
    </w:p>
    <w:p w:rsidR="008D58F3" w:rsidRPr="00A85D07" w:rsidRDefault="00C677B9">
      <w:pPr>
        <w:suppressAutoHyphens/>
        <w:spacing w:line="480" w:lineRule="auto"/>
      </w:pPr>
      <w:r w:rsidRPr="008219D4">
        <w:rPr>
          <w:rFonts w:eastAsia="Calibri" w:cstheme="minorHAnsi"/>
          <w:bCs/>
          <w:sz w:val="24"/>
          <w:szCs w:val="24"/>
        </w:rPr>
        <w:t>“While those involved in the project praise it as a new form of priva</w:t>
      </w:r>
      <w:r w:rsidRPr="006F2A9B">
        <w:rPr>
          <w:rFonts w:eastAsia="Calibri" w:cstheme="minorHAnsi"/>
          <w:bCs/>
          <w:sz w:val="24"/>
          <w:szCs w:val="24"/>
        </w:rPr>
        <w:t>te-public partnership in a humanitarian setting, critics consider it an inappropriate high-tech solution to the complex problem of food access, which has been taken up by life sciences companies and used for their own public relations. Ultimately, however,</w:t>
      </w:r>
      <w:r w:rsidRPr="008441BA">
        <w:rPr>
          <w:rFonts w:eastAsia="Calibri" w:cstheme="minorHAnsi"/>
          <w:bCs/>
          <w:sz w:val="24"/>
          <w:szCs w:val="24"/>
        </w:rPr>
        <w:t xml:space="preserve"> it will be governments, development organizations and local people who will have to make the choice about the measures they decide to adopt to combat malnutrition.” </w:t>
      </w:r>
      <w:r w:rsidR="001F2776" w:rsidRPr="001F2776">
        <w:rPr>
          <w:rFonts w:eastAsia="Calibri" w:cstheme="minorHAnsi"/>
          <w:bCs/>
          <w:noProof/>
          <w:sz w:val="24"/>
          <w:szCs w:val="24"/>
        </w:rPr>
        <w:t>(Lorch, 2001, p. 22)</w:t>
      </w:r>
    </w:p>
    <w:p w:rsidR="008D58F3" w:rsidRPr="008219D4" w:rsidRDefault="00C677B9">
      <w:pPr>
        <w:suppressAutoHyphens/>
        <w:spacing w:line="480" w:lineRule="auto"/>
      </w:pPr>
      <w:r w:rsidRPr="008219D4">
        <w:rPr>
          <w:rFonts w:eastAsia="Calibri" w:cstheme="minorHAnsi"/>
          <w:bCs/>
          <w:sz w:val="24"/>
          <w:szCs w:val="24"/>
        </w:rPr>
        <w:t xml:space="preserve"> “Until Western dietary practices were introduced, indigenous people historically avoided vitamin A deficiency by consuming local green leafy vegetables. Engelberger carried out a search for abandoned native provitamin-A-rich plants. These were identifi</w:t>
      </w:r>
      <w:r w:rsidRPr="006F2A9B">
        <w:rPr>
          <w:rFonts w:eastAsia="Calibri" w:cstheme="minorHAnsi"/>
          <w:bCs/>
          <w:sz w:val="24"/>
          <w:szCs w:val="24"/>
        </w:rPr>
        <w:t>ed, and proved to provide a much more reasonable solution than the ‘vitamin A fiasco’ [ref.] supplementation programme previously implemented. Bruinsma [ref.] noted that ‘Golden Rice could have counterproductive impacts on nutritional problems by curtailin</w:t>
      </w:r>
      <w:r w:rsidRPr="008441BA">
        <w:rPr>
          <w:rFonts w:eastAsia="Calibri" w:cstheme="minorHAnsi"/>
          <w:bCs/>
          <w:sz w:val="24"/>
          <w:szCs w:val="24"/>
        </w:rPr>
        <w:t xml:space="preserve">g the progress made in educating people to diversify their diet and increase the diversification of agriculture production’. Indeed, there is a disconcertingly imperialistic aspect about the efforts of affluent interests to thrust ‘biotechnology for the poor’ on the </w:t>
      </w:r>
      <w:r w:rsidR="008441BA">
        <w:rPr>
          <w:rFonts w:eastAsia="Calibri" w:cstheme="minorHAnsi"/>
          <w:bCs/>
          <w:sz w:val="24"/>
          <w:szCs w:val="24"/>
        </w:rPr>
        <w:t>Global South</w:t>
      </w:r>
      <w:r w:rsidRPr="008441BA">
        <w:rPr>
          <w:rFonts w:eastAsia="Calibri" w:cstheme="minorHAnsi"/>
          <w:bCs/>
          <w:sz w:val="24"/>
          <w:szCs w:val="24"/>
        </w:rPr>
        <w:t xml:space="preserve"> [ref.].” </w:t>
      </w:r>
      <w:bookmarkStart w:id="2" w:name="__Fieldmark__5484_1393660456"/>
      <w:r w:rsidR="001F2776" w:rsidRPr="001F2776">
        <w:rPr>
          <w:rFonts w:eastAsia="Calibri" w:cstheme="minorHAnsi"/>
          <w:bCs/>
          <w:noProof/>
          <w:sz w:val="24"/>
          <w:szCs w:val="24"/>
        </w:rPr>
        <w:t>(Small, 2014, p. 285)</w:t>
      </w:r>
      <w:bookmarkEnd w:id="2"/>
      <w:r w:rsidRPr="00A85D07">
        <w:rPr>
          <w:rFonts w:eastAsia="Calibri" w:cstheme="minorHAnsi"/>
          <w:bCs/>
          <w:sz w:val="24"/>
          <w:szCs w:val="24"/>
        </w:rPr>
        <w:t xml:space="preserve"> </w:t>
      </w:r>
    </w:p>
    <w:p w:rsidR="008D58F3" w:rsidRPr="00A85D07" w:rsidRDefault="00C677B9">
      <w:pPr>
        <w:suppressAutoHyphens/>
        <w:spacing w:line="480" w:lineRule="auto"/>
      </w:pPr>
      <w:r w:rsidRPr="006F2A9B">
        <w:rPr>
          <w:rFonts w:eastAsia="Calibri" w:cstheme="minorHAnsi"/>
          <w:bCs/>
          <w:sz w:val="24"/>
          <w:szCs w:val="24"/>
        </w:rPr>
        <w:lastRenderedPageBreak/>
        <w:t xml:space="preserve"> “The </w:t>
      </w:r>
      <w:bookmarkStart w:id="3" w:name="OLE_LINK1"/>
      <w:r w:rsidRPr="006F2A9B">
        <w:rPr>
          <w:rFonts w:eastAsia="Calibri" w:cstheme="minorHAnsi"/>
          <w:bCs/>
          <w:sz w:val="24"/>
          <w:szCs w:val="24"/>
        </w:rPr>
        <w:t xml:space="preserve">practical criticisms alert </w:t>
      </w:r>
      <w:bookmarkEnd w:id="3"/>
      <w:r w:rsidRPr="006F2A9B">
        <w:rPr>
          <w:rFonts w:eastAsia="Calibri" w:cstheme="minorHAnsi"/>
          <w:bCs/>
          <w:sz w:val="24"/>
          <w:szCs w:val="24"/>
        </w:rPr>
        <w:t>one to the ambiguity of technological fixes. They can be said to solve problems only when the criteria for success is narrowly defined in the manner of an engineering problem. (…) It [Golden Rice] could play the</w:t>
      </w:r>
      <w:r w:rsidRPr="008441BA">
        <w:rPr>
          <w:rFonts w:eastAsia="Calibri" w:cstheme="minorHAnsi"/>
          <w:bCs/>
          <w:sz w:val="24"/>
          <w:szCs w:val="24"/>
        </w:rPr>
        <w:t xml:space="preserve"> positive role of technological fixes as listed by Weinberg – providing policy makers with more options and additional means for addressing social problems. The debate over biotechnology is in part a debate over how to frame the challenges of twenty-first century agriculture. It is obvious that these challenges are scientific and technological as well as social and political.” </w:t>
      </w:r>
      <w:r w:rsidR="001F2776" w:rsidRPr="001F2776">
        <w:rPr>
          <w:rFonts w:eastAsia="Calibri" w:cstheme="minorHAnsi"/>
          <w:bCs/>
          <w:noProof/>
          <w:sz w:val="24"/>
          <w:szCs w:val="24"/>
        </w:rPr>
        <w:t>(Scott, 2011, p. 225)</w:t>
      </w:r>
    </w:p>
    <w:p w:rsidR="008D58F3" w:rsidRPr="008441BA" w:rsidRDefault="00C677B9">
      <w:pPr>
        <w:pStyle w:val="Heading2"/>
        <w:suppressAutoHyphens/>
        <w:spacing w:line="480" w:lineRule="auto"/>
        <w:rPr>
          <w:rFonts w:asciiTheme="minorHAnsi" w:eastAsia="Calibri" w:hAnsiTheme="minorHAnsi" w:cstheme="minorHAnsi"/>
          <w:sz w:val="24"/>
          <w:szCs w:val="24"/>
        </w:rPr>
      </w:pPr>
      <w:r w:rsidRPr="006F2A9B">
        <w:rPr>
          <w:rFonts w:eastAsia="Calibri" w:cstheme="minorHAnsi"/>
          <w:sz w:val="24"/>
          <w:szCs w:val="24"/>
        </w:rPr>
        <w:t>Table S3. List of 64 articles included in analysis and their respective cluster.</w:t>
      </w:r>
    </w:p>
    <w:p w:rsidR="008D58F3" w:rsidRPr="008441BA" w:rsidRDefault="00C677B9">
      <w:pPr>
        <w:suppressAutoHyphens/>
        <w:spacing w:after="0" w:line="480" w:lineRule="auto"/>
        <w:jc w:val="both"/>
        <w:rPr>
          <w:rFonts w:eastAsia="Calibri" w:cstheme="minorHAnsi"/>
          <w:b/>
          <w:bCs/>
          <w:sz w:val="24"/>
          <w:szCs w:val="24"/>
        </w:rPr>
      </w:pPr>
      <w:r w:rsidRPr="008441BA">
        <w:rPr>
          <w:rFonts w:eastAsia="Calibri" w:cstheme="minorHAnsi"/>
          <w:b/>
          <w:bCs/>
          <w:sz w:val="24"/>
          <w:szCs w:val="24"/>
        </w:rPr>
        <w:t>Biotechnological branch (n=40)</w:t>
      </w:r>
    </w:p>
    <w:p w:rsidR="008D58F3" w:rsidRPr="008441BA" w:rsidRDefault="00C677B9">
      <w:pPr>
        <w:suppressAutoHyphens/>
        <w:spacing w:after="0" w:line="480" w:lineRule="auto"/>
        <w:jc w:val="both"/>
        <w:rPr>
          <w:rFonts w:eastAsia="Calibri" w:cstheme="minorHAnsi"/>
          <w:bCs/>
          <w:i/>
          <w:sz w:val="24"/>
          <w:szCs w:val="24"/>
        </w:rPr>
      </w:pPr>
      <w:r w:rsidRPr="008441BA">
        <w:rPr>
          <w:rFonts w:eastAsia="Calibri" w:cstheme="minorHAnsi"/>
          <w:bCs/>
          <w:i/>
          <w:sz w:val="24"/>
          <w:szCs w:val="24"/>
        </w:rPr>
        <w:t>Technical effectiveness (n=23)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Banta LM, Montenegro M (2008) Agrobacterium and plant biotechnology. Agrobacterium From Biol to Biotechnol 73–147. doi: 10.1007/978-0-387-72290-0_3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Beyer P (2010) Golden Rice and “Golden” crops for human nutrition. N Biotechnol 27:478–481. doi: 10.1016/j.nbt.2010.05.010</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Bhullar NK, Gruissem W (2013) Nutritional enhancement of rice for human health: The contribution of biotechnology. Biotechnol Adv 31:50–57. doi: 10.1016/j.biotechadv.2012.02.001</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Chikkappa GK, Tyagi NK, Venkatesh K, et al (2011) Analysis of transgene(s) (psy+crtI) inheritance and its stability over generations in the genetic background of indica rice cultivar Swarna. J Plant Biochem Biotechnol 20:29–39. doi: 10.1007/s13562-010-0021-6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lastRenderedPageBreak/>
        <w:t>Corrigan JR, Depositario DPT, Nayga RM, et al (2009) Comparing open-ended choice experiments and experimental auctions: An application to golden rice. Am J Agric Econ 91:837–853. doi: 10.1111/j.1467-8276.2009.01267.x</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Datta SK, Datta K, Parkhi V, et al (2007) Golden rice: Introgression, breeding, and field evaluation. Euphytica 154:271–278. doi: 10.1007/s10681-006-9311-4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Depositario DPT, Nayga RM, Wu, Jr. X, Laude TP (2009) Effects of Information on Consumers’ Willingness to Pay for Golden Rice. Asian Econ J 23:457–476. doi: 10.2202/1542-0485.1058</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Diretto G, Fiore A, Giuliano G (2007) Metabolic engineering of carotenoid levels for improvement of plants as food. CAB Rev Perspect Agric Vet Sci Nutr Nat Resour. doi: 10.1079/PAVSNNR20072039</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Glenn KC (2008) Nutritional and Safety Assessments of Foods and Feeds Nutritionally Improved through Biotechnology : Case Studies Prepared by a Task Force of the ILSI International Food Biotechnology Committee. Asia Pac J Clin Nutr 17:37–104. doi: 10.1111/j.1750-3841.2007.00579.x</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ILSI International Food Biotechnology Committee (2008) Golden Rice 2. Compr Rev Food Sci Food Saf 7:92–98. doi: 10.1111/j.1541-4337.2007.00029_7.x</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Kajale DB, Becker TC (2014) Willingness to Pay for Golden Rice in India: A Contingent Valuation Method Analysis. J Food Prod Mark 21:319–336. doi: 10.1080/10454446.2012.726946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Khush GS, Lee S, Cho J Il, Jeon JS (2012) Biofortification of crops for reducing malnutrition. Plant Biotechnol Rep 6:195–202. doi: 10.1007/s11816-012-0216-5</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lastRenderedPageBreak/>
        <w:t>Moghissi  a A, Pei S, Liu Y (2015) Golden rice: scientific, regulatory and public information processes of a genetically modified organism. Crit Rev Biotechnol 0:1–7. doi: 10.3109/07388551.2014.993586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Najafi  B. H. MBH ;Le. (2014) Biotechnology and its impact on food security and safety. Curr Nutr Food Sci 10:94–99. doi: http://dx.doi.org/10.2174/1573401310666140306225243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Paine JA, Shipton CA, Chaggar S, et al (2005) Improving the nutritional value of Golden Rice through increased pro-vitamin A content. Nat Biotechnol 23:482–7. doi: 10.1038/nbt1082</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Potrykus I (2010) The private sector’s role in public sector genetically engineered crop projects. N Biotechnol 27:578–581. doi: 10.1016/j.nbt.2010.07.006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Sautter C, Poletti S, Zhang P, Gruissem W (2006) Biofortification of essential nutritional compounds and trace elements in rice and cassava. Proc Nutr Soc 65:153–159. doi: 10.1079/PNS2006488</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Schubert DR (2008) The problem with nutritionally enhanced plants. J Med Food 11:601–605. doi: 10.1089/jmf.2008.0094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Schwember AR (2008) An update on genetically modified crops. Cienc e Investig Agrar 35:231–250.</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Stein AJ, Sachdev HPS, Qaim M (2006) Potential impact and cost-effectiveness of Golden Rice. Nat Biotechnol 24:1200–1201. doi: 10.1038/nbt1006-1200b</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 xml:space="preserve">Tang G, Jian Q, Dolnikowski GG, et al (2009a) Golden rice is an effective source of </w:t>
      </w:r>
      <w:r w:rsidRPr="008441BA">
        <w:rPr>
          <w:rFonts w:cstheme="minorHAnsi"/>
          <w:sz w:val="24"/>
          <w:szCs w:val="24"/>
        </w:rPr>
        <w:lastRenderedPageBreak/>
        <w:t>vitamin A. Am J Clin Nutr 89:1776–1783. doi: 10.3945/ajcn.2008.27119</w:t>
      </w:r>
    </w:p>
    <w:p w:rsidR="008D58F3" w:rsidRPr="00457D8B" w:rsidRDefault="00C677B9">
      <w:pPr>
        <w:widowControl w:val="0"/>
        <w:suppressAutoHyphens/>
        <w:spacing w:line="480" w:lineRule="auto"/>
        <w:ind w:left="480" w:hanging="480"/>
        <w:rPr>
          <w:rFonts w:cstheme="minorHAnsi"/>
          <w:sz w:val="24"/>
          <w:szCs w:val="24"/>
          <w:lang w:val="de-DE"/>
        </w:rPr>
      </w:pPr>
      <w:r w:rsidRPr="008441BA">
        <w:rPr>
          <w:rFonts w:cstheme="minorHAnsi"/>
          <w:sz w:val="24"/>
          <w:szCs w:val="24"/>
        </w:rPr>
        <w:t xml:space="preserve">Tang G, Russell RM, Qin J, et al (2009b) Reply to MB Krawinkel. </w:t>
      </w:r>
      <w:r w:rsidRPr="00AD2C65">
        <w:rPr>
          <w:rFonts w:cstheme="minorHAnsi"/>
          <w:sz w:val="24"/>
          <w:szCs w:val="24"/>
          <w:lang w:val="de-DE"/>
        </w:rPr>
        <w:t>Am J Clin Nutr 90:696–697. doi: 10.3945/ajcn.2009.28268</w:t>
      </w:r>
    </w:p>
    <w:p w:rsidR="008D58F3" w:rsidRPr="006F2A9B" w:rsidRDefault="00C677B9">
      <w:pPr>
        <w:widowControl w:val="0"/>
        <w:suppressAutoHyphens/>
        <w:spacing w:line="480" w:lineRule="auto"/>
        <w:ind w:left="480" w:hanging="480"/>
        <w:rPr>
          <w:rFonts w:cstheme="minorHAnsi"/>
          <w:sz w:val="24"/>
          <w:szCs w:val="24"/>
        </w:rPr>
      </w:pPr>
      <w:r w:rsidRPr="00A85D07">
        <w:rPr>
          <w:rFonts w:cstheme="minorHAnsi"/>
          <w:sz w:val="24"/>
          <w:szCs w:val="24"/>
        </w:rPr>
        <w:t>Yonekura-Sakakibara K, Saito K (2006) Review: Genetically modified</w:t>
      </w:r>
      <w:r w:rsidRPr="008219D4">
        <w:rPr>
          <w:rFonts w:cstheme="minorHAnsi"/>
          <w:sz w:val="24"/>
          <w:szCs w:val="24"/>
        </w:rPr>
        <w:t xml:space="preserve"> plants for the promotion of human health. Biotechnol Lett 28:1983–1991. doi: 10.1007/s10529-006-9194-4</w:t>
      </w:r>
    </w:p>
    <w:p w:rsidR="008D58F3" w:rsidRPr="008441BA" w:rsidRDefault="00AE79AE">
      <w:pPr>
        <w:suppressAutoHyphens/>
        <w:spacing w:after="120" w:line="480" w:lineRule="auto"/>
        <w:jc w:val="both"/>
        <w:rPr>
          <w:rFonts w:eastAsia="Calibri" w:cstheme="minorHAnsi"/>
          <w:i/>
          <w:sz w:val="24"/>
          <w:szCs w:val="24"/>
        </w:rPr>
      </w:pPr>
      <w:r>
        <w:rPr>
          <w:rFonts w:eastAsia="Calibri" w:cstheme="minorHAnsi"/>
          <w:i/>
          <w:sz w:val="24"/>
          <w:szCs w:val="24"/>
        </w:rPr>
        <w:t>A</w:t>
      </w:r>
      <w:r w:rsidR="00C677B9" w:rsidRPr="008441BA">
        <w:rPr>
          <w:rFonts w:eastAsia="Calibri" w:cstheme="minorHAnsi"/>
          <w:i/>
          <w:sz w:val="24"/>
          <w:szCs w:val="24"/>
        </w:rPr>
        <w:t>dvocacy</w:t>
      </w:r>
      <w:r>
        <w:rPr>
          <w:rFonts w:eastAsia="Calibri" w:cstheme="minorHAnsi"/>
          <w:i/>
          <w:sz w:val="24"/>
          <w:szCs w:val="24"/>
        </w:rPr>
        <w:t xml:space="preserve"> </w:t>
      </w:r>
      <w:r w:rsidR="00C677B9" w:rsidRPr="008441BA">
        <w:rPr>
          <w:rFonts w:eastAsia="Calibri" w:cstheme="minorHAnsi"/>
          <w:i/>
          <w:sz w:val="24"/>
          <w:szCs w:val="24"/>
        </w:rPr>
        <w:t>(n=17)</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Al-Babili, S., Beyer, P., 2005. Golden Rice - Five years on the road - Five years to go? Trends Plant Sci. 10, 565–573. doi:10.1016/j.tplants.2005.10.006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Anderson, K., Jackson, L.A., 2005. Some implications of GM food technology policies for Sub-Saharan Africa. J. Afr. Econ. 14, 385–410. doi:10.1093/jae/eji013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Baggott, E., 2006. A Wealth Deferred. Harvard Int. Rev. 28, 28.</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Chassy, B.M., 2010. Food safety risks and consumer health. N. Biotechnol. 27, 534–544. doi:10.1016/j.nbt.2010.05.018</w:t>
      </w:r>
    </w:p>
    <w:p w:rsidR="008D58F3" w:rsidRPr="00457D8B" w:rsidRDefault="00C677B9">
      <w:pPr>
        <w:widowControl w:val="0"/>
        <w:suppressAutoHyphens/>
        <w:spacing w:line="480" w:lineRule="auto"/>
        <w:ind w:left="480" w:hanging="480"/>
        <w:rPr>
          <w:rFonts w:cstheme="minorHAnsi"/>
          <w:sz w:val="24"/>
          <w:szCs w:val="24"/>
          <w:lang w:val="de-DE"/>
        </w:rPr>
      </w:pPr>
      <w:r w:rsidRPr="008441BA">
        <w:rPr>
          <w:rFonts w:cstheme="minorHAnsi"/>
          <w:sz w:val="24"/>
          <w:szCs w:val="24"/>
        </w:rPr>
        <w:t xml:space="preserve">Dubock, A., 2014. The politics of Golden Rice. </w:t>
      </w:r>
      <w:r w:rsidRPr="00AD2C65">
        <w:rPr>
          <w:rFonts w:cstheme="minorHAnsi"/>
          <w:sz w:val="24"/>
          <w:szCs w:val="24"/>
          <w:lang w:val="de-DE"/>
        </w:rPr>
        <w:t>GM Crops Food 5, 210–22. doi:10.4161/21645698.2014.967570</w:t>
      </w:r>
    </w:p>
    <w:p w:rsidR="008D58F3" w:rsidRPr="006F2A9B" w:rsidRDefault="00C677B9">
      <w:pPr>
        <w:widowControl w:val="0"/>
        <w:suppressAutoHyphens/>
        <w:spacing w:line="480" w:lineRule="auto"/>
        <w:ind w:left="480" w:hanging="480"/>
        <w:rPr>
          <w:rFonts w:cstheme="minorHAnsi"/>
          <w:sz w:val="24"/>
          <w:szCs w:val="24"/>
        </w:rPr>
      </w:pPr>
      <w:r w:rsidRPr="0038649F">
        <w:rPr>
          <w:rFonts w:cstheme="minorHAnsi"/>
          <w:sz w:val="24"/>
          <w:szCs w:val="24"/>
          <w:lang w:val="en-US"/>
        </w:rPr>
        <w:t xml:space="preserve">Eisenstein, M., 2014. </w:t>
      </w:r>
      <w:r w:rsidRPr="00A85D07">
        <w:rPr>
          <w:rFonts w:cstheme="minorHAnsi"/>
          <w:sz w:val="24"/>
          <w:szCs w:val="24"/>
        </w:rPr>
        <w:t>Biotechnology: Aga</w:t>
      </w:r>
      <w:r w:rsidRPr="008219D4">
        <w:rPr>
          <w:rFonts w:cstheme="minorHAnsi"/>
          <w:sz w:val="24"/>
          <w:szCs w:val="24"/>
        </w:rPr>
        <w:t>inst the grain. Nature 514, S55–S57. doi:10.1038/514S55a</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Mayer, J.E., 2005. The Golden Rice Controversy: Useless Science or Unfounded Criticism? Bioscience 55, 726. doi:10.1641/0006-3568(2005)055[0726:TGRCUS]2.0.CO;2</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lastRenderedPageBreak/>
        <w:t>Mayer, J.E., Potrykus, I., 2011. Golden rice’ and biofortification - Their potential to save lives is being hampered by overzealous regulation. Acta Hortic. 941, 21–34.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Potrykus, I., 2013. Genetic Modification and the Public Good. Eur. Rev. 21, S68–S79. doi:10.1017/S 1062798713000203, Published online: 23 July 2013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Potrykus, I., 2010. Lessons from the “Humanitarian Golden Rice” project: Regulation prevents development of public good genetically engineered crop products. N. Biotechnol. 27, 466–472. doi:10.1016/j.nbt.2010.07.012</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Potrykus, I., 2008. Is GMO Over-regulation Costing Lives?, in: Health for All?: Analyses and Recommendations. pp. 59–74. doi:10.1002/9783527619511.ch14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Potrykus, I., 2001. The Golden Rice “Tale.” Vitr. Cell. Dev. Biol. - Plant 37, 93–100. doi:10.1079/IVP2000168</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Qaim, M., 2010. Benefits of genetically modified crops for the poor: Household income, nutrition, and health. N. Biotechnol. 27, 552–557. doi:10.1016/j.nbt.2010.07.009</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Sherman, J.H., Choudhuri, S., Vicini, J.L., 2015. Transgenic proteins in agricultural biotechnology: The toxicology forum 40th annual summer meeting. Regul. Toxicol. Pharmacol. 73, 811–818. doi:10.1016/j.yrtph.2015.10.014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Wesseler, J., Zilberman, D., 2014. The economic power of the Golden Rice opposition. Environ. Dev. Econ. 19, 724–742. doi:10.1017/S1355770X1300065X</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Zeigler, R.S., 2014. Biofortification: Vitamin A Deficiency and the Case for Golden Rice, in: Plant Biotechnology. Springer International Publishing, Cham, pp. 245–</w:t>
      </w:r>
      <w:r w:rsidRPr="008441BA">
        <w:rPr>
          <w:rFonts w:cstheme="minorHAnsi"/>
          <w:sz w:val="24"/>
          <w:szCs w:val="24"/>
        </w:rPr>
        <w:lastRenderedPageBreak/>
        <w:t>262. doi:10.1007/978-3-319-06892-3_19</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Zilberman, D., Kaplan, S., Wesseler, J., 2015. The loss from underutilizing GM technologies. AgBioForum 18, 312–319.</w:t>
      </w:r>
    </w:p>
    <w:p w:rsidR="008D58F3" w:rsidRPr="008441BA" w:rsidRDefault="00C677B9">
      <w:pPr>
        <w:suppressAutoHyphens/>
        <w:spacing w:after="120" w:line="480" w:lineRule="auto"/>
        <w:jc w:val="both"/>
        <w:rPr>
          <w:rFonts w:eastAsia="Calibri" w:cstheme="minorHAnsi"/>
          <w:b/>
          <w:sz w:val="24"/>
          <w:szCs w:val="24"/>
        </w:rPr>
      </w:pPr>
      <w:r w:rsidRPr="008441BA">
        <w:rPr>
          <w:rFonts w:eastAsia="Calibri" w:cstheme="minorHAnsi"/>
          <w:b/>
          <w:sz w:val="24"/>
          <w:szCs w:val="24"/>
        </w:rPr>
        <w:t>Socio-systemic branch (n=24)</w:t>
      </w:r>
    </w:p>
    <w:p w:rsidR="008D58F3" w:rsidRPr="008441BA" w:rsidRDefault="00C677B9">
      <w:pPr>
        <w:suppressAutoHyphens/>
        <w:spacing w:after="120" w:line="480" w:lineRule="auto"/>
        <w:jc w:val="both"/>
        <w:rPr>
          <w:rFonts w:eastAsia="Calibri" w:cstheme="minorHAnsi"/>
          <w:i/>
          <w:sz w:val="24"/>
          <w:szCs w:val="24"/>
        </w:rPr>
      </w:pPr>
      <w:r w:rsidRPr="008441BA">
        <w:rPr>
          <w:rFonts w:eastAsia="Calibri" w:cstheme="minorHAnsi"/>
          <w:i/>
          <w:sz w:val="24"/>
          <w:szCs w:val="24"/>
        </w:rPr>
        <w:t>Economic efficiency (n=10)</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Cabanilla, L.S., 2007. Socio-economic and political concerns for GM foods and biotechnology adoption in the Philippines. AgBioForum 10, 178–183.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Chong, M., 2003. Acceptance of golden rice in the Philippine “rice bowl”. Nat. Biotechnol. 21, 971–972. doi:10.1038/nbt0903-971</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Dawe, D., Robertson, R., Unnevehr, L., 2002. Golden rice: What role could it play in alleviation of vitamin A deficiency? Food Policy 27, 541–560. doi:10.1016/S0306-9192(02)00065-9</w:t>
      </w:r>
    </w:p>
    <w:p w:rsidR="008D58F3" w:rsidRPr="001F2776" w:rsidRDefault="00C677B9">
      <w:pPr>
        <w:widowControl w:val="0"/>
        <w:suppressAutoHyphens/>
        <w:spacing w:line="480" w:lineRule="auto"/>
        <w:ind w:left="480" w:hanging="480"/>
        <w:rPr>
          <w:rFonts w:cstheme="minorHAnsi"/>
          <w:sz w:val="24"/>
          <w:szCs w:val="24"/>
          <w:lang w:val="en-US"/>
        </w:rPr>
      </w:pPr>
      <w:r w:rsidRPr="008441BA">
        <w:rPr>
          <w:rFonts w:cstheme="minorHAnsi"/>
          <w:sz w:val="24"/>
          <w:szCs w:val="24"/>
        </w:rPr>
        <w:t xml:space="preserve">Dawe, D., Unnevehr, L., 2007. Crop case study: GMO golden rice in Asia with enhanced vitamin A benefits for consumers. </w:t>
      </w:r>
      <w:r w:rsidRPr="001F2776">
        <w:rPr>
          <w:rFonts w:cstheme="minorHAnsi"/>
          <w:sz w:val="24"/>
          <w:szCs w:val="24"/>
          <w:lang w:val="en-US"/>
        </w:rPr>
        <w:t>AgBioForum 10, 154–160.</w:t>
      </w:r>
    </w:p>
    <w:p w:rsidR="008D58F3" w:rsidRPr="006F2A9B" w:rsidRDefault="00C677B9">
      <w:pPr>
        <w:widowControl w:val="0"/>
        <w:suppressAutoHyphens/>
        <w:spacing w:line="480" w:lineRule="auto"/>
        <w:ind w:left="480" w:hanging="480"/>
        <w:rPr>
          <w:rFonts w:cstheme="minorHAnsi"/>
          <w:sz w:val="24"/>
          <w:szCs w:val="24"/>
        </w:rPr>
      </w:pPr>
      <w:r w:rsidRPr="00262164">
        <w:rPr>
          <w:rFonts w:cstheme="minorHAnsi"/>
          <w:sz w:val="24"/>
          <w:szCs w:val="24"/>
          <w:lang w:val="en-US"/>
        </w:rPr>
        <w:t xml:space="preserve">De Steur, H., Mogendi, J.B., Blancquaert, D., Lambert, W., Van Der Straeten, D., Gellynck, X., 2014. </w:t>
      </w:r>
      <w:r w:rsidRPr="00A85D07">
        <w:rPr>
          <w:rFonts w:cstheme="minorHAnsi"/>
          <w:sz w:val="24"/>
          <w:szCs w:val="24"/>
        </w:rPr>
        <w:t xml:space="preserve">Genetically Modified Rice with Health Benefits as a Means to Reduce Micronutrient Malnutrition. Global Status, Consumer Preferences, and Potential Health Impacts of Rice Biofortification., in: </w:t>
      </w:r>
      <w:r w:rsidRPr="008219D4">
        <w:rPr>
          <w:rFonts w:cstheme="minorHAnsi"/>
          <w:sz w:val="24"/>
          <w:szCs w:val="24"/>
        </w:rPr>
        <w:t>Wheat and Rice in Disease Prevention and Health. pp. 283–299. doi:10.1016/B978-0-12-401716-0.00021-0</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Hessler, K., 2011. Agricultural Biotechnology and Environmental Justice: Golden Rice as a Case Study. Environ. Ethics.</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lastRenderedPageBreak/>
        <w:t>Kowalski, S.P., 2015. Golden Rice, Open Innovation, and Sustainable Global Food Security. Ind. Biotechnol. 11, 84–90. doi:10.1089/ind.2015.1506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Qaim, M., 2011. Genetically Modified Crops and Global Food Security. Front. Econ. Glob. 10, 29–54. doi:10.1108/S1574-8715(2011)0000010007</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Stein, A.J., Sachdev, H.P.S., Qaim, M., 2008. Genetic Engineering for the Poor: Golden Rice and Public Health in India. World Dev. 36, 144–158. doi:10.1016/j.worlddev.2007.02.013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Zimmermann, R., Qaim, M., 2004. Potential health benefits of Golden Rice: A Philippine case study. Food Policy 29, 147–168. doi:10.1016/j.foodpol.2004.03.001</w:t>
      </w:r>
    </w:p>
    <w:p w:rsidR="008D58F3" w:rsidRPr="008441BA" w:rsidRDefault="00C677B9">
      <w:pPr>
        <w:suppressAutoHyphens/>
        <w:spacing w:after="120" w:line="480" w:lineRule="auto"/>
        <w:jc w:val="both"/>
        <w:rPr>
          <w:rFonts w:eastAsia="Calibri" w:cstheme="minorHAnsi"/>
          <w:i/>
          <w:sz w:val="24"/>
          <w:szCs w:val="24"/>
        </w:rPr>
      </w:pPr>
      <w:r w:rsidRPr="008441BA">
        <w:rPr>
          <w:rFonts w:eastAsia="Calibri" w:cstheme="minorHAnsi"/>
          <w:i/>
          <w:sz w:val="24"/>
          <w:szCs w:val="24"/>
        </w:rPr>
        <w:t>Equity and holism (n=14)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Brooks, S., 2011. Is international agricultural research a global public good? The case of rice biofortification. J. Peasant Stud. 38, 67–80. doi:10.1080/03066150.2010.538581</w:t>
      </w:r>
    </w:p>
    <w:p w:rsidR="008D58F3" w:rsidRPr="00262164" w:rsidRDefault="00C677B9">
      <w:pPr>
        <w:widowControl w:val="0"/>
        <w:suppressAutoHyphens/>
        <w:spacing w:line="480" w:lineRule="auto"/>
        <w:ind w:left="480" w:hanging="480"/>
        <w:rPr>
          <w:rFonts w:cstheme="minorHAnsi"/>
          <w:sz w:val="24"/>
          <w:szCs w:val="24"/>
          <w:lang w:val="sv-SE"/>
        </w:rPr>
      </w:pPr>
      <w:r w:rsidRPr="008441BA">
        <w:rPr>
          <w:rFonts w:cstheme="minorHAnsi"/>
          <w:sz w:val="24"/>
          <w:szCs w:val="24"/>
        </w:rPr>
        <w:t xml:space="preserve">Egana, N.E., 2003. Vitamin A Deficiency and Golden Rice-A Literature Review. </w:t>
      </w:r>
      <w:r w:rsidRPr="00262164">
        <w:rPr>
          <w:rFonts w:cstheme="minorHAnsi"/>
          <w:sz w:val="24"/>
          <w:szCs w:val="24"/>
          <w:lang w:val="sv-SE"/>
        </w:rPr>
        <w:t>J. Nutr. Environ. Med. 13, 169–184. doi:http://dx.doi.org/10.1080/13590840310001619414</w:t>
      </w:r>
    </w:p>
    <w:p w:rsidR="008D58F3" w:rsidRPr="008441BA" w:rsidRDefault="00C677B9">
      <w:pPr>
        <w:widowControl w:val="0"/>
        <w:suppressAutoHyphens/>
        <w:spacing w:line="480" w:lineRule="auto"/>
        <w:ind w:left="480" w:hanging="480"/>
        <w:rPr>
          <w:rFonts w:cstheme="minorHAnsi"/>
          <w:sz w:val="24"/>
          <w:szCs w:val="24"/>
        </w:rPr>
      </w:pPr>
      <w:r w:rsidRPr="00262164">
        <w:rPr>
          <w:rFonts w:cstheme="minorHAnsi"/>
          <w:sz w:val="24"/>
          <w:szCs w:val="24"/>
          <w:lang w:val="sv-SE"/>
        </w:rPr>
        <w:t xml:space="preserve">Fuchs, D., Glaab, K., 2011. </w:t>
      </w:r>
      <w:r w:rsidRPr="008441BA">
        <w:rPr>
          <w:rFonts w:cstheme="minorHAnsi"/>
          <w:sz w:val="24"/>
          <w:szCs w:val="24"/>
        </w:rPr>
        <w:t>Material power and normative conflict in global and local agrifood governance: The lessons of “Golden Rice” in India. Food Policy 36, 729–735. doi:10.1016/j.foodpol.2011.07.013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Johns, T., Eyzaguirre, P.B., 2007. Biofortification, biodiversity and diet: A search for complementary applications against poverty and malnutrition. Food Policy 32, 1–</w:t>
      </w:r>
      <w:r w:rsidRPr="008441BA">
        <w:rPr>
          <w:rFonts w:cstheme="minorHAnsi"/>
          <w:sz w:val="24"/>
          <w:szCs w:val="24"/>
        </w:rPr>
        <w:lastRenderedPageBreak/>
        <w:t>24. doi:10.1016/j.foodpol.2006.03.014</w:t>
      </w:r>
    </w:p>
    <w:p w:rsidR="008D58F3" w:rsidRPr="00457D8B" w:rsidRDefault="00C677B9">
      <w:pPr>
        <w:widowControl w:val="0"/>
        <w:suppressAutoHyphens/>
        <w:spacing w:line="480" w:lineRule="auto"/>
        <w:ind w:left="480" w:hanging="480"/>
        <w:rPr>
          <w:rFonts w:cstheme="minorHAnsi"/>
          <w:sz w:val="24"/>
          <w:szCs w:val="24"/>
          <w:lang w:val="de-DE"/>
        </w:rPr>
      </w:pPr>
      <w:r w:rsidRPr="008441BA">
        <w:rPr>
          <w:rFonts w:cstheme="minorHAnsi"/>
          <w:sz w:val="24"/>
          <w:szCs w:val="24"/>
        </w:rPr>
        <w:t xml:space="preserve">Krawinkel, M.B., 2009. b-Carotene from rice for human nutrition? </w:t>
      </w:r>
      <w:r w:rsidRPr="00AD2C65">
        <w:rPr>
          <w:rFonts w:cstheme="minorHAnsi"/>
          <w:sz w:val="24"/>
          <w:szCs w:val="24"/>
          <w:lang w:val="de-DE"/>
        </w:rPr>
        <w:t>Am. J. Clin. Nutr. 695–696. doi:10.3945/ajcn.2009.28175.b</w:t>
      </w:r>
    </w:p>
    <w:p w:rsidR="008D58F3" w:rsidRPr="006F2A9B" w:rsidRDefault="00C677B9">
      <w:pPr>
        <w:widowControl w:val="0"/>
        <w:suppressAutoHyphens/>
        <w:spacing w:line="480" w:lineRule="auto"/>
        <w:ind w:left="480" w:hanging="480"/>
        <w:rPr>
          <w:rFonts w:cstheme="minorHAnsi"/>
          <w:sz w:val="24"/>
          <w:szCs w:val="24"/>
        </w:rPr>
      </w:pPr>
      <w:r w:rsidRPr="0038649F">
        <w:rPr>
          <w:rFonts w:cstheme="minorHAnsi"/>
          <w:sz w:val="24"/>
          <w:szCs w:val="24"/>
          <w:lang w:val="en-US"/>
        </w:rPr>
        <w:t xml:space="preserve">Krawinkel, M.B., 2007. </w:t>
      </w:r>
      <w:r w:rsidRPr="00A85D07">
        <w:rPr>
          <w:rFonts w:cstheme="minorHAnsi"/>
          <w:sz w:val="24"/>
          <w:szCs w:val="24"/>
        </w:rPr>
        <w:t>What we know and don’t know abou</w:t>
      </w:r>
      <w:r w:rsidRPr="008219D4">
        <w:rPr>
          <w:rFonts w:cstheme="minorHAnsi"/>
          <w:sz w:val="24"/>
          <w:szCs w:val="24"/>
        </w:rPr>
        <w:t>t Golden Rice. Nat. Biotechnol. 25, 623; author reply 624. doi:10.1038/nbt0607-623</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Liu, Y. liang, 2006. Exploration of the Biopolitics of GMOs: Using Golden Rice as an Analytical Model. Agric. Sci. China 5, 885–894. doi:10.1016/S1671-2927(07)60001-7</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Lorch, A., 2001. Is this the way to solve malnutrition? Biotechnol. Dev. Monit.</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Monastra, G., Rossi, L., 2003. Transgenic Foods as a Tool for Malnutrition Elimination and Their Impact on Agricultural Systems. Riv. di Biol. - Biol. Forum 96, 363–384.</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Nestle, M., 2001. Genetically engineered “golden” rice unlikely to overcome vitamin A deficiency. J. Am. Diet. Assoc. doi:10.1016/S0002-8223(01)00073-6</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Scott, D., 2011. The Technological Fix Criticisms and the Agricultural Biotechnology Debate. J. Agric. Environ. Ethics 24, 207–226. doi:10.1007/s10806-010-9253-7</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Small, E., 2014. 46. Golden Rice – a food fight to enhance the unsustainable monarch of mega-crops. Biodiversity 15, 269–289. doi:10.1080/14888386.2014.963145</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Stone, G.D., Flachs, A., 2014. The problem with the farmer’s voice. Agric. Human Values 31, 649–653. doi:10.1007/s10460-014-9535-1</w:t>
      </w:r>
    </w:p>
    <w:p w:rsidR="008D58F3" w:rsidRPr="008441BA" w:rsidRDefault="00C677B9">
      <w:pPr>
        <w:widowControl w:val="0"/>
        <w:suppressAutoHyphens/>
        <w:spacing w:line="480" w:lineRule="auto"/>
        <w:ind w:left="480" w:hanging="480"/>
        <w:rPr>
          <w:rFonts w:cstheme="minorHAnsi"/>
          <w:sz w:val="24"/>
          <w:szCs w:val="24"/>
        </w:rPr>
      </w:pPr>
      <w:r w:rsidRPr="008441BA">
        <w:rPr>
          <w:rFonts w:cstheme="minorHAnsi"/>
          <w:sz w:val="24"/>
          <w:szCs w:val="24"/>
        </w:rPr>
        <w:t xml:space="preserve">Stone, G.D., Glover, D., 2016. Disembedding grain: Golden Rice, the Green </w:t>
      </w:r>
      <w:r w:rsidRPr="008441BA">
        <w:rPr>
          <w:rFonts w:cstheme="minorHAnsi"/>
          <w:sz w:val="24"/>
          <w:szCs w:val="24"/>
        </w:rPr>
        <w:lastRenderedPageBreak/>
        <w:t>Revolution, and heirloom seeds in the Philippines. Agric. Human Values. doi:10.1007/s10460-016-9696-1</w:t>
      </w:r>
    </w:p>
    <w:p w:rsidR="008D58F3" w:rsidRPr="008441BA" w:rsidRDefault="008D58F3">
      <w:pPr>
        <w:suppressAutoHyphens/>
        <w:spacing w:after="0" w:line="480" w:lineRule="auto"/>
        <w:jc w:val="both"/>
        <w:rPr>
          <w:rFonts w:cstheme="minorHAnsi"/>
          <w:sz w:val="24"/>
          <w:szCs w:val="24"/>
        </w:rPr>
      </w:pPr>
    </w:p>
    <w:p w:rsidR="008D58F3" w:rsidRPr="008441BA" w:rsidRDefault="008D58F3">
      <w:pPr>
        <w:suppressAutoHyphens/>
        <w:spacing w:after="0" w:line="480" w:lineRule="auto"/>
        <w:jc w:val="both"/>
        <w:rPr>
          <w:rFonts w:cstheme="minorHAnsi"/>
          <w:sz w:val="24"/>
          <w:szCs w:val="24"/>
        </w:rPr>
      </w:pPr>
    </w:p>
    <w:p w:rsidR="008D58F3" w:rsidRPr="008441BA" w:rsidRDefault="008D58F3">
      <w:pPr>
        <w:suppressAutoHyphens/>
        <w:spacing w:after="0" w:line="480" w:lineRule="auto"/>
        <w:jc w:val="both"/>
        <w:rPr>
          <w:rFonts w:cstheme="minorHAnsi"/>
          <w:sz w:val="24"/>
          <w:szCs w:val="24"/>
        </w:rPr>
      </w:pPr>
    </w:p>
    <w:sectPr w:rsidR="008D58F3" w:rsidRPr="008441BA" w:rsidSect="006C4C92">
      <w:footerReference w:type="default" r:id="rId9"/>
      <w:pgSz w:w="11906" w:h="16838"/>
      <w:pgMar w:top="1701" w:right="1701" w:bottom="1701" w:left="1701" w:header="0" w:footer="709" w:gutter="0"/>
      <w:pgNumType w:start="0"/>
      <w:cols w:space="720"/>
      <w:formProt w:val="0"/>
      <w:titlePg/>
      <w:docGrid w:linePitch="360" w:charSpace="-20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7D4F48" w15:done="0"/>
  <w15:commentEx w15:paraId="44576B14" w15:done="0"/>
  <w15:commentEx w15:paraId="7EB4A72F" w15:done="0"/>
  <w15:commentEx w15:paraId="33897420" w15:done="0"/>
  <w15:commentEx w15:paraId="41F60CE7" w15:done="0"/>
  <w15:commentEx w15:paraId="7A456DA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B3D" w:rsidRDefault="00685B3D">
      <w:pPr>
        <w:spacing w:after="0" w:line="240" w:lineRule="auto"/>
      </w:pPr>
      <w:r>
        <w:separator/>
      </w:r>
    </w:p>
  </w:endnote>
  <w:endnote w:type="continuationSeparator" w:id="0">
    <w:p w:rsidR="00685B3D" w:rsidRDefault="00685B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swiss"/>
    <w:pitch w:val="variable"/>
    <w:sig w:usb0="00000000" w:usb1="500078FF" w:usb2="00000021" w:usb3="00000000" w:csb0="000001BF" w:csb1="00000000"/>
  </w:font>
  <w:font w:name="Noto Sans CJK SC Regular">
    <w:panose1 w:val="00000000000000000000"/>
    <w:charset w:val="80"/>
    <w:family w:val="swiss"/>
    <w:notTrueType/>
    <w:pitch w:val="variable"/>
    <w:sig w:usb0="30000207" w:usb1="2BDF3C10" w:usb2="00000016" w:usb3="00000000" w:csb0="002E0107" w:csb1="00000000"/>
  </w:font>
  <w:font w:name="FreeSans">
    <w:altName w:val="Arial"/>
    <w:charset w:val="00"/>
    <w:family w:val="swiss"/>
    <w:pitch w:val="variable"/>
    <w:sig w:usb0="00000000" w:usb1="4200FDFF" w:usb2="000030A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22686"/>
      <w:docPartObj>
        <w:docPartGallery w:val="Page Numbers (Bottom of Page)"/>
        <w:docPartUnique/>
      </w:docPartObj>
    </w:sdtPr>
    <w:sdtEndPr>
      <w:rPr>
        <w:noProof/>
      </w:rPr>
    </w:sdtEndPr>
    <w:sdtContent>
      <w:p w:rsidR="004D58FE" w:rsidRDefault="00CA76ED">
        <w:pPr>
          <w:pStyle w:val="Footer"/>
          <w:jc w:val="center"/>
        </w:pPr>
        <w:r>
          <w:fldChar w:fldCharType="begin"/>
        </w:r>
        <w:r w:rsidR="004D58FE">
          <w:instrText xml:space="preserve"> PAGE   \* MERGEFORMAT </w:instrText>
        </w:r>
        <w:r>
          <w:fldChar w:fldCharType="separate"/>
        </w:r>
        <w:r w:rsidR="00AB5A0E">
          <w:rPr>
            <w:noProof/>
          </w:rPr>
          <w:t>21</w:t>
        </w:r>
        <w:r>
          <w:rPr>
            <w:noProof/>
          </w:rPr>
          <w:fldChar w:fldCharType="end"/>
        </w:r>
      </w:p>
    </w:sdtContent>
  </w:sdt>
  <w:p w:rsidR="004D58FE" w:rsidRDefault="004D58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B3D" w:rsidRDefault="00685B3D">
      <w:r>
        <w:separator/>
      </w:r>
    </w:p>
  </w:footnote>
  <w:footnote w:type="continuationSeparator" w:id="0">
    <w:p w:rsidR="00685B3D" w:rsidRDefault="00685B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B5801"/>
    <w:multiLevelType w:val="multilevel"/>
    <w:tmpl w:val="C7989AC0"/>
    <w:lvl w:ilvl="0">
      <w:start w:val="1"/>
      <w:numFmt w:val="bullet"/>
      <w:lvlText w:val="­"/>
      <w:lvlJc w:val="left"/>
      <w:pPr>
        <w:ind w:left="720" w:hanging="360"/>
      </w:pPr>
      <w:rPr>
        <w:rFonts w:ascii="Courier New" w:hAnsi="Courier New" w:cs="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2CB1DEC"/>
    <w:multiLevelType w:val="multilevel"/>
    <w:tmpl w:val="2CCE5B0A"/>
    <w:lvl w:ilvl="0">
      <w:start w:val="1"/>
      <w:numFmt w:val="bullet"/>
      <w:lvlText w:val="­"/>
      <w:lvlJc w:val="left"/>
      <w:pPr>
        <w:ind w:left="720" w:hanging="360"/>
      </w:pPr>
      <w:rPr>
        <w:rFonts w:ascii="Courier New" w:hAnsi="Courier New" w:cs="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BB94414"/>
    <w:multiLevelType w:val="multilevel"/>
    <w:tmpl w:val="FD507C14"/>
    <w:lvl w:ilvl="0">
      <w:start w:val="1"/>
      <w:numFmt w:val="bullet"/>
      <w:lvlText w:val="­"/>
      <w:lvlJc w:val="left"/>
      <w:pPr>
        <w:ind w:left="1440" w:hanging="360"/>
      </w:pPr>
      <w:rPr>
        <w:rFonts w:ascii="Courier New" w:hAnsi="Courier New" w:cs="Courier New"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26B11827"/>
    <w:multiLevelType w:val="multilevel"/>
    <w:tmpl w:val="A1F491D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78B6862"/>
    <w:multiLevelType w:val="multilevel"/>
    <w:tmpl w:val="6674C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1"/>
  </w:num>
  <w:num w:numId="3">
    <w:abstractNumId w:val="0"/>
  </w:num>
  <w:num w:numId="4">
    <w:abstractNumId w:val="2"/>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e Abson">
    <w15:presenceInfo w15:providerId="Windows Live" w15:userId="2c31297451b8040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trackRevisions/>
  <w:defaultTabStop w:val="708"/>
  <w:autoHyphenation/>
  <w:hyphenationZone w:val="425"/>
  <w:characterSpacingControl w:val="doNotCompress"/>
  <w:footnotePr>
    <w:footnote w:id="-1"/>
    <w:footnote w:id="0"/>
  </w:footnotePr>
  <w:endnotePr>
    <w:endnote w:id="-1"/>
    <w:endnote w:id="0"/>
  </w:endnotePr>
  <w:compat/>
  <w:rsids>
    <w:rsidRoot w:val="008D58F3"/>
    <w:rsid w:val="00000A15"/>
    <w:rsid w:val="000049A4"/>
    <w:rsid w:val="00007F23"/>
    <w:rsid w:val="000273EF"/>
    <w:rsid w:val="00055821"/>
    <w:rsid w:val="000F29A9"/>
    <w:rsid w:val="000F4443"/>
    <w:rsid w:val="0010570A"/>
    <w:rsid w:val="00107231"/>
    <w:rsid w:val="00131446"/>
    <w:rsid w:val="00131571"/>
    <w:rsid w:val="00142945"/>
    <w:rsid w:val="001A2FCD"/>
    <w:rsid w:val="001C3FF8"/>
    <w:rsid w:val="001D1FB3"/>
    <w:rsid w:val="001D2DF8"/>
    <w:rsid w:val="001D5223"/>
    <w:rsid w:val="001F2776"/>
    <w:rsid w:val="002000C0"/>
    <w:rsid w:val="00207A70"/>
    <w:rsid w:val="002228A6"/>
    <w:rsid w:val="00227444"/>
    <w:rsid w:val="00231B87"/>
    <w:rsid w:val="0023300F"/>
    <w:rsid w:val="00262164"/>
    <w:rsid w:val="00272D0F"/>
    <w:rsid w:val="00284EBB"/>
    <w:rsid w:val="002C70CC"/>
    <w:rsid w:val="002E6F0F"/>
    <w:rsid w:val="00322090"/>
    <w:rsid w:val="0032769E"/>
    <w:rsid w:val="00332E6E"/>
    <w:rsid w:val="0033365D"/>
    <w:rsid w:val="0038065F"/>
    <w:rsid w:val="0038649F"/>
    <w:rsid w:val="003B0161"/>
    <w:rsid w:val="003B4F5B"/>
    <w:rsid w:val="003C107B"/>
    <w:rsid w:val="003D635A"/>
    <w:rsid w:val="004253B0"/>
    <w:rsid w:val="004416AC"/>
    <w:rsid w:val="00457D8B"/>
    <w:rsid w:val="00461C8A"/>
    <w:rsid w:val="00467C1A"/>
    <w:rsid w:val="004A2B88"/>
    <w:rsid w:val="004B2D1E"/>
    <w:rsid w:val="004B4877"/>
    <w:rsid w:val="004D58FE"/>
    <w:rsid w:val="004E280C"/>
    <w:rsid w:val="004E45BA"/>
    <w:rsid w:val="0051262C"/>
    <w:rsid w:val="00520ADB"/>
    <w:rsid w:val="00523E37"/>
    <w:rsid w:val="0052571C"/>
    <w:rsid w:val="00612DB4"/>
    <w:rsid w:val="00617100"/>
    <w:rsid w:val="00677140"/>
    <w:rsid w:val="00685B3D"/>
    <w:rsid w:val="006B29C0"/>
    <w:rsid w:val="006C4C92"/>
    <w:rsid w:val="006F2A9B"/>
    <w:rsid w:val="006F2DAD"/>
    <w:rsid w:val="006F54BD"/>
    <w:rsid w:val="007031C3"/>
    <w:rsid w:val="007034E3"/>
    <w:rsid w:val="0070746C"/>
    <w:rsid w:val="007172BB"/>
    <w:rsid w:val="0076589E"/>
    <w:rsid w:val="007A3DA5"/>
    <w:rsid w:val="007B5984"/>
    <w:rsid w:val="007B7EEB"/>
    <w:rsid w:val="007D2E05"/>
    <w:rsid w:val="007F26B0"/>
    <w:rsid w:val="0080047F"/>
    <w:rsid w:val="008219D4"/>
    <w:rsid w:val="00827286"/>
    <w:rsid w:val="00843E2B"/>
    <w:rsid w:val="008441BA"/>
    <w:rsid w:val="00865727"/>
    <w:rsid w:val="00886237"/>
    <w:rsid w:val="008A086A"/>
    <w:rsid w:val="008D58F3"/>
    <w:rsid w:val="009154D5"/>
    <w:rsid w:val="009234FC"/>
    <w:rsid w:val="00950C35"/>
    <w:rsid w:val="00970915"/>
    <w:rsid w:val="00982DFD"/>
    <w:rsid w:val="00990007"/>
    <w:rsid w:val="00992F1F"/>
    <w:rsid w:val="009962C0"/>
    <w:rsid w:val="009B3783"/>
    <w:rsid w:val="009D7694"/>
    <w:rsid w:val="00A03FB3"/>
    <w:rsid w:val="00A15BD2"/>
    <w:rsid w:val="00A624A3"/>
    <w:rsid w:val="00A85D07"/>
    <w:rsid w:val="00A9054E"/>
    <w:rsid w:val="00AB5A0E"/>
    <w:rsid w:val="00AD2C65"/>
    <w:rsid w:val="00AD422B"/>
    <w:rsid w:val="00AE21F1"/>
    <w:rsid w:val="00AE79AE"/>
    <w:rsid w:val="00AF4394"/>
    <w:rsid w:val="00B24607"/>
    <w:rsid w:val="00B328C3"/>
    <w:rsid w:val="00B70E47"/>
    <w:rsid w:val="00B74E66"/>
    <w:rsid w:val="00BA624C"/>
    <w:rsid w:val="00BC32E5"/>
    <w:rsid w:val="00BD5955"/>
    <w:rsid w:val="00BF2B5B"/>
    <w:rsid w:val="00BF7151"/>
    <w:rsid w:val="00C026F2"/>
    <w:rsid w:val="00C03011"/>
    <w:rsid w:val="00C229E7"/>
    <w:rsid w:val="00C2773E"/>
    <w:rsid w:val="00C31AD2"/>
    <w:rsid w:val="00C677B9"/>
    <w:rsid w:val="00C8635E"/>
    <w:rsid w:val="00CA6F6E"/>
    <w:rsid w:val="00CA76ED"/>
    <w:rsid w:val="00CB4841"/>
    <w:rsid w:val="00CB6268"/>
    <w:rsid w:val="00CC0917"/>
    <w:rsid w:val="00CD17A4"/>
    <w:rsid w:val="00D01781"/>
    <w:rsid w:val="00D07DC8"/>
    <w:rsid w:val="00D10A9B"/>
    <w:rsid w:val="00D228D7"/>
    <w:rsid w:val="00D30BFE"/>
    <w:rsid w:val="00D336C1"/>
    <w:rsid w:val="00D74679"/>
    <w:rsid w:val="00DB2088"/>
    <w:rsid w:val="00E02C40"/>
    <w:rsid w:val="00E1393D"/>
    <w:rsid w:val="00E15BCD"/>
    <w:rsid w:val="00E16493"/>
    <w:rsid w:val="00E22588"/>
    <w:rsid w:val="00E2415E"/>
    <w:rsid w:val="00E47A60"/>
    <w:rsid w:val="00E74729"/>
    <w:rsid w:val="00EA14EF"/>
    <w:rsid w:val="00EB0826"/>
    <w:rsid w:val="00EE596F"/>
    <w:rsid w:val="00F3411E"/>
    <w:rsid w:val="00F34D15"/>
    <w:rsid w:val="00F3617D"/>
    <w:rsid w:val="00FA5ED1"/>
    <w:rsid w:val="00FB7990"/>
    <w:rsid w:val="00FC0C4F"/>
    <w:rsid w:val="00FC3561"/>
    <w:rsid w:val="00FD501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AB"/>
    <w:pPr>
      <w:spacing w:after="200" w:line="360" w:lineRule="auto"/>
    </w:pPr>
    <w:rPr>
      <w:lang w:val="en-GB"/>
    </w:rPr>
  </w:style>
  <w:style w:type="paragraph" w:styleId="Heading1">
    <w:name w:val="heading 1"/>
    <w:basedOn w:val="Normal"/>
    <w:uiPriority w:val="9"/>
    <w:qFormat/>
    <w:rsid w:val="00EE4F4F"/>
    <w:pPr>
      <w:keepNext/>
      <w:keepLines/>
      <w:spacing w:before="120" w:after="120"/>
      <w:outlineLvl w:val="0"/>
    </w:pPr>
    <w:rPr>
      <w:rFonts w:asciiTheme="majorHAnsi" w:eastAsiaTheme="majorEastAsia" w:hAnsiTheme="majorHAnsi" w:cstheme="majorBidi"/>
      <w:b/>
      <w:bCs/>
      <w:sz w:val="24"/>
      <w:szCs w:val="28"/>
    </w:rPr>
  </w:style>
  <w:style w:type="paragraph" w:styleId="Heading2">
    <w:name w:val="heading 2"/>
    <w:basedOn w:val="Normal"/>
    <w:uiPriority w:val="9"/>
    <w:unhideWhenUsed/>
    <w:qFormat/>
    <w:rsid w:val="00EE4F4F"/>
    <w:pPr>
      <w:keepNext/>
      <w:keepLines/>
      <w:spacing w:before="120" w:after="120"/>
      <w:outlineLvl w:val="1"/>
    </w:pPr>
    <w:rPr>
      <w:rFonts w:asciiTheme="majorHAnsi" w:eastAsiaTheme="majorEastAsia" w:hAnsiTheme="majorHAnsi" w:cstheme="majorBidi"/>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606BA"/>
    <w:rPr>
      <w:sz w:val="20"/>
      <w:szCs w:val="20"/>
    </w:rPr>
  </w:style>
  <w:style w:type="character" w:customStyle="1" w:styleId="CommentTextChar">
    <w:name w:val="Comment Text Char"/>
    <w:basedOn w:val="DefaultParagraphFont"/>
    <w:link w:val="CommentText"/>
    <w:uiPriority w:val="99"/>
    <w:semiHidden/>
    <w:qFormat/>
    <w:rsid w:val="004606BA"/>
    <w:rPr>
      <w:sz w:val="20"/>
      <w:szCs w:val="20"/>
    </w:rPr>
  </w:style>
  <w:style w:type="character" w:styleId="FootnoteReference">
    <w:name w:val="footnote reference"/>
    <w:uiPriority w:val="99"/>
    <w:semiHidden/>
    <w:unhideWhenUsed/>
    <w:qFormat/>
    <w:rsid w:val="004606BA"/>
    <w:rPr>
      <w:vertAlign w:val="superscript"/>
    </w:rPr>
  </w:style>
  <w:style w:type="character" w:styleId="CommentReference">
    <w:name w:val="annotation reference"/>
    <w:basedOn w:val="DefaultParagraphFont"/>
    <w:uiPriority w:val="99"/>
    <w:semiHidden/>
    <w:unhideWhenUsed/>
    <w:qFormat/>
    <w:rsid w:val="004606BA"/>
    <w:rPr>
      <w:sz w:val="18"/>
      <w:szCs w:val="18"/>
    </w:rPr>
  </w:style>
  <w:style w:type="character" w:customStyle="1" w:styleId="BalloonTextChar">
    <w:name w:val="Balloon Text Char"/>
    <w:basedOn w:val="DefaultParagraphFont"/>
    <w:link w:val="BalloonText"/>
    <w:uiPriority w:val="99"/>
    <w:semiHidden/>
    <w:qFormat/>
    <w:rsid w:val="004606BA"/>
    <w:rPr>
      <w:rFonts w:ascii="Tahoma" w:hAnsi="Tahoma" w:cs="Tahoma"/>
      <w:sz w:val="16"/>
      <w:szCs w:val="16"/>
    </w:rPr>
  </w:style>
  <w:style w:type="character" w:customStyle="1" w:styleId="HeaderChar">
    <w:name w:val="Header Char"/>
    <w:basedOn w:val="DefaultParagraphFont"/>
    <w:link w:val="Header"/>
    <w:uiPriority w:val="99"/>
    <w:qFormat/>
    <w:rsid w:val="00351CDA"/>
  </w:style>
  <w:style w:type="character" w:customStyle="1" w:styleId="FooterChar">
    <w:name w:val="Footer Char"/>
    <w:basedOn w:val="DefaultParagraphFont"/>
    <w:link w:val="Footer"/>
    <w:uiPriority w:val="99"/>
    <w:qFormat/>
    <w:rsid w:val="00351CDA"/>
  </w:style>
  <w:style w:type="character" w:customStyle="1" w:styleId="berschrift1Zchn">
    <w:name w:val="Überschrift 1 Zchn"/>
    <w:basedOn w:val="DefaultParagraphFont"/>
    <w:uiPriority w:val="9"/>
    <w:qFormat/>
    <w:rsid w:val="00EE4F4F"/>
    <w:rPr>
      <w:rFonts w:asciiTheme="majorHAnsi" w:eastAsiaTheme="majorEastAsia" w:hAnsiTheme="majorHAnsi" w:cstheme="majorBidi"/>
      <w:b/>
      <w:bCs/>
      <w:sz w:val="24"/>
      <w:szCs w:val="28"/>
    </w:rPr>
  </w:style>
  <w:style w:type="character" w:customStyle="1" w:styleId="berschrift2Zchn">
    <w:name w:val="Überschrift 2 Zchn"/>
    <w:basedOn w:val="DefaultParagraphFont"/>
    <w:uiPriority w:val="9"/>
    <w:qFormat/>
    <w:rsid w:val="00EE4F4F"/>
    <w:rPr>
      <w:rFonts w:asciiTheme="majorHAnsi" w:eastAsiaTheme="majorEastAsia" w:hAnsiTheme="majorHAnsi" w:cstheme="majorBidi"/>
      <w:bCs/>
      <w:i/>
      <w:szCs w:val="26"/>
    </w:rPr>
  </w:style>
  <w:style w:type="character" w:customStyle="1" w:styleId="CommentSubjectChar">
    <w:name w:val="Comment Subject Char"/>
    <w:basedOn w:val="CommentTextChar"/>
    <w:link w:val="CommentSubject"/>
    <w:uiPriority w:val="99"/>
    <w:semiHidden/>
    <w:qFormat/>
    <w:rsid w:val="009A636C"/>
    <w:rPr>
      <w:b/>
      <w:bCs/>
      <w:sz w:val="20"/>
      <w:szCs w:val="20"/>
    </w:rPr>
  </w:style>
  <w:style w:type="character" w:customStyle="1" w:styleId="NoSpacingChar">
    <w:name w:val="No Spacing Char"/>
    <w:basedOn w:val="DefaultParagraphFont"/>
    <w:link w:val="NoSpacing"/>
    <w:uiPriority w:val="1"/>
    <w:qFormat/>
    <w:rsid w:val="004E0B4D"/>
    <w:rPr>
      <w:rFonts w:ascii="Times New Roman" w:eastAsia="Calibri" w:hAnsi="Times New Roman" w:cs="Times New Roman"/>
      <w:lang w:val="en-AU"/>
    </w:rPr>
  </w:style>
  <w:style w:type="character" w:customStyle="1" w:styleId="InternetLink">
    <w:name w:val="Internet Link"/>
    <w:basedOn w:val="DefaultParagraphFont"/>
    <w:uiPriority w:val="99"/>
    <w:unhideWhenUsed/>
    <w:rsid w:val="00580594"/>
    <w:rPr>
      <w:color w:val="5F5F5F" w:themeColor="hyperlink"/>
      <w:u w:val="single"/>
    </w:rPr>
  </w:style>
  <w:style w:type="character" w:customStyle="1" w:styleId="EndNoteBibliographyTitleChar">
    <w:name w:val="EndNote Bibliography Title Char"/>
    <w:basedOn w:val="DefaultParagraphFont"/>
    <w:link w:val="EndNoteBibliographyTitle"/>
    <w:qFormat/>
    <w:rsid w:val="00465F62"/>
    <w:rPr>
      <w:rFonts w:ascii="Times New Roman" w:hAnsi="Times New Roman" w:cs="Times New Roman"/>
      <w:lang w:val="en-US"/>
    </w:rPr>
  </w:style>
  <w:style w:type="character" w:customStyle="1" w:styleId="EndNoteBibliographyChar">
    <w:name w:val="EndNote Bibliography Char"/>
    <w:basedOn w:val="DefaultParagraphFont"/>
    <w:link w:val="EndNoteBibliography"/>
    <w:qFormat/>
    <w:rsid w:val="00465F62"/>
    <w:rPr>
      <w:rFonts w:ascii="Times New Roman" w:hAnsi="Times New Roman" w:cs="Times New Roman"/>
      <w:lang w:val="en-US"/>
    </w:rPr>
  </w:style>
  <w:style w:type="character" w:customStyle="1" w:styleId="ListLabel1">
    <w:name w:val="ListLabel 1"/>
    <w:qFormat/>
    <w:rsid w:val="00CA76ED"/>
    <w:rPr>
      <w:rFonts w:cs="Courier New"/>
    </w:rPr>
  </w:style>
  <w:style w:type="character" w:customStyle="1" w:styleId="ListLabel2">
    <w:name w:val="ListLabel 2"/>
    <w:qFormat/>
    <w:rsid w:val="00CA76ED"/>
    <w:rPr>
      <w:rFonts w:cs="Courier New"/>
    </w:rPr>
  </w:style>
  <w:style w:type="character" w:customStyle="1" w:styleId="ListLabel3">
    <w:name w:val="ListLabel 3"/>
    <w:qFormat/>
    <w:rsid w:val="00CA76ED"/>
    <w:rPr>
      <w:rFonts w:cs="Courier New"/>
    </w:rPr>
  </w:style>
  <w:style w:type="character" w:customStyle="1" w:styleId="ListLabel4">
    <w:name w:val="ListLabel 4"/>
    <w:qFormat/>
    <w:rsid w:val="00CA76ED"/>
    <w:rPr>
      <w:rFonts w:cs="Courier New"/>
    </w:rPr>
  </w:style>
  <w:style w:type="character" w:customStyle="1" w:styleId="ListLabel5">
    <w:name w:val="ListLabel 5"/>
    <w:qFormat/>
    <w:rsid w:val="00CA76ED"/>
    <w:rPr>
      <w:rFonts w:cs="Courier New"/>
    </w:rPr>
  </w:style>
  <w:style w:type="character" w:customStyle="1" w:styleId="ListLabel6">
    <w:name w:val="ListLabel 6"/>
    <w:qFormat/>
    <w:rsid w:val="00CA76ED"/>
    <w:rPr>
      <w:rFonts w:cs="Courier New"/>
    </w:rPr>
  </w:style>
  <w:style w:type="character" w:customStyle="1" w:styleId="ListLabel7">
    <w:name w:val="ListLabel 7"/>
    <w:qFormat/>
    <w:rsid w:val="00CA76ED"/>
    <w:rPr>
      <w:rFonts w:cs="Courier New"/>
    </w:rPr>
  </w:style>
  <w:style w:type="character" w:customStyle="1" w:styleId="ListLabel8">
    <w:name w:val="ListLabel 8"/>
    <w:qFormat/>
    <w:rsid w:val="00CA76ED"/>
    <w:rPr>
      <w:rFonts w:cs="Courier New"/>
    </w:rPr>
  </w:style>
  <w:style w:type="character" w:customStyle="1" w:styleId="ListLabel9">
    <w:name w:val="ListLabel 9"/>
    <w:qFormat/>
    <w:rsid w:val="00CA76ED"/>
    <w:rPr>
      <w:rFonts w:cs="Courier New"/>
    </w:rPr>
  </w:style>
  <w:style w:type="character" w:customStyle="1" w:styleId="ListLabel10">
    <w:name w:val="ListLabel 10"/>
    <w:qFormat/>
    <w:rsid w:val="00CA76ED"/>
    <w:rPr>
      <w:rFonts w:cs="Courier New"/>
    </w:rPr>
  </w:style>
  <w:style w:type="character" w:customStyle="1" w:styleId="ListLabel11">
    <w:name w:val="ListLabel 11"/>
    <w:qFormat/>
    <w:rsid w:val="00CA76ED"/>
    <w:rPr>
      <w:rFonts w:cs="Courier New"/>
    </w:rPr>
  </w:style>
  <w:style w:type="character" w:customStyle="1" w:styleId="ListLabel12">
    <w:name w:val="ListLabel 12"/>
    <w:qFormat/>
    <w:rsid w:val="00CA76ED"/>
    <w:rPr>
      <w:rFonts w:cs="Courier New"/>
    </w:rPr>
  </w:style>
  <w:style w:type="character" w:customStyle="1" w:styleId="ListLabel13">
    <w:name w:val="ListLabel 13"/>
    <w:qFormat/>
    <w:rsid w:val="00CA76ED"/>
    <w:rPr>
      <w:rFonts w:eastAsia="Calibri" w:cs="Times New Roman"/>
    </w:rPr>
  </w:style>
  <w:style w:type="character" w:customStyle="1" w:styleId="ListLabel14">
    <w:name w:val="ListLabel 14"/>
    <w:qFormat/>
    <w:rsid w:val="00CA76ED"/>
    <w:rPr>
      <w:rFonts w:cs="Courier New"/>
    </w:rPr>
  </w:style>
  <w:style w:type="character" w:customStyle="1" w:styleId="ListLabel15">
    <w:name w:val="ListLabel 15"/>
    <w:qFormat/>
    <w:rsid w:val="00CA76ED"/>
    <w:rPr>
      <w:rFonts w:cs="Courier New"/>
    </w:rPr>
  </w:style>
  <w:style w:type="character" w:customStyle="1" w:styleId="ListLabel16">
    <w:name w:val="ListLabel 16"/>
    <w:qFormat/>
    <w:rsid w:val="00CA76ED"/>
    <w:rPr>
      <w:rFonts w:cs="Courier New"/>
    </w:rPr>
  </w:style>
  <w:style w:type="character" w:customStyle="1" w:styleId="ListLabel17">
    <w:name w:val="ListLabel 17"/>
    <w:qFormat/>
    <w:rsid w:val="00CA76ED"/>
    <w:rPr>
      <w:rFonts w:eastAsia="Times New Roman" w:cs="Times New Roman"/>
    </w:rPr>
  </w:style>
  <w:style w:type="character" w:customStyle="1" w:styleId="ListLabel18">
    <w:name w:val="ListLabel 18"/>
    <w:qFormat/>
    <w:rsid w:val="00CA76ED"/>
    <w:rPr>
      <w:rFonts w:cs="Courier New"/>
    </w:rPr>
  </w:style>
  <w:style w:type="character" w:customStyle="1" w:styleId="ListLabel19">
    <w:name w:val="ListLabel 19"/>
    <w:qFormat/>
    <w:rsid w:val="00CA76ED"/>
    <w:rPr>
      <w:rFonts w:cs="Courier New"/>
    </w:rPr>
  </w:style>
  <w:style w:type="character" w:customStyle="1" w:styleId="ListLabel20">
    <w:name w:val="ListLabel 20"/>
    <w:qFormat/>
    <w:rsid w:val="00CA76ED"/>
    <w:rPr>
      <w:rFonts w:cs="Courier New"/>
    </w:rPr>
  </w:style>
  <w:style w:type="character" w:customStyle="1" w:styleId="ListLabel21">
    <w:name w:val="ListLabel 21"/>
    <w:qFormat/>
    <w:rsid w:val="00CA76ED"/>
    <w:rPr>
      <w:rFonts w:eastAsia="Times New Roman" w:cs="Times New Roman"/>
    </w:rPr>
  </w:style>
  <w:style w:type="character" w:customStyle="1" w:styleId="ListLabel22">
    <w:name w:val="ListLabel 22"/>
    <w:qFormat/>
    <w:rsid w:val="00CA76ED"/>
    <w:rPr>
      <w:rFonts w:cs="Courier New"/>
    </w:rPr>
  </w:style>
  <w:style w:type="character" w:customStyle="1" w:styleId="ListLabel23">
    <w:name w:val="ListLabel 23"/>
    <w:qFormat/>
    <w:rsid w:val="00CA76ED"/>
    <w:rPr>
      <w:rFonts w:cs="Courier New"/>
    </w:rPr>
  </w:style>
  <w:style w:type="character" w:customStyle="1" w:styleId="ListLabel24">
    <w:name w:val="ListLabel 24"/>
    <w:qFormat/>
    <w:rsid w:val="00CA76ED"/>
    <w:rPr>
      <w:rFonts w:cs="Courier New"/>
    </w:rPr>
  </w:style>
  <w:style w:type="character" w:customStyle="1" w:styleId="FootnoteCharacters">
    <w:name w:val="Footnote Characters"/>
    <w:qFormat/>
    <w:rsid w:val="00CA76ED"/>
  </w:style>
  <w:style w:type="character" w:customStyle="1" w:styleId="FootnoteAnchor">
    <w:name w:val="Footnote Anchor"/>
    <w:rsid w:val="00CA76ED"/>
    <w:rPr>
      <w:vertAlign w:val="superscript"/>
    </w:rPr>
  </w:style>
  <w:style w:type="character" w:customStyle="1" w:styleId="EndnoteAnchor">
    <w:name w:val="Endnote Anchor"/>
    <w:rsid w:val="00CA76ED"/>
    <w:rPr>
      <w:vertAlign w:val="superscript"/>
    </w:rPr>
  </w:style>
  <w:style w:type="character" w:customStyle="1" w:styleId="EndnoteCharacters">
    <w:name w:val="Endnote Characters"/>
    <w:qFormat/>
    <w:rsid w:val="00CA76ED"/>
  </w:style>
  <w:style w:type="paragraph" w:customStyle="1" w:styleId="Heading">
    <w:name w:val="Heading"/>
    <w:basedOn w:val="Normal"/>
    <w:next w:val="BodyText"/>
    <w:qFormat/>
    <w:rsid w:val="00CA76ED"/>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CA76ED"/>
    <w:pPr>
      <w:spacing w:after="140" w:line="288" w:lineRule="auto"/>
    </w:pPr>
  </w:style>
  <w:style w:type="paragraph" w:styleId="List">
    <w:name w:val="List"/>
    <w:basedOn w:val="BodyText"/>
    <w:rsid w:val="00CA76ED"/>
    <w:rPr>
      <w:rFonts w:ascii="Calibri" w:hAnsi="Calibri" w:cs="FreeSans"/>
    </w:rPr>
  </w:style>
  <w:style w:type="paragraph" w:styleId="Caption">
    <w:name w:val="caption"/>
    <w:basedOn w:val="Normal"/>
    <w:uiPriority w:val="35"/>
    <w:unhideWhenUsed/>
    <w:qFormat/>
    <w:rsid w:val="00597B0A"/>
    <w:pPr>
      <w:spacing w:line="240" w:lineRule="auto"/>
    </w:pPr>
    <w:rPr>
      <w:b/>
      <w:bCs/>
      <w:color w:val="DDDDDD" w:themeColor="accent1"/>
      <w:sz w:val="18"/>
      <w:szCs w:val="18"/>
    </w:rPr>
  </w:style>
  <w:style w:type="paragraph" w:customStyle="1" w:styleId="Index">
    <w:name w:val="Index"/>
    <w:basedOn w:val="Normal"/>
    <w:qFormat/>
    <w:rsid w:val="00CA76ED"/>
    <w:pPr>
      <w:suppressLineNumbers/>
    </w:pPr>
    <w:rPr>
      <w:rFonts w:ascii="Calibri" w:hAnsi="Calibri" w:cs="FreeSans"/>
    </w:rPr>
  </w:style>
  <w:style w:type="paragraph" w:styleId="FootnoteText">
    <w:name w:val="footnote text"/>
    <w:basedOn w:val="Normal"/>
    <w:link w:val="FootnoteTextChar"/>
    <w:rsid w:val="00CA76ED"/>
  </w:style>
  <w:style w:type="paragraph" w:styleId="CommentText">
    <w:name w:val="annotation text"/>
    <w:basedOn w:val="Normal"/>
    <w:link w:val="CommentTextChar"/>
    <w:uiPriority w:val="99"/>
    <w:semiHidden/>
    <w:unhideWhenUsed/>
    <w:qFormat/>
    <w:rsid w:val="004606BA"/>
    <w:pPr>
      <w:spacing w:line="240" w:lineRule="auto"/>
    </w:pPr>
    <w:rPr>
      <w:sz w:val="20"/>
      <w:szCs w:val="20"/>
    </w:rPr>
  </w:style>
  <w:style w:type="paragraph" w:styleId="BalloonText">
    <w:name w:val="Balloon Text"/>
    <w:basedOn w:val="Normal"/>
    <w:link w:val="BalloonTextChar"/>
    <w:uiPriority w:val="99"/>
    <w:semiHidden/>
    <w:unhideWhenUsed/>
    <w:qFormat/>
    <w:rsid w:val="004606BA"/>
    <w:pPr>
      <w:spacing w:after="0" w:line="240" w:lineRule="auto"/>
    </w:pPr>
    <w:rPr>
      <w:rFonts w:ascii="Tahoma" w:hAnsi="Tahoma" w:cs="Tahoma"/>
      <w:sz w:val="16"/>
      <w:szCs w:val="16"/>
    </w:rPr>
  </w:style>
  <w:style w:type="paragraph" w:styleId="ListParagraph">
    <w:name w:val="List Paragraph"/>
    <w:basedOn w:val="Normal"/>
    <w:uiPriority w:val="34"/>
    <w:qFormat/>
    <w:rsid w:val="004606BA"/>
    <w:pPr>
      <w:ind w:left="720"/>
      <w:contextualSpacing/>
    </w:pPr>
  </w:style>
  <w:style w:type="paragraph" w:styleId="NoSpacing">
    <w:name w:val="No Spacing"/>
    <w:link w:val="NoSpacingChar"/>
    <w:uiPriority w:val="1"/>
    <w:qFormat/>
    <w:rsid w:val="00FA4242"/>
    <w:rPr>
      <w:rFonts w:eastAsia="Calibri" w:cs="Times New Roman"/>
      <w:lang w:val="en-AU"/>
    </w:rPr>
  </w:style>
  <w:style w:type="paragraph" w:styleId="Header">
    <w:name w:val="header"/>
    <w:basedOn w:val="Normal"/>
    <w:link w:val="HeaderChar"/>
    <w:uiPriority w:val="99"/>
    <w:unhideWhenUsed/>
    <w:rsid w:val="00351CDA"/>
    <w:pPr>
      <w:tabs>
        <w:tab w:val="center" w:pos="4703"/>
        <w:tab w:val="right" w:pos="9406"/>
      </w:tabs>
      <w:spacing w:after="0" w:line="240" w:lineRule="auto"/>
    </w:pPr>
  </w:style>
  <w:style w:type="paragraph" w:styleId="Footer">
    <w:name w:val="footer"/>
    <w:basedOn w:val="Normal"/>
    <w:link w:val="FooterChar"/>
    <w:uiPriority w:val="99"/>
    <w:unhideWhenUsed/>
    <w:rsid w:val="00351CDA"/>
    <w:pPr>
      <w:tabs>
        <w:tab w:val="center" w:pos="4703"/>
        <w:tab w:val="right" w:pos="9406"/>
      </w:tabs>
      <w:spacing w:after="0" w:line="240" w:lineRule="auto"/>
    </w:pPr>
  </w:style>
  <w:style w:type="paragraph" w:styleId="CommentSubject">
    <w:name w:val="annotation subject"/>
    <w:basedOn w:val="CommentText"/>
    <w:link w:val="CommentSubjectChar"/>
    <w:uiPriority w:val="99"/>
    <w:semiHidden/>
    <w:unhideWhenUsed/>
    <w:qFormat/>
    <w:rsid w:val="009A636C"/>
    <w:rPr>
      <w:b/>
      <w:bCs/>
    </w:rPr>
  </w:style>
  <w:style w:type="paragraph" w:customStyle="1" w:styleId="EndNoteBibliographyTitle">
    <w:name w:val="EndNote Bibliography Title"/>
    <w:basedOn w:val="Normal"/>
    <w:link w:val="EndNoteBibliographyTitleChar"/>
    <w:qFormat/>
    <w:rsid w:val="00465F62"/>
    <w:pPr>
      <w:spacing w:after="0"/>
      <w:jc w:val="center"/>
    </w:pPr>
    <w:rPr>
      <w:rFonts w:ascii="Times New Roman" w:hAnsi="Times New Roman" w:cs="Times New Roman"/>
    </w:rPr>
  </w:style>
  <w:style w:type="paragraph" w:customStyle="1" w:styleId="EndNoteBibliography">
    <w:name w:val="EndNote Bibliography"/>
    <w:basedOn w:val="Normal"/>
    <w:link w:val="EndNoteBibliographyChar"/>
    <w:qFormat/>
    <w:rsid w:val="00465F62"/>
    <w:pPr>
      <w:spacing w:line="240" w:lineRule="auto"/>
      <w:jc w:val="both"/>
    </w:pPr>
    <w:rPr>
      <w:rFonts w:ascii="Times New Roman" w:hAnsi="Times New Roman" w:cs="Times New Roman"/>
    </w:rPr>
  </w:style>
  <w:style w:type="paragraph" w:styleId="Revision">
    <w:name w:val="Revision"/>
    <w:uiPriority w:val="99"/>
    <w:semiHidden/>
    <w:qFormat/>
    <w:rsid w:val="005D5F04"/>
  </w:style>
  <w:style w:type="paragraph" w:customStyle="1" w:styleId="FrameContents">
    <w:name w:val="Frame Contents"/>
    <w:basedOn w:val="Normal"/>
    <w:qFormat/>
    <w:rsid w:val="00CA76ED"/>
  </w:style>
  <w:style w:type="table" w:styleId="TableGrid">
    <w:name w:val="Table Grid"/>
    <w:basedOn w:val="TableNormal"/>
    <w:uiPriority w:val="59"/>
    <w:rsid w:val="00D13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3B4F5B"/>
  </w:style>
  <w:style w:type="paragraph" w:customStyle="1" w:styleId="GoldenRice">
    <w:name w:val="Golden Rice"/>
    <w:basedOn w:val="NoSpacing"/>
    <w:link w:val="GoldenRiceZchn"/>
    <w:qFormat/>
    <w:rsid w:val="009234FC"/>
    <w:pPr>
      <w:suppressAutoHyphens/>
      <w:spacing w:line="480" w:lineRule="auto"/>
    </w:pPr>
    <w:rPr>
      <w:rFonts w:cstheme="minorHAnsi"/>
      <w:sz w:val="24"/>
      <w:szCs w:val="24"/>
      <w:lang w:val="en-US"/>
    </w:rPr>
  </w:style>
  <w:style w:type="character" w:customStyle="1" w:styleId="GoldenRiceZchn">
    <w:name w:val="Golden Rice Zchn"/>
    <w:basedOn w:val="NoSpacingChar"/>
    <w:link w:val="GoldenRice"/>
    <w:rsid w:val="009234FC"/>
    <w:rPr>
      <w:rFonts w:ascii="Times New Roman" w:eastAsia="Calibri" w:hAnsi="Times New Roman" w:cstheme="minorHAnsi"/>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C2FAB"/>
    <w:pPr>
      <w:spacing w:after="200" w:line="360" w:lineRule="auto"/>
    </w:pPr>
    <w:rPr>
      <w:lang w:val="en-GB"/>
    </w:rPr>
  </w:style>
  <w:style w:type="paragraph" w:styleId="berschrift1">
    <w:name w:val="heading 1"/>
    <w:basedOn w:val="Standard"/>
    <w:uiPriority w:val="9"/>
    <w:qFormat/>
    <w:rsid w:val="00EE4F4F"/>
    <w:pPr>
      <w:keepNext/>
      <w:keepLines/>
      <w:spacing w:before="120" w:after="120"/>
      <w:outlineLvl w:val="0"/>
    </w:pPr>
    <w:rPr>
      <w:rFonts w:asciiTheme="majorHAnsi" w:eastAsiaTheme="majorEastAsia" w:hAnsiTheme="majorHAnsi" w:cstheme="majorBidi"/>
      <w:b/>
      <w:bCs/>
      <w:sz w:val="24"/>
      <w:szCs w:val="28"/>
    </w:rPr>
  </w:style>
  <w:style w:type="paragraph" w:styleId="berschrift2">
    <w:name w:val="heading 2"/>
    <w:basedOn w:val="Standard"/>
    <w:uiPriority w:val="9"/>
    <w:unhideWhenUsed/>
    <w:qFormat/>
    <w:rsid w:val="00EE4F4F"/>
    <w:pPr>
      <w:keepNext/>
      <w:keepLines/>
      <w:spacing w:before="120" w:after="120"/>
      <w:outlineLvl w:val="1"/>
    </w:pPr>
    <w:rPr>
      <w:rFonts w:asciiTheme="majorHAnsi" w:eastAsiaTheme="majorEastAsia" w:hAnsiTheme="majorHAnsi" w:cstheme="majorBidi"/>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textZchn">
    <w:name w:val="Fußnotentext Zchn"/>
    <w:basedOn w:val="Absatz-Standardschriftart"/>
    <w:link w:val="Funotentext"/>
    <w:uiPriority w:val="99"/>
    <w:semiHidden/>
    <w:qFormat/>
    <w:rsid w:val="004606BA"/>
    <w:rPr>
      <w:sz w:val="20"/>
      <w:szCs w:val="20"/>
    </w:rPr>
  </w:style>
  <w:style w:type="character" w:customStyle="1" w:styleId="KommentartextZchn">
    <w:name w:val="Kommentartext Zchn"/>
    <w:basedOn w:val="Absatz-Standardschriftart"/>
    <w:link w:val="Kommentartext"/>
    <w:uiPriority w:val="99"/>
    <w:semiHidden/>
    <w:qFormat/>
    <w:rsid w:val="004606BA"/>
    <w:rPr>
      <w:sz w:val="20"/>
      <w:szCs w:val="20"/>
    </w:rPr>
  </w:style>
  <w:style w:type="character" w:styleId="Funotenzeichen">
    <w:name w:val="footnote reference"/>
    <w:uiPriority w:val="99"/>
    <w:semiHidden/>
    <w:unhideWhenUsed/>
    <w:qFormat/>
    <w:rsid w:val="004606BA"/>
    <w:rPr>
      <w:vertAlign w:val="superscript"/>
    </w:rPr>
  </w:style>
  <w:style w:type="character" w:styleId="Kommentarzeichen">
    <w:name w:val="annotation reference"/>
    <w:basedOn w:val="Absatz-Standardschriftart"/>
    <w:uiPriority w:val="99"/>
    <w:semiHidden/>
    <w:unhideWhenUsed/>
    <w:qFormat/>
    <w:rsid w:val="004606BA"/>
    <w:rPr>
      <w:sz w:val="18"/>
      <w:szCs w:val="18"/>
    </w:rPr>
  </w:style>
  <w:style w:type="character" w:customStyle="1" w:styleId="SprechblasentextZchn">
    <w:name w:val="Sprechblasentext Zchn"/>
    <w:basedOn w:val="Absatz-Standardschriftart"/>
    <w:link w:val="Sprechblasentext"/>
    <w:uiPriority w:val="99"/>
    <w:semiHidden/>
    <w:qFormat/>
    <w:rsid w:val="004606BA"/>
    <w:rPr>
      <w:rFonts w:ascii="Tahoma" w:hAnsi="Tahoma" w:cs="Tahoma"/>
      <w:sz w:val="16"/>
      <w:szCs w:val="16"/>
    </w:rPr>
  </w:style>
  <w:style w:type="character" w:customStyle="1" w:styleId="KopfzeileZchn">
    <w:name w:val="Kopfzeile Zchn"/>
    <w:basedOn w:val="Absatz-Standardschriftart"/>
    <w:link w:val="Kopfzeile"/>
    <w:uiPriority w:val="99"/>
    <w:qFormat/>
    <w:rsid w:val="00351CDA"/>
  </w:style>
  <w:style w:type="character" w:customStyle="1" w:styleId="FuzeileZchn">
    <w:name w:val="Fußzeile Zchn"/>
    <w:basedOn w:val="Absatz-Standardschriftart"/>
    <w:link w:val="Fuzeile"/>
    <w:uiPriority w:val="99"/>
    <w:qFormat/>
    <w:rsid w:val="00351CDA"/>
  </w:style>
  <w:style w:type="character" w:customStyle="1" w:styleId="berschrift1Zchn">
    <w:name w:val="Überschrift 1 Zchn"/>
    <w:basedOn w:val="Absatz-Standardschriftart"/>
    <w:uiPriority w:val="9"/>
    <w:qFormat/>
    <w:rsid w:val="00EE4F4F"/>
    <w:rPr>
      <w:rFonts w:asciiTheme="majorHAnsi" w:eastAsiaTheme="majorEastAsia" w:hAnsiTheme="majorHAnsi" w:cstheme="majorBidi"/>
      <w:b/>
      <w:bCs/>
      <w:sz w:val="24"/>
      <w:szCs w:val="28"/>
    </w:rPr>
  </w:style>
  <w:style w:type="character" w:customStyle="1" w:styleId="berschrift2Zchn">
    <w:name w:val="Überschrift 2 Zchn"/>
    <w:basedOn w:val="Absatz-Standardschriftart"/>
    <w:uiPriority w:val="9"/>
    <w:qFormat/>
    <w:rsid w:val="00EE4F4F"/>
    <w:rPr>
      <w:rFonts w:asciiTheme="majorHAnsi" w:eastAsiaTheme="majorEastAsia" w:hAnsiTheme="majorHAnsi" w:cstheme="majorBidi"/>
      <w:bCs/>
      <w:i/>
      <w:szCs w:val="26"/>
    </w:rPr>
  </w:style>
  <w:style w:type="character" w:customStyle="1" w:styleId="KommentarthemaZchn">
    <w:name w:val="Kommentarthema Zchn"/>
    <w:basedOn w:val="KommentartextZchn"/>
    <w:link w:val="Kommentarthema"/>
    <w:uiPriority w:val="99"/>
    <w:semiHidden/>
    <w:qFormat/>
    <w:rsid w:val="009A636C"/>
    <w:rPr>
      <w:b/>
      <w:bCs/>
      <w:sz w:val="20"/>
      <w:szCs w:val="20"/>
    </w:rPr>
  </w:style>
  <w:style w:type="character" w:customStyle="1" w:styleId="KeinLeerraumZchn">
    <w:name w:val="Kein Leerraum Zchn"/>
    <w:basedOn w:val="Absatz-Standardschriftart"/>
    <w:link w:val="KeinLeerraum"/>
    <w:uiPriority w:val="1"/>
    <w:qFormat/>
    <w:rsid w:val="004E0B4D"/>
    <w:rPr>
      <w:rFonts w:ascii="Times New Roman" w:eastAsia="Calibri" w:hAnsi="Times New Roman" w:cs="Times New Roman"/>
      <w:lang w:val="en-AU"/>
    </w:rPr>
  </w:style>
  <w:style w:type="character" w:customStyle="1" w:styleId="InternetLink">
    <w:name w:val="Internet Link"/>
    <w:basedOn w:val="Absatz-Standardschriftart"/>
    <w:uiPriority w:val="99"/>
    <w:unhideWhenUsed/>
    <w:rsid w:val="00580594"/>
    <w:rPr>
      <w:color w:val="5F5F5F" w:themeColor="hyperlink"/>
      <w:u w:val="single"/>
    </w:rPr>
  </w:style>
  <w:style w:type="character" w:customStyle="1" w:styleId="EndNoteBibliographyTitleChar">
    <w:name w:val="EndNote Bibliography Title Char"/>
    <w:basedOn w:val="Absatz-Standardschriftart"/>
    <w:link w:val="EndNoteBibliographyTitle"/>
    <w:qFormat/>
    <w:rsid w:val="00465F62"/>
    <w:rPr>
      <w:rFonts w:ascii="Times New Roman" w:hAnsi="Times New Roman" w:cs="Times New Roman"/>
      <w:lang w:val="en-US"/>
    </w:rPr>
  </w:style>
  <w:style w:type="character" w:customStyle="1" w:styleId="EndNoteBibliographyChar">
    <w:name w:val="EndNote Bibliography Char"/>
    <w:basedOn w:val="Absatz-Standardschriftart"/>
    <w:link w:val="EndNoteBibliography"/>
    <w:qFormat/>
    <w:rsid w:val="00465F62"/>
    <w:rPr>
      <w:rFonts w:ascii="Times New Roman" w:hAnsi="Times New Roman" w:cs="Times New Roman"/>
      <w:lang w:val="en-U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Calibri" w:cs="Times New Roman"/>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Times New Roman" w:cs="Times New Roman"/>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eastAsia="Times New Roman" w:cs="Times New Roman"/>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Standard"/>
    <w:next w:val="Textkrper"/>
    <w:qFormat/>
    <w:pPr>
      <w:keepNext/>
      <w:spacing w:before="240" w:after="120"/>
    </w:pPr>
    <w:rPr>
      <w:rFonts w:ascii="Liberation Sans" w:eastAsia="Noto Sans CJK SC Regular" w:hAnsi="Liberation Sans" w:cs="FreeSans"/>
      <w:sz w:val="28"/>
      <w:szCs w:val="28"/>
    </w:rPr>
  </w:style>
  <w:style w:type="paragraph" w:styleId="Textkrper">
    <w:name w:val="Body Text"/>
    <w:basedOn w:val="Standard"/>
    <w:pPr>
      <w:spacing w:after="140" w:line="288" w:lineRule="auto"/>
    </w:pPr>
  </w:style>
  <w:style w:type="paragraph" w:styleId="Liste">
    <w:name w:val="List"/>
    <w:basedOn w:val="Textkrper"/>
    <w:rPr>
      <w:rFonts w:ascii="Calibri" w:hAnsi="Calibri" w:cs="FreeSans"/>
    </w:rPr>
  </w:style>
  <w:style w:type="paragraph" w:styleId="Beschriftung">
    <w:name w:val="caption"/>
    <w:basedOn w:val="Standard"/>
    <w:uiPriority w:val="35"/>
    <w:unhideWhenUsed/>
    <w:qFormat/>
    <w:rsid w:val="00597B0A"/>
    <w:pPr>
      <w:spacing w:line="240" w:lineRule="auto"/>
    </w:pPr>
    <w:rPr>
      <w:b/>
      <w:bCs/>
      <w:color w:val="DDDDDD" w:themeColor="accent1"/>
      <w:sz w:val="18"/>
      <w:szCs w:val="18"/>
    </w:rPr>
  </w:style>
  <w:style w:type="paragraph" w:customStyle="1" w:styleId="Index">
    <w:name w:val="Index"/>
    <w:basedOn w:val="Standard"/>
    <w:qFormat/>
    <w:pPr>
      <w:suppressLineNumbers/>
    </w:pPr>
    <w:rPr>
      <w:rFonts w:ascii="Calibri" w:hAnsi="Calibri" w:cs="FreeSans"/>
    </w:rPr>
  </w:style>
  <w:style w:type="paragraph" w:styleId="Funotentext">
    <w:name w:val="footnote text"/>
    <w:basedOn w:val="Standard"/>
    <w:link w:val="FunotentextZchn"/>
  </w:style>
  <w:style w:type="paragraph" w:styleId="Kommentartext">
    <w:name w:val="annotation text"/>
    <w:basedOn w:val="Standard"/>
    <w:link w:val="KommentartextZchn"/>
    <w:uiPriority w:val="99"/>
    <w:semiHidden/>
    <w:unhideWhenUsed/>
    <w:qFormat/>
    <w:rsid w:val="004606BA"/>
    <w:pPr>
      <w:spacing w:line="240" w:lineRule="auto"/>
    </w:pPr>
    <w:rPr>
      <w:sz w:val="20"/>
      <w:szCs w:val="20"/>
    </w:rPr>
  </w:style>
  <w:style w:type="paragraph" w:styleId="Sprechblasentext">
    <w:name w:val="Balloon Text"/>
    <w:basedOn w:val="Standard"/>
    <w:link w:val="SprechblasentextZchn"/>
    <w:uiPriority w:val="99"/>
    <w:semiHidden/>
    <w:unhideWhenUsed/>
    <w:qFormat/>
    <w:rsid w:val="004606BA"/>
    <w:pPr>
      <w:spacing w:after="0" w:line="240" w:lineRule="auto"/>
    </w:pPr>
    <w:rPr>
      <w:rFonts w:ascii="Tahoma" w:hAnsi="Tahoma" w:cs="Tahoma"/>
      <w:sz w:val="16"/>
      <w:szCs w:val="16"/>
    </w:rPr>
  </w:style>
  <w:style w:type="paragraph" w:styleId="Listenabsatz">
    <w:name w:val="List Paragraph"/>
    <w:basedOn w:val="Standard"/>
    <w:uiPriority w:val="34"/>
    <w:qFormat/>
    <w:rsid w:val="004606BA"/>
    <w:pPr>
      <w:ind w:left="720"/>
      <w:contextualSpacing/>
    </w:pPr>
  </w:style>
  <w:style w:type="paragraph" w:styleId="KeinLeerraum">
    <w:name w:val="No Spacing"/>
    <w:link w:val="KeinLeerraumZchn"/>
    <w:uiPriority w:val="1"/>
    <w:qFormat/>
    <w:rsid w:val="00FA4242"/>
    <w:rPr>
      <w:rFonts w:eastAsia="Calibri" w:cs="Times New Roman"/>
      <w:lang w:val="en-AU"/>
    </w:rPr>
  </w:style>
  <w:style w:type="paragraph" w:styleId="Kopfzeile">
    <w:name w:val="header"/>
    <w:basedOn w:val="Standard"/>
    <w:link w:val="KopfzeileZchn"/>
    <w:uiPriority w:val="99"/>
    <w:unhideWhenUsed/>
    <w:rsid w:val="00351CDA"/>
    <w:pPr>
      <w:tabs>
        <w:tab w:val="center" w:pos="4703"/>
        <w:tab w:val="right" w:pos="9406"/>
      </w:tabs>
      <w:spacing w:after="0" w:line="240" w:lineRule="auto"/>
    </w:pPr>
  </w:style>
  <w:style w:type="paragraph" w:styleId="Fuzeile">
    <w:name w:val="footer"/>
    <w:basedOn w:val="Standard"/>
    <w:link w:val="FuzeileZchn"/>
    <w:uiPriority w:val="99"/>
    <w:unhideWhenUsed/>
    <w:rsid w:val="00351CDA"/>
    <w:pPr>
      <w:tabs>
        <w:tab w:val="center" w:pos="4703"/>
        <w:tab w:val="right" w:pos="9406"/>
      </w:tabs>
      <w:spacing w:after="0" w:line="240" w:lineRule="auto"/>
    </w:pPr>
  </w:style>
  <w:style w:type="paragraph" w:styleId="Kommentarthema">
    <w:name w:val="annotation subject"/>
    <w:basedOn w:val="Kommentartext"/>
    <w:link w:val="KommentarthemaZchn"/>
    <w:uiPriority w:val="99"/>
    <w:semiHidden/>
    <w:unhideWhenUsed/>
    <w:qFormat/>
    <w:rsid w:val="009A636C"/>
    <w:rPr>
      <w:b/>
      <w:bCs/>
    </w:rPr>
  </w:style>
  <w:style w:type="paragraph" w:customStyle="1" w:styleId="EndNoteBibliographyTitle">
    <w:name w:val="EndNote Bibliography Title"/>
    <w:basedOn w:val="Standard"/>
    <w:link w:val="EndNoteBibliographyTitleChar"/>
    <w:qFormat/>
    <w:rsid w:val="00465F62"/>
    <w:pPr>
      <w:spacing w:after="0"/>
      <w:jc w:val="center"/>
    </w:pPr>
    <w:rPr>
      <w:rFonts w:ascii="Times New Roman" w:hAnsi="Times New Roman" w:cs="Times New Roman"/>
    </w:rPr>
  </w:style>
  <w:style w:type="paragraph" w:customStyle="1" w:styleId="EndNoteBibliography">
    <w:name w:val="EndNote Bibliography"/>
    <w:basedOn w:val="Standard"/>
    <w:link w:val="EndNoteBibliographyChar"/>
    <w:qFormat/>
    <w:rsid w:val="00465F62"/>
    <w:pPr>
      <w:spacing w:line="240" w:lineRule="auto"/>
      <w:jc w:val="both"/>
    </w:pPr>
    <w:rPr>
      <w:rFonts w:ascii="Times New Roman" w:hAnsi="Times New Roman" w:cs="Times New Roman"/>
    </w:rPr>
  </w:style>
  <w:style w:type="paragraph" w:styleId="berarbeitung">
    <w:name w:val="Revision"/>
    <w:uiPriority w:val="99"/>
    <w:semiHidden/>
    <w:qFormat/>
    <w:rsid w:val="005D5F04"/>
  </w:style>
  <w:style w:type="paragraph" w:customStyle="1" w:styleId="FrameContents">
    <w:name w:val="Frame Contents"/>
    <w:basedOn w:val="Standard"/>
    <w:qFormat/>
  </w:style>
  <w:style w:type="table" w:styleId="Tabellenraster">
    <w:name w:val="Table Grid"/>
    <w:basedOn w:val="NormaleTabelle"/>
    <w:uiPriority w:val="59"/>
    <w:rsid w:val="00D13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3B4F5B"/>
  </w:style>
  <w:style w:type="paragraph" w:customStyle="1" w:styleId="GoldenRice">
    <w:name w:val="Golden Rice"/>
    <w:basedOn w:val="KeinLeerraum"/>
    <w:link w:val="GoldenRiceZchn"/>
    <w:qFormat/>
    <w:rsid w:val="009234FC"/>
    <w:pPr>
      <w:suppressAutoHyphens/>
      <w:spacing w:line="480" w:lineRule="auto"/>
    </w:pPr>
    <w:rPr>
      <w:rFonts w:cstheme="minorHAnsi"/>
      <w:sz w:val="24"/>
      <w:szCs w:val="24"/>
      <w:lang w:val="en-US"/>
    </w:rPr>
  </w:style>
  <w:style w:type="character" w:customStyle="1" w:styleId="GoldenRiceZchn">
    <w:name w:val="Golden Rice Zchn"/>
    <w:basedOn w:val="KeinLeerraumZchn"/>
    <w:link w:val="GoldenRice"/>
    <w:rsid w:val="009234FC"/>
    <w:rPr>
      <w:rFonts w:ascii="Times New Roman" w:eastAsia="Calibri" w:hAnsi="Times New Roman" w:cstheme="minorHAnsi"/>
      <w:sz w:val="24"/>
      <w:szCs w:val="24"/>
      <w:lang w:val="en-US"/>
    </w:rPr>
  </w:style>
</w:styles>
</file>

<file path=word/webSettings.xml><?xml version="1.0" encoding="utf-8"?>
<w:webSettings xmlns:r="http://schemas.openxmlformats.org/officeDocument/2006/relationships" xmlns:w="http://schemas.openxmlformats.org/wordprocessingml/2006/main">
  <w:divs>
    <w:div w:id="961500205">
      <w:bodyDiv w:val="1"/>
      <w:marLeft w:val="0"/>
      <w:marRight w:val="0"/>
      <w:marTop w:val="0"/>
      <w:marBottom w:val="0"/>
      <w:divBdr>
        <w:top w:val="none" w:sz="0" w:space="0" w:color="auto"/>
        <w:left w:val="none" w:sz="0" w:space="0" w:color="auto"/>
        <w:bottom w:val="none" w:sz="0" w:space="0" w:color="auto"/>
        <w:right w:val="none" w:sz="0" w:space="0" w:color="auto"/>
      </w:divBdr>
      <w:divsChild>
        <w:div w:id="1898198847">
          <w:marLeft w:val="0"/>
          <w:marRight w:val="0"/>
          <w:marTop w:val="0"/>
          <w:marBottom w:val="0"/>
          <w:divBdr>
            <w:top w:val="none" w:sz="0" w:space="0" w:color="auto"/>
            <w:left w:val="none" w:sz="0" w:space="0" w:color="auto"/>
            <w:bottom w:val="none" w:sz="0" w:space="0" w:color="auto"/>
            <w:right w:val="none" w:sz="0" w:space="0" w:color="auto"/>
          </w:divBdr>
        </w:div>
        <w:div w:id="312029343">
          <w:marLeft w:val="0"/>
          <w:marRight w:val="0"/>
          <w:marTop w:val="0"/>
          <w:marBottom w:val="0"/>
          <w:divBdr>
            <w:top w:val="none" w:sz="0" w:space="0" w:color="auto"/>
            <w:left w:val="none" w:sz="0" w:space="0" w:color="auto"/>
            <w:bottom w:val="none" w:sz="0" w:space="0" w:color="auto"/>
            <w:right w:val="none" w:sz="0" w:space="0" w:color="auto"/>
          </w:divBdr>
        </w:div>
        <w:div w:id="13768077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Larissa">
  <a:themeElements>
    <a:clrScheme name="Graustuf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Benutzerdefiniert 1">
      <a:majorFont>
        <a:latin typeface="Times New Roman"/>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FD33AB-6E4C-4460-9919-883462B80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4517</Words>
  <Characters>25750</Characters>
  <Application>Microsoft Office Word</Application>
  <DocSecurity>0</DocSecurity>
  <Lines>214</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Understanding the polarized debate on Golden Rice from a sustainability perspective</vt:lpstr>
      <vt:lpstr>Understanding the polarized debate on Golden Rice from a sustainability perspective</vt:lpstr>
    </vt:vector>
  </TitlesOfParts>
  <Company>Leuphana Universität Lüneburg</Company>
  <LinksUpToDate>false</LinksUpToDate>
  <CharactersWithSpaces>30207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the polarized debate on Golden Rice from a sustainability perspective</dc:title>
  <dc:subject>Bachelor thesis</dc:subject>
  <dc:creator>lg061587</dc:creator>
  <cp:lastModifiedBy>0004394</cp:lastModifiedBy>
  <cp:revision>35</cp:revision>
  <cp:lastPrinted>2017-01-08T23:25:00Z</cp:lastPrinted>
  <dcterms:created xsi:type="dcterms:W3CDTF">2017-05-10T09:24:00Z</dcterms:created>
  <dcterms:modified xsi:type="dcterms:W3CDTF">2018-05-11T01:34:00Z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Leuphana Universität Lüneburg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Mendeley Citation Style_1">
    <vt:lpwstr>http://www.zotero.org/styles/apa</vt:lpwstr>
  </property>
  <property fmtid="{D5CDD505-2E9C-101B-9397-08002B2CF9AE}" pid="8" name="Mendeley Document_1">
    <vt:lpwstr>True</vt:lpwstr>
  </property>
  <property fmtid="{D5CDD505-2E9C-101B-9397-08002B2CF9AE}" pid="9" name="Mendeley Recent Style Id 0_1">
    <vt:lpwstr>http://www.zotero.org/styles/ambio</vt:lpwstr>
  </property>
  <property fmtid="{D5CDD505-2E9C-101B-9397-08002B2CF9AE}" pid="10" name="Mendeley Recent Style Id 1_1">
    <vt:lpwstr>http://www.zotero.org/styles/academy-of-management-journal</vt:lpwstr>
  </property>
  <property fmtid="{D5CDD505-2E9C-101B-9397-08002B2CF9AE}" pid="11" name="Mendeley Recent Style Id 2_1">
    <vt:lpwstr>http://www.zotero.org/styles/apa</vt:lpwstr>
  </property>
  <property fmtid="{D5CDD505-2E9C-101B-9397-08002B2CF9AE}" pid="12" name="Mendeley Recent Style Id 3_1">
    <vt:lpwstr>http://www.zotero.org/styles/chicago-author-date</vt:lpwstr>
  </property>
  <property fmtid="{D5CDD505-2E9C-101B-9397-08002B2CF9AE}" pid="13" name="Mendeley Recent Style Id 4_1">
    <vt:lpwstr>http://www.zotero.org/styles/food-policy</vt:lpwstr>
  </property>
  <property fmtid="{D5CDD505-2E9C-101B-9397-08002B2CF9AE}" pid="14" name="Mendeley Recent Style Id 5_1">
    <vt:lpwstr>http://www.zotero.org/styles/harvard1</vt:lpwstr>
  </property>
  <property fmtid="{D5CDD505-2E9C-101B-9397-08002B2CF9AE}" pid="15" name="Mendeley Recent Style Id 6_1">
    <vt:lpwstr>http://www.zotero.org/styles/ieee</vt:lpwstr>
  </property>
  <property fmtid="{D5CDD505-2E9C-101B-9397-08002B2CF9AE}" pid="16" name="Mendeley Recent Style Id 7_1">
    <vt:lpwstr>http://www.zotero.org/styles/modern-language-association</vt:lpwstr>
  </property>
  <property fmtid="{D5CDD505-2E9C-101B-9397-08002B2CF9AE}" pid="17" name="Mendeley Recent Style Id 8_1">
    <vt:lpwstr>http://www.zotero.org/styles/pnas</vt:lpwstr>
  </property>
  <property fmtid="{D5CDD505-2E9C-101B-9397-08002B2CF9AE}" pid="18" name="Mendeley Recent Style Id 9_1">
    <vt:lpwstr>http://www.zotero.org/styles/sustainability-science</vt:lpwstr>
  </property>
  <property fmtid="{D5CDD505-2E9C-101B-9397-08002B2CF9AE}" pid="19" name="Mendeley Recent Style Name 0_1">
    <vt:lpwstr>AMBIO</vt:lpwstr>
  </property>
  <property fmtid="{D5CDD505-2E9C-101B-9397-08002B2CF9AE}" pid="20" name="Mendeley Recent Style Name 1_1">
    <vt:lpwstr>Academy of Management Journal</vt:lpwstr>
  </property>
  <property fmtid="{D5CDD505-2E9C-101B-9397-08002B2CF9AE}" pid="21" name="Mendeley Recent Style Name 2_1">
    <vt:lpwstr>American Psychological Association 6th edition</vt:lpwstr>
  </property>
  <property fmtid="{D5CDD505-2E9C-101B-9397-08002B2CF9AE}" pid="22" name="Mendeley Recent Style Name 3_1">
    <vt:lpwstr>Chicago Manual of Style 16th edition (author-date)</vt:lpwstr>
  </property>
  <property fmtid="{D5CDD505-2E9C-101B-9397-08002B2CF9AE}" pid="23" name="Mendeley Recent Style Name 4_1">
    <vt:lpwstr>Food Policy</vt:lpwstr>
  </property>
  <property fmtid="{D5CDD505-2E9C-101B-9397-08002B2CF9AE}" pid="24" name="Mendeley Recent Style Name 5_1">
    <vt:lpwstr>Harvard Reference format 1 (author-date)</vt:lpwstr>
  </property>
  <property fmtid="{D5CDD505-2E9C-101B-9397-08002B2CF9AE}" pid="25" name="Mendeley Recent Style Name 6_1">
    <vt:lpwstr>IEEE</vt:lpwstr>
  </property>
  <property fmtid="{D5CDD505-2E9C-101B-9397-08002B2CF9AE}" pid="26" name="Mendeley Recent Style Name 7_1">
    <vt:lpwstr>Modern Language Association 7th edition</vt:lpwstr>
  </property>
  <property fmtid="{D5CDD505-2E9C-101B-9397-08002B2CF9AE}" pid="27" name="Mendeley Recent Style Name 8_1">
    <vt:lpwstr>Proceedings of the National Academy of Sciences of the United States of America</vt:lpwstr>
  </property>
  <property fmtid="{D5CDD505-2E9C-101B-9397-08002B2CF9AE}" pid="28" name="Mendeley Recent Style Name 9_1">
    <vt:lpwstr>Sustainability Science</vt:lpwstr>
  </property>
  <property fmtid="{D5CDD505-2E9C-101B-9397-08002B2CF9AE}" pid="29" name="Mendeley Unique User Id_1">
    <vt:lpwstr>34794a96-418d-35ad-8334-da7e498445d8</vt:lpwstr>
  </property>
  <property fmtid="{D5CDD505-2E9C-101B-9397-08002B2CF9AE}" pid="30" name="ScaleCrop">
    <vt:bool>false</vt:bool>
  </property>
  <property fmtid="{D5CDD505-2E9C-101B-9397-08002B2CF9AE}" pid="31" name="ShareDoc">
    <vt:bool>false</vt:bool>
  </property>
</Properties>
</file>