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AB361E" w14:textId="1BBBECBC" w:rsidR="0079642D" w:rsidRPr="00BA4331" w:rsidRDefault="00A562DA">
      <w:pPr>
        <w:rPr>
          <w:rFonts w:ascii="Arial" w:hAnsi="Arial" w:cs="Arial"/>
          <w:b/>
          <w:sz w:val="22"/>
          <w:szCs w:val="22"/>
        </w:rPr>
      </w:pPr>
      <w:r w:rsidRPr="00BA4331">
        <w:rPr>
          <w:rFonts w:ascii="Arial" w:hAnsi="Arial" w:cs="Arial"/>
          <w:b/>
          <w:sz w:val="22"/>
          <w:szCs w:val="22"/>
        </w:rPr>
        <w:t xml:space="preserve">Co-production in action: Perceiving </w:t>
      </w:r>
      <w:r w:rsidR="005F0D60" w:rsidRPr="00BA4331">
        <w:rPr>
          <w:rFonts w:ascii="Arial" w:hAnsi="Arial" w:cs="Arial"/>
          <w:b/>
          <w:sz w:val="22"/>
          <w:szCs w:val="22"/>
        </w:rPr>
        <w:t xml:space="preserve">power in </w:t>
      </w:r>
      <w:r w:rsidRPr="00BA4331">
        <w:rPr>
          <w:rFonts w:ascii="Arial" w:hAnsi="Arial" w:cs="Arial"/>
          <w:b/>
          <w:sz w:val="22"/>
          <w:szCs w:val="22"/>
        </w:rPr>
        <w:t>the organisational dimensions of a global biodiversity expert process</w:t>
      </w:r>
    </w:p>
    <w:p w14:paraId="58380EBE" w14:textId="77777777" w:rsidR="00A562DA" w:rsidRPr="00BA4331" w:rsidRDefault="00A562DA">
      <w:pPr>
        <w:rPr>
          <w:rFonts w:ascii="Arial" w:hAnsi="Arial" w:cs="Arial"/>
          <w:b/>
          <w:sz w:val="22"/>
          <w:szCs w:val="22"/>
        </w:rPr>
      </w:pPr>
    </w:p>
    <w:p w14:paraId="560C7263" w14:textId="60AD6847" w:rsidR="006A3239" w:rsidRPr="00BA4331" w:rsidRDefault="006A3239">
      <w:pPr>
        <w:rPr>
          <w:rFonts w:ascii="Arial" w:hAnsi="Arial" w:cs="Arial"/>
          <w:b/>
          <w:sz w:val="22"/>
          <w:szCs w:val="22"/>
        </w:rPr>
      </w:pPr>
      <w:r w:rsidRPr="00BA4331">
        <w:rPr>
          <w:rFonts w:ascii="Arial" w:hAnsi="Arial" w:cs="Arial"/>
          <w:b/>
          <w:sz w:val="22"/>
          <w:szCs w:val="22"/>
        </w:rPr>
        <w:t>Supplementary Material 1.</w:t>
      </w:r>
    </w:p>
    <w:p w14:paraId="5129EBE9" w14:textId="504C3098" w:rsidR="00F616CB" w:rsidRPr="00BA4331" w:rsidRDefault="00F616CB">
      <w:pPr>
        <w:rPr>
          <w:rFonts w:ascii="Arial" w:hAnsi="Arial" w:cs="Arial"/>
          <w:sz w:val="22"/>
          <w:szCs w:val="22"/>
        </w:rPr>
      </w:pPr>
      <w:bookmarkStart w:id="0" w:name="_GoBack"/>
      <w:bookmarkEnd w:id="0"/>
    </w:p>
    <w:p w14:paraId="15F12717" w14:textId="58D9901F" w:rsidR="00F616CB" w:rsidRPr="00BA4331" w:rsidRDefault="00F616CB">
      <w:pPr>
        <w:rPr>
          <w:rFonts w:ascii="Arial" w:hAnsi="Arial" w:cs="Arial"/>
          <w:b/>
          <w:sz w:val="22"/>
          <w:szCs w:val="22"/>
        </w:rPr>
      </w:pPr>
      <w:r w:rsidRPr="00BA4331">
        <w:rPr>
          <w:rFonts w:ascii="Arial" w:hAnsi="Arial" w:cs="Arial"/>
          <w:b/>
          <w:sz w:val="22"/>
          <w:szCs w:val="22"/>
        </w:rPr>
        <w:t>SM1.1</w:t>
      </w:r>
    </w:p>
    <w:p w14:paraId="082DD158" w14:textId="24C72A6D" w:rsidR="00F616CB" w:rsidRPr="00BA4331" w:rsidRDefault="00F616CB">
      <w:pPr>
        <w:rPr>
          <w:rFonts w:ascii="Arial" w:hAnsi="Arial" w:cs="Arial"/>
          <w:sz w:val="22"/>
          <w:szCs w:val="22"/>
        </w:rPr>
      </w:pPr>
      <w:r w:rsidRPr="00BA4331">
        <w:rPr>
          <w:rFonts w:ascii="Arial" w:hAnsi="Arial" w:cs="Arial"/>
          <w:sz w:val="22"/>
          <w:szCs w:val="22"/>
        </w:rPr>
        <w:t>The IPBES rules of procedure are a series of documents negotiated in intergovernmental plenary meetings. They set out the Platform</w:t>
      </w:r>
      <w:r w:rsidR="003B4C5D" w:rsidRPr="00BA4331">
        <w:rPr>
          <w:rFonts w:ascii="Arial" w:hAnsi="Arial" w:cs="Arial"/>
          <w:sz w:val="22"/>
          <w:szCs w:val="22"/>
        </w:rPr>
        <w:t>’</w:t>
      </w:r>
      <w:r w:rsidRPr="00BA4331">
        <w:rPr>
          <w:rFonts w:ascii="Arial" w:hAnsi="Arial" w:cs="Arial"/>
          <w:sz w:val="22"/>
          <w:szCs w:val="22"/>
        </w:rPr>
        <w:t xml:space="preserve">s operating principles and detail the structures of the Platform. As an example of how the IPBES rules of procedure define the organisational dimensions of the Platforms work, the following is an </w:t>
      </w:r>
      <w:r w:rsidR="00F24FD8" w:rsidRPr="00BA4331">
        <w:rPr>
          <w:rFonts w:ascii="Arial" w:hAnsi="Arial" w:cs="Arial"/>
          <w:sz w:val="22"/>
          <w:szCs w:val="22"/>
        </w:rPr>
        <w:t>excerpt</w:t>
      </w:r>
      <w:r w:rsidRPr="00BA4331">
        <w:rPr>
          <w:rFonts w:ascii="Arial" w:hAnsi="Arial" w:cs="Arial"/>
          <w:sz w:val="22"/>
          <w:szCs w:val="22"/>
        </w:rPr>
        <w:t xml:space="preserve"> describing the structure and function of the intergovernmental plenary in IPBES </w:t>
      </w:r>
      <w:r w:rsidR="00BA4331" w:rsidRPr="00BA4331">
        <w:rPr>
          <w:rFonts w:ascii="Arial" w:hAnsi="Arial" w:cs="Arial"/>
          <w:sz w:val="22"/>
          <w:szCs w:val="22"/>
        </w:rPr>
        <w:fldChar w:fldCharType="begin"/>
      </w:r>
      <w:r w:rsidR="00BA4331" w:rsidRPr="00BA4331">
        <w:rPr>
          <w:rFonts w:ascii="Arial" w:hAnsi="Arial" w:cs="Arial"/>
          <w:sz w:val="22"/>
          <w:szCs w:val="22"/>
        </w:rPr>
        <w:instrText xml:space="preserve"> ADDIN EN.CITE &lt;EndNote&gt;&lt;Cite&gt;&lt;Author&gt;IPBES&lt;/Author&gt;&lt;Year&gt;2012&lt;/Year&gt;&lt;RecNum&gt;516&lt;/RecNum&gt;&lt;Prefix&gt;from &lt;/Prefix&gt;&lt;Suffix&gt;: 2-3&lt;/Suffix&gt;&lt;DisplayText&gt;(from IPBES 2012: 2-3)&lt;/DisplayText&gt;&lt;record&gt;&lt;rec-number&gt;516&lt;/rec-number&gt;&lt;foreign-keys&gt;&lt;key app="EN" db-id="259rwp5582tt55eatrpp2axtw9v02p5wr92d" timestamp="1435162607"&gt;516&lt;/key&gt;&lt;/foreign-keys&gt;&lt;ref-type name="Pamphlet"&gt;24&lt;/ref-type&gt;&lt;contributors&gt;&lt;authors&gt;&lt;author&gt;IPBES&lt;/author&gt;&lt;/authors&gt;&lt;/contributors&gt;&lt;titles&gt;&lt;title&gt;Functions, operating principles and institutional arrangements of the Intergovernmental Science-Policy Platform on Biodiversity and Ecosystem Services&lt;/title&gt;&lt;/titles&gt;&lt;num-vols&gt;Second session of the plenary meeting to determine the modalities and institutional arrangements for IPBES. Panama City, Panama,,&lt;/num-vols&gt;&lt;dates&gt;&lt;year&gt;2012&lt;/year&gt;&lt;/dates&gt;&lt;pub-location&gt;Bonn, Germany&lt;/pub-location&gt;&lt;publisher&gt;IPBES&lt;/publisher&gt;&lt;urls&gt;&lt;/urls&gt;&lt;/record&gt;&lt;/Cite&gt;&lt;/EndNote&gt;</w:instrText>
      </w:r>
      <w:r w:rsidR="00BA4331" w:rsidRPr="00BA4331">
        <w:rPr>
          <w:rFonts w:ascii="Arial" w:hAnsi="Arial" w:cs="Arial"/>
          <w:sz w:val="22"/>
          <w:szCs w:val="22"/>
        </w:rPr>
        <w:fldChar w:fldCharType="separate"/>
      </w:r>
      <w:r w:rsidR="00BA4331" w:rsidRPr="00BA4331">
        <w:rPr>
          <w:rFonts w:ascii="Arial" w:hAnsi="Arial" w:cs="Arial"/>
          <w:noProof/>
          <w:sz w:val="22"/>
          <w:szCs w:val="22"/>
        </w:rPr>
        <w:t>(from IPBES 2012: 2-3)</w:t>
      </w:r>
      <w:r w:rsidR="00BA4331" w:rsidRPr="00BA4331">
        <w:rPr>
          <w:rFonts w:ascii="Arial" w:hAnsi="Arial" w:cs="Arial"/>
          <w:sz w:val="22"/>
          <w:szCs w:val="22"/>
        </w:rPr>
        <w:fldChar w:fldCharType="end"/>
      </w:r>
      <w:r w:rsidRPr="00BA4331">
        <w:rPr>
          <w:rFonts w:ascii="Arial" w:hAnsi="Arial" w:cs="Arial"/>
          <w:sz w:val="22"/>
          <w:szCs w:val="22"/>
        </w:rPr>
        <w:t>.</w:t>
      </w:r>
      <w:r w:rsidR="00A26AF0" w:rsidRPr="00BA4331">
        <w:rPr>
          <w:rFonts w:ascii="Arial" w:hAnsi="Arial" w:cs="Arial"/>
          <w:sz w:val="22"/>
          <w:szCs w:val="22"/>
        </w:rPr>
        <w:t xml:space="preserve"> In addition to the below, </w:t>
      </w:r>
      <w:r w:rsidR="00B80A6E" w:rsidRPr="00BA4331">
        <w:rPr>
          <w:rFonts w:ascii="Arial" w:hAnsi="Arial" w:cs="Arial"/>
          <w:sz w:val="22"/>
          <w:szCs w:val="22"/>
        </w:rPr>
        <w:t>further</w:t>
      </w:r>
      <w:r w:rsidR="00A26AF0" w:rsidRPr="00BA4331">
        <w:rPr>
          <w:rFonts w:ascii="Arial" w:hAnsi="Arial" w:cs="Arial"/>
          <w:sz w:val="22"/>
          <w:szCs w:val="22"/>
        </w:rPr>
        <w:t xml:space="preserve"> rules for the running of the intergovernmental meetings are set out</w:t>
      </w:r>
      <w:r w:rsidR="00B80A6E" w:rsidRPr="00BA4331">
        <w:rPr>
          <w:rFonts w:ascii="Arial" w:hAnsi="Arial" w:cs="Arial"/>
          <w:sz w:val="22"/>
          <w:szCs w:val="22"/>
        </w:rPr>
        <w:t xml:space="preserve"> in other</w:t>
      </w:r>
      <w:r w:rsidR="00CE1EA2" w:rsidRPr="00BA4331">
        <w:rPr>
          <w:rFonts w:ascii="Arial" w:hAnsi="Arial" w:cs="Arial"/>
          <w:sz w:val="22"/>
          <w:szCs w:val="22"/>
        </w:rPr>
        <w:t xml:space="preserve"> IPBES documents</w:t>
      </w:r>
      <w:r w:rsidR="00A26AF0" w:rsidRPr="00BA4331">
        <w:rPr>
          <w:rFonts w:ascii="Arial" w:hAnsi="Arial" w:cs="Arial"/>
          <w:sz w:val="22"/>
          <w:szCs w:val="22"/>
        </w:rPr>
        <w:t xml:space="preserve"> </w:t>
      </w:r>
      <w:r w:rsidR="00BA4331" w:rsidRPr="00BA4331">
        <w:rPr>
          <w:rFonts w:ascii="Arial" w:hAnsi="Arial" w:cs="Arial"/>
          <w:sz w:val="22"/>
          <w:szCs w:val="22"/>
        </w:rPr>
        <w:fldChar w:fldCharType="begin"/>
      </w:r>
      <w:r w:rsidR="00BA4331" w:rsidRPr="00BA4331">
        <w:rPr>
          <w:rFonts w:ascii="Arial" w:hAnsi="Arial" w:cs="Arial"/>
          <w:sz w:val="22"/>
          <w:szCs w:val="22"/>
        </w:rPr>
        <w:instrText xml:space="preserve"> ADDIN EN.CITE &lt;EndNote&gt;&lt;Cite&gt;&lt;Author&gt;IPBES&lt;/Author&gt;&lt;Year&gt;2013&lt;/Year&gt;&lt;RecNum&gt;613&lt;/RecNum&gt;&lt;Prefix&gt;i.e. &lt;/Prefix&gt;&lt;DisplayText&gt;(i.e. IPBES 2013)&lt;/DisplayText&gt;&lt;record&gt;&lt;rec-number&gt;613&lt;/rec-number&gt;&lt;foreign-keys&gt;&lt;key app="EN" db-id="259rwp5582tt55eatrpp2axtw9v02p5wr92d" timestamp="1452403617"&gt;613&lt;/key&gt;&lt;/foreign-keys&gt;&lt;ref-type name="Pamphlet"&gt;24&lt;/ref-type&gt;&lt;contributors&gt;&lt;authors&gt;&lt;author&gt;IPBES&lt;/author&gt;&lt;/authors&gt;&lt;/contributors&gt;&lt;titles&gt;&lt;title&gt;Rules of procedure for the Plenary of the Platform. Decision IPBES/1/1.&lt;/title&gt;&lt;/titles&gt;&lt;dates&gt;&lt;year&gt;2013&lt;/year&gt;&lt;/dates&gt;&lt;pub-location&gt;Bonn, Germany&lt;/pub-location&gt;&lt;publisher&gt;IPBES&lt;/publisher&gt;&lt;urls&gt;&lt;/urls&gt;&lt;/record&gt;&lt;/Cite&gt;&lt;/EndNote&gt;</w:instrText>
      </w:r>
      <w:r w:rsidR="00BA4331" w:rsidRPr="00BA4331">
        <w:rPr>
          <w:rFonts w:ascii="Arial" w:hAnsi="Arial" w:cs="Arial"/>
          <w:sz w:val="22"/>
          <w:szCs w:val="22"/>
        </w:rPr>
        <w:fldChar w:fldCharType="separate"/>
      </w:r>
      <w:r w:rsidR="00BA4331" w:rsidRPr="00BA4331">
        <w:rPr>
          <w:rFonts w:ascii="Arial" w:hAnsi="Arial" w:cs="Arial"/>
          <w:noProof/>
          <w:sz w:val="22"/>
          <w:szCs w:val="22"/>
        </w:rPr>
        <w:t>(i.e. IPBES 2013)</w:t>
      </w:r>
      <w:r w:rsidR="00BA4331" w:rsidRPr="00BA4331">
        <w:rPr>
          <w:rFonts w:ascii="Arial" w:hAnsi="Arial" w:cs="Arial"/>
          <w:sz w:val="22"/>
          <w:szCs w:val="22"/>
        </w:rPr>
        <w:fldChar w:fldCharType="end"/>
      </w:r>
      <w:r w:rsidR="00A26AF0" w:rsidRPr="00BA4331">
        <w:rPr>
          <w:rFonts w:ascii="Arial" w:hAnsi="Arial" w:cs="Arial"/>
          <w:sz w:val="22"/>
          <w:szCs w:val="22"/>
        </w:rPr>
        <w:t>.</w:t>
      </w:r>
    </w:p>
    <w:p w14:paraId="134664C6" w14:textId="77777777" w:rsidR="00F616CB" w:rsidRPr="00BA4331" w:rsidRDefault="00F616CB">
      <w:pPr>
        <w:rPr>
          <w:rFonts w:ascii="Arial" w:hAnsi="Arial" w:cs="Arial"/>
          <w:sz w:val="22"/>
          <w:szCs w:val="22"/>
        </w:rPr>
      </w:pPr>
    </w:p>
    <w:p w14:paraId="6F259DBA" w14:textId="1A690484" w:rsidR="00F616CB" w:rsidRPr="00BA4331" w:rsidRDefault="00F616CB" w:rsidP="00F616CB">
      <w:pPr>
        <w:rPr>
          <w:rFonts w:ascii="Arial" w:hAnsi="Arial" w:cs="Arial"/>
          <w:sz w:val="22"/>
          <w:szCs w:val="22"/>
        </w:rPr>
      </w:pPr>
      <w:r w:rsidRPr="00BA4331">
        <w:rPr>
          <w:rFonts w:ascii="Arial" w:hAnsi="Arial" w:cs="Arial"/>
          <w:sz w:val="22"/>
          <w:szCs w:val="22"/>
        </w:rPr>
        <w:t>“III. Institutional arrangements for the Platform</w:t>
      </w:r>
    </w:p>
    <w:p w14:paraId="1120D36C" w14:textId="77777777" w:rsidR="00F616CB" w:rsidRPr="00BA4331" w:rsidRDefault="00F616CB" w:rsidP="00F616CB">
      <w:pPr>
        <w:ind w:firstLine="720"/>
        <w:rPr>
          <w:rFonts w:ascii="Arial" w:hAnsi="Arial" w:cs="Arial"/>
          <w:sz w:val="22"/>
          <w:szCs w:val="22"/>
        </w:rPr>
      </w:pPr>
      <w:r w:rsidRPr="00BA4331">
        <w:rPr>
          <w:rFonts w:ascii="Arial" w:hAnsi="Arial" w:cs="Arial"/>
          <w:sz w:val="22"/>
          <w:szCs w:val="22"/>
        </w:rPr>
        <w:t>A. Plenary</w:t>
      </w:r>
    </w:p>
    <w:p w14:paraId="335B8A9C" w14:textId="2E2A4D14" w:rsidR="00F616CB" w:rsidRPr="00BA4331" w:rsidRDefault="00F616CB" w:rsidP="00F616CB">
      <w:pPr>
        <w:ind w:left="720" w:firstLine="720"/>
        <w:rPr>
          <w:rFonts w:ascii="Arial" w:hAnsi="Arial" w:cs="Arial"/>
          <w:sz w:val="22"/>
          <w:szCs w:val="22"/>
        </w:rPr>
      </w:pPr>
      <w:r w:rsidRPr="00BA4331">
        <w:rPr>
          <w:rFonts w:ascii="Arial" w:hAnsi="Arial" w:cs="Arial"/>
          <w:sz w:val="22"/>
          <w:szCs w:val="22"/>
        </w:rPr>
        <w:t>The Plenary is the Platform’s decision-making body.</w:t>
      </w:r>
    </w:p>
    <w:p w14:paraId="59E15B3C" w14:textId="77777777" w:rsidR="00F616CB" w:rsidRPr="00BA4331" w:rsidRDefault="00F616CB" w:rsidP="00F616CB">
      <w:pPr>
        <w:ind w:firstLine="720"/>
        <w:rPr>
          <w:rFonts w:ascii="Arial" w:hAnsi="Arial" w:cs="Arial"/>
          <w:sz w:val="22"/>
          <w:szCs w:val="22"/>
        </w:rPr>
      </w:pPr>
      <w:r w:rsidRPr="00BA4331">
        <w:rPr>
          <w:rFonts w:ascii="Arial" w:hAnsi="Arial" w:cs="Arial"/>
          <w:sz w:val="22"/>
          <w:szCs w:val="22"/>
        </w:rPr>
        <w:t>1. Membership</w:t>
      </w:r>
    </w:p>
    <w:p w14:paraId="35760176" w14:textId="27DBC36C" w:rsidR="00F616CB" w:rsidRPr="00BA4331" w:rsidRDefault="00F616CB" w:rsidP="00F616CB">
      <w:pPr>
        <w:ind w:left="1440"/>
        <w:rPr>
          <w:rFonts w:ascii="Arial" w:hAnsi="Arial" w:cs="Arial"/>
          <w:sz w:val="22"/>
          <w:szCs w:val="22"/>
        </w:rPr>
      </w:pPr>
      <w:r w:rsidRPr="00BA4331">
        <w:rPr>
          <w:rFonts w:ascii="Arial" w:hAnsi="Arial" w:cs="Arial"/>
          <w:sz w:val="22"/>
          <w:szCs w:val="22"/>
        </w:rPr>
        <w:t>The Platform is open to States Members of the United Nations, who may become members by expressing their intent to do so.</w:t>
      </w:r>
    </w:p>
    <w:p w14:paraId="0B22DE97" w14:textId="77777777" w:rsidR="00F616CB" w:rsidRPr="00BA4331" w:rsidRDefault="00F616CB" w:rsidP="00F616CB">
      <w:pPr>
        <w:ind w:left="720"/>
        <w:rPr>
          <w:rFonts w:ascii="Arial" w:hAnsi="Arial" w:cs="Arial"/>
          <w:sz w:val="22"/>
          <w:szCs w:val="22"/>
        </w:rPr>
      </w:pPr>
      <w:r w:rsidRPr="00BA4331">
        <w:rPr>
          <w:rFonts w:ascii="Arial" w:hAnsi="Arial" w:cs="Arial"/>
          <w:sz w:val="22"/>
          <w:szCs w:val="22"/>
        </w:rPr>
        <w:t>2. Participation of States not members of the Platform, United Nations bodies and other intergovernmental and non-governmental organizations</w:t>
      </w:r>
    </w:p>
    <w:p w14:paraId="53C20EB6" w14:textId="34E4C0D4" w:rsidR="00F616CB" w:rsidRPr="00BA4331" w:rsidRDefault="00F616CB" w:rsidP="00F616CB">
      <w:pPr>
        <w:ind w:left="1440"/>
        <w:rPr>
          <w:rFonts w:ascii="Arial" w:hAnsi="Arial" w:cs="Arial"/>
          <w:sz w:val="22"/>
          <w:szCs w:val="22"/>
        </w:rPr>
      </w:pPr>
      <w:r w:rsidRPr="00BA4331">
        <w:rPr>
          <w:rFonts w:ascii="Arial" w:hAnsi="Arial" w:cs="Arial"/>
          <w:sz w:val="22"/>
          <w:szCs w:val="22"/>
        </w:rPr>
        <w:t>Any State not a member of the Platform, any United Nations body and any other body, organization or agency, whether national or international, governmental, intergovernmental or non- governmental, [including any organization of][accredited representative of] indigenous peoples and local communities, which is qualified in matters covered by the Platform, and which has informed the secretariat of the Platform of its wish to be represented at sessions of the Plenary, may participate in the Platform as an observer, subject to the Platform’s rules of procedures.</w:t>
      </w:r>
    </w:p>
    <w:p w14:paraId="56BB3D60" w14:textId="77777777" w:rsidR="00F616CB" w:rsidRPr="00BA4331" w:rsidRDefault="00F616CB" w:rsidP="00F616CB">
      <w:pPr>
        <w:ind w:firstLine="720"/>
        <w:rPr>
          <w:rFonts w:ascii="Arial" w:hAnsi="Arial" w:cs="Arial"/>
          <w:sz w:val="22"/>
          <w:szCs w:val="22"/>
        </w:rPr>
      </w:pPr>
      <w:r w:rsidRPr="00BA4331">
        <w:rPr>
          <w:rFonts w:ascii="Arial" w:hAnsi="Arial" w:cs="Arial"/>
          <w:sz w:val="22"/>
          <w:szCs w:val="22"/>
        </w:rPr>
        <w:t>3. Functions</w:t>
      </w:r>
    </w:p>
    <w:p w14:paraId="682E5CDF" w14:textId="46C66081" w:rsidR="00F616CB" w:rsidRPr="00BA4331" w:rsidRDefault="00F616CB" w:rsidP="00F616CB">
      <w:pPr>
        <w:ind w:left="1440"/>
        <w:rPr>
          <w:rFonts w:ascii="Arial" w:hAnsi="Arial" w:cs="Arial"/>
          <w:sz w:val="22"/>
          <w:szCs w:val="22"/>
        </w:rPr>
      </w:pPr>
      <w:r w:rsidRPr="00BA4331">
        <w:rPr>
          <w:rFonts w:ascii="Arial" w:hAnsi="Arial" w:cs="Arial"/>
          <w:sz w:val="22"/>
          <w:szCs w:val="22"/>
        </w:rPr>
        <w:t>The functions of the Plenary include:</w:t>
      </w:r>
    </w:p>
    <w:p w14:paraId="55ADBE69" w14:textId="77777777" w:rsidR="00F616CB" w:rsidRPr="00BA4331" w:rsidRDefault="00F616CB" w:rsidP="00F616CB">
      <w:pPr>
        <w:ind w:left="1440"/>
        <w:rPr>
          <w:rFonts w:ascii="Arial" w:hAnsi="Arial" w:cs="Arial"/>
          <w:sz w:val="22"/>
          <w:szCs w:val="22"/>
        </w:rPr>
      </w:pPr>
      <w:r w:rsidRPr="00BA4331">
        <w:rPr>
          <w:rFonts w:ascii="Arial" w:hAnsi="Arial" w:cs="Arial"/>
          <w:sz w:val="22"/>
          <w:szCs w:val="22"/>
        </w:rPr>
        <w:t>(a) Acting as the Platform’s decision-making body;</w:t>
      </w:r>
    </w:p>
    <w:p w14:paraId="03343841" w14:textId="203F2A71" w:rsidR="00F616CB" w:rsidRPr="00BA4331" w:rsidRDefault="00F616CB" w:rsidP="00F616CB">
      <w:pPr>
        <w:ind w:left="1440"/>
        <w:rPr>
          <w:rFonts w:ascii="Arial" w:hAnsi="Arial" w:cs="Arial"/>
          <w:sz w:val="22"/>
          <w:szCs w:val="22"/>
        </w:rPr>
      </w:pPr>
      <w:r w:rsidRPr="00BA4331">
        <w:rPr>
          <w:rFonts w:ascii="Arial" w:hAnsi="Arial" w:cs="Arial"/>
          <w:sz w:val="22"/>
          <w:szCs w:val="22"/>
        </w:rPr>
        <w:t>(b) Responding to requests from Governments, including those conveyed to it by multilateral environmental agreements related to biodiversity and ecosystem services as determined by their respective governing bodies;</w:t>
      </w:r>
    </w:p>
    <w:p w14:paraId="055EB490" w14:textId="7A8BF1A9" w:rsidR="00F616CB" w:rsidRPr="00BA4331" w:rsidRDefault="00F616CB" w:rsidP="00F616CB">
      <w:pPr>
        <w:ind w:left="1440"/>
        <w:rPr>
          <w:rFonts w:ascii="Arial" w:hAnsi="Arial" w:cs="Arial"/>
          <w:sz w:val="22"/>
          <w:szCs w:val="22"/>
        </w:rPr>
      </w:pPr>
      <w:r w:rsidRPr="00BA4331">
        <w:rPr>
          <w:rFonts w:ascii="Arial" w:hAnsi="Arial" w:cs="Arial"/>
          <w:sz w:val="22"/>
          <w:szCs w:val="22"/>
        </w:rPr>
        <w:t>(c) Welcoming inputs and suggestions from, and the participation of, United Nations bodies related to biodiversity and ecosystem services as determined by their respective governing bodies;</w:t>
      </w:r>
    </w:p>
    <w:p w14:paraId="7B822BE2" w14:textId="1B245E9C" w:rsidR="00F616CB" w:rsidRPr="00BA4331" w:rsidRDefault="00F616CB" w:rsidP="00F616CB">
      <w:pPr>
        <w:ind w:left="1440"/>
        <w:rPr>
          <w:rFonts w:ascii="Arial" w:hAnsi="Arial" w:cs="Arial"/>
          <w:sz w:val="22"/>
          <w:szCs w:val="22"/>
        </w:rPr>
      </w:pPr>
      <w:r w:rsidRPr="00BA4331">
        <w:rPr>
          <w:rFonts w:ascii="Arial" w:hAnsi="Arial" w:cs="Arial"/>
          <w:sz w:val="22"/>
          <w:szCs w:val="22"/>
        </w:rPr>
        <w:t>(d) Encouraging and taking into account, as appropriate, inputs and suggestions made by relevant stakeholders, such as other intergovernmental organizations, international and regional scientific organizations, environmental trust funds, non-governmental organizations, indigenous peoples and local communities and the private sector;</w:t>
      </w:r>
    </w:p>
    <w:p w14:paraId="4BDA65D0" w14:textId="77777777" w:rsidR="00F616CB" w:rsidRPr="00BA4331" w:rsidRDefault="00F616CB" w:rsidP="00F616CB">
      <w:pPr>
        <w:ind w:left="1440"/>
        <w:rPr>
          <w:rFonts w:ascii="Arial" w:hAnsi="Arial" w:cs="Arial"/>
          <w:sz w:val="22"/>
          <w:szCs w:val="22"/>
        </w:rPr>
      </w:pPr>
      <w:r w:rsidRPr="00BA4331">
        <w:rPr>
          <w:rFonts w:ascii="Arial" w:hAnsi="Arial" w:cs="Arial"/>
          <w:sz w:val="22"/>
          <w:szCs w:val="22"/>
        </w:rPr>
        <w:t>(e) Ensuring the active and efficient participation of civil society in the Plenary;</w:t>
      </w:r>
    </w:p>
    <w:p w14:paraId="2ADC4854" w14:textId="7345F1EF" w:rsidR="00F616CB" w:rsidRPr="00BA4331" w:rsidRDefault="00F616CB" w:rsidP="00F616CB">
      <w:pPr>
        <w:ind w:left="1440"/>
        <w:rPr>
          <w:rFonts w:ascii="Arial" w:hAnsi="Arial" w:cs="Arial"/>
          <w:sz w:val="22"/>
          <w:szCs w:val="22"/>
        </w:rPr>
      </w:pPr>
      <w:r w:rsidRPr="00BA4331">
        <w:rPr>
          <w:rFonts w:ascii="Arial" w:hAnsi="Arial" w:cs="Arial"/>
          <w:sz w:val="22"/>
          <w:szCs w:val="22"/>
        </w:rPr>
        <w:t>(f) Selecting one Chair and four Vice-Chairs, taking due account of the principle of geographical balance among the five United Nations regions, based on criteria, a nomination process and length of service to be decided by the Plenary;</w:t>
      </w:r>
    </w:p>
    <w:p w14:paraId="5FCF9B80" w14:textId="77777777" w:rsidR="00F616CB" w:rsidRPr="00BA4331" w:rsidRDefault="00F616CB" w:rsidP="00F616CB">
      <w:pPr>
        <w:ind w:left="1440"/>
        <w:rPr>
          <w:rFonts w:ascii="Arial" w:hAnsi="Arial" w:cs="Arial"/>
          <w:sz w:val="22"/>
          <w:szCs w:val="22"/>
        </w:rPr>
      </w:pPr>
      <w:r w:rsidRPr="00BA4331">
        <w:rPr>
          <w:rFonts w:ascii="Arial" w:hAnsi="Arial" w:cs="Arial"/>
          <w:sz w:val="22"/>
          <w:szCs w:val="22"/>
        </w:rPr>
        <w:t>(g) Selecting members of any subsidiary body, taking due account of the principle of geographical balance among the five United Nations regions, based on criteria, a nomination process and length of service to be decided by the Plenary;</w:t>
      </w:r>
    </w:p>
    <w:p w14:paraId="3A8D674D" w14:textId="77777777" w:rsidR="00F616CB" w:rsidRPr="00BA4331" w:rsidRDefault="00F616CB" w:rsidP="00F616CB">
      <w:pPr>
        <w:ind w:left="1440"/>
        <w:rPr>
          <w:rFonts w:ascii="Arial" w:hAnsi="Arial" w:cs="Arial"/>
          <w:sz w:val="22"/>
          <w:szCs w:val="22"/>
        </w:rPr>
      </w:pPr>
      <w:r w:rsidRPr="00BA4331">
        <w:rPr>
          <w:rFonts w:ascii="Arial" w:hAnsi="Arial" w:cs="Arial"/>
          <w:sz w:val="22"/>
          <w:szCs w:val="22"/>
        </w:rPr>
        <w:t>(h) Approving a budget and overseeing the allocation of the trust fund;</w:t>
      </w:r>
    </w:p>
    <w:p w14:paraId="45C875E5" w14:textId="2CB5BABD" w:rsidR="00F616CB" w:rsidRPr="00BA4331" w:rsidRDefault="00F616CB" w:rsidP="00F616CB">
      <w:pPr>
        <w:ind w:left="1440"/>
        <w:rPr>
          <w:rFonts w:ascii="Arial" w:hAnsi="Arial" w:cs="Arial"/>
          <w:sz w:val="22"/>
          <w:szCs w:val="22"/>
        </w:rPr>
      </w:pPr>
      <w:r w:rsidRPr="00BA4331">
        <w:rPr>
          <w:rFonts w:ascii="Arial" w:hAnsi="Arial" w:cs="Arial"/>
          <w:sz w:val="22"/>
          <w:szCs w:val="22"/>
        </w:rPr>
        <w:t>(</w:t>
      </w:r>
      <w:proofErr w:type="spellStart"/>
      <w:r w:rsidRPr="00BA4331">
        <w:rPr>
          <w:rFonts w:ascii="Arial" w:hAnsi="Arial" w:cs="Arial"/>
          <w:sz w:val="22"/>
          <w:szCs w:val="22"/>
        </w:rPr>
        <w:t>i</w:t>
      </w:r>
      <w:proofErr w:type="spellEnd"/>
      <w:r w:rsidRPr="00BA4331">
        <w:rPr>
          <w:rFonts w:ascii="Arial" w:hAnsi="Arial" w:cs="Arial"/>
          <w:sz w:val="22"/>
          <w:szCs w:val="22"/>
        </w:rPr>
        <w:t>) Deciding on an evaluation process for independently reviewing the Platform’s efficiency and effectiveness on a periodic basis;</w:t>
      </w:r>
    </w:p>
    <w:p w14:paraId="365FA37D" w14:textId="77777777" w:rsidR="00F616CB" w:rsidRPr="00BA4331" w:rsidRDefault="00F616CB" w:rsidP="00F616CB">
      <w:pPr>
        <w:ind w:left="1440"/>
        <w:rPr>
          <w:rFonts w:ascii="Arial" w:hAnsi="Arial" w:cs="Arial"/>
          <w:sz w:val="22"/>
          <w:szCs w:val="22"/>
        </w:rPr>
      </w:pPr>
      <w:r w:rsidRPr="00BA4331">
        <w:rPr>
          <w:rFonts w:ascii="Arial" w:hAnsi="Arial" w:cs="Arial"/>
          <w:sz w:val="22"/>
          <w:szCs w:val="22"/>
        </w:rPr>
        <w:t>(j) Adopting a programme of work for the Platform, including on knowledge generation, assessments, policy support and capacity-building;</w:t>
      </w:r>
    </w:p>
    <w:p w14:paraId="0E0FCF53" w14:textId="72AAE114" w:rsidR="00F616CB" w:rsidRPr="00BA4331" w:rsidRDefault="00F616CB" w:rsidP="00F616CB">
      <w:pPr>
        <w:ind w:left="1440"/>
        <w:rPr>
          <w:rFonts w:ascii="Arial" w:hAnsi="Arial" w:cs="Arial"/>
          <w:sz w:val="22"/>
          <w:szCs w:val="22"/>
        </w:rPr>
      </w:pPr>
      <w:r w:rsidRPr="00BA4331">
        <w:rPr>
          <w:rFonts w:ascii="Arial" w:hAnsi="Arial" w:cs="Arial"/>
          <w:sz w:val="22"/>
          <w:szCs w:val="22"/>
        </w:rPr>
        <w:t>(k) Establishing subsidiary bodies and working groups as appropriate;</w:t>
      </w:r>
    </w:p>
    <w:p w14:paraId="0F915F9F" w14:textId="77777777" w:rsidR="00F616CB" w:rsidRPr="00BA4331" w:rsidRDefault="00F616CB" w:rsidP="00F616CB">
      <w:pPr>
        <w:ind w:left="1440"/>
        <w:rPr>
          <w:rFonts w:ascii="Arial" w:hAnsi="Arial" w:cs="Arial"/>
          <w:sz w:val="22"/>
          <w:szCs w:val="22"/>
        </w:rPr>
      </w:pPr>
      <w:r w:rsidRPr="00BA4331">
        <w:rPr>
          <w:rFonts w:ascii="Arial" w:hAnsi="Arial" w:cs="Arial"/>
          <w:sz w:val="22"/>
          <w:szCs w:val="22"/>
        </w:rPr>
        <w:lastRenderedPageBreak/>
        <w:t>(l) Setting up a transparent peer review process for the production of reports by the Platform;</w:t>
      </w:r>
    </w:p>
    <w:p w14:paraId="570E20A4" w14:textId="77777777" w:rsidR="00F616CB" w:rsidRPr="00BA4331" w:rsidRDefault="00F616CB" w:rsidP="00F616CB">
      <w:pPr>
        <w:ind w:left="1440"/>
        <w:rPr>
          <w:rFonts w:ascii="Arial" w:hAnsi="Arial" w:cs="Arial"/>
          <w:sz w:val="22"/>
          <w:szCs w:val="22"/>
        </w:rPr>
      </w:pPr>
      <w:r w:rsidRPr="00BA4331">
        <w:rPr>
          <w:rFonts w:ascii="Arial" w:hAnsi="Arial" w:cs="Arial"/>
          <w:sz w:val="22"/>
          <w:szCs w:val="22"/>
        </w:rPr>
        <w:t>(m) Deciding on a process for defining the scope of reports and for the adoption or approval of any reports produced by the Platform (following agreement on the work programme);</w:t>
      </w:r>
    </w:p>
    <w:p w14:paraId="648F3885" w14:textId="7063923F" w:rsidR="008444C2" w:rsidRPr="00BA4331" w:rsidRDefault="00F616CB" w:rsidP="00F616CB">
      <w:pPr>
        <w:ind w:left="1440"/>
        <w:rPr>
          <w:rFonts w:ascii="Arial" w:hAnsi="Arial" w:cs="Arial"/>
          <w:sz w:val="22"/>
          <w:szCs w:val="22"/>
        </w:rPr>
      </w:pPr>
      <w:r w:rsidRPr="00BA4331">
        <w:rPr>
          <w:rFonts w:ascii="Arial" w:hAnsi="Arial" w:cs="Arial"/>
          <w:sz w:val="22"/>
          <w:szCs w:val="22"/>
        </w:rPr>
        <w:t>(n) Adopting and amending rules of procedures and financial rules.”</w:t>
      </w:r>
    </w:p>
    <w:p w14:paraId="4C9BCE85" w14:textId="104EB4DD" w:rsidR="008444C2" w:rsidRPr="00BA4331" w:rsidRDefault="008444C2">
      <w:pPr>
        <w:rPr>
          <w:rFonts w:ascii="Arial" w:hAnsi="Arial" w:cs="Arial"/>
          <w:sz w:val="22"/>
          <w:szCs w:val="22"/>
        </w:rPr>
      </w:pPr>
    </w:p>
    <w:p w14:paraId="367D2F05" w14:textId="0D43FD30" w:rsidR="008444C2" w:rsidRPr="00BA4331" w:rsidRDefault="008718C8">
      <w:pPr>
        <w:rPr>
          <w:rFonts w:ascii="Arial" w:hAnsi="Arial" w:cs="Arial"/>
          <w:b/>
          <w:sz w:val="22"/>
          <w:szCs w:val="22"/>
        </w:rPr>
      </w:pPr>
      <w:r w:rsidRPr="00BA4331">
        <w:rPr>
          <w:rFonts w:ascii="Arial" w:hAnsi="Arial" w:cs="Arial"/>
          <w:b/>
          <w:sz w:val="22"/>
          <w:szCs w:val="22"/>
        </w:rPr>
        <w:t>SM1.2</w:t>
      </w:r>
    </w:p>
    <w:p w14:paraId="0454D7A8" w14:textId="73C63F92" w:rsidR="008718C8" w:rsidRPr="00BA4331" w:rsidRDefault="008718C8">
      <w:pPr>
        <w:rPr>
          <w:rFonts w:ascii="Arial" w:hAnsi="Arial" w:cs="Arial"/>
          <w:sz w:val="22"/>
          <w:szCs w:val="22"/>
        </w:rPr>
      </w:pPr>
      <w:r w:rsidRPr="00BA4331">
        <w:rPr>
          <w:rFonts w:ascii="Arial" w:hAnsi="Arial" w:cs="Arial"/>
          <w:sz w:val="22"/>
          <w:szCs w:val="22"/>
        </w:rPr>
        <w:t>The procedure for nominating and selecting experts has been defined in the IPBES rules of procedure</w:t>
      </w:r>
      <w:r w:rsidR="00713E31" w:rsidRPr="00BA4331">
        <w:rPr>
          <w:rFonts w:ascii="Arial" w:hAnsi="Arial" w:cs="Arial"/>
          <w:sz w:val="22"/>
          <w:szCs w:val="22"/>
        </w:rPr>
        <w:t>.</w:t>
      </w:r>
      <w:r w:rsidR="00D13A87" w:rsidRPr="00BA4331">
        <w:rPr>
          <w:rFonts w:ascii="Arial" w:hAnsi="Arial" w:cs="Arial"/>
          <w:sz w:val="22"/>
          <w:szCs w:val="22"/>
        </w:rPr>
        <w:t xml:space="preserve"> These involve an invitation for nominations by governments and relevant stakeholders, followed by selection by the Multidisciplinary Expert Panel.</w:t>
      </w:r>
    </w:p>
    <w:p w14:paraId="048BAD86" w14:textId="7D8CAF3D" w:rsidR="008718C8" w:rsidRPr="00BA4331" w:rsidRDefault="008718C8">
      <w:pPr>
        <w:rPr>
          <w:rFonts w:ascii="Arial" w:hAnsi="Arial" w:cs="Arial"/>
          <w:sz w:val="22"/>
          <w:szCs w:val="22"/>
        </w:rPr>
      </w:pPr>
    </w:p>
    <w:p w14:paraId="38BD3D34" w14:textId="7DB37681" w:rsidR="003943F4" w:rsidRPr="00BA4331" w:rsidRDefault="008718C8" w:rsidP="008718C8">
      <w:pPr>
        <w:rPr>
          <w:rFonts w:ascii="Arial" w:hAnsi="Arial" w:cs="Arial"/>
          <w:sz w:val="22"/>
          <w:szCs w:val="22"/>
        </w:rPr>
      </w:pPr>
      <w:r w:rsidRPr="00BA4331">
        <w:rPr>
          <w:rFonts w:ascii="Arial" w:hAnsi="Arial" w:cs="Arial"/>
          <w:sz w:val="22"/>
          <w:szCs w:val="22"/>
        </w:rPr>
        <w:t>“</w:t>
      </w:r>
      <w:r w:rsidR="003943F4" w:rsidRPr="00BA4331">
        <w:rPr>
          <w:rFonts w:ascii="Arial" w:hAnsi="Arial" w:cs="Arial"/>
          <w:sz w:val="22"/>
          <w:szCs w:val="22"/>
        </w:rPr>
        <w:t>3.1 Standard approach for thematic or methodological assessments</w:t>
      </w:r>
    </w:p>
    <w:p w14:paraId="7392417B" w14:textId="17B5E920" w:rsidR="008718C8" w:rsidRPr="00BA4331" w:rsidRDefault="008718C8" w:rsidP="00713E31">
      <w:pPr>
        <w:ind w:left="720"/>
        <w:rPr>
          <w:rFonts w:ascii="Arial" w:hAnsi="Arial" w:cs="Arial"/>
          <w:sz w:val="22"/>
          <w:szCs w:val="22"/>
        </w:rPr>
      </w:pPr>
      <w:r w:rsidRPr="00BA4331">
        <w:rPr>
          <w:rFonts w:ascii="Arial" w:hAnsi="Arial" w:cs="Arial"/>
          <w:sz w:val="22"/>
          <w:szCs w:val="22"/>
        </w:rPr>
        <w:t>(</w:t>
      </w:r>
      <w:proofErr w:type="spellStart"/>
      <w:r w:rsidRPr="00BA4331">
        <w:rPr>
          <w:rFonts w:ascii="Arial" w:hAnsi="Arial" w:cs="Arial"/>
          <w:sz w:val="22"/>
          <w:szCs w:val="22"/>
        </w:rPr>
        <w:t>i</w:t>
      </w:r>
      <w:proofErr w:type="spellEnd"/>
      <w:r w:rsidRPr="00BA4331">
        <w:rPr>
          <w:rFonts w:ascii="Arial" w:hAnsi="Arial" w:cs="Arial"/>
          <w:sz w:val="22"/>
          <w:szCs w:val="22"/>
        </w:rPr>
        <w:t>) If the decision is to proceed with the assessment, the Multidisciplinary Expert Panel requests nominations from Governments and invites relevant stakeholders to present names of experts to contribute to the preparation of the report;</w:t>
      </w:r>
    </w:p>
    <w:p w14:paraId="192BB4E4" w14:textId="44C5FFCC" w:rsidR="008718C8" w:rsidRPr="00BA4331" w:rsidRDefault="008718C8" w:rsidP="00713E31">
      <w:pPr>
        <w:ind w:left="720"/>
        <w:rPr>
          <w:rFonts w:ascii="Arial" w:hAnsi="Arial" w:cs="Arial"/>
          <w:sz w:val="22"/>
          <w:szCs w:val="22"/>
        </w:rPr>
      </w:pPr>
      <w:r w:rsidRPr="00BA4331">
        <w:rPr>
          <w:rFonts w:ascii="Arial" w:hAnsi="Arial" w:cs="Arial"/>
          <w:sz w:val="22"/>
          <w:szCs w:val="22"/>
        </w:rPr>
        <w:t>(j) The Multidisciplinary Expert Panel selects the report co-chairs, coordinating lead authors, lead authors and review editors using the selection criteria (section 3.6.2) from the lists of nominations, of which experts selected from those presented by relevant stakeholders should not exceed twenty per cent;”</w:t>
      </w:r>
      <w:r w:rsidR="00D13A87" w:rsidRPr="00BA4331">
        <w:rPr>
          <w:rFonts w:ascii="Arial" w:hAnsi="Arial" w:cs="Arial"/>
          <w:sz w:val="22"/>
          <w:szCs w:val="22"/>
        </w:rPr>
        <w:t xml:space="preserve"> </w:t>
      </w:r>
      <w:r w:rsidR="00BA4331" w:rsidRPr="00BA4331">
        <w:rPr>
          <w:rFonts w:ascii="Arial" w:hAnsi="Arial" w:cs="Arial"/>
          <w:sz w:val="22"/>
          <w:szCs w:val="22"/>
        </w:rPr>
        <w:fldChar w:fldCharType="begin"/>
      </w:r>
      <w:r w:rsidR="00BA4331" w:rsidRPr="00BA4331">
        <w:rPr>
          <w:rFonts w:ascii="Arial" w:hAnsi="Arial" w:cs="Arial"/>
          <w:sz w:val="22"/>
          <w:szCs w:val="22"/>
        </w:rPr>
        <w:instrText xml:space="preserve"> ADDIN EN.CITE &lt;EndNote&gt;&lt;Cite&gt;&lt;Author&gt;IPBES&lt;/Author&gt;&lt;Year&gt;2015&lt;/Year&gt;&lt;RecNum&gt;614&lt;/RecNum&gt;&lt;Suffix&gt;: 5&lt;/Suffix&gt;&lt;DisplayText&gt;(IPBES 2015: 5)&lt;/DisplayText&gt;&lt;record&gt;&lt;rec-number&gt;614&lt;/rec-number&gt;&lt;foreign-keys&gt;&lt;key app="EN" db-id="259rwp5582tt55eatrpp2axtw9v02p5wr92d" timestamp="1452404324"&gt;614&lt;/key&gt;&lt;/foreign-keys&gt;&lt;ref-type name="Pamphlet"&gt;24&lt;/ref-type&gt;&lt;contributors&gt;&lt;authors&gt;&lt;author&gt;IPBES&lt;/author&gt;&lt;/authors&gt;&lt;/contributors&gt;&lt;titles&gt;&lt;title&gt;Procedures for the preparation of Platform deliverables. Decision IPBES-3/3.&lt;/title&gt;&lt;/titles&gt;&lt;dates&gt;&lt;year&gt;2015&lt;/year&gt;&lt;/dates&gt;&lt;pub-location&gt;Bonn, Germany&lt;/pub-location&gt;&lt;publisher&gt;IPBES&lt;/publisher&gt;&lt;urls&gt;&lt;/urls&gt;&lt;/record&gt;&lt;/Cite&gt;&lt;/EndNote&gt;</w:instrText>
      </w:r>
      <w:r w:rsidR="00BA4331" w:rsidRPr="00BA4331">
        <w:rPr>
          <w:rFonts w:ascii="Arial" w:hAnsi="Arial" w:cs="Arial"/>
          <w:sz w:val="22"/>
          <w:szCs w:val="22"/>
        </w:rPr>
        <w:fldChar w:fldCharType="separate"/>
      </w:r>
      <w:r w:rsidR="00BA4331" w:rsidRPr="00BA4331">
        <w:rPr>
          <w:rFonts w:ascii="Arial" w:hAnsi="Arial" w:cs="Arial"/>
          <w:noProof/>
          <w:sz w:val="22"/>
          <w:szCs w:val="22"/>
        </w:rPr>
        <w:t>(IPBES 2015: 5)</w:t>
      </w:r>
      <w:r w:rsidR="00BA4331" w:rsidRPr="00BA4331">
        <w:rPr>
          <w:rFonts w:ascii="Arial" w:hAnsi="Arial" w:cs="Arial"/>
          <w:sz w:val="22"/>
          <w:szCs w:val="22"/>
        </w:rPr>
        <w:fldChar w:fldCharType="end"/>
      </w:r>
    </w:p>
    <w:p w14:paraId="35907FD2" w14:textId="03846E3D" w:rsidR="008444C2" w:rsidRPr="00BA4331" w:rsidRDefault="008444C2">
      <w:pPr>
        <w:rPr>
          <w:rFonts w:ascii="Arial" w:hAnsi="Arial" w:cs="Arial"/>
          <w:sz w:val="22"/>
          <w:szCs w:val="22"/>
        </w:rPr>
      </w:pPr>
    </w:p>
    <w:p w14:paraId="0A85D090" w14:textId="7E474DB2" w:rsidR="008444C2" w:rsidRPr="00BA4331" w:rsidRDefault="003943F4">
      <w:pPr>
        <w:rPr>
          <w:rFonts w:ascii="Arial" w:hAnsi="Arial" w:cs="Arial"/>
          <w:sz w:val="22"/>
          <w:szCs w:val="22"/>
        </w:rPr>
      </w:pPr>
      <w:r w:rsidRPr="00BA4331">
        <w:rPr>
          <w:rFonts w:ascii="Arial" w:hAnsi="Arial" w:cs="Arial"/>
          <w:sz w:val="22"/>
          <w:szCs w:val="22"/>
        </w:rPr>
        <w:t>The rules for selection are further elaborated as follows:</w:t>
      </w:r>
    </w:p>
    <w:p w14:paraId="4610D881" w14:textId="0F4EA62E" w:rsidR="003943F4" w:rsidRPr="00BA4331" w:rsidRDefault="003943F4">
      <w:pPr>
        <w:rPr>
          <w:rFonts w:ascii="Arial" w:hAnsi="Arial" w:cs="Arial"/>
          <w:sz w:val="22"/>
          <w:szCs w:val="22"/>
        </w:rPr>
      </w:pPr>
    </w:p>
    <w:p w14:paraId="1FB83AE6" w14:textId="77777777" w:rsidR="003943F4" w:rsidRPr="00BA4331" w:rsidRDefault="003943F4" w:rsidP="003943F4">
      <w:pPr>
        <w:rPr>
          <w:rFonts w:ascii="Arial" w:hAnsi="Arial" w:cs="Arial"/>
          <w:sz w:val="22"/>
          <w:szCs w:val="22"/>
        </w:rPr>
      </w:pPr>
      <w:r w:rsidRPr="00BA4331">
        <w:rPr>
          <w:rFonts w:ascii="Arial" w:hAnsi="Arial" w:cs="Arial"/>
          <w:sz w:val="22"/>
          <w:szCs w:val="22"/>
        </w:rPr>
        <w:t>“3.6.2 Selection of report co-chairs, coordinating lead authors, lead authors and review editors</w:t>
      </w:r>
    </w:p>
    <w:p w14:paraId="79B848A4" w14:textId="77777777" w:rsidR="003943F4" w:rsidRPr="00BA4331" w:rsidRDefault="003943F4" w:rsidP="00713E31">
      <w:pPr>
        <w:ind w:left="720"/>
        <w:rPr>
          <w:rFonts w:ascii="Arial" w:hAnsi="Arial" w:cs="Arial"/>
          <w:sz w:val="22"/>
          <w:szCs w:val="22"/>
        </w:rPr>
      </w:pPr>
      <w:r w:rsidRPr="00BA4331">
        <w:rPr>
          <w:rFonts w:ascii="Arial" w:hAnsi="Arial" w:cs="Arial"/>
          <w:sz w:val="22"/>
          <w:szCs w:val="22"/>
        </w:rPr>
        <w:t>Report co-chairs, coordinating lead authors, lead authors and review editors are selected by the Multidisciplinary Expert Panel from the lists of nominations, of which experts selected from those presented by relevant stakeholders should not exceed twenty per cent.</w:t>
      </w:r>
    </w:p>
    <w:p w14:paraId="5749F9F7" w14:textId="09253A47" w:rsidR="003943F4" w:rsidRPr="00BA4331" w:rsidRDefault="003943F4" w:rsidP="00D13A87">
      <w:pPr>
        <w:ind w:left="720"/>
        <w:rPr>
          <w:rFonts w:ascii="Arial" w:hAnsi="Arial" w:cs="Arial"/>
          <w:sz w:val="22"/>
          <w:szCs w:val="22"/>
        </w:rPr>
      </w:pPr>
      <w:r w:rsidRPr="00BA4331">
        <w:rPr>
          <w:rFonts w:ascii="Arial" w:hAnsi="Arial" w:cs="Arial"/>
          <w:sz w:val="22"/>
          <w:szCs w:val="22"/>
        </w:rPr>
        <w:t>The composition of the group of coordinating lead authors and lead authors for a given chapter, report or summary should reflect the range of scientific, technical and socioeconomic views and expertise; geographical representation, with appropriate representation of experts from developing and developed countries and countries with economies in transition; the diversity of knowledge systems that exist; and gender balance. The Multidisciplinary Expert Panel will inform the Plenary on the selection process and the extent to which the above-mentioned considerations were achieved therein, and on the persons appointed to the positions of report co-chairs, coordinating lead authors, lead authors and review editors for the various chapters. Every effort should be made to engage experts from the relevant regions on the author teams for chapters that deal with specific regions, but experts from other regions may be engaged when they can provide an important contribution to an assessment.</w:t>
      </w:r>
      <w:r w:rsidR="00D13A87" w:rsidRPr="00BA4331">
        <w:rPr>
          <w:rFonts w:ascii="Arial" w:hAnsi="Arial" w:cs="Arial"/>
          <w:sz w:val="22"/>
          <w:szCs w:val="22"/>
        </w:rPr>
        <w:t xml:space="preserve"> </w:t>
      </w:r>
      <w:r w:rsidRPr="00BA4331">
        <w:rPr>
          <w:rFonts w:ascii="Arial" w:hAnsi="Arial" w:cs="Arial"/>
          <w:sz w:val="22"/>
          <w:szCs w:val="22"/>
        </w:rPr>
        <w:t>The coordinating lead authors and lead authors selected by the Multidisciplinary Expert Panel may enlist other experts as contributing authors to assist with the work.”</w:t>
      </w:r>
      <w:r w:rsidR="00D13A87" w:rsidRPr="00BA4331">
        <w:rPr>
          <w:rFonts w:ascii="Arial" w:hAnsi="Arial" w:cs="Arial"/>
          <w:sz w:val="22"/>
          <w:szCs w:val="22"/>
        </w:rPr>
        <w:t xml:space="preserve"> </w:t>
      </w:r>
      <w:r w:rsidR="00BA4331" w:rsidRPr="00BA4331">
        <w:rPr>
          <w:rFonts w:ascii="Arial" w:hAnsi="Arial" w:cs="Arial"/>
          <w:sz w:val="22"/>
          <w:szCs w:val="22"/>
        </w:rPr>
        <w:fldChar w:fldCharType="begin"/>
      </w:r>
      <w:r w:rsidR="00BA4331" w:rsidRPr="00BA4331">
        <w:rPr>
          <w:rFonts w:ascii="Arial" w:hAnsi="Arial" w:cs="Arial"/>
          <w:sz w:val="22"/>
          <w:szCs w:val="22"/>
        </w:rPr>
        <w:instrText xml:space="preserve"> ADDIN EN.CITE &lt;EndNote&gt;&lt;Cite&gt;&lt;Author&gt;IPBES&lt;/Author&gt;&lt;Year&gt;2015&lt;/Year&gt;&lt;RecNum&gt;614&lt;/RecNum&gt;&lt;Suffix&gt;: 10&lt;/Suffix&gt;&lt;DisplayText&gt;(IPBES 2015: 10)&lt;/DisplayText&gt;&lt;record&gt;&lt;rec-number&gt;614&lt;/rec-number&gt;&lt;foreign-keys&gt;&lt;key app="EN" db-id="259rwp5582tt55eatrpp2axtw9v02p5wr92d" timestamp="1452404324"&gt;614&lt;/key&gt;&lt;/foreign-keys&gt;&lt;ref-type name="Pamphlet"&gt;24&lt;/ref-type&gt;&lt;contributors&gt;&lt;authors&gt;&lt;author&gt;IPBES&lt;/author&gt;&lt;/authors&gt;&lt;/contributors&gt;&lt;titles&gt;&lt;title&gt;Procedures for the preparation of Platform deliverables. Decision IPBES-3/3.&lt;/title&gt;&lt;/titles&gt;&lt;dates&gt;&lt;year&gt;2015&lt;/year&gt;&lt;/dates&gt;&lt;pub-location&gt;Bonn, Germany&lt;/pub-location&gt;&lt;publisher&gt;IPBES&lt;/publisher&gt;&lt;urls&gt;&lt;/urls&gt;&lt;/record&gt;&lt;/Cite&gt;&lt;/EndNote&gt;</w:instrText>
      </w:r>
      <w:r w:rsidR="00BA4331" w:rsidRPr="00BA4331">
        <w:rPr>
          <w:rFonts w:ascii="Arial" w:hAnsi="Arial" w:cs="Arial"/>
          <w:sz w:val="22"/>
          <w:szCs w:val="22"/>
        </w:rPr>
        <w:fldChar w:fldCharType="separate"/>
      </w:r>
      <w:r w:rsidR="00BA4331" w:rsidRPr="00BA4331">
        <w:rPr>
          <w:rFonts w:ascii="Arial" w:hAnsi="Arial" w:cs="Arial"/>
          <w:noProof/>
          <w:sz w:val="22"/>
          <w:szCs w:val="22"/>
        </w:rPr>
        <w:t>(IPBES 2015: 10)</w:t>
      </w:r>
      <w:r w:rsidR="00BA4331" w:rsidRPr="00BA4331">
        <w:rPr>
          <w:rFonts w:ascii="Arial" w:hAnsi="Arial" w:cs="Arial"/>
          <w:sz w:val="22"/>
          <w:szCs w:val="22"/>
        </w:rPr>
        <w:fldChar w:fldCharType="end"/>
      </w:r>
    </w:p>
    <w:p w14:paraId="4A0B7A97" w14:textId="356ACFB1" w:rsidR="008444C2" w:rsidRPr="00BA4331" w:rsidRDefault="008444C2">
      <w:pPr>
        <w:rPr>
          <w:rFonts w:ascii="Arial" w:hAnsi="Arial" w:cs="Arial"/>
          <w:sz w:val="22"/>
          <w:szCs w:val="22"/>
        </w:rPr>
      </w:pPr>
    </w:p>
    <w:p w14:paraId="5DAE9529" w14:textId="01E985A4" w:rsidR="008444C2" w:rsidRPr="00BA4331" w:rsidRDefault="00A26AF0">
      <w:pPr>
        <w:rPr>
          <w:rFonts w:ascii="Arial" w:hAnsi="Arial" w:cs="Arial"/>
          <w:b/>
          <w:sz w:val="22"/>
          <w:szCs w:val="22"/>
        </w:rPr>
      </w:pPr>
      <w:r w:rsidRPr="00BA4331">
        <w:rPr>
          <w:rFonts w:ascii="Arial" w:hAnsi="Arial" w:cs="Arial"/>
          <w:b/>
          <w:sz w:val="22"/>
          <w:szCs w:val="22"/>
        </w:rPr>
        <w:t>SM1.3</w:t>
      </w:r>
    </w:p>
    <w:p w14:paraId="38150482" w14:textId="25447AE4" w:rsidR="009A334B" w:rsidRPr="00BA4331" w:rsidRDefault="00A26AF0">
      <w:pPr>
        <w:rPr>
          <w:rFonts w:ascii="Arial" w:hAnsi="Arial" w:cs="Arial"/>
          <w:sz w:val="22"/>
          <w:szCs w:val="22"/>
        </w:rPr>
      </w:pPr>
      <w:r w:rsidRPr="00BA4331">
        <w:rPr>
          <w:rFonts w:ascii="Arial" w:hAnsi="Arial" w:cs="Arial"/>
          <w:sz w:val="22"/>
          <w:szCs w:val="22"/>
        </w:rPr>
        <w:t>The</w:t>
      </w:r>
      <w:r w:rsidR="009A334B" w:rsidRPr="00BA4331">
        <w:rPr>
          <w:rFonts w:ascii="Arial" w:hAnsi="Arial" w:cs="Arial"/>
          <w:sz w:val="22"/>
          <w:szCs w:val="22"/>
        </w:rPr>
        <w:t xml:space="preserve"> representational framework of experts in IPBES is perhaps most clearly articulated for the Multidisciplinary Expert Panel, the Platform’s technical subsidiary body. Rules setting out the selection of the Multidisciplinary Expert Panel</w:t>
      </w:r>
      <w:r w:rsidR="00695B83" w:rsidRPr="00BA4331">
        <w:rPr>
          <w:rFonts w:ascii="Arial" w:hAnsi="Arial" w:cs="Arial"/>
          <w:sz w:val="22"/>
          <w:szCs w:val="22"/>
        </w:rPr>
        <w:t>, for example,</w:t>
      </w:r>
      <w:r w:rsidR="009A334B" w:rsidRPr="00BA4331">
        <w:rPr>
          <w:rFonts w:ascii="Arial" w:hAnsi="Arial" w:cs="Arial"/>
          <w:sz w:val="22"/>
          <w:szCs w:val="22"/>
        </w:rPr>
        <w:t xml:space="preserve"> </w:t>
      </w:r>
      <w:r w:rsidR="00695B83" w:rsidRPr="00BA4331">
        <w:rPr>
          <w:rFonts w:ascii="Arial" w:hAnsi="Arial" w:cs="Arial"/>
          <w:sz w:val="22"/>
          <w:szCs w:val="22"/>
        </w:rPr>
        <w:t>emphasise the importance of regional representation, but then clarify that this representation is only relevant for the purposes of the selection process</w:t>
      </w:r>
      <w:r w:rsidR="00683D58" w:rsidRPr="00BA4331">
        <w:rPr>
          <w:rFonts w:ascii="Arial" w:hAnsi="Arial" w:cs="Arial"/>
          <w:sz w:val="22"/>
          <w:szCs w:val="22"/>
        </w:rPr>
        <w:t>. The rules state:</w:t>
      </w:r>
    </w:p>
    <w:p w14:paraId="49735346" w14:textId="77777777" w:rsidR="009A334B" w:rsidRPr="00BA4331" w:rsidRDefault="009A334B">
      <w:pPr>
        <w:rPr>
          <w:rFonts w:ascii="Arial" w:hAnsi="Arial" w:cs="Arial"/>
          <w:sz w:val="22"/>
          <w:szCs w:val="22"/>
        </w:rPr>
      </w:pPr>
    </w:p>
    <w:p w14:paraId="75FABA0E" w14:textId="2B875949" w:rsidR="00695B83" w:rsidRPr="00BA4331" w:rsidRDefault="009A334B" w:rsidP="00695B83">
      <w:pPr>
        <w:ind w:left="720"/>
        <w:rPr>
          <w:rFonts w:ascii="Arial" w:hAnsi="Arial" w:cs="Arial"/>
          <w:sz w:val="22"/>
          <w:szCs w:val="22"/>
        </w:rPr>
      </w:pPr>
      <w:r w:rsidRPr="00BA4331">
        <w:rPr>
          <w:rFonts w:ascii="Arial" w:hAnsi="Arial" w:cs="Arial"/>
          <w:sz w:val="22"/>
          <w:szCs w:val="22"/>
        </w:rPr>
        <w:t>“</w:t>
      </w:r>
      <w:r w:rsidR="00695B83" w:rsidRPr="00BA4331">
        <w:rPr>
          <w:rFonts w:ascii="Arial" w:hAnsi="Arial" w:cs="Arial"/>
          <w:sz w:val="22"/>
          <w:szCs w:val="22"/>
        </w:rPr>
        <w:t xml:space="preserve">The membership of the Panel will be based on equal representation of five participants nominated by each of the five United Nations regions.” </w:t>
      </w:r>
      <w:r w:rsidR="00BA4331" w:rsidRPr="00BA4331">
        <w:rPr>
          <w:rFonts w:ascii="Arial" w:hAnsi="Arial" w:cs="Arial"/>
          <w:sz w:val="22"/>
          <w:szCs w:val="22"/>
        </w:rPr>
        <w:fldChar w:fldCharType="begin"/>
      </w:r>
      <w:r w:rsidR="00BA4331" w:rsidRPr="00BA4331">
        <w:rPr>
          <w:rFonts w:ascii="Arial" w:hAnsi="Arial" w:cs="Arial"/>
          <w:sz w:val="22"/>
          <w:szCs w:val="22"/>
        </w:rPr>
        <w:instrText xml:space="preserve"> ADDIN EN.CITE &lt;EndNote&gt;&lt;Cite&gt;&lt;Author&gt;IPBES&lt;/Author&gt;&lt;Year&gt;2013&lt;/Year&gt;&lt;RecNum&gt;612&lt;/RecNum&gt;&lt;Suffix&gt;: 1&lt;/Suffix&gt;&lt;DisplayText&gt;(IPBES 2013: 1)&lt;/DisplayText&gt;&lt;record&gt;&lt;rec-number&gt;612&lt;/rec-number&gt;&lt;foreign-keys&gt;&lt;key app="EN" db-id="259rwp5582tt55eatrpp2axtw9v02p5wr92d" timestamp="1452400836"&gt;612&lt;/key&gt;&lt;/foreign-keys&gt;&lt;ref-type name="Pamphlet"&gt;24&lt;/ref-type&gt;&lt;contributors&gt;&lt;authors&gt;&lt;author&gt;IPBES&lt;/author&gt;&lt;/authors&gt;&lt;/contributors&gt;&lt;titles&gt;&lt;title&gt;Amendments to the rules of procedure for the Plenary with regard to rules governing the Multidisciplinary Expert Panel. Decision IPBES-2/1.&lt;/title&gt;&lt;/titles&gt;&lt;dates&gt;&lt;year&gt;2013&lt;/year&gt;&lt;/dates&gt;&lt;pub-location&gt;Antalya, Turkey&lt;/pub-location&gt;&lt;publisher&gt;IPBES&lt;/publisher&gt;&lt;urls&gt;&lt;/urls&gt;&lt;/record&gt;&lt;/Cite&gt;&lt;/EndNote&gt;</w:instrText>
      </w:r>
      <w:r w:rsidR="00BA4331" w:rsidRPr="00BA4331">
        <w:rPr>
          <w:rFonts w:ascii="Arial" w:hAnsi="Arial" w:cs="Arial"/>
          <w:sz w:val="22"/>
          <w:szCs w:val="22"/>
        </w:rPr>
        <w:fldChar w:fldCharType="separate"/>
      </w:r>
      <w:r w:rsidR="00BA4331" w:rsidRPr="00BA4331">
        <w:rPr>
          <w:rFonts w:ascii="Arial" w:hAnsi="Arial" w:cs="Arial"/>
          <w:noProof/>
          <w:sz w:val="22"/>
          <w:szCs w:val="22"/>
        </w:rPr>
        <w:t>(IPBES 2013: 1)</w:t>
      </w:r>
      <w:r w:rsidR="00BA4331" w:rsidRPr="00BA4331">
        <w:rPr>
          <w:rFonts w:ascii="Arial" w:hAnsi="Arial" w:cs="Arial"/>
          <w:sz w:val="22"/>
          <w:szCs w:val="22"/>
        </w:rPr>
        <w:fldChar w:fldCharType="end"/>
      </w:r>
    </w:p>
    <w:p w14:paraId="739C0338" w14:textId="47E12361" w:rsidR="00695B83" w:rsidRPr="00BA4331" w:rsidRDefault="00695B83" w:rsidP="00695B83">
      <w:pPr>
        <w:rPr>
          <w:rFonts w:ascii="Arial" w:hAnsi="Arial" w:cs="Arial"/>
          <w:sz w:val="22"/>
          <w:szCs w:val="22"/>
        </w:rPr>
      </w:pPr>
    </w:p>
    <w:p w14:paraId="23172638" w14:textId="37C6CEEA" w:rsidR="00695B83" w:rsidRPr="00BA4331" w:rsidRDefault="00695B83" w:rsidP="00695B83">
      <w:pPr>
        <w:rPr>
          <w:rFonts w:ascii="Arial" w:hAnsi="Arial" w:cs="Arial"/>
          <w:sz w:val="22"/>
          <w:szCs w:val="22"/>
        </w:rPr>
      </w:pPr>
      <w:r w:rsidRPr="00BA4331">
        <w:rPr>
          <w:rFonts w:ascii="Arial" w:hAnsi="Arial" w:cs="Arial"/>
          <w:sz w:val="22"/>
          <w:szCs w:val="22"/>
        </w:rPr>
        <w:t>Which is then followed up with the addition:</w:t>
      </w:r>
    </w:p>
    <w:p w14:paraId="60FCBF32" w14:textId="77777777" w:rsidR="00695B83" w:rsidRPr="00BA4331" w:rsidRDefault="00695B83" w:rsidP="00695B83">
      <w:pPr>
        <w:rPr>
          <w:rFonts w:ascii="Arial" w:hAnsi="Arial" w:cs="Arial"/>
          <w:sz w:val="22"/>
          <w:szCs w:val="22"/>
        </w:rPr>
      </w:pPr>
    </w:p>
    <w:p w14:paraId="242FA72F" w14:textId="127344B5" w:rsidR="009A334B" w:rsidRPr="00BA4331" w:rsidRDefault="00695B83" w:rsidP="00695B83">
      <w:pPr>
        <w:ind w:left="720"/>
        <w:rPr>
          <w:rFonts w:ascii="Arial" w:hAnsi="Arial" w:cs="Arial"/>
          <w:sz w:val="22"/>
          <w:szCs w:val="22"/>
        </w:rPr>
      </w:pPr>
      <w:r w:rsidRPr="00BA4331">
        <w:rPr>
          <w:rFonts w:ascii="Arial" w:hAnsi="Arial" w:cs="Arial"/>
          <w:sz w:val="22"/>
          <w:szCs w:val="22"/>
        </w:rPr>
        <w:t xml:space="preserve">“The members of the Panel are elected for their personal expertise and are not intended to represent any particular region.” </w:t>
      </w:r>
      <w:r w:rsidR="00BA4331" w:rsidRPr="00BA4331">
        <w:rPr>
          <w:rFonts w:ascii="Arial" w:hAnsi="Arial" w:cs="Arial"/>
          <w:sz w:val="22"/>
          <w:szCs w:val="22"/>
        </w:rPr>
        <w:fldChar w:fldCharType="begin"/>
      </w:r>
      <w:r w:rsidR="00BA4331" w:rsidRPr="00BA4331">
        <w:rPr>
          <w:rFonts w:ascii="Arial" w:hAnsi="Arial" w:cs="Arial"/>
          <w:sz w:val="22"/>
          <w:szCs w:val="22"/>
        </w:rPr>
        <w:instrText xml:space="preserve"> ADDIN EN.CITE &lt;EndNote&gt;&lt;Cite&gt;&lt;Author&gt;IPBES&lt;/Author&gt;&lt;Year&gt;2013&lt;/Year&gt;&lt;RecNum&gt;612&lt;/RecNum&gt;&lt;Suffix&gt;: 1&lt;/Suffix&gt;&lt;DisplayText&gt;(IPBES 2013: 1)&lt;/DisplayText&gt;&lt;record&gt;&lt;rec-number&gt;612&lt;/rec-number&gt;&lt;foreign-keys&gt;&lt;key app="EN" db-id="259rwp5582tt55eatrpp2axtw9v02p5wr92d" timestamp="1452400836"&gt;612&lt;/key&gt;&lt;/foreign-keys&gt;&lt;ref-type name="Pamphlet"&gt;24&lt;/ref-type&gt;&lt;contributors&gt;&lt;authors&gt;&lt;author&gt;IPBES&lt;/author&gt;&lt;/authors&gt;&lt;/contributors&gt;&lt;titles&gt;&lt;title&gt;Amendments to the rules of procedure for the Plenary with regard to rules governing the Multidisciplinary Expert Panel. Decision IPBES-2/1.&lt;/title&gt;&lt;/titles&gt;&lt;dates&gt;&lt;year&gt;2013&lt;/year&gt;&lt;/dates&gt;&lt;pub-location&gt;Antalya, Turkey&lt;/pub-location&gt;&lt;publisher&gt;IPBES&lt;/publisher&gt;&lt;urls&gt;&lt;/urls&gt;&lt;/record&gt;&lt;/Cite&gt;&lt;/EndNote&gt;</w:instrText>
      </w:r>
      <w:r w:rsidR="00BA4331" w:rsidRPr="00BA4331">
        <w:rPr>
          <w:rFonts w:ascii="Arial" w:hAnsi="Arial" w:cs="Arial"/>
          <w:sz w:val="22"/>
          <w:szCs w:val="22"/>
        </w:rPr>
        <w:fldChar w:fldCharType="separate"/>
      </w:r>
      <w:r w:rsidR="00BA4331" w:rsidRPr="00BA4331">
        <w:rPr>
          <w:rFonts w:ascii="Arial" w:hAnsi="Arial" w:cs="Arial"/>
          <w:noProof/>
          <w:sz w:val="22"/>
          <w:szCs w:val="22"/>
        </w:rPr>
        <w:t>(IPBES 2013: 1)</w:t>
      </w:r>
      <w:r w:rsidR="00BA4331" w:rsidRPr="00BA4331">
        <w:rPr>
          <w:rFonts w:ascii="Arial" w:hAnsi="Arial" w:cs="Arial"/>
          <w:sz w:val="22"/>
          <w:szCs w:val="22"/>
        </w:rPr>
        <w:fldChar w:fldCharType="end"/>
      </w:r>
    </w:p>
    <w:p w14:paraId="02EC82E4" w14:textId="46661EEF" w:rsidR="004A1576" w:rsidRPr="00BA4331" w:rsidRDefault="004A1576">
      <w:pPr>
        <w:rPr>
          <w:rFonts w:ascii="Arial" w:hAnsi="Arial" w:cs="Arial"/>
          <w:sz w:val="22"/>
          <w:szCs w:val="22"/>
        </w:rPr>
      </w:pPr>
    </w:p>
    <w:p w14:paraId="56BD9E90" w14:textId="528DF2FD" w:rsidR="004A1576" w:rsidRPr="00BA4331" w:rsidRDefault="004A1576">
      <w:pPr>
        <w:rPr>
          <w:rFonts w:ascii="Arial" w:hAnsi="Arial" w:cs="Arial"/>
          <w:sz w:val="22"/>
          <w:szCs w:val="22"/>
        </w:rPr>
      </w:pPr>
      <w:r w:rsidRPr="00BA4331">
        <w:rPr>
          <w:rFonts w:ascii="Arial" w:hAnsi="Arial" w:cs="Arial"/>
          <w:sz w:val="22"/>
          <w:szCs w:val="22"/>
        </w:rPr>
        <w:lastRenderedPageBreak/>
        <w:t xml:space="preserve">Efforts to ensure that participating experts do not </w:t>
      </w:r>
      <w:r w:rsidR="00824C97" w:rsidRPr="00BA4331">
        <w:rPr>
          <w:rFonts w:ascii="Arial" w:hAnsi="Arial" w:cs="Arial"/>
          <w:sz w:val="22"/>
          <w:szCs w:val="22"/>
        </w:rPr>
        <w:t>bring</w:t>
      </w:r>
      <w:r w:rsidRPr="00BA4331">
        <w:rPr>
          <w:rFonts w:ascii="Arial" w:hAnsi="Arial" w:cs="Arial"/>
          <w:sz w:val="22"/>
          <w:szCs w:val="22"/>
        </w:rPr>
        <w:t xml:space="preserve"> external agendas </w:t>
      </w:r>
      <w:r w:rsidR="00824C97" w:rsidRPr="00BA4331">
        <w:rPr>
          <w:rFonts w:ascii="Arial" w:hAnsi="Arial" w:cs="Arial"/>
          <w:sz w:val="22"/>
          <w:szCs w:val="22"/>
        </w:rPr>
        <w:t xml:space="preserve">into their IPBES work </w:t>
      </w:r>
      <w:r w:rsidR="00275ACA" w:rsidRPr="00BA4331">
        <w:rPr>
          <w:rFonts w:ascii="Arial" w:hAnsi="Arial" w:cs="Arial"/>
          <w:sz w:val="22"/>
          <w:szCs w:val="22"/>
        </w:rPr>
        <w:t>we</w:t>
      </w:r>
      <w:r w:rsidRPr="00BA4331">
        <w:rPr>
          <w:rFonts w:ascii="Arial" w:hAnsi="Arial" w:cs="Arial"/>
          <w:sz w:val="22"/>
          <w:szCs w:val="22"/>
        </w:rPr>
        <w:t xml:space="preserve">re also exemplified in the conflict of interest policy that was introduced in </w:t>
      </w:r>
      <w:r w:rsidR="00E914A6" w:rsidRPr="00BA4331">
        <w:rPr>
          <w:rFonts w:ascii="Arial" w:hAnsi="Arial" w:cs="Arial"/>
          <w:sz w:val="22"/>
          <w:szCs w:val="22"/>
        </w:rPr>
        <w:t>2015</w:t>
      </w:r>
      <w:r w:rsidRPr="00BA4331">
        <w:rPr>
          <w:rFonts w:ascii="Arial" w:hAnsi="Arial" w:cs="Arial"/>
          <w:sz w:val="22"/>
          <w:szCs w:val="22"/>
        </w:rPr>
        <w:t>. The policy requires participating experts to declare any external interests that might affect their contributions to IPBES. It states:</w:t>
      </w:r>
    </w:p>
    <w:p w14:paraId="3381B370" w14:textId="11CD8E08" w:rsidR="004A1576" w:rsidRPr="00BA4331" w:rsidRDefault="004A1576">
      <w:pPr>
        <w:rPr>
          <w:rFonts w:ascii="Arial" w:hAnsi="Arial" w:cs="Arial"/>
          <w:sz w:val="22"/>
          <w:szCs w:val="22"/>
        </w:rPr>
      </w:pPr>
    </w:p>
    <w:p w14:paraId="15CE812E" w14:textId="73EC58CB" w:rsidR="004A1576" w:rsidRPr="00BA4331" w:rsidRDefault="004A1576" w:rsidP="00E914A6">
      <w:pPr>
        <w:ind w:left="720"/>
        <w:rPr>
          <w:rFonts w:ascii="Arial" w:hAnsi="Arial" w:cs="Arial"/>
          <w:sz w:val="22"/>
          <w:szCs w:val="22"/>
        </w:rPr>
      </w:pPr>
      <w:r w:rsidRPr="00BA4331">
        <w:rPr>
          <w:rFonts w:ascii="Arial" w:hAnsi="Arial" w:cs="Arial"/>
          <w:sz w:val="22"/>
          <w:szCs w:val="22"/>
        </w:rPr>
        <w:t xml:space="preserve">“The overall purpose of this policy is to protect the legitimacy, integrity and credibility of the Platform and its deliverables as well as confidence in its activities and in individuals who are directly involved in the preparation of its reports and other deliverables.” </w:t>
      </w:r>
      <w:r w:rsidR="00BA4331" w:rsidRPr="00BA4331">
        <w:rPr>
          <w:rFonts w:ascii="Arial" w:hAnsi="Arial" w:cs="Arial"/>
          <w:sz w:val="22"/>
          <w:szCs w:val="22"/>
        </w:rPr>
        <w:fldChar w:fldCharType="begin"/>
      </w:r>
      <w:r w:rsidR="00BA4331" w:rsidRPr="00BA4331">
        <w:rPr>
          <w:rFonts w:ascii="Arial" w:hAnsi="Arial" w:cs="Arial"/>
          <w:sz w:val="22"/>
          <w:szCs w:val="22"/>
        </w:rPr>
        <w:instrText xml:space="preserve"> ADDIN EN.CITE &lt;EndNote&gt;&lt;Cite&gt;&lt;Author&gt;IPBES&lt;/Author&gt;&lt;Year&gt;2015&lt;/Year&gt;&lt;RecNum&gt;614&lt;/RecNum&gt;&lt;Suffix&gt;: Annex II&lt;/Suffix&gt;&lt;DisplayText&gt;(IPBES 2015: Annex II)&lt;/DisplayText&gt;&lt;record&gt;&lt;rec-number&gt;614&lt;/rec-number&gt;&lt;foreign-keys&gt;&lt;key app="EN" db-id="259rwp5582tt55eatrpp2axtw9v02p5wr92d" timestamp="1452404324"&gt;614&lt;/key&gt;&lt;/foreign-keys&gt;&lt;ref-type name="Pamphlet"&gt;24&lt;/ref-type&gt;&lt;contributors&gt;&lt;authors&gt;&lt;author&gt;IPBES&lt;/author&gt;&lt;/authors&gt;&lt;/contributors&gt;&lt;titles&gt;&lt;title&gt;Procedures for the preparation of Platform deliverables. Decision IPBES-3/3.&lt;/title&gt;&lt;/titles&gt;&lt;dates&gt;&lt;year&gt;2015&lt;/year&gt;&lt;/dates&gt;&lt;pub-location&gt;Bonn, Germany&lt;/pub-location&gt;&lt;publisher&gt;IPBES&lt;/publisher&gt;&lt;urls&gt;&lt;/urls&gt;&lt;/record&gt;&lt;/Cite&gt;&lt;/EndNote&gt;</w:instrText>
      </w:r>
      <w:r w:rsidR="00BA4331" w:rsidRPr="00BA4331">
        <w:rPr>
          <w:rFonts w:ascii="Arial" w:hAnsi="Arial" w:cs="Arial"/>
          <w:sz w:val="22"/>
          <w:szCs w:val="22"/>
        </w:rPr>
        <w:fldChar w:fldCharType="separate"/>
      </w:r>
      <w:r w:rsidR="00BA4331" w:rsidRPr="00BA4331">
        <w:rPr>
          <w:rFonts w:ascii="Arial" w:hAnsi="Arial" w:cs="Arial"/>
          <w:noProof/>
          <w:sz w:val="22"/>
          <w:szCs w:val="22"/>
        </w:rPr>
        <w:t>(IPBES 2015: Annex II)</w:t>
      </w:r>
      <w:r w:rsidR="00BA4331" w:rsidRPr="00BA4331">
        <w:rPr>
          <w:rFonts w:ascii="Arial" w:hAnsi="Arial" w:cs="Arial"/>
          <w:sz w:val="22"/>
          <w:szCs w:val="22"/>
        </w:rPr>
        <w:fldChar w:fldCharType="end"/>
      </w:r>
    </w:p>
    <w:p w14:paraId="63D0D32F" w14:textId="12FDB795" w:rsidR="008444C2" w:rsidRPr="00BA4331" w:rsidRDefault="008444C2">
      <w:pPr>
        <w:rPr>
          <w:rFonts w:ascii="Arial" w:hAnsi="Arial" w:cs="Arial"/>
          <w:sz w:val="22"/>
          <w:szCs w:val="22"/>
        </w:rPr>
      </w:pPr>
    </w:p>
    <w:p w14:paraId="2A788800" w14:textId="799770B7" w:rsidR="005D02BC" w:rsidRPr="00BA4331" w:rsidRDefault="00275ACA">
      <w:pPr>
        <w:rPr>
          <w:rFonts w:ascii="Arial" w:hAnsi="Arial" w:cs="Arial"/>
          <w:b/>
          <w:sz w:val="22"/>
          <w:szCs w:val="22"/>
        </w:rPr>
      </w:pPr>
      <w:r w:rsidRPr="00BA4331">
        <w:rPr>
          <w:rFonts w:ascii="Arial" w:hAnsi="Arial" w:cs="Arial"/>
          <w:b/>
          <w:sz w:val="22"/>
          <w:szCs w:val="22"/>
        </w:rPr>
        <w:t>SM1.4</w:t>
      </w:r>
    </w:p>
    <w:p w14:paraId="0ECC15B7" w14:textId="289E809D" w:rsidR="00DC78E3" w:rsidRPr="00BA4331" w:rsidRDefault="00874BAB">
      <w:pPr>
        <w:rPr>
          <w:rFonts w:ascii="Arial" w:hAnsi="Arial" w:cs="Arial"/>
          <w:sz w:val="22"/>
          <w:szCs w:val="22"/>
        </w:rPr>
      </w:pPr>
      <w:r w:rsidRPr="00BA4331">
        <w:rPr>
          <w:rFonts w:ascii="Arial" w:hAnsi="Arial" w:cs="Arial"/>
          <w:sz w:val="22"/>
          <w:szCs w:val="22"/>
        </w:rPr>
        <w:t>The International Indigenous Forum on Biodiversity and Ecosystem Services (IIFBES)</w:t>
      </w:r>
      <w:r w:rsidR="00683D58" w:rsidRPr="00BA4331">
        <w:rPr>
          <w:rFonts w:ascii="Arial" w:hAnsi="Arial" w:cs="Arial"/>
          <w:sz w:val="22"/>
          <w:szCs w:val="22"/>
        </w:rPr>
        <w:t xml:space="preserve"> </w:t>
      </w:r>
      <w:r w:rsidR="00055EE8" w:rsidRPr="00BA4331">
        <w:rPr>
          <w:rFonts w:ascii="Arial" w:hAnsi="Arial" w:cs="Arial"/>
          <w:sz w:val="22"/>
          <w:szCs w:val="22"/>
        </w:rPr>
        <w:t xml:space="preserve">emerged </w:t>
      </w:r>
      <w:r w:rsidR="00A767AB" w:rsidRPr="00BA4331">
        <w:rPr>
          <w:rFonts w:ascii="Arial" w:hAnsi="Arial" w:cs="Arial"/>
          <w:sz w:val="22"/>
          <w:szCs w:val="22"/>
        </w:rPr>
        <w:t>as a group of participants in IPBES plenary meetings and</w:t>
      </w:r>
      <w:r w:rsidR="00055EE8" w:rsidRPr="00BA4331">
        <w:rPr>
          <w:rFonts w:ascii="Arial" w:hAnsi="Arial" w:cs="Arial"/>
          <w:sz w:val="22"/>
          <w:szCs w:val="22"/>
        </w:rPr>
        <w:t xml:space="preserve"> </w:t>
      </w:r>
      <w:r w:rsidRPr="00BA4331">
        <w:rPr>
          <w:rFonts w:ascii="Arial" w:hAnsi="Arial" w:cs="Arial"/>
          <w:sz w:val="22"/>
          <w:szCs w:val="22"/>
        </w:rPr>
        <w:t xml:space="preserve">defines itself as being “composed of indigenous people and local community participants at IPBES” </w:t>
      </w:r>
      <w:r w:rsidR="00BA4331" w:rsidRPr="00BA4331">
        <w:rPr>
          <w:rFonts w:ascii="Arial" w:hAnsi="Arial" w:cs="Arial"/>
          <w:sz w:val="22"/>
          <w:szCs w:val="22"/>
        </w:rPr>
        <w:fldChar w:fldCharType="begin"/>
      </w:r>
      <w:r w:rsidR="00BA4331" w:rsidRPr="00BA4331">
        <w:rPr>
          <w:rFonts w:ascii="Arial" w:hAnsi="Arial" w:cs="Arial"/>
          <w:sz w:val="22"/>
          <w:szCs w:val="22"/>
        </w:rPr>
        <w:instrText xml:space="preserve"> ADDIN EN.CITE &lt;EndNote&gt;&lt;Cite&gt;&lt;Author&gt;Carino&lt;/Author&gt;&lt;Year&gt;2015&lt;/Year&gt;&lt;RecNum&gt;1199&lt;/RecNum&gt;&lt;DisplayText&gt;(Carino and Hardison 2015)&lt;/DisplayText&gt;&lt;record&gt;&lt;rec-number&gt;1199&lt;/rec-number&gt;&lt;foreign-keys&gt;&lt;key app="EN" db-id="259rwp5582tt55eatrpp2axtw9v02p5wr92d" timestamp="1548439592"&gt;1199&lt;/key&gt;&lt;/foreign-keys&gt;&lt;ref-type name="Unpublished Work"&gt;34&lt;/ref-type&gt;&lt;contributors&gt;&lt;authors&gt;&lt;author&gt;Carino, Joji&lt;/author&gt;&lt;author&gt;Preston Hardison&lt;/author&gt;&lt;/authors&gt;&lt;/contributors&gt;&lt;titles&gt;&lt;title&gt;Statement by the International Indigenous Forum on Biodiversity and Ecosystem Services at IPBES-3, Bonn, Germany, January 12.&lt;/title&gt;&lt;/titles&gt;&lt;dates&gt;&lt;year&gt;2015&lt;/year&gt;&lt;/dates&gt;&lt;urls&gt;&lt;/urls&gt;&lt;/record&gt;&lt;/Cite&gt;&lt;/EndNote&gt;</w:instrText>
      </w:r>
      <w:r w:rsidR="00BA4331" w:rsidRPr="00BA4331">
        <w:rPr>
          <w:rFonts w:ascii="Arial" w:hAnsi="Arial" w:cs="Arial"/>
          <w:sz w:val="22"/>
          <w:szCs w:val="22"/>
        </w:rPr>
        <w:fldChar w:fldCharType="separate"/>
      </w:r>
      <w:r w:rsidR="00BA4331" w:rsidRPr="00BA4331">
        <w:rPr>
          <w:rFonts w:ascii="Arial" w:hAnsi="Arial" w:cs="Arial"/>
          <w:noProof/>
          <w:sz w:val="22"/>
          <w:szCs w:val="22"/>
        </w:rPr>
        <w:t>(Carino and Hardison 2015)</w:t>
      </w:r>
      <w:r w:rsidR="00BA4331" w:rsidRPr="00BA4331">
        <w:rPr>
          <w:rFonts w:ascii="Arial" w:hAnsi="Arial" w:cs="Arial"/>
          <w:sz w:val="22"/>
          <w:szCs w:val="22"/>
        </w:rPr>
        <w:fldChar w:fldCharType="end"/>
      </w:r>
      <w:r w:rsidRPr="00BA4331">
        <w:rPr>
          <w:rFonts w:ascii="Arial" w:hAnsi="Arial" w:cs="Arial"/>
          <w:sz w:val="22"/>
          <w:szCs w:val="22"/>
        </w:rPr>
        <w:t>.</w:t>
      </w:r>
    </w:p>
    <w:p w14:paraId="0DBDF1F6" w14:textId="4AF823FD" w:rsidR="00DC78E3" w:rsidRPr="00BA4331" w:rsidRDefault="00DC78E3">
      <w:pPr>
        <w:rPr>
          <w:rFonts w:ascii="Arial" w:hAnsi="Arial" w:cs="Arial"/>
          <w:sz w:val="22"/>
          <w:szCs w:val="22"/>
        </w:rPr>
      </w:pPr>
    </w:p>
    <w:p w14:paraId="2C896E8A" w14:textId="69E9A4B1" w:rsidR="00DC78E3" w:rsidRPr="00BA4331" w:rsidRDefault="0020382C">
      <w:pPr>
        <w:rPr>
          <w:rFonts w:ascii="Arial" w:hAnsi="Arial" w:cs="Arial"/>
          <w:b/>
          <w:sz w:val="22"/>
          <w:szCs w:val="22"/>
        </w:rPr>
      </w:pPr>
      <w:r w:rsidRPr="00BA4331">
        <w:rPr>
          <w:rFonts w:ascii="Arial" w:hAnsi="Arial" w:cs="Arial"/>
          <w:b/>
          <w:sz w:val="22"/>
          <w:szCs w:val="22"/>
        </w:rPr>
        <w:t>SM1.5</w:t>
      </w:r>
    </w:p>
    <w:p w14:paraId="536D7682" w14:textId="599FCCDC" w:rsidR="00CA5900" w:rsidRPr="00BA4331" w:rsidRDefault="004F667A">
      <w:pPr>
        <w:rPr>
          <w:rFonts w:ascii="Arial" w:hAnsi="Arial" w:cs="Arial"/>
          <w:sz w:val="22"/>
          <w:szCs w:val="22"/>
        </w:rPr>
      </w:pPr>
      <w:r w:rsidRPr="00BA4331">
        <w:rPr>
          <w:rFonts w:ascii="Arial" w:hAnsi="Arial" w:cs="Arial"/>
          <w:sz w:val="22"/>
          <w:szCs w:val="22"/>
        </w:rPr>
        <w:t>Th</w:t>
      </w:r>
      <w:r w:rsidR="00487A18" w:rsidRPr="00BA4331">
        <w:rPr>
          <w:rFonts w:ascii="Arial" w:hAnsi="Arial" w:cs="Arial"/>
          <w:sz w:val="22"/>
          <w:szCs w:val="22"/>
        </w:rPr>
        <w:t>e</w:t>
      </w:r>
      <w:r w:rsidRPr="00BA4331">
        <w:rPr>
          <w:rFonts w:ascii="Arial" w:hAnsi="Arial" w:cs="Arial"/>
          <w:sz w:val="22"/>
          <w:szCs w:val="22"/>
        </w:rPr>
        <w:t xml:space="preserve"> partial overlap </w:t>
      </w:r>
      <w:r w:rsidR="00487A18" w:rsidRPr="00BA4331">
        <w:rPr>
          <w:rFonts w:ascii="Arial" w:hAnsi="Arial" w:cs="Arial"/>
          <w:sz w:val="22"/>
          <w:szCs w:val="22"/>
        </w:rPr>
        <w:t xml:space="preserve">of the production of assessment reports in IPBES – </w:t>
      </w:r>
      <w:r w:rsidR="00D75239" w:rsidRPr="00BA4331">
        <w:rPr>
          <w:rFonts w:ascii="Arial" w:hAnsi="Arial" w:cs="Arial"/>
          <w:sz w:val="22"/>
          <w:szCs w:val="22"/>
        </w:rPr>
        <w:t xml:space="preserve">including </w:t>
      </w:r>
      <w:r w:rsidR="00487A18" w:rsidRPr="00BA4331">
        <w:rPr>
          <w:rFonts w:ascii="Arial" w:hAnsi="Arial" w:cs="Arial"/>
          <w:sz w:val="22"/>
          <w:szCs w:val="22"/>
        </w:rPr>
        <w:t>four regional assessments</w:t>
      </w:r>
      <w:r w:rsidR="00D75239" w:rsidRPr="00BA4331">
        <w:rPr>
          <w:rFonts w:ascii="Arial" w:hAnsi="Arial" w:cs="Arial"/>
          <w:sz w:val="22"/>
          <w:szCs w:val="22"/>
        </w:rPr>
        <w:t xml:space="preserve">, thematic assessments </w:t>
      </w:r>
      <w:r w:rsidR="00487A18" w:rsidRPr="00BA4331">
        <w:rPr>
          <w:rFonts w:ascii="Arial" w:hAnsi="Arial" w:cs="Arial"/>
          <w:sz w:val="22"/>
          <w:szCs w:val="22"/>
        </w:rPr>
        <w:t xml:space="preserve">and the global assessment – </w:t>
      </w:r>
      <w:r w:rsidRPr="00BA4331">
        <w:rPr>
          <w:rFonts w:ascii="Arial" w:hAnsi="Arial" w:cs="Arial"/>
          <w:sz w:val="22"/>
          <w:szCs w:val="22"/>
        </w:rPr>
        <w:t>resulted</w:t>
      </w:r>
      <w:r w:rsidR="00487A18" w:rsidRPr="00BA4331">
        <w:rPr>
          <w:rFonts w:ascii="Arial" w:hAnsi="Arial" w:cs="Arial"/>
          <w:sz w:val="22"/>
          <w:szCs w:val="22"/>
        </w:rPr>
        <w:t xml:space="preserve"> </w:t>
      </w:r>
      <w:r w:rsidRPr="00BA4331">
        <w:rPr>
          <w:rFonts w:ascii="Arial" w:hAnsi="Arial" w:cs="Arial"/>
          <w:sz w:val="22"/>
          <w:szCs w:val="22"/>
        </w:rPr>
        <w:t xml:space="preserve">in discussions about the potential need to ‘couple’ these assessments. </w:t>
      </w:r>
      <w:r w:rsidR="00487A18" w:rsidRPr="00BA4331">
        <w:rPr>
          <w:rFonts w:ascii="Arial" w:hAnsi="Arial" w:cs="Arial"/>
          <w:sz w:val="22"/>
          <w:szCs w:val="22"/>
        </w:rPr>
        <w:t>For example, a</w:t>
      </w:r>
      <w:r w:rsidRPr="00BA4331">
        <w:rPr>
          <w:rFonts w:ascii="Arial" w:hAnsi="Arial" w:cs="Arial"/>
          <w:sz w:val="22"/>
          <w:szCs w:val="22"/>
        </w:rPr>
        <w:t xml:space="preserve"> decision was made </w:t>
      </w:r>
      <w:r w:rsidR="00D75239" w:rsidRPr="00BA4331">
        <w:rPr>
          <w:rFonts w:ascii="Arial" w:hAnsi="Arial" w:cs="Arial"/>
          <w:sz w:val="22"/>
          <w:szCs w:val="22"/>
        </w:rPr>
        <w:t xml:space="preserve">at the IPBES intergovernmental plenary in 2015 </w:t>
      </w:r>
      <w:r w:rsidRPr="00BA4331">
        <w:rPr>
          <w:rFonts w:ascii="Arial" w:hAnsi="Arial" w:cs="Arial"/>
          <w:sz w:val="22"/>
          <w:szCs w:val="22"/>
        </w:rPr>
        <w:t>to ‘couple’ the regional and the thematic assessments</w:t>
      </w:r>
      <w:r w:rsidR="00487A18" w:rsidRPr="00BA4331">
        <w:rPr>
          <w:rFonts w:ascii="Arial" w:hAnsi="Arial" w:cs="Arial"/>
          <w:sz w:val="22"/>
          <w:szCs w:val="22"/>
        </w:rPr>
        <w:t xml:space="preserve"> of IPBES. The decision stated:</w:t>
      </w:r>
    </w:p>
    <w:p w14:paraId="12F0608D" w14:textId="2AB4B034" w:rsidR="004F667A" w:rsidRPr="00BA4331" w:rsidRDefault="004F667A">
      <w:pPr>
        <w:rPr>
          <w:rFonts w:ascii="Arial" w:hAnsi="Arial" w:cs="Arial"/>
          <w:sz w:val="22"/>
          <w:szCs w:val="22"/>
        </w:rPr>
      </w:pPr>
    </w:p>
    <w:p w14:paraId="70D89075" w14:textId="4197EA7E" w:rsidR="004F667A" w:rsidRPr="00BA4331" w:rsidRDefault="004F667A" w:rsidP="004F667A">
      <w:pPr>
        <w:ind w:left="720"/>
        <w:rPr>
          <w:rFonts w:ascii="Arial" w:hAnsi="Arial" w:cs="Arial"/>
          <w:sz w:val="22"/>
          <w:szCs w:val="22"/>
        </w:rPr>
      </w:pPr>
      <w:r w:rsidRPr="00BA4331">
        <w:rPr>
          <w:rFonts w:ascii="Arial" w:hAnsi="Arial" w:cs="Arial"/>
          <w:sz w:val="22"/>
          <w:szCs w:val="22"/>
        </w:rPr>
        <w:t xml:space="preserve">“Plenary at its third session approves the conduct of the regional assessments coupled with the thematic assessments (starting with land degradation and adding thematic assessments on invasive species and sustainable use if approved by the fourth session of the Plenary) </w:t>
      </w:r>
      <w:r w:rsidR="00487A18" w:rsidRPr="00BA4331">
        <w:rPr>
          <w:rFonts w:ascii="Arial" w:hAnsi="Arial" w:cs="Arial"/>
          <w:sz w:val="22"/>
          <w:szCs w:val="22"/>
        </w:rPr>
        <w:t>[…]</w:t>
      </w:r>
      <w:r w:rsidRPr="00BA4331">
        <w:rPr>
          <w:rFonts w:ascii="Arial" w:hAnsi="Arial" w:cs="Arial"/>
          <w:sz w:val="22"/>
          <w:szCs w:val="22"/>
        </w:rPr>
        <w:t>”</w:t>
      </w:r>
      <w:r w:rsidR="00487A18" w:rsidRPr="00BA4331">
        <w:rPr>
          <w:rFonts w:ascii="Arial" w:hAnsi="Arial" w:cs="Arial"/>
          <w:sz w:val="22"/>
          <w:szCs w:val="22"/>
        </w:rPr>
        <w:t xml:space="preserve"> </w:t>
      </w:r>
      <w:r w:rsidR="00BA4331" w:rsidRPr="00BA4331">
        <w:rPr>
          <w:rFonts w:ascii="Arial" w:hAnsi="Arial" w:cs="Arial"/>
          <w:sz w:val="22"/>
          <w:szCs w:val="22"/>
        </w:rPr>
        <w:fldChar w:fldCharType="begin"/>
      </w:r>
      <w:r w:rsidR="00BA4331" w:rsidRPr="00BA4331">
        <w:rPr>
          <w:rFonts w:ascii="Arial" w:hAnsi="Arial" w:cs="Arial"/>
          <w:sz w:val="22"/>
          <w:szCs w:val="22"/>
        </w:rPr>
        <w:instrText xml:space="preserve"> ADDIN EN.CITE &lt;EndNote&gt;&lt;Cite&gt;&lt;Author&gt;IPBES&lt;/Author&gt;&lt;Year&gt;2015&lt;/Year&gt;&lt;RecNum&gt;522&lt;/RecNum&gt;&lt;Suffix&gt;: 38&lt;/Suffix&gt;&lt;DisplayText&gt;(IPBES 2015: 38)&lt;/DisplayText&gt;&lt;record&gt;&lt;rec-number&gt;522&lt;/rec-number&gt;&lt;foreign-keys&gt;&lt;key app="EN" db-id="259rwp5582tt55eatrpp2axtw9v02p5wr92d" timestamp="1435756161"&gt;522&lt;/key&gt;&lt;/foreign-keys&gt;&lt;ref-type name="Pamphlet"&gt;24&lt;/ref-type&gt;&lt;contributors&gt;&lt;authors&gt;&lt;author&gt;IPBES&lt;/author&gt;&lt;/authors&gt;&lt;tertiary-authors&gt;&lt;author&gt;Intergovernmental Science-Policy Platform on Biodiversity and Ecosystem Services&lt;/author&gt;&lt;/tertiary-authors&gt;&lt;/contributors&gt;&lt;titles&gt;&lt;title&gt;Report of the Plenary of the Intergovernmental Science-Policy Platform on Biodiversity and Ecosystem Services on the work of its third session: IPBES/3/18&lt;/title&gt;&lt;/titles&gt;&lt;number&gt;IPBES/3/18&lt;/number&gt;&lt;dates&gt;&lt;year&gt;2015&lt;/year&gt;&lt;pub-dates&gt;&lt;date&gt;18 May 2012&lt;/date&gt;&lt;/pub-dates&gt;&lt;/dates&gt;&lt;pub-location&gt;Bonn, Germany&lt;/pub-location&gt;&lt;publisher&gt;IPBES&lt;/publisher&gt;&lt;urls&gt;&lt;/urls&gt;&lt;/record&gt;&lt;/Cite&gt;&lt;/EndNote&gt;</w:instrText>
      </w:r>
      <w:r w:rsidR="00BA4331" w:rsidRPr="00BA4331">
        <w:rPr>
          <w:rFonts w:ascii="Arial" w:hAnsi="Arial" w:cs="Arial"/>
          <w:sz w:val="22"/>
          <w:szCs w:val="22"/>
        </w:rPr>
        <w:fldChar w:fldCharType="separate"/>
      </w:r>
      <w:r w:rsidR="00BA4331" w:rsidRPr="00BA4331">
        <w:rPr>
          <w:rFonts w:ascii="Arial" w:hAnsi="Arial" w:cs="Arial"/>
          <w:noProof/>
          <w:sz w:val="22"/>
          <w:szCs w:val="22"/>
        </w:rPr>
        <w:t>(IPBES 2015: 38)</w:t>
      </w:r>
      <w:r w:rsidR="00BA4331" w:rsidRPr="00BA4331">
        <w:rPr>
          <w:rFonts w:ascii="Arial" w:hAnsi="Arial" w:cs="Arial"/>
          <w:sz w:val="22"/>
          <w:szCs w:val="22"/>
        </w:rPr>
        <w:fldChar w:fldCharType="end"/>
      </w:r>
    </w:p>
    <w:p w14:paraId="1F30D131" w14:textId="77777777" w:rsidR="00CA5900" w:rsidRPr="00BA4331" w:rsidRDefault="00CA5900">
      <w:pPr>
        <w:rPr>
          <w:rFonts w:ascii="Arial" w:hAnsi="Arial" w:cs="Arial"/>
          <w:sz w:val="22"/>
          <w:szCs w:val="22"/>
        </w:rPr>
      </w:pPr>
    </w:p>
    <w:p w14:paraId="0B1E5E91" w14:textId="7F2C69F8" w:rsidR="0020382C" w:rsidRPr="00BA4331" w:rsidRDefault="0020382C">
      <w:pPr>
        <w:rPr>
          <w:rFonts w:ascii="Arial" w:hAnsi="Arial" w:cs="Arial"/>
          <w:sz w:val="22"/>
          <w:szCs w:val="22"/>
        </w:rPr>
      </w:pPr>
      <w:r w:rsidRPr="00BA4331">
        <w:rPr>
          <w:rFonts w:ascii="Arial" w:hAnsi="Arial" w:cs="Arial"/>
          <w:sz w:val="22"/>
          <w:szCs w:val="22"/>
        </w:rPr>
        <w:t>Th</w:t>
      </w:r>
      <w:r w:rsidR="004F667A" w:rsidRPr="00BA4331">
        <w:rPr>
          <w:rFonts w:ascii="Arial" w:hAnsi="Arial" w:cs="Arial"/>
          <w:sz w:val="22"/>
          <w:szCs w:val="22"/>
        </w:rPr>
        <w:t xml:space="preserve">e precise meaning of coupling assessments was </w:t>
      </w:r>
      <w:r w:rsidR="00D75239" w:rsidRPr="00BA4331">
        <w:rPr>
          <w:rFonts w:ascii="Arial" w:hAnsi="Arial" w:cs="Arial"/>
          <w:sz w:val="22"/>
          <w:szCs w:val="22"/>
        </w:rPr>
        <w:t>debated during this meeting and further developed by IPBES administrators</w:t>
      </w:r>
      <w:r w:rsidR="004F667A" w:rsidRPr="00BA4331">
        <w:rPr>
          <w:rFonts w:ascii="Arial" w:hAnsi="Arial" w:cs="Arial"/>
          <w:sz w:val="22"/>
          <w:szCs w:val="22"/>
        </w:rPr>
        <w:t xml:space="preserve"> in early 2015</w:t>
      </w:r>
      <w:r w:rsidR="00D75239" w:rsidRPr="00BA4331">
        <w:rPr>
          <w:rFonts w:ascii="Arial" w:hAnsi="Arial" w:cs="Arial"/>
          <w:sz w:val="22"/>
          <w:szCs w:val="22"/>
        </w:rPr>
        <w:t>.</w:t>
      </w:r>
      <w:r w:rsidR="004F667A" w:rsidRPr="00BA4331">
        <w:rPr>
          <w:rFonts w:ascii="Arial" w:hAnsi="Arial" w:cs="Arial"/>
          <w:sz w:val="22"/>
          <w:szCs w:val="22"/>
        </w:rPr>
        <w:t xml:space="preserve"> </w:t>
      </w:r>
      <w:r w:rsidR="00D75239" w:rsidRPr="00BA4331">
        <w:rPr>
          <w:rFonts w:ascii="Arial" w:hAnsi="Arial" w:cs="Arial"/>
          <w:sz w:val="22"/>
          <w:szCs w:val="22"/>
        </w:rPr>
        <w:t>This was</w:t>
      </w:r>
      <w:r w:rsidR="004F667A" w:rsidRPr="00BA4331">
        <w:rPr>
          <w:rFonts w:ascii="Arial" w:hAnsi="Arial" w:cs="Arial"/>
          <w:sz w:val="22"/>
          <w:szCs w:val="22"/>
        </w:rPr>
        <w:t xml:space="preserve"> described </w:t>
      </w:r>
      <w:r w:rsidR="00D75239" w:rsidRPr="00BA4331">
        <w:rPr>
          <w:rFonts w:ascii="Arial" w:hAnsi="Arial" w:cs="Arial"/>
          <w:sz w:val="22"/>
          <w:szCs w:val="22"/>
        </w:rPr>
        <w:t>by an administrator in</w:t>
      </w:r>
      <w:r w:rsidRPr="00BA4331">
        <w:rPr>
          <w:rFonts w:ascii="Arial" w:hAnsi="Arial" w:cs="Arial"/>
          <w:sz w:val="22"/>
          <w:szCs w:val="22"/>
        </w:rPr>
        <w:t xml:space="preserve"> </w:t>
      </w:r>
      <w:r w:rsidR="00D75239" w:rsidRPr="00BA4331">
        <w:rPr>
          <w:rFonts w:ascii="Arial" w:hAnsi="Arial" w:cs="Arial"/>
          <w:sz w:val="22"/>
          <w:szCs w:val="22"/>
        </w:rPr>
        <w:t>an interview</w:t>
      </w:r>
      <w:r w:rsidR="00BB1292" w:rsidRPr="00BA4331">
        <w:rPr>
          <w:rFonts w:ascii="Arial" w:hAnsi="Arial" w:cs="Arial"/>
          <w:sz w:val="22"/>
          <w:szCs w:val="22"/>
        </w:rPr>
        <w:t xml:space="preserve"> in </w:t>
      </w:r>
      <w:r w:rsidRPr="00BA4331">
        <w:rPr>
          <w:rFonts w:ascii="Arial" w:hAnsi="Arial" w:cs="Arial"/>
          <w:sz w:val="22"/>
          <w:szCs w:val="22"/>
        </w:rPr>
        <w:t>Ma</w:t>
      </w:r>
      <w:r w:rsidR="0085708D" w:rsidRPr="00BA4331">
        <w:rPr>
          <w:rFonts w:ascii="Arial" w:hAnsi="Arial" w:cs="Arial"/>
          <w:sz w:val="22"/>
          <w:szCs w:val="22"/>
        </w:rPr>
        <w:t>y</w:t>
      </w:r>
      <w:r w:rsidRPr="00BA4331">
        <w:rPr>
          <w:rFonts w:ascii="Arial" w:hAnsi="Arial" w:cs="Arial"/>
          <w:sz w:val="22"/>
          <w:szCs w:val="22"/>
        </w:rPr>
        <w:t xml:space="preserve"> 2015.</w:t>
      </w:r>
    </w:p>
    <w:p w14:paraId="1DDF85AE" w14:textId="23182B18" w:rsidR="0020382C" w:rsidRPr="00BA4331" w:rsidRDefault="0020382C">
      <w:pPr>
        <w:rPr>
          <w:rFonts w:ascii="Arial" w:hAnsi="Arial" w:cs="Arial"/>
          <w:sz w:val="22"/>
          <w:szCs w:val="22"/>
        </w:rPr>
      </w:pPr>
    </w:p>
    <w:p w14:paraId="713A0B1C" w14:textId="6105A2FE" w:rsidR="0020382C" w:rsidRPr="00BA4331" w:rsidRDefault="0020382C" w:rsidP="0020382C">
      <w:pPr>
        <w:ind w:left="720"/>
        <w:rPr>
          <w:rFonts w:ascii="Arial" w:hAnsi="Arial" w:cs="Arial"/>
          <w:sz w:val="22"/>
          <w:szCs w:val="22"/>
        </w:rPr>
      </w:pPr>
      <w:r w:rsidRPr="00BA4331">
        <w:rPr>
          <w:rFonts w:ascii="Arial" w:hAnsi="Arial" w:cs="Arial"/>
          <w:sz w:val="22"/>
          <w:szCs w:val="22"/>
        </w:rPr>
        <w:t xml:space="preserve">“In a way, the whole idea of the work programme was for all of the deliverables to some extent be coupled. And then I think what we were grappling with </w:t>
      </w:r>
      <w:r w:rsidR="004F667A" w:rsidRPr="00BA4331">
        <w:rPr>
          <w:rFonts w:ascii="Arial" w:hAnsi="Arial" w:cs="Arial"/>
          <w:sz w:val="22"/>
          <w:szCs w:val="22"/>
        </w:rPr>
        <w:t xml:space="preserve">[at the intergovernmental plenary in January 2015] </w:t>
      </w:r>
      <w:r w:rsidRPr="00BA4331">
        <w:rPr>
          <w:rFonts w:ascii="Arial" w:hAnsi="Arial" w:cs="Arial"/>
          <w:sz w:val="22"/>
          <w:szCs w:val="22"/>
        </w:rPr>
        <w:t>was this situation where there were so many assessments going on in parallel and that amounted to possibly overloading the IPBES machinery, so I think it was a way of trying to think ‘if we do this in a more effective way…’. And this coupling between assessments could make it a little bit easier, although we struggled quite a bit with implementing that idea, even at the [IPBES intergovernmental] meeting [in January 2015] itself, trying to figure out what it meant and there was a disagreement between, at the intergovernmental level as to whether… well questions, first of all, what it meant.”</w:t>
      </w:r>
    </w:p>
    <w:p w14:paraId="5AADB345" w14:textId="77777777" w:rsidR="0020382C" w:rsidRPr="00BA4331" w:rsidRDefault="0020382C">
      <w:pPr>
        <w:rPr>
          <w:rFonts w:ascii="Arial" w:hAnsi="Arial" w:cs="Arial"/>
          <w:sz w:val="22"/>
          <w:szCs w:val="22"/>
        </w:rPr>
      </w:pPr>
    </w:p>
    <w:p w14:paraId="23524FB4" w14:textId="4BEF4F74" w:rsidR="005D02BC" w:rsidRPr="00BA4331" w:rsidRDefault="001D3B25">
      <w:pPr>
        <w:rPr>
          <w:rFonts w:ascii="Arial" w:hAnsi="Arial" w:cs="Arial"/>
          <w:sz w:val="22"/>
          <w:szCs w:val="22"/>
        </w:rPr>
      </w:pPr>
      <w:r w:rsidRPr="00BA4331">
        <w:rPr>
          <w:rFonts w:ascii="Arial" w:hAnsi="Arial" w:cs="Arial"/>
          <w:sz w:val="22"/>
          <w:szCs w:val="22"/>
        </w:rPr>
        <w:t>One proposition considered was that coupling</w:t>
      </w:r>
      <w:r w:rsidR="0020382C" w:rsidRPr="00BA4331">
        <w:rPr>
          <w:rFonts w:ascii="Arial" w:hAnsi="Arial" w:cs="Arial"/>
          <w:sz w:val="22"/>
          <w:szCs w:val="22"/>
        </w:rPr>
        <w:t xml:space="preserve"> could be </w:t>
      </w:r>
      <w:r w:rsidRPr="00BA4331">
        <w:rPr>
          <w:rFonts w:ascii="Arial" w:hAnsi="Arial" w:cs="Arial"/>
          <w:sz w:val="22"/>
          <w:szCs w:val="22"/>
        </w:rPr>
        <w:t>achieved by having experts participating in the production of multiple assessments. It was considered, for example,</w:t>
      </w:r>
      <w:r w:rsidR="0020382C" w:rsidRPr="00BA4331">
        <w:rPr>
          <w:rFonts w:ascii="Arial" w:hAnsi="Arial" w:cs="Arial"/>
          <w:sz w:val="22"/>
          <w:szCs w:val="22"/>
        </w:rPr>
        <w:t xml:space="preserve"> that </w:t>
      </w:r>
      <w:r w:rsidRPr="00BA4331">
        <w:rPr>
          <w:rFonts w:ascii="Arial" w:hAnsi="Arial" w:cs="Arial"/>
          <w:sz w:val="22"/>
          <w:szCs w:val="22"/>
        </w:rPr>
        <w:t>experts might</w:t>
      </w:r>
      <w:r w:rsidR="0020382C" w:rsidRPr="00BA4331">
        <w:rPr>
          <w:rFonts w:ascii="Arial" w:hAnsi="Arial" w:cs="Arial"/>
          <w:sz w:val="22"/>
          <w:szCs w:val="22"/>
        </w:rPr>
        <w:t xml:space="preserve"> participate in the production of both the regional and global assessments</w:t>
      </w:r>
      <w:r w:rsidRPr="00BA4331">
        <w:rPr>
          <w:rFonts w:ascii="Arial" w:hAnsi="Arial" w:cs="Arial"/>
          <w:sz w:val="22"/>
          <w:szCs w:val="22"/>
        </w:rPr>
        <w:t xml:space="preserve"> as explained by </w:t>
      </w:r>
      <w:r w:rsidR="0020382C" w:rsidRPr="00BA4331">
        <w:rPr>
          <w:rFonts w:ascii="Arial" w:hAnsi="Arial" w:cs="Arial"/>
          <w:sz w:val="22"/>
          <w:szCs w:val="22"/>
        </w:rPr>
        <w:t xml:space="preserve">an IPBES administrator in </w:t>
      </w:r>
      <w:r w:rsidR="0085708D" w:rsidRPr="00BA4331">
        <w:rPr>
          <w:rFonts w:ascii="Arial" w:hAnsi="Arial" w:cs="Arial"/>
          <w:sz w:val="22"/>
          <w:szCs w:val="22"/>
        </w:rPr>
        <w:t>June</w:t>
      </w:r>
      <w:r w:rsidR="00BB1292" w:rsidRPr="00BA4331">
        <w:rPr>
          <w:rFonts w:ascii="Arial" w:hAnsi="Arial" w:cs="Arial"/>
          <w:sz w:val="22"/>
          <w:szCs w:val="22"/>
        </w:rPr>
        <w:t xml:space="preserve"> 2015.</w:t>
      </w:r>
    </w:p>
    <w:p w14:paraId="69CC0BD9" w14:textId="77777777" w:rsidR="00BB1292" w:rsidRPr="00BA4331" w:rsidRDefault="00BB1292">
      <w:pPr>
        <w:rPr>
          <w:rFonts w:ascii="Arial" w:hAnsi="Arial" w:cs="Arial"/>
          <w:sz w:val="22"/>
          <w:szCs w:val="22"/>
        </w:rPr>
      </w:pPr>
    </w:p>
    <w:p w14:paraId="4F62BEAE" w14:textId="36C7E65D" w:rsidR="005D02BC" w:rsidRPr="00BA4331" w:rsidRDefault="005D02BC" w:rsidP="00BB1292">
      <w:pPr>
        <w:ind w:left="720"/>
        <w:rPr>
          <w:rFonts w:ascii="Arial" w:hAnsi="Arial" w:cs="Arial"/>
          <w:sz w:val="22"/>
          <w:szCs w:val="22"/>
        </w:rPr>
      </w:pPr>
      <w:r w:rsidRPr="00BA4331">
        <w:rPr>
          <w:rFonts w:ascii="Arial" w:hAnsi="Arial" w:cs="Arial"/>
          <w:sz w:val="22"/>
          <w:szCs w:val="22"/>
        </w:rPr>
        <w:t>“We have not yet defined how the regional will be couple</w:t>
      </w:r>
      <w:r w:rsidR="001D3B25" w:rsidRPr="00BA4331">
        <w:rPr>
          <w:rFonts w:ascii="Arial" w:hAnsi="Arial" w:cs="Arial"/>
          <w:sz w:val="22"/>
          <w:szCs w:val="22"/>
        </w:rPr>
        <w:t>d</w:t>
      </w:r>
      <w:r w:rsidRPr="00BA4331">
        <w:rPr>
          <w:rFonts w:ascii="Arial" w:hAnsi="Arial" w:cs="Arial"/>
          <w:sz w:val="22"/>
          <w:szCs w:val="22"/>
        </w:rPr>
        <w:t xml:space="preserve"> with the global, and we have not yet agreed this full scope of the global assessment, so I mean all of this is part and parcel of the discussion in October [2015] where we have that workshop on the scoping of the global assessment. To which, a very important part of the participants and also substance is the co-chairs of the regional assessments representing what is going on in the regions, so the idea of actually building on and to some extent synthesising what is in the regions to the global, as at least one part of that global assessment is a very strong intention. And then one will have to think how this works in person, when it comes down to the level of the individual experts. Will there be people working in both of these, just to make sure that all the insights are carried into the other to the right extent? All that still has to be discusse</w:t>
      </w:r>
      <w:r w:rsidR="00BB1292" w:rsidRPr="00BA4331">
        <w:rPr>
          <w:rFonts w:ascii="Arial" w:hAnsi="Arial" w:cs="Arial"/>
          <w:sz w:val="22"/>
          <w:szCs w:val="22"/>
        </w:rPr>
        <w:t>d.”</w:t>
      </w:r>
    </w:p>
    <w:p w14:paraId="0B35DC0F" w14:textId="77777777" w:rsidR="002D0C8C" w:rsidRPr="00BA4331" w:rsidRDefault="002D0C8C">
      <w:pPr>
        <w:rPr>
          <w:rFonts w:ascii="Arial" w:hAnsi="Arial" w:cs="Arial"/>
          <w:sz w:val="22"/>
          <w:szCs w:val="22"/>
        </w:rPr>
      </w:pPr>
    </w:p>
    <w:p w14:paraId="4650EAEE" w14:textId="46D185A9" w:rsidR="008444C2" w:rsidRPr="00BA4331" w:rsidRDefault="008444C2">
      <w:pPr>
        <w:rPr>
          <w:rFonts w:ascii="Arial" w:hAnsi="Arial" w:cs="Arial"/>
          <w:b/>
          <w:sz w:val="22"/>
          <w:szCs w:val="22"/>
        </w:rPr>
      </w:pPr>
      <w:r w:rsidRPr="00BA4331">
        <w:rPr>
          <w:rFonts w:ascii="Arial" w:hAnsi="Arial" w:cs="Arial"/>
          <w:b/>
          <w:sz w:val="22"/>
          <w:szCs w:val="22"/>
        </w:rPr>
        <w:lastRenderedPageBreak/>
        <w:t>SM1.</w:t>
      </w:r>
      <w:r w:rsidR="00055EE8" w:rsidRPr="00BA4331">
        <w:rPr>
          <w:rFonts w:ascii="Arial" w:hAnsi="Arial" w:cs="Arial"/>
          <w:b/>
          <w:sz w:val="22"/>
          <w:szCs w:val="22"/>
        </w:rPr>
        <w:t>6</w:t>
      </w:r>
    </w:p>
    <w:p w14:paraId="6A154C5E" w14:textId="29AFAA52" w:rsidR="00E76D03" w:rsidRPr="00BA4331" w:rsidRDefault="001D3B25" w:rsidP="001D3B25">
      <w:pPr>
        <w:rPr>
          <w:rFonts w:ascii="Arial" w:hAnsi="Arial" w:cs="Arial"/>
          <w:b/>
          <w:sz w:val="22"/>
          <w:szCs w:val="22"/>
        </w:rPr>
      </w:pPr>
      <w:r w:rsidRPr="00BA4331">
        <w:rPr>
          <w:rFonts w:ascii="Arial" w:hAnsi="Arial" w:cs="Arial"/>
          <w:b/>
          <w:sz w:val="22"/>
          <w:szCs w:val="22"/>
        </w:rPr>
        <w:t xml:space="preserve">The production of </w:t>
      </w:r>
      <w:r w:rsidR="00E76D03" w:rsidRPr="00BA4331">
        <w:rPr>
          <w:rFonts w:ascii="Arial" w:hAnsi="Arial" w:cs="Arial"/>
          <w:b/>
          <w:sz w:val="22"/>
          <w:szCs w:val="22"/>
        </w:rPr>
        <w:t>assessment report</w:t>
      </w:r>
      <w:r w:rsidRPr="00BA4331">
        <w:rPr>
          <w:rFonts w:ascii="Arial" w:hAnsi="Arial" w:cs="Arial"/>
          <w:b/>
          <w:sz w:val="22"/>
          <w:szCs w:val="22"/>
        </w:rPr>
        <w:t>s has followed a structured</w:t>
      </w:r>
      <w:r w:rsidR="00E76D03" w:rsidRPr="00BA4331">
        <w:rPr>
          <w:rFonts w:ascii="Arial" w:hAnsi="Arial" w:cs="Arial"/>
          <w:b/>
          <w:sz w:val="22"/>
          <w:szCs w:val="22"/>
        </w:rPr>
        <w:t xml:space="preserve"> </w:t>
      </w:r>
      <w:r w:rsidRPr="00BA4331">
        <w:rPr>
          <w:rFonts w:ascii="Arial" w:hAnsi="Arial" w:cs="Arial"/>
          <w:b/>
          <w:sz w:val="22"/>
          <w:szCs w:val="22"/>
        </w:rPr>
        <w:t>procedure in the first IPBES work programme. This broadly followed the following pattern:</w:t>
      </w:r>
    </w:p>
    <w:p w14:paraId="7D20FC85" w14:textId="77777777" w:rsidR="001D3B25" w:rsidRPr="00BA4331" w:rsidRDefault="001D3B25" w:rsidP="001D3B25">
      <w:pPr>
        <w:rPr>
          <w:rFonts w:ascii="Arial" w:hAnsi="Arial" w:cs="Arial"/>
          <w:sz w:val="22"/>
          <w:szCs w:val="22"/>
        </w:rPr>
      </w:pPr>
    </w:p>
    <w:p w14:paraId="5325E63A" w14:textId="7F7B7472" w:rsidR="001D3B25" w:rsidRPr="00BA4331" w:rsidRDefault="001D3B25" w:rsidP="001D3B25">
      <w:pPr>
        <w:rPr>
          <w:rFonts w:ascii="Arial" w:hAnsi="Arial" w:cs="Arial"/>
          <w:sz w:val="22"/>
          <w:szCs w:val="22"/>
        </w:rPr>
      </w:pPr>
      <w:r w:rsidRPr="00BA4331">
        <w:rPr>
          <w:rFonts w:ascii="Arial" w:hAnsi="Arial" w:cs="Arial"/>
          <w:sz w:val="22"/>
          <w:szCs w:val="22"/>
        </w:rPr>
        <w:t>Scoping: Assessment reports were initially ‘scoped’ by members of the Multidisciplinary Expert Panel (MEP), normally with the assistance of a small expert group (also subject to formal nomination and selection), and scoping reports were presented to the Plenary for adoption. This adopted scoping report then functioned as a mandate for the assessment, guiding the selection of experts and drafting of chapters.</w:t>
      </w:r>
    </w:p>
    <w:p w14:paraId="3E2F2DA1" w14:textId="77777777" w:rsidR="001D3B25" w:rsidRPr="00BA4331" w:rsidRDefault="001D3B25" w:rsidP="001D3B25">
      <w:pPr>
        <w:rPr>
          <w:rFonts w:ascii="Arial" w:hAnsi="Arial" w:cs="Arial"/>
          <w:sz w:val="22"/>
          <w:szCs w:val="22"/>
        </w:rPr>
      </w:pPr>
    </w:p>
    <w:p w14:paraId="49DA41F2" w14:textId="08DB18AD" w:rsidR="001D3B25" w:rsidRPr="00BA4331" w:rsidRDefault="001D3B25" w:rsidP="001D3B25">
      <w:pPr>
        <w:rPr>
          <w:rFonts w:ascii="Arial" w:hAnsi="Arial" w:cs="Arial"/>
          <w:sz w:val="22"/>
          <w:szCs w:val="22"/>
        </w:rPr>
      </w:pPr>
      <w:r w:rsidRPr="00BA4331">
        <w:rPr>
          <w:rFonts w:ascii="Arial" w:hAnsi="Arial" w:cs="Arial"/>
          <w:sz w:val="22"/>
          <w:szCs w:val="22"/>
        </w:rPr>
        <w:t>Author meetings: Author meetings tended to take place three times in the lifetime of a report, generally following an open review process. Much work was carried out</w:t>
      </w:r>
      <w:r w:rsidR="00DC5E86" w:rsidRPr="00BA4331">
        <w:rPr>
          <w:rFonts w:ascii="Arial" w:hAnsi="Arial" w:cs="Arial"/>
          <w:sz w:val="22"/>
          <w:szCs w:val="22"/>
        </w:rPr>
        <w:t xml:space="preserve"> in between meetings, where authors worked independently or in correspondence with their chapter teams.</w:t>
      </w:r>
    </w:p>
    <w:p w14:paraId="5E67F2C6" w14:textId="77777777" w:rsidR="001D3B25" w:rsidRPr="00BA4331" w:rsidRDefault="001D3B25" w:rsidP="001D3B25">
      <w:pPr>
        <w:rPr>
          <w:rFonts w:ascii="Arial" w:hAnsi="Arial" w:cs="Arial"/>
          <w:b/>
          <w:sz w:val="22"/>
          <w:szCs w:val="22"/>
        </w:rPr>
      </w:pPr>
    </w:p>
    <w:p w14:paraId="369AEB41" w14:textId="2531E714" w:rsidR="001D3B25" w:rsidRPr="00BA4331" w:rsidRDefault="001D3B25" w:rsidP="001D3B25">
      <w:pPr>
        <w:rPr>
          <w:rFonts w:ascii="Arial" w:hAnsi="Arial" w:cs="Arial"/>
          <w:sz w:val="22"/>
          <w:szCs w:val="22"/>
        </w:rPr>
      </w:pPr>
      <w:r w:rsidRPr="00BA4331">
        <w:rPr>
          <w:rFonts w:ascii="Arial" w:hAnsi="Arial" w:cs="Arial"/>
          <w:sz w:val="22"/>
          <w:szCs w:val="22"/>
        </w:rPr>
        <w:t xml:space="preserve">Review processes: </w:t>
      </w:r>
      <w:r w:rsidR="00DC5E86" w:rsidRPr="00BA4331">
        <w:rPr>
          <w:rFonts w:ascii="Arial" w:hAnsi="Arial" w:cs="Arial"/>
          <w:sz w:val="22"/>
          <w:szCs w:val="22"/>
        </w:rPr>
        <w:t>At key stages, d</w:t>
      </w:r>
      <w:r w:rsidRPr="00BA4331">
        <w:rPr>
          <w:rFonts w:ascii="Arial" w:hAnsi="Arial" w:cs="Arial"/>
          <w:sz w:val="22"/>
          <w:szCs w:val="22"/>
        </w:rPr>
        <w:t xml:space="preserve">rafts assessment </w:t>
      </w:r>
      <w:r w:rsidR="00DC5E86" w:rsidRPr="00BA4331">
        <w:rPr>
          <w:rFonts w:ascii="Arial" w:hAnsi="Arial" w:cs="Arial"/>
          <w:sz w:val="22"/>
          <w:szCs w:val="22"/>
        </w:rPr>
        <w:t>reports</w:t>
      </w:r>
      <w:r w:rsidRPr="00BA4331">
        <w:rPr>
          <w:rFonts w:ascii="Arial" w:hAnsi="Arial" w:cs="Arial"/>
          <w:sz w:val="22"/>
          <w:szCs w:val="22"/>
        </w:rPr>
        <w:t xml:space="preserve">, referred to as the ‘First Order Draft’ and ‘Second Order Draft’, were made available upon request via the secretariat or </w:t>
      </w:r>
      <w:r w:rsidRPr="00BA4331">
        <w:rPr>
          <w:rFonts w:ascii="Arial" w:hAnsi="Arial" w:cs="Arial"/>
          <w:sz w:val="22"/>
          <w:szCs w:val="22"/>
          <w:lang w:val="en-US"/>
        </w:rPr>
        <w:t>technical support unit</w:t>
      </w:r>
      <w:r w:rsidRPr="00BA4331">
        <w:rPr>
          <w:rFonts w:ascii="Arial" w:hAnsi="Arial" w:cs="Arial"/>
          <w:sz w:val="22"/>
          <w:szCs w:val="22"/>
        </w:rPr>
        <w:t>. Review comments were submitted and were compiled for response by the author teams.</w:t>
      </w:r>
      <w:r w:rsidR="00DC5E86" w:rsidRPr="00BA4331">
        <w:rPr>
          <w:rFonts w:ascii="Arial" w:hAnsi="Arial" w:cs="Arial"/>
          <w:sz w:val="22"/>
          <w:szCs w:val="22"/>
        </w:rPr>
        <w:t xml:space="preserve"> On the model established by the IPCC, all IPBES assessment reports had a Summary for Policy Makers that was developed at the Second Order Draft stage.</w:t>
      </w:r>
    </w:p>
    <w:p w14:paraId="19E6D995" w14:textId="4835F99A" w:rsidR="001D3B25" w:rsidRPr="00BA4331" w:rsidRDefault="001D3B25" w:rsidP="001D3B25">
      <w:pPr>
        <w:rPr>
          <w:rFonts w:ascii="Arial" w:hAnsi="Arial" w:cs="Arial"/>
          <w:sz w:val="22"/>
          <w:szCs w:val="22"/>
        </w:rPr>
      </w:pPr>
    </w:p>
    <w:p w14:paraId="44B42CF5" w14:textId="05CF1DF3" w:rsidR="001D3B25" w:rsidRPr="00BA4331" w:rsidRDefault="001D3B25" w:rsidP="001D3B25">
      <w:pPr>
        <w:rPr>
          <w:rFonts w:ascii="Arial" w:hAnsi="Arial" w:cs="Arial"/>
          <w:sz w:val="22"/>
          <w:szCs w:val="22"/>
        </w:rPr>
      </w:pPr>
      <w:r w:rsidRPr="00BA4331">
        <w:rPr>
          <w:rFonts w:ascii="Arial" w:hAnsi="Arial" w:cs="Arial"/>
          <w:sz w:val="22"/>
          <w:szCs w:val="22"/>
        </w:rPr>
        <w:t xml:space="preserve">Plenary acceptance, adoption and approval: </w:t>
      </w:r>
      <w:r w:rsidR="00DC5E86" w:rsidRPr="00BA4331">
        <w:rPr>
          <w:rFonts w:ascii="Arial" w:hAnsi="Arial" w:cs="Arial"/>
          <w:sz w:val="22"/>
          <w:szCs w:val="22"/>
        </w:rPr>
        <w:t>If deemed acceptable, the a</w:t>
      </w:r>
      <w:r w:rsidRPr="00BA4331">
        <w:rPr>
          <w:rFonts w:ascii="Arial" w:hAnsi="Arial" w:cs="Arial"/>
          <w:sz w:val="22"/>
          <w:szCs w:val="22"/>
        </w:rPr>
        <w:t>ssessment reports were</w:t>
      </w:r>
      <w:r w:rsidR="00DC5E86" w:rsidRPr="00BA4331">
        <w:rPr>
          <w:rFonts w:ascii="Arial" w:hAnsi="Arial" w:cs="Arial"/>
          <w:sz w:val="22"/>
          <w:szCs w:val="22"/>
        </w:rPr>
        <w:t xml:space="preserve"> </w:t>
      </w:r>
      <w:r w:rsidRPr="00BA4331">
        <w:rPr>
          <w:rFonts w:ascii="Arial" w:hAnsi="Arial" w:cs="Arial"/>
          <w:sz w:val="22"/>
          <w:szCs w:val="22"/>
        </w:rPr>
        <w:t xml:space="preserve">‘accepted’ by the </w:t>
      </w:r>
      <w:r w:rsidR="00DC5E86" w:rsidRPr="00BA4331">
        <w:rPr>
          <w:rFonts w:ascii="Arial" w:hAnsi="Arial" w:cs="Arial"/>
          <w:sz w:val="22"/>
          <w:szCs w:val="22"/>
        </w:rPr>
        <w:t>intergovernmental p</w:t>
      </w:r>
      <w:r w:rsidRPr="00BA4331">
        <w:rPr>
          <w:rFonts w:ascii="Arial" w:hAnsi="Arial" w:cs="Arial"/>
          <w:sz w:val="22"/>
          <w:szCs w:val="22"/>
        </w:rPr>
        <w:t>lenary</w:t>
      </w:r>
      <w:r w:rsidR="00DC5E86" w:rsidRPr="00BA4331">
        <w:rPr>
          <w:rFonts w:ascii="Arial" w:hAnsi="Arial" w:cs="Arial"/>
          <w:sz w:val="22"/>
          <w:szCs w:val="22"/>
        </w:rPr>
        <w:t xml:space="preserve"> in their entirety.</w:t>
      </w:r>
      <w:r w:rsidRPr="00BA4331">
        <w:rPr>
          <w:rFonts w:ascii="Arial" w:hAnsi="Arial" w:cs="Arial"/>
          <w:sz w:val="22"/>
          <w:szCs w:val="22"/>
        </w:rPr>
        <w:t xml:space="preserve"> Th</w:t>
      </w:r>
      <w:r w:rsidR="00DC5E86" w:rsidRPr="00BA4331">
        <w:rPr>
          <w:rFonts w:ascii="Arial" w:hAnsi="Arial" w:cs="Arial"/>
          <w:sz w:val="22"/>
          <w:szCs w:val="22"/>
        </w:rPr>
        <w:t>e Summary for Policy Makers</w:t>
      </w:r>
      <w:r w:rsidRPr="00BA4331">
        <w:rPr>
          <w:rFonts w:ascii="Arial" w:hAnsi="Arial" w:cs="Arial"/>
          <w:sz w:val="22"/>
          <w:szCs w:val="22"/>
        </w:rPr>
        <w:t xml:space="preserve"> was negotiated and approved line-by-line</w:t>
      </w:r>
      <w:r w:rsidR="00DC5E86" w:rsidRPr="00BA4331">
        <w:rPr>
          <w:rFonts w:ascii="Arial" w:hAnsi="Arial" w:cs="Arial"/>
          <w:sz w:val="22"/>
          <w:szCs w:val="22"/>
        </w:rPr>
        <w:t xml:space="preserve"> by the intergovernmental plenary</w:t>
      </w:r>
      <w:r w:rsidRPr="00BA4331">
        <w:rPr>
          <w:rFonts w:ascii="Arial" w:hAnsi="Arial" w:cs="Arial"/>
          <w:sz w:val="22"/>
          <w:szCs w:val="22"/>
        </w:rPr>
        <w:t xml:space="preserve">. </w:t>
      </w:r>
      <w:r w:rsidR="00DC5E86" w:rsidRPr="00BA4331">
        <w:rPr>
          <w:rFonts w:ascii="Arial" w:hAnsi="Arial" w:cs="Arial"/>
          <w:sz w:val="22"/>
          <w:szCs w:val="22"/>
        </w:rPr>
        <w:t>Typically,</w:t>
      </w:r>
      <w:r w:rsidRPr="00BA4331">
        <w:rPr>
          <w:rFonts w:ascii="Arial" w:hAnsi="Arial" w:cs="Arial"/>
          <w:sz w:val="22"/>
          <w:szCs w:val="22"/>
        </w:rPr>
        <w:t xml:space="preserve"> a subset of the Co-chairs and Coordinating Lead Authors</w:t>
      </w:r>
      <w:r w:rsidR="00DC5E86" w:rsidRPr="00BA4331">
        <w:rPr>
          <w:rFonts w:ascii="Arial" w:hAnsi="Arial" w:cs="Arial"/>
          <w:sz w:val="22"/>
          <w:szCs w:val="22"/>
        </w:rPr>
        <w:t xml:space="preserve"> of the assessment reports were present at intergovernmental plenary meetings to provide input and advice</w:t>
      </w:r>
      <w:r w:rsidRPr="00BA4331">
        <w:rPr>
          <w:rFonts w:ascii="Arial" w:hAnsi="Arial" w:cs="Arial"/>
          <w:sz w:val="22"/>
          <w:szCs w:val="22"/>
        </w:rPr>
        <w:t>.</w:t>
      </w:r>
    </w:p>
    <w:p w14:paraId="734BAEE0" w14:textId="77777777" w:rsidR="001D3B25" w:rsidRPr="00BA4331" w:rsidRDefault="001D3B25" w:rsidP="001D3B25">
      <w:pPr>
        <w:rPr>
          <w:rFonts w:ascii="Arial" w:hAnsi="Arial" w:cs="Arial"/>
          <w:sz w:val="22"/>
          <w:szCs w:val="22"/>
        </w:rPr>
      </w:pPr>
    </w:p>
    <w:p w14:paraId="40CDF43C" w14:textId="5637D732" w:rsidR="005D02BC" w:rsidRPr="00BA4331" w:rsidRDefault="005D02BC">
      <w:pPr>
        <w:rPr>
          <w:rFonts w:ascii="Arial" w:hAnsi="Arial" w:cs="Arial"/>
          <w:sz w:val="22"/>
          <w:szCs w:val="22"/>
        </w:rPr>
      </w:pPr>
    </w:p>
    <w:p w14:paraId="37476B10" w14:textId="42BF011B" w:rsidR="005F2966" w:rsidRPr="00BA4331" w:rsidRDefault="005F2966">
      <w:pPr>
        <w:rPr>
          <w:rFonts w:ascii="Arial" w:hAnsi="Arial" w:cs="Arial"/>
          <w:b/>
          <w:sz w:val="22"/>
          <w:szCs w:val="22"/>
        </w:rPr>
      </w:pPr>
      <w:r w:rsidRPr="00BA4331">
        <w:rPr>
          <w:rFonts w:ascii="Arial" w:hAnsi="Arial" w:cs="Arial"/>
          <w:b/>
          <w:sz w:val="22"/>
          <w:szCs w:val="22"/>
        </w:rPr>
        <w:t>References</w:t>
      </w:r>
    </w:p>
    <w:p w14:paraId="2214DD3D" w14:textId="77777777" w:rsidR="00BA4331" w:rsidRPr="00BA4331" w:rsidRDefault="005F2966" w:rsidP="00BA4331">
      <w:pPr>
        <w:pStyle w:val="EndNoteBibliography"/>
        <w:spacing w:after="240"/>
        <w:rPr>
          <w:rFonts w:ascii="Arial" w:hAnsi="Arial" w:cs="Arial"/>
          <w:noProof/>
          <w:sz w:val="22"/>
          <w:szCs w:val="22"/>
        </w:rPr>
      </w:pPr>
      <w:r w:rsidRPr="00BA4331">
        <w:rPr>
          <w:rFonts w:ascii="Arial" w:hAnsi="Arial" w:cs="Arial"/>
          <w:sz w:val="22"/>
          <w:szCs w:val="22"/>
        </w:rPr>
        <w:fldChar w:fldCharType="begin"/>
      </w:r>
      <w:r w:rsidRPr="00BA4331">
        <w:rPr>
          <w:rFonts w:ascii="Arial" w:hAnsi="Arial" w:cs="Arial"/>
          <w:sz w:val="22"/>
          <w:szCs w:val="22"/>
        </w:rPr>
        <w:instrText xml:space="preserve"> ADDIN EN.REFLIST </w:instrText>
      </w:r>
      <w:r w:rsidRPr="00BA4331">
        <w:rPr>
          <w:rFonts w:ascii="Arial" w:hAnsi="Arial" w:cs="Arial"/>
          <w:sz w:val="22"/>
          <w:szCs w:val="22"/>
        </w:rPr>
        <w:fldChar w:fldCharType="separate"/>
      </w:r>
      <w:r w:rsidR="00BA4331" w:rsidRPr="00BA4331">
        <w:rPr>
          <w:rFonts w:ascii="Arial" w:hAnsi="Arial" w:cs="Arial"/>
          <w:noProof/>
          <w:sz w:val="22"/>
          <w:szCs w:val="22"/>
        </w:rPr>
        <w:t>Carino J and Hardison P (2015). Statement by the International Indigenous Forum on Biodiversity and Ecosystem Services at IPBES-3, Bonn, Germany, January 12.</w:t>
      </w:r>
    </w:p>
    <w:p w14:paraId="245F9B0E" w14:textId="77777777" w:rsidR="00BA4331" w:rsidRPr="00BA4331" w:rsidRDefault="00BA4331" w:rsidP="00BA4331">
      <w:pPr>
        <w:pStyle w:val="EndNoteBibliography"/>
        <w:spacing w:after="240"/>
        <w:rPr>
          <w:rFonts w:ascii="Arial" w:hAnsi="Arial" w:cs="Arial"/>
          <w:noProof/>
          <w:sz w:val="22"/>
          <w:szCs w:val="22"/>
        </w:rPr>
      </w:pPr>
      <w:r w:rsidRPr="00BA4331">
        <w:rPr>
          <w:rFonts w:ascii="Arial" w:hAnsi="Arial" w:cs="Arial"/>
          <w:noProof/>
          <w:sz w:val="22"/>
          <w:szCs w:val="22"/>
        </w:rPr>
        <w:t>IPBES (2012). Functions, operating principles and institutional arrangements of the Intergovernmental Science-Policy Platform on Biodiversity and Ecosystem Services. Bonn, Germany, IPBES.</w:t>
      </w:r>
    </w:p>
    <w:p w14:paraId="5F2A47D7" w14:textId="77777777" w:rsidR="00BA4331" w:rsidRPr="00BA4331" w:rsidRDefault="00BA4331" w:rsidP="00BA4331">
      <w:pPr>
        <w:pStyle w:val="EndNoteBibliography"/>
        <w:spacing w:after="240"/>
        <w:rPr>
          <w:rFonts w:ascii="Arial" w:hAnsi="Arial" w:cs="Arial"/>
          <w:noProof/>
          <w:sz w:val="22"/>
          <w:szCs w:val="22"/>
        </w:rPr>
      </w:pPr>
      <w:r w:rsidRPr="00BA4331">
        <w:rPr>
          <w:rFonts w:ascii="Arial" w:hAnsi="Arial" w:cs="Arial"/>
          <w:noProof/>
          <w:sz w:val="22"/>
          <w:szCs w:val="22"/>
        </w:rPr>
        <w:t>IPBES (2013). Amendments to the rules of procedure for the Plenary with regard to rules governing the Multidisciplinary Expert Panel. Decision IPBES-2/1. Antalya, Turkey, IPBES.</w:t>
      </w:r>
    </w:p>
    <w:p w14:paraId="153124E1" w14:textId="77777777" w:rsidR="00BA4331" w:rsidRPr="00BA4331" w:rsidRDefault="00BA4331" w:rsidP="00BA4331">
      <w:pPr>
        <w:pStyle w:val="EndNoteBibliography"/>
        <w:spacing w:after="240"/>
        <w:rPr>
          <w:rFonts w:ascii="Arial" w:hAnsi="Arial" w:cs="Arial"/>
          <w:noProof/>
          <w:sz w:val="22"/>
          <w:szCs w:val="22"/>
        </w:rPr>
      </w:pPr>
      <w:r w:rsidRPr="00BA4331">
        <w:rPr>
          <w:rFonts w:ascii="Arial" w:hAnsi="Arial" w:cs="Arial"/>
          <w:noProof/>
          <w:sz w:val="22"/>
          <w:szCs w:val="22"/>
        </w:rPr>
        <w:t>IPBES (2013). Rules of procedure for the Plenary of the Platform. Decision IPBES/1/1. Bonn, Germany, IPBES.</w:t>
      </w:r>
    </w:p>
    <w:p w14:paraId="26CC2958" w14:textId="77777777" w:rsidR="00BA4331" w:rsidRPr="00BA4331" w:rsidRDefault="00BA4331" w:rsidP="00BA4331">
      <w:pPr>
        <w:pStyle w:val="EndNoteBibliography"/>
        <w:spacing w:after="240"/>
        <w:rPr>
          <w:rFonts w:ascii="Arial" w:hAnsi="Arial" w:cs="Arial"/>
          <w:noProof/>
          <w:sz w:val="22"/>
          <w:szCs w:val="22"/>
        </w:rPr>
      </w:pPr>
      <w:r w:rsidRPr="00BA4331">
        <w:rPr>
          <w:rFonts w:ascii="Arial" w:hAnsi="Arial" w:cs="Arial"/>
          <w:noProof/>
          <w:sz w:val="22"/>
          <w:szCs w:val="22"/>
        </w:rPr>
        <w:t>IPBES (2015). Procedures for the preparation of Platform deliverables. Decision IPBES-3/3. Bonn, Germany, IPBES.</w:t>
      </w:r>
    </w:p>
    <w:p w14:paraId="32E7DE2C" w14:textId="77777777" w:rsidR="00BA4331" w:rsidRPr="00BA4331" w:rsidRDefault="00BA4331" w:rsidP="00BA4331">
      <w:pPr>
        <w:pStyle w:val="EndNoteBibliography"/>
        <w:rPr>
          <w:rFonts w:ascii="Arial" w:hAnsi="Arial" w:cs="Arial"/>
          <w:noProof/>
          <w:sz w:val="22"/>
          <w:szCs w:val="22"/>
        </w:rPr>
      </w:pPr>
      <w:r w:rsidRPr="00BA4331">
        <w:rPr>
          <w:rFonts w:ascii="Arial" w:hAnsi="Arial" w:cs="Arial"/>
          <w:noProof/>
          <w:sz w:val="22"/>
          <w:szCs w:val="22"/>
        </w:rPr>
        <w:t>IPBES (2015). Report of the Plenary of the Intergovernmental Science-Policy Platform on Biodiversity and Ecosystem Services on the work of its third session: IPBES/3/18. Bonn, Germany, IPBES.</w:t>
      </w:r>
    </w:p>
    <w:p w14:paraId="349A3875" w14:textId="143E3E47" w:rsidR="005F2966" w:rsidRPr="00BA4331" w:rsidRDefault="005F2966">
      <w:pPr>
        <w:rPr>
          <w:rFonts w:ascii="Arial" w:hAnsi="Arial" w:cs="Arial"/>
          <w:sz w:val="22"/>
          <w:szCs w:val="22"/>
        </w:rPr>
      </w:pPr>
      <w:r w:rsidRPr="00BA4331">
        <w:rPr>
          <w:rFonts w:ascii="Arial" w:hAnsi="Arial" w:cs="Arial"/>
          <w:sz w:val="22"/>
          <w:szCs w:val="22"/>
        </w:rPr>
        <w:fldChar w:fldCharType="end"/>
      </w:r>
    </w:p>
    <w:sectPr w:rsidR="005F2966" w:rsidRPr="00BA4331" w:rsidSect="002E1E8C">
      <w:pgSz w:w="11900" w:h="16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380E73" w14:textId="77777777" w:rsidR="00F017B3" w:rsidRDefault="00F017B3" w:rsidP="00E76D03">
      <w:r>
        <w:separator/>
      </w:r>
    </w:p>
  </w:endnote>
  <w:endnote w:type="continuationSeparator" w:id="0">
    <w:p w14:paraId="6501AD20" w14:textId="77777777" w:rsidR="00F017B3" w:rsidRDefault="00F017B3" w:rsidP="00E76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473E17" w14:textId="77777777" w:rsidR="00F017B3" w:rsidRDefault="00F017B3" w:rsidP="00E76D03">
      <w:r>
        <w:separator/>
      </w:r>
    </w:p>
  </w:footnote>
  <w:footnote w:type="continuationSeparator" w:id="0">
    <w:p w14:paraId="724DEAB4" w14:textId="77777777" w:rsidR="00F017B3" w:rsidRDefault="00F017B3" w:rsidP="00E76D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Sustainability Scienc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item db-id=&quot;259rwp5582tt55eatrpp2axtw9v02p5wr92d&quot;&gt;JMontana_MasterLibrary&lt;record-ids&gt;&lt;item&gt;516&lt;/item&gt;&lt;item&gt;522&lt;/item&gt;&lt;item&gt;612&lt;/item&gt;&lt;item&gt;613&lt;/item&gt;&lt;item&gt;614&lt;/item&gt;&lt;item&gt;1199&lt;/item&gt;&lt;/record-ids&gt;&lt;/item&gt;&lt;/Libraries&gt;"/>
  </w:docVars>
  <w:rsids>
    <w:rsidRoot w:val="008444C2"/>
    <w:rsid w:val="00055EE8"/>
    <w:rsid w:val="00157234"/>
    <w:rsid w:val="001D3B25"/>
    <w:rsid w:val="0020382C"/>
    <w:rsid w:val="00203DEB"/>
    <w:rsid w:val="002529CE"/>
    <w:rsid w:val="00275ACA"/>
    <w:rsid w:val="002D0C8C"/>
    <w:rsid w:val="002E1E8C"/>
    <w:rsid w:val="00337A59"/>
    <w:rsid w:val="00374AE8"/>
    <w:rsid w:val="003759D3"/>
    <w:rsid w:val="003943F4"/>
    <w:rsid w:val="003B4C5D"/>
    <w:rsid w:val="003C5E09"/>
    <w:rsid w:val="003F0BEA"/>
    <w:rsid w:val="00441AF7"/>
    <w:rsid w:val="00487A18"/>
    <w:rsid w:val="004A1576"/>
    <w:rsid w:val="004F384B"/>
    <w:rsid w:val="004F667A"/>
    <w:rsid w:val="005D02BC"/>
    <w:rsid w:val="005F0D60"/>
    <w:rsid w:val="005F2966"/>
    <w:rsid w:val="00636200"/>
    <w:rsid w:val="006617CE"/>
    <w:rsid w:val="00683D58"/>
    <w:rsid w:val="00695B83"/>
    <w:rsid w:val="006A3239"/>
    <w:rsid w:val="007039A9"/>
    <w:rsid w:val="00703E9B"/>
    <w:rsid w:val="00713E31"/>
    <w:rsid w:val="0079642D"/>
    <w:rsid w:val="007D1D7D"/>
    <w:rsid w:val="00824C97"/>
    <w:rsid w:val="00826DB3"/>
    <w:rsid w:val="008444C2"/>
    <w:rsid w:val="0085708D"/>
    <w:rsid w:val="00870054"/>
    <w:rsid w:val="008718C8"/>
    <w:rsid w:val="00874BAB"/>
    <w:rsid w:val="00956DD2"/>
    <w:rsid w:val="009A334B"/>
    <w:rsid w:val="00A26AF0"/>
    <w:rsid w:val="00A562DA"/>
    <w:rsid w:val="00A7526B"/>
    <w:rsid w:val="00A767AB"/>
    <w:rsid w:val="00B10A24"/>
    <w:rsid w:val="00B502D9"/>
    <w:rsid w:val="00B56D0A"/>
    <w:rsid w:val="00B80A6E"/>
    <w:rsid w:val="00B86D7F"/>
    <w:rsid w:val="00BA4331"/>
    <w:rsid w:val="00BB1292"/>
    <w:rsid w:val="00BE43A3"/>
    <w:rsid w:val="00C27EFF"/>
    <w:rsid w:val="00C33857"/>
    <w:rsid w:val="00CA5900"/>
    <w:rsid w:val="00CD76FC"/>
    <w:rsid w:val="00CE1EA2"/>
    <w:rsid w:val="00D13A87"/>
    <w:rsid w:val="00D41AD9"/>
    <w:rsid w:val="00D75239"/>
    <w:rsid w:val="00DC5E86"/>
    <w:rsid w:val="00DC78E3"/>
    <w:rsid w:val="00E76D03"/>
    <w:rsid w:val="00E914A6"/>
    <w:rsid w:val="00F017B3"/>
    <w:rsid w:val="00F24FD8"/>
    <w:rsid w:val="00F616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8888235"/>
  <w15:chartTrackingRefBased/>
  <w15:docId w15:val="{6232F73E-B644-6B43-BB40-FDC8EFFAF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78E3"/>
    <w:rPr>
      <w:color w:val="0563C1" w:themeColor="hyperlink"/>
      <w:u w:val="single"/>
    </w:rPr>
  </w:style>
  <w:style w:type="character" w:styleId="UnresolvedMention">
    <w:name w:val="Unresolved Mention"/>
    <w:basedOn w:val="DefaultParagraphFont"/>
    <w:uiPriority w:val="99"/>
    <w:semiHidden/>
    <w:unhideWhenUsed/>
    <w:rsid w:val="00DC78E3"/>
    <w:rPr>
      <w:color w:val="605E5C"/>
      <w:shd w:val="clear" w:color="auto" w:fill="E1DFDD"/>
    </w:rPr>
  </w:style>
  <w:style w:type="paragraph" w:styleId="FootnoteText">
    <w:name w:val="footnote text"/>
    <w:basedOn w:val="Normal"/>
    <w:link w:val="FootnoteTextChar"/>
    <w:uiPriority w:val="99"/>
    <w:semiHidden/>
    <w:unhideWhenUsed/>
    <w:rsid w:val="00E76D03"/>
    <w:rPr>
      <w:sz w:val="20"/>
      <w:szCs w:val="20"/>
    </w:rPr>
  </w:style>
  <w:style w:type="character" w:customStyle="1" w:styleId="FootnoteTextChar">
    <w:name w:val="Footnote Text Char"/>
    <w:basedOn w:val="DefaultParagraphFont"/>
    <w:link w:val="FootnoteText"/>
    <w:uiPriority w:val="99"/>
    <w:semiHidden/>
    <w:rsid w:val="00E76D03"/>
    <w:rPr>
      <w:sz w:val="20"/>
      <w:szCs w:val="20"/>
    </w:rPr>
  </w:style>
  <w:style w:type="table" w:styleId="LightList">
    <w:name w:val="Light List"/>
    <w:basedOn w:val="TableNormal"/>
    <w:uiPriority w:val="61"/>
    <w:semiHidden/>
    <w:unhideWhenUsed/>
    <w:rsid w:val="00E76D0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FootnoteReference">
    <w:name w:val="footnote reference"/>
    <w:basedOn w:val="DefaultParagraphFont"/>
    <w:uiPriority w:val="99"/>
    <w:unhideWhenUsed/>
    <w:rsid w:val="00E76D03"/>
    <w:rPr>
      <w:vertAlign w:val="superscript"/>
    </w:rPr>
  </w:style>
  <w:style w:type="paragraph" w:customStyle="1" w:styleId="EndNoteBibliographyTitle">
    <w:name w:val="EndNote Bibliography Title"/>
    <w:basedOn w:val="Normal"/>
    <w:link w:val="EndNoteBibliographyTitleChar"/>
    <w:rsid w:val="005F2966"/>
    <w:pPr>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5F2966"/>
    <w:rPr>
      <w:rFonts w:ascii="Calibri" w:hAnsi="Calibri" w:cs="Calibri"/>
      <w:lang w:val="en-US"/>
    </w:rPr>
  </w:style>
  <w:style w:type="paragraph" w:customStyle="1" w:styleId="EndNoteBibliography">
    <w:name w:val="EndNote Bibliography"/>
    <w:basedOn w:val="Normal"/>
    <w:link w:val="EndNoteBibliographyChar"/>
    <w:rsid w:val="005F2966"/>
    <w:rPr>
      <w:rFonts w:ascii="Calibri" w:hAnsi="Calibri" w:cs="Calibri"/>
      <w:lang w:val="en-US"/>
    </w:rPr>
  </w:style>
  <w:style w:type="character" w:customStyle="1" w:styleId="EndNoteBibliographyChar">
    <w:name w:val="EndNote Bibliography Char"/>
    <w:basedOn w:val="DefaultParagraphFont"/>
    <w:link w:val="EndNoteBibliography"/>
    <w:rsid w:val="005F2966"/>
    <w:rPr>
      <w:rFonts w:ascii="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4</Pages>
  <Words>3040</Words>
  <Characters>17334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Jasper Montana</dc:creator>
  <cp:keywords/>
  <dc:description/>
  <cp:lastModifiedBy>Jasper Montana</cp:lastModifiedBy>
  <cp:revision>36</cp:revision>
  <dcterms:created xsi:type="dcterms:W3CDTF">2019-01-24T10:55:00Z</dcterms:created>
  <dcterms:modified xsi:type="dcterms:W3CDTF">2019-01-30T16:14:00Z</dcterms:modified>
</cp:coreProperties>
</file>