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B8B98" w14:textId="77777777" w:rsidR="00660ECB" w:rsidRPr="00660ECB" w:rsidRDefault="00660ECB" w:rsidP="00660ECB">
      <w:pPr>
        <w:pStyle w:val="Title"/>
        <w:rPr>
          <w:sz w:val="48"/>
          <w:szCs w:val="48"/>
          <w:lang w:val="en-US"/>
        </w:rPr>
      </w:pPr>
      <w:r w:rsidRPr="00660ECB">
        <w:rPr>
          <w:sz w:val="48"/>
          <w:szCs w:val="48"/>
          <w:lang w:val="en-US"/>
        </w:rPr>
        <w:t>Supplementary material</w:t>
      </w:r>
    </w:p>
    <w:p w14:paraId="3B370070" w14:textId="3BCD76C1" w:rsidR="00660ECB" w:rsidRDefault="00660ECB" w:rsidP="00660ECB">
      <w:pPr>
        <w:pStyle w:val="Heading1"/>
      </w:pPr>
      <w:r w:rsidRPr="00DD4855">
        <w:t xml:space="preserve">Processes, goals and outcomes of </w:t>
      </w:r>
      <w:r w:rsidRPr="00FB44EE">
        <w:t>the Knowledge-Action Programme on Water 2016-2019</w:t>
      </w:r>
    </w:p>
    <w:p w14:paraId="4818A7B2" w14:textId="77777777" w:rsidR="00660ECB" w:rsidRPr="00660ECB" w:rsidRDefault="00660ECB" w:rsidP="00660ECB"/>
    <w:tbl>
      <w:tblPr>
        <w:tblW w:w="9067" w:type="dxa"/>
        <w:tblLook w:val="04A0" w:firstRow="1" w:lastRow="0" w:firstColumn="1" w:lastColumn="0" w:noHBand="0" w:noVBand="1"/>
      </w:tblPr>
      <w:tblGrid>
        <w:gridCol w:w="1635"/>
        <w:gridCol w:w="2027"/>
        <w:gridCol w:w="1602"/>
        <w:gridCol w:w="1559"/>
        <w:gridCol w:w="2244"/>
      </w:tblGrid>
      <w:tr w:rsidR="00660ECB" w:rsidRPr="00FB44EE" w14:paraId="719C0291" w14:textId="77777777" w:rsidTr="00FB44EE">
        <w:tc>
          <w:tcPr>
            <w:tcW w:w="1635" w:type="dxa"/>
          </w:tcPr>
          <w:p w14:paraId="74E63DCA" w14:textId="77777777" w:rsidR="00660ECB" w:rsidRPr="00FB44EE" w:rsidRDefault="00660ECB" w:rsidP="00FB44EE">
            <w:pPr>
              <w:jc w:val="both"/>
              <w:rPr>
                <w:rFonts w:cstheme="minorHAnsi"/>
                <w:b/>
                <w:szCs w:val="17"/>
              </w:rPr>
            </w:pPr>
            <w:r>
              <w:rPr>
                <w:rFonts w:cstheme="minorHAnsi"/>
                <w:b/>
                <w:szCs w:val="17"/>
              </w:rPr>
              <w:t>Process</w:t>
            </w:r>
          </w:p>
        </w:tc>
        <w:tc>
          <w:tcPr>
            <w:tcW w:w="2027" w:type="dxa"/>
          </w:tcPr>
          <w:p w14:paraId="3FDD5E53" w14:textId="77777777" w:rsidR="00660ECB" w:rsidRPr="00FB44EE" w:rsidRDefault="00660ECB" w:rsidP="00FB44EE">
            <w:pPr>
              <w:jc w:val="both"/>
              <w:rPr>
                <w:rFonts w:cstheme="minorHAnsi"/>
                <w:b/>
                <w:szCs w:val="17"/>
              </w:rPr>
            </w:pPr>
            <w:r w:rsidRPr="00FB44EE">
              <w:rPr>
                <w:rFonts w:cstheme="minorHAnsi"/>
                <w:b/>
                <w:szCs w:val="17"/>
              </w:rPr>
              <w:t>Goals</w:t>
            </w:r>
          </w:p>
        </w:tc>
        <w:tc>
          <w:tcPr>
            <w:tcW w:w="1602" w:type="dxa"/>
          </w:tcPr>
          <w:p w14:paraId="2A787E61" w14:textId="77777777" w:rsidR="00660ECB" w:rsidRPr="00FB44EE" w:rsidRDefault="00660ECB" w:rsidP="00FB44EE">
            <w:pPr>
              <w:jc w:val="both"/>
              <w:rPr>
                <w:rFonts w:cstheme="minorHAnsi"/>
                <w:b/>
                <w:szCs w:val="17"/>
              </w:rPr>
            </w:pPr>
            <w:r w:rsidRPr="00FB44EE">
              <w:rPr>
                <w:rFonts w:cstheme="minorHAnsi"/>
                <w:b/>
                <w:szCs w:val="17"/>
              </w:rPr>
              <w:t>Actors / Participants</w:t>
            </w:r>
          </w:p>
        </w:tc>
        <w:tc>
          <w:tcPr>
            <w:tcW w:w="1559" w:type="dxa"/>
          </w:tcPr>
          <w:p w14:paraId="6B951C1D" w14:textId="77777777" w:rsidR="00660ECB" w:rsidRPr="00FB44EE" w:rsidRDefault="00660ECB" w:rsidP="00FB44EE">
            <w:pPr>
              <w:jc w:val="both"/>
              <w:rPr>
                <w:rFonts w:cstheme="minorHAnsi"/>
                <w:b/>
                <w:szCs w:val="17"/>
              </w:rPr>
            </w:pPr>
            <w:r w:rsidRPr="00FB44EE">
              <w:rPr>
                <w:rFonts w:cstheme="minorHAnsi"/>
                <w:b/>
                <w:szCs w:val="17"/>
              </w:rPr>
              <w:t>Approach</w:t>
            </w:r>
          </w:p>
        </w:tc>
        <w:tc>
          <w:tcPr>
            <w:tcW w:w="2244" w:type="dxa"/>
          </w:tcPr>
          <w:p w14:paraId="52646C4F" w14:textId="77777777" w:rsidR="00660ECB" w:rsidRPr="00FB44EE" w:rsidRDefault="00660ECB" w:rsidP="00FB44EE">
            <w:pPr>
              <w:ind w:right="33"/>
              <w:jc w:val="both"/>
              <w:rPr>
                <w:rFonts w:cstheme="minorHAnsi"/>
                <w:b/>
                <w:szCs w:val="17"/>
              </w:rPr>
            </w:pPr>
            <w:r w:rsidRPr="00FB44EE">
              <w:rPr>
                <w:rFonts w:cstheme="minorHAnsi"/>
                <w:b/>
                <w:szCs w:val="17"/>
              </w:rPr>
              <w:t>Outcomes</w:t>
            </w:r>
          </w:p>
        </w:tc>
      </w:tr>
      <w:tr w:rsidR="00660ECB" w:rsidRPr="00FB44EE" w14:paraId="4727794A" w14:textId="77777777" w:rsidTr="00FB44EE">
        <w:tc>
          <w:tcPr>
            <w:tcW w:w="1635" w:type="dxa"/>
          </w:tcPr>
          <w:p w14:paraId="091B55C9" w14:textId="77777777" w:rsidR="00660ECB" w:rsidRPr="00FB44EE" w:rsidRDefault="00660ECB" w:rsidP="00FB44EE">
            <w:pPr>
              <w:rPr>
                <w:rFonts w:cstheme="minorHAnsi"/>
                <w:szCs w:val="17"/>
              </w:rPr>
            </w:pPr>
            <w:r>
              <w:rPr>
                <w:rFonts w:cstheme="minorHAnsi"/>
                <w:szCs w:val="17"/>
              </w:rPr>
              <w:t xml:space="preserve">Wp1: </w:t>
            </w:r>
            <w:r w:rsidRPr="00FB44EE">
              <w:rPr>
                <w:rFonts w:cstheme="minorHAnsi"/>
                <w:szCs w:val="17"/>
              </w:rPr>
              <w:t>Post-hoc reviews of governance strategies in various cases throughout the Netherlands and abroad.</w:t>
            </w:r>
          </w:p>
        </w:tc>
        <w:tc>
          <w:tcPr>
            <w:tcW w:w="2027" w:type="dxa"/>
          </w:tcPr>
          <w:p w14:paraId="78B6C314" w14:textId="77777777" w:rsidR="00660ECB" w:rsidRPr="00FB44EE" w:rsidRDefault="00660ECB" w:rsidP="00FB44EE">
            <w:pPr>
              <w:rPr>
                <w:rFonts w:cstheme="minorHAnsi"/>
                <w:szCs w:val="17"/>
              </w:rPr>
            </w:pPr>
            <w:r w:rsidRPr="00FB44EE">
              <w:rPr>
                <w:rFonts w:cstheme="minorHAnsi"/>
                <w:szCs w:val="17"/>
              </w:rPr>
              <w:t>To provide insight into (1) what the future changes in the context of the water authority will mean for the governance of the urban water system, and (2) which strategies have proven successful in (pilot) case studies. The end goal is to provide policy entrepreneurs in the current co-creation projects with action perspectives and help the elected members of the executive board of the water authority to make more informed decisions.</w:t>
            </w:r>
          </w:p>
        </w:tc>
        <w:tc>
          <w:tcPr>
            <w:tcW w:w="1602" w:type="dxa"/>
          </w:tcPr>
          <w:p w14:paraId="1666C5E9" w14:textId="77777777" w:rsidR="00660ECB" w:rsidRPr="00FB44EE" w:rsidRDefault="00660ECB" w:rsidP="00FB44EE">
            <w:pPr>
              <w:rPr>
                <w:rFonts w:cstheme="minorHAnsi"/>
                <w:szCs w:val="17"/>
              </w:rPr>
            </w:pPr>
            <w:r w:rsidRPr="00FB44EE">
              <w:rPr>
                <w:rFonts w:cstheme="minorHAnsi"/>
                <w:szCs w:val="17"/>
              </w:rPr>
              <w:t>1 professor and several Master’s students from the T</w:t>
            </w:r>
            <w:r>
              <w:rPr>
                <w:rFonts w:cstheme="minorHAnsi"/>
                <w:szCs w:val="17"/>
              </w:rPr>
              <w:t xml:space="preserve">echnical </w:t>
            </w:r>
            <w:r w:rsidRPr="00FB44EE">
              <w:rPr>
                <w:rFonts w:cstheme="minorHAnsi"/>
                <w:szCs w:val="17"/>
              </w:rPr>
              <w:t>U</w:t>
            </w:r>
            <w:r>
              <w:rPr>
                <w:rFonts w:cstheme="minorHAnsi"/>
                <w:szCs w:val="17"/>
              </w:rPr>
              <w:t>niversity</w:t>
            </w:r>
            <w:r w:rsidRPr="00FB44EE">
              <w:rPr>
                <w:rFonts w:cstheme="minorHAnsi"/>
                <w:szCs w:val="17"/>
              </w:rPr>
              <w:t xml:space="preserve"> Delft. </w:t>
            </w:r>
          </w:p>
        </w:tc>
        <w:tc>
          <w:tcPr>
            <w:tcW w:w="1559" w:type="dxa"/>
          </w:tcPr>
          <w:p w14:paraId="7FC347FE" w14:textId="77777777" w:rsidR="00660ECB" w:rsidRPr="00FB44EE" w:rsidRDefault="00660ECB" w:rsidP="00FB44EE">
            <w:pPr>
              <w:rPr>
                <w:rFonts w:cstheme="minorHAnsi"/>
                <w:szCs w:val="17"/>
              </w:rPr>
            </w:pPr>
            <w:r w:rsidRPr="00FB44EE">
              <w:rPr>
                <w:rFonts w:cstheme="minorHAnsi"/>
                <w:szCs w:val="17"/>
              </w:rPr>
              <w:t>Desk research and presence at meetings as external observers to make descriptive analyses.</w:t>
            </w:r>
          </w:p>
        </w:tc>
        <w:tc>
          <w:tcPr>
            <w:tcW w:w="2244" w:type="dxa"/>
          </w:tcPr>
          <w:p w14:paraId="01ADDF00"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Columns and articles  for professional journals</w:t>
            </w:r>
          </w:p>
          <w:p w14:paraId="0650C311"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Discussion piece as blog on the website</w:t>
            </w:r>
          </w:p>
          <w:p w14:paraId="63582244"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2 master’s thesis: (1) The Process of Urban Systems Integration</w:t>
            </w:r>
            <w:r>
              <w:rPr>
                <w:rFonts w:cstheme="minorHAnsi"/>
                <w:szCs w:val="17"/>
              </w:rPr>
              <w:t>;</w:t>
            </w:r>
            <w:r w:rsidRPr="00FB44EE">
              <w:rPr>
                <w:rFonts w:cstheme="minorHAnsi"/>
                <w:szCs w:val="17"/>
              </w:rPr>
              <w:t xml:space="preserve"> (2) Room for Circularity</w:t>
            </w:r>
          </w:p>
        </w:tc>
      </w:tr>
      <w:tr w:rsidR="00660ECB" w:rsidRPr="00FB44EE" w14:paraId="589CDE33" w14:textId="77777777" w:rsidTr="00FB44EE">
        <w:tc>
          <w:tcPr>
            <w:tcW w:w="1635" w:type="dxa"/>
          </w:tcPr>
          <w:p w14:paraId="5064DA55" w14:textId="77777777" w:rsidR="00660ECB" w:rsidRPr="00FB44EE" w:rsidRDefault="00660ECB" w:rsidP="00FB44EE">
            <w:pPr>
              <w:rPr>
                <w:rFonts w:cstheme="minorHAnsi"/>
                <w:szCs w:val="17"/>
              </w:rPr>
            </w:pPr>
            <w:r>
              <w:rPr>
                <w:rFonts w:cstheme="minorHAnsi"/>
                <w:szCs w:val="17"/>
              </w:rPr>
              <w:t xml:space="preserve">WP2: </w:t>
            </w:r>
            <w:r w:rsidRPr="00FB44EE">
              <w:rPr>
                <w:rFonts w:cstheme="minorHAnsi"/>
                <w:szCs w:val="17"/>
              </w:rPr>
              <w:t>Action research on systemic changes in co-creation processes (led.by MH)</w:t>
            </w:r>
          </w:p>
        </w:tc>
        <w:tc>
          <w:tcPr>
            <w:tcW w:w="2027" w:type="dxa"/>
          </w:tcPr>
          <w:p w14:paraId="4818CF89" w14:textId="34F4EE87" w:rsidR="00660ECB" w:rsidRPr="00FB44EE" w:rsidRDefault="00660ECB" w:rsidP="00FB44EE">
            <w:pPr>
              <w:rPr>
                <w:rFonts w:cstheme="minorHAnsi"/>
                <w:szCs w:val="17"/>
              </w:rPr>
            </w:pPr>
            <w:r w:rsidRPr="00FB44EE">
              <w:rPr>
                <w:rFonts w:cstheme="minorHAnsi"/>
                <w:szCs w:val="17"/>
              </w:rPr>
              <w:t>Augment co-creation projects with action researchers to: (1) unlock knowledge for the policy entrepreneurs about issues that are crucial to their designs; (2) Identify and articulate knowledge needs to prioriti</w:t>
            </w:r>
            <w:r w:rsidR="0076073B">
              <w:rPr>
                <w:rFonts w:cstheme="minorHAnsi"/>
                <w:szCs w:val="17"/>
              </w:rPr>
              <w:t>s</w:t>
            </w:r>
            <w:r w:rsidRPr="00FB44EE">
              <w:rPr>
                <w:rFonts w:cstheme="minorHAnsi"/>
                <w:szCs w:val="17"/>
              </w:rPr>
              <w:t xml:space="preserve">e themes and set agendas in the science system;  (3) Record knowledge and the learning process </w:t>
            </w:r>
            <w:r w:rsidRPr="00FB44EE">
              <w:rPr>
                <w:rFonts w:cstheme="minorHAnsi"/>
                <w:szCs w:val="17"/>
              </w:rPr>
              <w:lastRenderedPageBreak/>
              <w:t>from individual cases to help others who follow (4) Give direction to the design and learning process (e.g. using a specific reflexive design methodology)</w:t>
            </w:r>
            <w:r>
              <w:rPr>
                <w:rFonts w:cstheme="minorHAnsi"/>
                <w:szCs w:val="17"/>
              </w:rPr>
              <w:t xml:space="preserve"> </w:t>
            </w:r>
          </w:p>
        </w:tc>
        <w:tc>
          <w:tcPr>
            <w:tcW w:w="1602" w:type="dxa"/>
          </w:tcPr>
          <w:p w14:paraId="7ADEA0BE" w14:textId="77777777" w:rsidR="00660ECB" w:rsidRPr="00FB44EE" w:rsidRDefault="00660ECB" w:rsidP="00FB44EE">
            <w:pPr>
              <w:rPr>
                <w:rFonts w:cstheme="minorHAnsi"/>
                <w:szCs w:val="17"/>
              </w:rPr>
            </w:pPr>
            <w:r w:rsidRPr="00FB44EE">
              <w:rPr>
                <w:rFonts w:cstheme="minorHAnsi"/>
                <w:szCs w:val="17"/>
              </w:rPr>
              <w:lastRenderedPageBreak/>
              <w:t xml:space="preserve">1 Professor, 1 Associate Professor, a postdoctoral researcher and several Batchelor and Master’s students from the University of Amsterdam. </w:t>
            </w:r>
          </w:p>
          <w:p w14:paraId="49C9A165" w14:textId="77777777" w:rsidR="00660ECB" w:rsidRPr="00FB44EE" w:rsidRDefault="00660ECB" w:rsidP="00FB44EE">
            <w:pPr>
              <w:rPr>
                <w:rFonts w:cstheme="minorHAnsi"/>
                <w:szCs w:val="17"/>
              </w:rPr>
            </w:pPr>
            <w:r w:rsidRPr="00FB44EE">
              <w:rPr>
                <w:rFonts w:cstheme="minorHAnsi"/>
                <w:szCs w:val="17"/>
              </w:rPr>
              <w:t>2 applied scientists from KWR water research institute.</w:t>
            </w:r>
          </w:p>
          <w:p w14:paraId="574169A5" w14:textId="1E13E7A6" w:rsidR="00660ECB" w:rsidRPr="00FB44EE" w:rsidRDefault="00660ECB" w:rsidP="00FB44EE">
            <w:pPr>
              <w:rPr>
                <w:rFonts w:cstheme="minorHAnsi"/>
                <w:szCs w:val="17"/>
              </w:rPr>
            </w:pPr>
            <w:r w:rsidRPr="00FB44EE">
              <w:rPr>
                <w:rFonts w:cstheme="minorHAnsi"/>
                <w:szCs w:val="17"/>
              </w:rPr>
              <w:lastRenderedPageBreak/>
              <w:t>+/-10 policy entrepreneurs and designers (experts) from the municipality (Amsterdam), public drinking water company and water authority (Waternet),  and the gas and electricity network operator (Liander).</w:t>
            </w:r>
            <w:r w:rsidR="00D835BC">
              <w:rPr>
                <w:rFonts w:cstheme="minorHAnsi"/>
                <w:szCs w:val="17"/>
              </w:rPr>
              <w:t xml:space="preserve"> </w:t>
            </w:r>
            <w:bookmarkStart w:id="0" w:name="_GoBack"/>
            <w:bookmarkEnd w:id="0"/>
          </w:p>
        </w:tc>
        <w:tc>
          <w:tcPr>
            <w:tcW w:w="1559" w:type="dxa"/>
          </w:tcPr>
          <w:p w14:paraId="037EC380" w14:textId="77777777" w:rsidR="00660ECB" w:rsidRPr="00FB44EE" w:rsidRDefault="00660ECB" w:rsidP="00FB44EE">
            <w:pPr>
              <w:rPr>
                <w:rFonts w:cstheme="minorHAnsi"/>
                <w:szCs w:val="17"/>
              </w:rPr>
            </w:pPr>
            <w:r w:rsidRPr="00FB44EE">
              <w:rPr>
                <w:rFonts w:cstheme="minorHAnsi"/>
                <w:szCs w:val="17"/>
              </w:rPr>
              <w:lastRenderedPageBreak/>
              <w:t>Taking minutes of meetings, planning and facilitating workshops, holding informal meetings to align perspectives of stakeholders.</w:t>
            </w:r>
          </w:p>
          <w:p w14:paraId="311EAFD6" w14:textId="77777777" w:rsidR="00660ECB" w:rsidRPr="00FB44EE" w:rsidRDefault="00660ECB" w:rsidP="00FB44EE">
            <w:pPr>
              <w:rPr>
                <w:rFonts w:cstheme="minorHAnsi"/>
                <w:szCs w:val="17"/>
              </w:rPr>
            </w:pPr>
            <w:r w:rsidRPr="00FB44EE">
              <w:rPr>
                <w:rFonts w:cstheme="minorHAnsi"/>
                <w:szCs w:val="17"/>
              </w:rPr>
              <w:t xml:space="preserve">Steering the co-creation process for design of integrated solutions to </w:t>
            </w:r>
            <w:r w:rsidRPr="00FB44EE">
              <w:rPr>
                <w:rFonts w:cstheme="minorHAnsi"/>
                <w:szCs w:val="17"/>
              </w:rPr>
              <w:lastRenderedPageBreak/>
              <w:t xml:space="preserve">explicitly include knowledge co-creation. </w:t>
            </w:r>
          </w:p>
          <w:p w14:paraId="014C7046" w14:textId="77777777" w:rsidR="00660ECB" w:rsidRPr="00FB44EE" w:rsidRDefault="00660ECB" w:rsidP="00FB44EE">
            <w:pPr>
              <w:rPr>
                <w:rFonts w:cstheme="minorHAnsi"/>
                <w:szCs w:val="17"/>
              </w:rPr>
            </w:pPr>
            <w:r w:rsidRPr="00FB44EE">
              <w:rPr>
                <w:rFonts w:cstheme="minorHAnsi"/>
                <w:szCs w:val="17"/>
              </w:rPr>
              <w:t>Action-oriented work in the role of process facilitators and</w:t>
            </w:r>
            <w:r w:rsidRPr="00B00E67">
              <w:t xml:space="preserve"> </w:t>
            </w:r>
            <w:r w:rsidRPr="00FB44EE">
              <w:rPr>
                <w:rFonts w:cstheme="minorHAnsi"/>
                <w:szCs w:val="17"/>
              </w:rPr>
              <w:t xml:space="preserve">transition participants. </w:t>
            </w:r>
          </w:p>
          <w:p w14:paraId="6C7BE480" w14:textId="77777777" w:rsidR="00660ECB" w:rsidRPr="00FB44EE" w:rsidRDefault="00660ECB" w:rsidP="00FB44EE">
            <w:pPr>
              <w:rPr>
                <w:rFonts w:cstheme="minorHAnsi"/>
                <w:szCs w:val="17"/>
              </w:rPr>
            </w:pPr>
          </w:p>
        </w:tc>
        <w:tc>
          <w:tcPr>
            <w:tcW w:w="2244" w:type="dxa"/>
          </w:tcPr>
          <w:p w14:paraId="67F9EFBF"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lastRenderedPageBreak/>
              <w:t>Acceleration and augmentation of a broadly supported co-creation process in the city of Amsterdam wherein the Municipality increasingly adopted the leading role.</w:t>
            </w:r>
          </w:p>
          <w:p w14:paraId="7A6F5151"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An innovative co-creation process with three case studies in a rural area.</w:t>
            </w:r>
          </w:p>
          <w:p w14:paraId="1B8F95F3"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Fact sheets about decentral sanitation technologies to better inform discussions</w:t>
            </w:r>
          </w:p>
          <w:p w14:paraId="6E785920" w14:textId="58EAD4E0"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Blogs on the programme website summari</w:t>
            </w:r>
            <w:r w:rsidR="0076073B">
              <w:rPr>
                <w:rFonts w:cstheme="minorHAnsi"/>
                <w:szCs w:val="17"/>
              </w:rPr>
              <w:t>s</w:t>
            </w:r>
            <w:r w:rsidRPr="00FB44EE">
              <w:rPr>
                <w:rFonts w:cstheme="minorHAnsi"/>
                <w:szCs w:val="17"/>
              </w:rPr>
              <w:t xml:space="preserve">ing processes and </w:t>
            </w:r>
            <w:r w:rsidRPr="00FB44EE">
              <w:rPr>
                <w:rFonts w:cstheme="minorHAnsi"/>
                <w:szCs w:val="17"/>
              </w:rPr>
              <w:lastRenderedPageBreak/>
              <w:t>knowledge generated</w:t>
            </w:r>
          </w:p>
          <w:p w14:paraId="1A001644"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Minutes of the co-creation workshops on opportunities for integrating energy and water</w:t>
            </w:r>
          </w:p>
          <w:p w14:paraId="1062E913"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 xml:space="preserve">Successful Applications for research grants to augment the action research </w:t>
            </w:r>
          </w:p>
          <w:p w14:paraId="3D94447C" w14:textId="46C8CE09"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 xml:space="preserve">10 Bachelor and 9 Master’s </w:t>
            </w:r>
            <w:r w:rsidRPr="00B00E67">
              <w:rPr>
                <w:rFonts w:cstheme="minorHAnsi"/>
                <w:szCs w:val="17"/>
              </w:rPr>
              <w:t>thesis</w:t>
            </w:r>
            <w:r w:rsidRPr="00FB44EE">
              <w:rPr>
                <w:rFonts w:cstheme="minorHAnsi"/>
                <w:szCs w:val="17"/>
              </w:rPr>
              <w:t xml:space="preserve"> </w:t>
            </w:r>
          </w:p>
          <w:p w14:paraId="7C1426EE"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Formulation of a follow up programme (2019-2023). Jointly financed by the Municipality of Amsterdam (60%), Waternet (20%), Alliander (20%)</w:t>
            </w:r>
          </w:p>
          <w:p w14:paraId="2C266928" w14:textId="77777777" w:rsidR="00660ECB" w:rsidRPr="00FB44EE" w:rsidRDefault="00660ECB" w:rsidP="00FB44EE">
            <w:pPr>
              <w:pStyle w:val="ListParagraph"/>
              <w:ind w:left="175" w:right="33"/>
              <w:rPr>
                <w:rFonts w:cstheme="minorHAnsi"/>
                <w:szCs w:val="17"/>
              </w:rPr>
            </w:pPr>
          </w:p>
        </w:tc>
      </w:tr>
      <w:tr w:rsidR="00660ECB" w:rsidRPr="00FB44EE" w14:paraId="51449B64" w14:textId="77777777" w:rsidTr="00FB44EE">
        <w:tc>
          <w:tcPr>
            <w:tcW w:w="1635" w:type="dxa"/>
          </w:tcPr>
          <w:p w14:paraId="15052CFC" w14:textId="77777777" w:rsidR="00660ECB" w:rsidRPr="00FB44EE" w:rsidRDefault="00660ECB" w:rsidP="00FB44EE">
            <w:pPr>
              <w:rPr>
                <w:rFonts w:cstheme="minorHAnsi"/>
                <w:szCs w:val="17"/>
              </w:rPr>
            </w:pPr>
            <w:r>
              <w:rPr>
                <w:rFonts w:cstheme="minorHAnsi"/>
                <w:szCs w:val="17"/>
              </w:rPr>
              <w:lastRenderedPageBreak/>
              <w:t xml:space="preserve">WP3: </w:t>
            </w:r>
            <w:r w:rsidRPr="00FB44EE">
              <w:rPr>
                <w:rFonts w:cstheme="minorHAnsi"/>
                <w:szCs w:val="17"/>
              </w:rPr>
              <w:t>A priori analysis of alternatives for the division of risks and responsibilities in new governance systems, including citizen involvement, business cases, and the legislative context.</w:t>
            </w:r>
          </w:p>
        </w:tc>
        <w:tc>
          <w:tcPr>
            <w:tcW w:w="2027" w:type="dxa"/>
          </w:tcPr>
          <w:p w14:paraId="029B8CF4" w14:textId="3CF9FD26" w:rsidR="00660ECB" w:rsidRPr="00FB44EE" w:rsidRDefault="00660ECB" w:rsidP="00FB44EE">
            <w:pPr>
              <w:rPr>
                <w:rFonts w:cstheme="minorHAnsi"/>
                <w:szCs w:val="17"/>
              </w:rPr>
            </w:pPr>
            <w:r w:rsidRPr="00FB44EE">
              <w:rPr>
                <w:rFonts w:cstheme="minorHAnsi"/>
                <w:szCs w:val="17"/>
              </w:rPr>
              <w:t>Identify opportunities and bottlenecks for innovative governance, including innovative business cases for providing water services and with special attention to the division of responsibilities and risks. The underlying goal is to make the options clearer for decision makers.</w:t>
            </w:r>
          </w:p>
        </w:tc>
        <w:tc>
          <w:tcPr>
            <w:tcW w:w="1602" w:type="dxa"/>
          </w:tcPr>
          <w:p w14:paraId="247B121B" w14:textId="77777777" w:rsidR="00660ECB" w:rsidRPr="00FB44EE" w:rsidRDefault="00660ECB" w:rsidP="00FB44EE">
            <w:pPr>
              <w:rPr>
                <w:rFonts w:cstheme="minorHAnsi"/>
                <w:szCs w:val="17"/>
              </w:rPr>
            </w:pPr>
            <w:r w:rsidRPr="00FB44EE">
              <w:rPr>
                <w:rFonts w:cstheme="minorHAnsi"/>
                <w:szCs w:val="17"/>
              </w:rPr>
              <w:t>1 senior researcher from the Institute for Environmental Studies (IVM) at the Vrije Universiteit Amsterdam.</w:t>
            </w:r>
          </w:p>
          <w:p w14:paraId="6029A7E0" w14:textId="0807349D" w:rsidR="00660ECB" w:rsidRPr="0076073B" w:rsidRDefault="00660ECB" w:rsidP="00FB44EE">
            <w:r w:rsidRPr="00B00E67">
              <w:rPr>
                <w:rStyle w:val="Titel1"/>
              </w:rPr>
              <w:t xml:space="preserve">1 </w:t>
            </w:r>
            <w:r w:rsidRPr="00807BB4">
              <w:rPr>
                <w:rStyle w:val="Titel1"/>
              </w:rPr>
              <w:t>Associate Professor</w:t>
            </w:r>
            <w:r w:rsidRPr="002669B2">
              <w:rPr>
                <w:rStyle w:val="Titel1"/>
              </w:rPr>
              <w:t xml:space="preserve"> from </w:t>
            </w:r>
            <w:r w:rsidRPr="00FB44EE">
              <w:rPr>
                <w:rStyle w:val="Titel1"/>
              </w:rPr>
              <w:t xml:space="preserve">Wageningen University and Amsterdam Institute of Advanced Metropolitan Solutions. </w:t>
            </w:r>
          </w:p>
          <w:p w14:paraId="391A2E91" w14:textId="77777777" w:rsidR="00660ECB" w:rsidRPr="00FB44EE" w:rsidRDefault="00660ECB" w:rsidP="00FB44EE">
            <w:pPr>
              <w:rPr>
                <w:rFonts w:cstheme="minorHAnsi"/>
                <w:szCs w:val="17"/>
              </w:rPr>
            </w:pPr>
            <w:r w:rsidRPr="00FB44EE">
              <w:rPr>
                <w:rFonts w:cstheme="minorHAnsi"/>
                <w:szCs w:val="17"/>
              </w:rPr>
              <w:t>1 applied scientist from KWR water research institute.</w:t>
            </w:r>
          </w:p>
          <w:p w14:paraId="3C79439F" w14:textId="77777777" w:rsidR="00660ECB" w:rsidRPr="00FB44EE" w:rsidRDefault="00660ECB" w:rsidP="00FB44EE">
            <w:pPr>
              <w:rPr>
                <w:rFonts w:cstheme="minorHAnsi"/>
                <w:szCs w:val="17"/>
              </w:rPr>
            </w:pPr>
            <w:r w:rsidRPr="00FB44EE">
              <w:rPr>
                <w:rFonts w:cstheme="minorHAnsi"/>
                <w:szCs w:val="17"/>
              </w:rPr>
              <w:t xml:space="preserve"> +/-2 policy entrepreneurs and designers (experts) from the public drinking water company and </w:t>
            </w:r>
            <w:r w:rsidRPr="00FB44EE">
              <w:rPr>
                <w:rFonts w:cstheme="minorHAnsi"/>
                <w:szCs w:val="17"/>
              </w:rPr>
              <w:lastRenderedPageBreak/>
              <w:t>water authority (Waternet).</w:t>
            </w:r>
          </w:p>
        </w:tc>
        <w:tc>
          <w:tcPr>
            <w:tcW w:w="1559" w:type="dxa"/>
          </w:tcPr>
          <w:p w14:paraId="13240787" w14:textId="77777777" w:rsidR="00660ECB" w:rsidRPr="00FB44EE" w:rsidRDefault="00660ECB" w:rsidP="00FB44EE">
            <w:pPr>
              <w:rPr>
                <w:rFonts w:cstheme="minorHAnsi"/>
                <w:szCs w:val="17"/>
              </w:rPr>
            </w:pPr>
            <w:r w:rsidRPr="00FB44EE">
              <w:rPr>
                <w:rFonts w:cstheme="minorHAnsi"/>
                <w:szCs w:val="17"/>
              </w:rPr>
              <w:lastRenderedPageBreak/>
              <w:t>Presence at co-creation meetings as an observer, augmented with formal interviews and followed up in the role of k</w:t>
            </w:r>
            <w:r w:rsidRPr="00B00E67">
              <w:rPr>
                <w:szCs w:val="17"/>
              </w:rPr>
              <w:t>nowledge broker</w:t>
            </w:r>
            <w:r w:rsidRPr="00807BB4">
              <w:rPr>
                <w:szCs w:val="17"/>
              </w:rPr>
              <w:t>.</w:t>
            </w:r>
          </w:p>
        </w:tc>
        <w:tc>
          <w:tcPr>
            <w:tcW w:w="2244" w:type="dxa"/>
          </w:tcPr>
          <w:p w14:paraId="68417492"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Documentation of discussions on regulatory issues and business cases with policy entrepreneurs.</w:t>
            </w:r>
          </w:p>
          <w:p w14:paraId="3221FD86"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An analysis of legal and regulatory barriers for the case study in Buiksloterham</w:t>
            </w:r>
          </w:p>
          <w:p w14:paraId="5D07DA84"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 xml:space="preserve">Reports on workshops held with policy entrepreneurs  </w:t>
            </w:r>
          </w:p>
          <w:p w14:paraId="1156D5D2"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5 reports of attended workshops, symposia, etc.</w:t>
            </w:r>
          </w:p>
          <w:p w14:paraId="4B5580ED"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A critical review of a feasibility study on a potential new role for the water authority as (thermal) energy provider.</w:t>
            </w:r>
          </w:p>
          <w:p w14:paraId="2A3FE14F"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 xml:space="preserve">A fact sheet about bottlenecks for governance innovation </w:t>
            </w:r>
          </w:p>
          <w:p w14:paraId="6FB36C09"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A factsheet on emerging regulatory and legal developments that may provide opportunities for innovative water governance</w:t>
            </w:r>
          </w:p>
        </w:tc>
      </w:tr>
      <w:tr w:rsidR="00660ECB" w:rsidRPr="00FB44EE" w14:paraId="123CAD60" w14:textId="77777777" w:rsidTr="00FB44EE">
        <w:tc>
          <w:tcPr>
            <w:tcW w:w="1635" w:type="dxa"/>
          </w:tcPr>
          <w:p w14:paraId="500A2A90" w14:textId="77777777" w:rsidR="00660ECB" w:rsidRPr="00FB44EE" w:rsidRDefault="00660ECB" w:rsidP="00FB44EE">
            <w:pPr>
              <w:rPr>
                <w:rFonts w:cstheme="minorHAnsi"/>
                <w:szCs w:val="17"/>
              </w:rPr>
            </w:pPr>
            <w:r>
              <w:rPr>
                <w:rFonts w:cstheme="minorHAnsi"/>
                <w:szCs w:val="17"/>
              </w:rPr>
              <w:t xml:space="preserve">WP4: </w:t>
            </w:r>
            <w:r w:rsidRPr="00FB44EE">
              <w:rPr>
                <w:rFonts w:cstheme="minorHAnsi"/>
                <w:szCs w:val="17"/>
              </w:rPr>
              <w:t>Monitor the knowledge co-production as a reflexive 'conscience' of the programme and promote learning and adjusting. (led by LH)</w:t>
            </w:r>
          </w:p>
          <w:p w14:paraId="310FAAFC" w14:textId="77777777" w:rsidR="00660ECB" w:rsidRPr="00FB44EE" w:rsidRDefault="00660ECB" w:rsidP="00FB44EE">
            <w:pPr>
              <w:rPr>
                <w:rFonts w:cstheme="minorHAnsi"/>
                <w:szCs w:val="17"/>
              </w:rPr>
            </w:pPr>
          </w:p>
        </w:tc>
        <w:tc>
          <w:tcPr>
            <w:tcW w:w="2027" w:type="dxa"/>
          </w:tcPr>
          <w:p w14:paraId="411F42C3" w14:textId="77777777" w:rsidR="00660ECB" w:rsidRPr="00FB44EE" w:rsidRDefault="00660ECB" w:rsidP="00FB44EE">
            <w:pPr>
              <w:rPr>
                <w:rFonts w:cstheme="minorHAnsi"/>
                <w:szCs w:val="17"/>
              </w:rPr>
            </w:pPr>
            <w:r w:rsidRPr="00FB44EE">
              <w:rPr>
                <w:rFonts w:cstheme="minorHAnsi"/>
                <w:szCs w:val="17"/>
              </w:rPr>
              <w:t>Provide methods for fruitful knowledge exchange based on existing literature and facilitate a reflexive and responsive approach in the programme. The end goal was to strengthen  the local knowledge-action system (science-policy-practice interface) in Amsterdam to help all parties involved to learn, exchange experiences, formulate new (research) questions and thus enable the intended transitions.</w:t>
            </w:r>
          </w:p>
        </w:tc>
        <w:tc>
          <w:tcPr>
            <w:tcW w:w="1602" w:type="dxa"/>
          </w:tcPr>
          <w:p w14:paraId="67511C09" w14:textId="77777777" w:rsidR="00660ECB" w:rsidRPr="00FB44EE" w:rsidRDefault="00660ECB" w:rsidP="00FB44EE">
            <w:pPr>
              <w:rPr>
                <w:rFonts w:cstheme="minorHAnsi"/>
                <w:szCs w:val="17"/>
              </w:rPr>
            </w:pPr>
            <w:r w:rsidRPr="00FB44EE">
              <w:rPr>
                <w:rFonts w:cstheme="minorHAnsi"/>
                <w:szCs w:val="17"/>
              </w:rPr>
              <w:t>1 applied scientist from KWR water research institute.</w:t>
            </w:r>
          </w:p>
          <w:p w14:paraId="2DAD865F" w14:textId="4A112E42" w:rsidR="00660ECB" w:rsidRPr="00FB44EE" w:rsidRDefault="00660ECB" w:rsidP="00FB44EE">
            <w:pPr>
              <w:rPr>
                <w:rFonts w:cstheme="minorHAnsi"/>
                <w:szCs w:val="17"/>
              </w:rPr>
            </w:pPr>
            <w:r w:rsidRPr="00B00E67">
              <w:rPr>
                <w:rStyle w:val="Titel1"/>
              </w:rPr>
              <w:t xml:space="preserve">2 Master’s students from </w:t>
            </w:r>
            <w:r w:rsidR="006E2D3B">
              <w:rPr>
                <w:rStyle w:val="Titel1"/>
              </w:rPr>
              <w:t>Wageningen University and Free University of Amsterdam</w:t>
            </w:r>
            <w:r w:rsidRPr="00DD4855">
              <w:rPr>
                <w:rStyle w:val="Titel1"/>
              </w:rPr>
              <w:t>.</w:t>
            </w:r>
          </w:p>
          <w:p w14:paraId="7508C313" w14:textId="77777777" w:rsidR="00660ECB" w:rsidRPr="00FB44EE" w:rsidRDefault="00660ECB" w:rsidP="00FB44EE">
            <w:pPr>
              <w:rPr>
                <w:rFonts w:cstheme="minorHAnsi"/>
                <w:szCs w:val="17"/>
              </w:rPr>
            </w:pPr>
          </w:p>
        </w:tc>
        <w:tc>
          <w:tcPr>
            <w:tcW w:w="1559" w:type="dxa"/>
          </w:tcPr>
          <w:p w14:paraId="6C30A490" w14:textId="77777777" w:rsidR="00660ECB" w:rsidRPr="00FB44EE" w:rsidRDefault="00660ECB" w:rsidP="00FB44EE">
            <w:pPr>
              <w:rPr>
                <w:rFonts w:cstheme="minorHAnsi"/>
                <w:szCs w:val="17"/>
              </w:rPr>
            </w:pPr>
            <w:r w:rsidRPr="00FB44EE">
              <w:rPr>
                <w:rFonts w:cstheme="minorHAnsi"/>
                <w:szCs w:val="17"/>
              </w:rPr>
              <w:t xml:space="preserve">Designing knowledge-action workshops, surveys, interviews and desk research. </w:t>
            </w:r>
          </w:p>
        </w:tc>
        <w:tc>
          <w:tcPr>
            <w:tcW w:w="2244" w:type="dxa"/>
          </w:tcPr>
          <w:p w14:paraId="21262179"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Knowledge-action workshops, bringing people from policy, practice, and research together</w:t>
            </w:r>
          </w:p>
          <w:p w14:paraId="4EDEEDDB"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 xml:space="preserve">Reflexive evaluation based on interviews and documented in a report </w:t>
            </w:r>
          </w:p>
          <w:p w14:paraId="5957CEA9"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sidRPr="00FB44EE">
              <w:rPr>
                <w:rFonts w:cstheme="minorHAnsi"/>
                <w:szCs w:val="17"/>
              </w:rPr>
              <w:t>Blogs on the programme website</w:t>
            </w:r>
          </w:p>
          <w:p w14:paraId="18A01D03" w14:textId="77777777" w:rsidR="00660ECB" w:rsidRDefault="00660ECB" w:rsidP="00660ECB">
            <w:pPr>
              <w:pStyle w:val="ListParagraph"/>
              <w:numPr>
                <w:ilvl w:val="0"/>
                <w:numId w:val="4"/>
              </w:numPr>
              <w:spacing w:after="0" w:line="240" w:lineRule="auto"/>
              <w:ind w:left="175" w:right="33" w:hanging="175"/>
              <w:rPr>
                <w:rFonts w:cstheme="minorHAnsi"/>
                <w:szCs w:val="17"/>
              </w:rPr>
            </w:pPr>
            <w:r>
              <w:rPr>
                <w:rFonts w:cstheme="minorHAnsi"/>
                <w:szCs w:val="17"/>
              </w:rPr>
              <w:t>M</w:t>
            </w:r>
            <w:r w:rsidRPr="00FB44EE">
              <w:rPr>
                <w:rFonts w:cstheme="minorHAnsi"/>
                <w:szCs w:val="17"/>
              </w:rPr>
              <w:t>aster’s thesis: analysis of the knowledge system of Amsterdam</w:t>
            </w:r>
          </w:p>
          <w:p w14:paraId="5185B9FB" w14:textId="77777777" w:rsidR="00660ECB" w:rsidRPr="00FB44EE" w:rsidRDefault="00660ECB" w:rsidP="00660ECB">
            <w:pPr>
              <w:pStyle w:val="ListParagraph"/>
              <w:numPr>
                <w:ilvl w:val="0"/>
                <w:numId w:val="4"/>
              </w:numPr>
              <w:spacing w:after="0" w:line="240" w:lineRule="auto"/>
              <w:ind w:left="175" w:right="33" w:hanging="175"/>
              <w:rPr>
                <w:rFonts w:cstheme="minorHAnsi"/>
                <w:szCs w:val="17"/>
              </w:rPr>
            </w:pPr>
            <w:r>
              <w:rPr>
                <w:rFonts w:cstheme="minorHAnsi"/>
                <w:szCs w:val="17"/>
              </w:rPr>
              <w:t>Master’s thesis: reflection on  functioning of KAP Water</w:t>
            </w:r>
          </w:p>
        </w:tc>
      </w:tr>
    </w:tbl>
    <w:p w14:paraId="3CD3F186" w14:textId="77777777" w:rsidR="00660ECB" w:rsidRPr="00FB44EE" w:rsidRDefault="00660ECB" w:rsidP="00660ECB">
      <w:pPr>
        <w:pStyle w:val="Heading1"/>
      </w:pPr>
      <w:r w:rsidRPr="00FB44EE">
        <w:br/>
      </w:r>
    </w:p>
    <w:p w14:paraId="29E57D9E" w14:textId="77777777" w:rsidR="00660ECB" w:rsidRPr="00FB44EE" w:rsidRDefault="00660ECB" w:rsidP="00660ECB">
      <w:pPr>
        <w:rPr>
          <w:rFonts w:asciiTheme="majorHAnsi" w:eastAsiaTheme="majorEastAsia" w:hAnsiTheme="majorHAnsi" w:cstheme="majorBidi"/>
          <w:color w:val="365F91" w:themeColor="accent1" w:themeShade="BF"/>
          <w:sz w:val="32"/>
          <w:szCs w:val="32"/>
        </w:rPr>
      </w:pPr>
      <w:r w:rsidRPr="00FB44EE">
        <w:br w:type="page"/>
      </w:r>
    </w:p>
    <w:p w14:paraId="6410EB5E" w14:textId="5451AC91" w:rsidR="00660ECB" w:rsidRPr="00FB44EE" w:rsidRDefault="00660ECB" w:rsidP="00660ECB">
      <w:pPr>
        <w:pStyle w:val="Heading1"/>
      </w:pPr>
      <w:r w:rsidRPr="00FB44EE">
        <w:lastRenderedPageBreak/>
        <w:t>Interview protocols</w:t>
      </w:r>
    </w:p>
    <w:p w14:paraId="7D5D0600" w14:textId="77777777" w:rsidR="00DB69BC" w:rsidRDefault="00DB69BC" w:rsidP="00660ECB"/>
    <w:p w14:paraId="572052E0" w14:textId="6D007610" w:rsidR="00660ECB" w:rsidRPr="00807BB4" w:rsidRDefault="00660ECB" w:rsidP="00660ECB">
      <w:pPr>
        <w:rPr>
          <w:rFonts w:cstheme="minorHAnsi"/>
          <w:szCs w:val="17"/>
        </w:rPr>
      </w:pPr>
      <w:r w:rsidRPr="00FB44EE">
        <w:t xml:space="preserve">In the three rounds of interviews (2017, 2018 and 2019), we used three different interview protocols. In this </w:t>
      </w:r>
      <w:r w:rsidR="00DB69BC">
        <w:t>appendix</w:t>
      </w:r>
      <w:r w:rsidRPr="00FB44EE">
        <w:t xml:space="preserve">, we provide concise versions of these protocols. In order to keep it concise, we only state the themes which we clustered interview questions around. Keep in mind that the interviews were semi-structured and therefore the protocols were used with some flexibility, varying slightly in content based on the </w:t>
      </w:r>
      <w:r w:rsidRPr="00B00E67">
        <w:rPr>
          <w:rFonts w:cstheme="minorHAnsi"/>
          <w:szCs w:val="17"/>
        </w:rPr>
        <w:t xml:space="preserve">position of the </w:t>
      </w:r>
      <w:r w:rsidRPr="00807BB4">
        <w:rPr>
          <w:rFonts w:cstheme="minorHAnsi"/>
          <w:szCs w:val="17"/>
        </w:rPr>
        <w:t>actor being interviewed.</w:t>
      </w:r>
    </w:p>
    <w:p w14:paraId="0E18379D" w14:textId="77777777" w:rsidR="00660ECB" w:rsidRPr="00FB44EE" w:rsidRDefault="00660ECB" w:rsidP="00660ECB">
      <w:pPr>
        <w:pStyle w:val="Heading2"/>
      </w:pPr>
      <w:r w:rsidRPr="00FB44EE">
        <w:t>Protocol 2017</w:t>
      </w:r>
    </w:p>
    <w:p w14:paraId="521A4C83" w14:textId="77777777" w:rsidR="00660ECB" w:rsidRPr="00FB44EE" w:rsidRDefault="00660ECB" w:rsidP="00660ECB">
      <w:pPr>
        <w:pStyle w:val="ListParagraph"/>
        <w:numPr>
          <w:ilvl w:val="0"/>
          <w:numId w:val="1"/>
        </w:numPr>
      </w:pPr>
      <w:r w:rsidRPr="00FB44EE">
        <w:t>Background information interviewee</w:t>
      </w:r>
    </w:p>
    <w:p w14:paraId="55F62C8F" w14:textId="77777777" w:rsidR="00660ECB" w:rsidRPr="00FB44EE" w:rsidRDefault="00660ECB" w:rsidP="00660ECB">
      <w:pPr>
        <w:pStyle w:val="ListParagraph"/>
        <w:numPr>
          <w:ilvl w:val="0"/>
          <w:numId w:val="1"/>
        </w:numPr>
      </w:pPr>
      <w:r w:rsidRPr="00FB44EE">
        <w:t>Contribution to knowledge system</w:t>
      </w:r>
    </w:p>
    <w:p w14:paraId="60184429" w14:textId="77777777" w:rsidR="00660ECB" w:rsidRPr="00FB44EE" w:rsidRDefault="00660ECB" w:rsidP="00660ECB">
      <w:pPr>
        <w:pStyle w:val="ListParagraph"/>
        <w:numPr>
          <w:ilvl w:val="0"/>
          <w:numId w:val="1"/>
        </w:numPr>
      </w:pPr>
      <w:r w:rsidRPr="00FB44EE">
        <w:t>Knowledge network</w:t>
      </w:r>
    </w:p>
    <w:p w14:paraId="1DFBCD69" w14:textId="77777777" w:rsidR="00660ECB" w:rsidRPr="00FB44EE" w:rsidRDefault="00660ECB" w:rsidP="00660ECB">
      <w:pPr>
        <w:pStyle w:val="ListParagraph"/>
        <w:numPr>
          <w:ilvl w:val="0"/>
          <w:numId w:val="1"/>
        </w:numPr>
      </w:pPr>
      <w:r w:rsidRPr="00FB44EE">
        <w:t>Experience with knowledge networks</w:t>
      </w:r>
    </w:p>
    <w:p w14:paraId="6003F9ED" w14:textId="77777777" w:rsidR="00660ECB" w:rsidRPr="00FB44EE" w:rsidRDefault="00660ECB" w:rsidP="00660ECB">
      <w:pPr>
        <w:pStyle w:val="ListParagraph"/>
        <w:numPr>
          <w:ilvl w:val="0"/>
          <w:numId w:val="1"/>
        </w:numPr>
      </w:pPr>
      <w:r w:rsidRPr="00FB44EE">
        <w:t xml:space="preserve">Actor identification </w:t>
      </w:r>
    </w:p>
    <w:p w14:paraId="1397EF90" w14:textId="77777777" w:rsidR="00660ECB" w:rsidRPr="00FB44EE" w:rsidRDefault="00660ECB" w:rsidP="00660ECB">
      <w:pPr>
        <w:pStyle w:val="ListParagraph"/>
        <w:numPr>
          <w:ilvl w:val="0"/>
          <w:numId w:val="1"/>
        </w:numPr>
      </w:pPr>
      <w:r w:rsidRPr="00FB44EE">
        <w:t>Connection with other actors</w:t>
      </w:r>
    </w:p>
    <w:p w14:paraId="46CE2175" w14:textId="77777777" w:rsidR="00660ECB" w:rsidRPr="00FB44EE" w:rsidRDefault="00660ECB" w:rsidP="00660ECB">
      <w:pPr>
        <w:pStyle w:val="ListParagraph"/>
        <w:numPr>
          <w:ilvl w:val="0"/>
          <w:numId w:val="1"/>
        </w:numPr>
      </w:pPr>
      <w:r w:rsidRPr="00FB44EE">
        <w:t>Vision on circular water management in Amsterdam</w:t>
      </w:r>
    </w:p>
    <w:p w14:paraId="6CE65D8B" w14:textId="77777777" w:rsidR="00660ECB" w:rsidRPr="00FB44EE" w:rsidRDefault="00660ECB" w:rsidP="00660ECB">
      <w:pPr>
        <w:pStyle w:val="ListParagraph"/>
        <w:numPr>
          <w:ilvl w:val="0"/>
          <w:numId w:val="1"/>
        </w:numPr>
      </w:pPr>
      <w:r w:rsidRPr="00FB44EE">
        <w:t xml:space="preserve">Vision on Knowledge -Action Programme on Water </w:t>
      </w:r>
    </w:p>
    <w:p w14:paraId="5C9F87BE" w14:textId="77777777" w:rsidR="00660ECB" w:rsidRPr="00FB44EE" w:rsidRDefault="00660ECB" w:rsidP="00660ECB">
      <w:pPr>
        <w:pStyle w:val="Heading2"/>
      </w:pPr>
      <w:r w:rsidRPr="00FB44EE">
        <w:t>Protocol 2018</w:t>
      </w:r>
    </w:p>
    <w:p w14:paraId="6F2773BD" w14:textId="77777777" w:rsidR="00660ECB" w:rsidRPr="00FB44EE" w:rsidRDefault="00660ECB" w:rsidP="00660ECB">
      <w:pPr>
        <w:pStyle w:val="ListParagraph"/>
        <w:numPr>
          <w:ilvl w:val="0"/>
          <w:numId w:val="2"/>
        </w:numPr>
      </w:pPr>
      <w:r w:rsidRPr="00FB44EE">
        <w:t>Background information interviewee</w:t>
      </w:r>
    </w:p>
    <w:p w14:paraId="57901331" w14:textId="77777777" w:rsidR="00660ECB" w:rsidRPr="00FB44EE" w:rsidRDefault="00660ECB" w:rsidP="00660ECB">
      <w:pPr>
        <w:pStyle w:val="ListParagraph"/>
        <w:numPr>
          <w:ilvl w:val="0"/>
          <w:numId w:val="2"/>
        </w:numPr>
      </w:pPr>
      <w:r w:rsidRPr="00FB44EE">
        <w:t>Knowledge co-creation</w:t>
      </w:r>
    </w:p>
    <w:p w14:paraId="4D3D309E" w14:textId="77777777" w:rsidR="00660ECB" w:rsidRPr="00FB44EE" w:rsidRDefault="00660ECB" w:rsidP="00660ECB">
      <w:pPr>
        <w:pStyle w:val="ListParagraph"/>
        <w:numPr>
          <w:ilvl w:val="0"/>
          <w:numId w:val="2"/>
        </w:numPr>
      </w:pPr>
      <w:r w:rsidRPr="00FB44EE">
        <w:t>Reflexivity</w:t>
      </w:r>
    </w:p>
    <w:p w14:paraId="3F7EF3DE" w14:textId="77777777" w:rsidR="00660ECB" w:rsidRPr="00FB44EE" w:rsidRDefault="00660ECB" w:rsidP="00660ECB">
      <w:pPr>
        <w:pStyle w:val="ListParagraph"/>
        <w:numPr>
          <w:ilvl w:val="0"/>
          <w:numId w:val="2"/>
        </w:numPr>
      </w:pPr>
      <w:r w:rsidRPr="00FB44EE">
        <w:t>Transdisciplinarity</w:t>
      </w:r>
    </w:p>
    <w:p w14:paraId="045E56A8" w14:textId="77777777" w:rsidR="00660ECB" w:rsidRPr="00FB44EE" w:rsidRDefault="00660ECB" w:rsidP="00660ECB">
      <w:pPr>
        <w:pStyle w:val="ListParagraph"/>
        <w:numPr>
          <w:ilvl w:val="0"/>
          <w:numId w:val="2"/>
        </w:numPr>
      </w:pPr>
      <w:r w:rsidRPr="00FB44EE">
        <w:t>Action orientation</w:t>
      </w:r>
    </w:p>
    <w:p w14:paraId="322F17B1" w14:textId="77777777" w:rsidR="00660ECB" w:rsidRPr="00FB44EE" w:rsidRDefault="00660ECB" w:rsidP="00660ECB">
      <w:pPr>
        <w:pStyle w:val="ListParagraph"/>
        <w:numPr>
          <w:ilvl w:val="0"/>
          <w:numId w:val="2"/>
        </w:numPr>
      </w:pPr>
      <w:r w:rsidRPr="00FB44EE">
        <w:t>Upscaling of Knowledge-Action Programme on Water</w:t>
      </w:r>
    </w:p>
    <w:p w14:paraId="53AC9EAB" w14:textId="77777777" w:rsidR="00660ECB" w:rsidRPr="00FB44EE" w:rsidRDefault="00660ECB" w:rsidP="00660ECB">
      <w:pPr>
        <w:pStyle w:val="Heading2"/>
      </w:pPr>
      <w:r w:rsidRPr="00FB44EE">
        <w:t>Protocol 2019</w:t>
      </w:r>
    </w:p>
    <w:p w14:paraId="204FD6E5" w14:textId="77777777" w:rsidR="00660ECB" w:rsidRPr="00FB44EE" w:rsidRDefault="00660ECB" w:rsidP="00660ECB">
      <w:pPr>
        <w:pStyle w:val="ListParagraph"/>
        <w:numPr>
          <w:ilvl w:val="0"/>
          <w:numId w:val="3"/>
        </w:numPr>
      </w:pPr>
      <w:r w:rsidRPr="00FB44EE">
        <w:t>Introduction/explanation of concepts</w:t>
      </w:r>
    </w:p>
    <w:p w14:paraId="31F3E1B0" w14:textId="77777777" w:rsidR="00660ECB" w:rsidRPr="00FB44EE" w:rsidRDefault="00660ECB" w:rsidP="00660ECB">
      <w:pPr>
        <w:pStyle w:val="ListParagraph"/>
        <w:numPr>
          <w:ilvl w:val="0"/>
          <w:numId w:val="3"/>
        </w:numPr>
      </w:pPr>
      <w:r w:rsidRPr="00FB44EE">
        <w:t>Key issues for researchers</w:t>
      </w:r>
    </w:p>
    <w:p w14:paraId="7425F640" w14:textId="77777777" w:rsidR="00660ECB" w:rsidRPr="00FB44EE" w:rsidRDefault="00660ECB" w:rsidP="00660ECB">
      <w:pPr>
        <w:pStyle w:val="ListParagraph"/>
        <w:numPr>
          <w:ilvl w:val="0"/>
          <w:numId w:val="3"/>
        </w:numPr>
      </w:pPr>
      <w:r w:rsidRPr="00FB44EE">
        <w:t>Roles of researchers in transdisciplinary sustainability research</w:t>
      </w:r>
    </w:p>
    <w:p w14:paraId="6F64E2DE" w14:textId="77777777" w:rsidR="00660ECB" w:rsidRPr="00FB44EE" w:rsidRDefault="00660ECB" w:rsidP="00660ECB"/>
    <w:p w14:paraId="0C6054F7" w14:textId="77777777" w:rsidR="00660ECB" w:rsidRPr="00FB44EE" w:rsidRDefault="00660ECB" w:rsidP="00660ECB"/>
    <w:p w14:paraId="66A83403" w14:textId="77777777" w:rsidR="00660ECB" w:rsidRPr="00FB44EE" w:rsidRDefault="00660ECB" w:rsidP="00660ECB"/>
    <w:p w14:paraId="5DE03E57" w14:textId="77777777" w:rsidR="00660ECB" w:rsidRPr="00660ECB" w:rsidRDefault="00660ECB" w:rsidP="00660ECB"/>
    <w:sectPr w:rsidR="00660ECB" w:rsidRPr="00660ECB" w:rsidSect="00D835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72720"/>
    <w:multiLevelType w:val="hybridMultilevel"/>
    <w:tmpl w:val="7B46C396"/>
    <w:lvl w:ilvl="0" w:tplc="E380437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98281A"/>
    <w:multiLevelType w:val="hybridMultilevel"/>
    <w:tmpl w:val="521A0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46D40"/>
    <w:multiLevelType w:val="hybridMultilevel"/>
    <w:tmpl w:val="1C96E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970D7"/>
    <w:multiLevelType w:val="hybridMultilevel"/>
    <w:tmpl w:val="7AA48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ECB"/>
    <w:rsid w:val="000B0643"/>
    <w:rsid w:val="00217CB5"/>
    <w:rsid w:val="00652846"/>
    <w:rsid w:val="00660ECB"/>
    <w:rsid w:val="006E2D3B"/>
    <w:rsid w:val="0076073B"/>
    <w:rsid w:val="0080083A"/>
    <w:rsid w:val="00914529"/>
    <w:rsid w:val="00B52B71"/>
    <w:rsid w:val="00BB12DE"/>
    <w:rsid w:val="00C34AE3"/>
    <w:rsid w:val="00D835BC"/>
    <w:rsid w:val="00DB69BC"/>
    <w:rsid w:val="00F76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F04C"/>
  <w15:chartTrackingRefBased/>
  <w15:docId w15:val="{498B8F48-2D8B-4EEA-A0A7-6AED8379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0E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0EC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EC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60ECB"/>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660ECB"/>
    <w:pPr>
      <w:ind w:left="720"/>
      <w:contextualSpacing/>
    </w:pPr>
  </w:style>
  <w:style w:type="character" w:styleId="CommentReference">
    <w:name w:val="annotation reference"/>
    <w:basedOn w:val="DefaultParagraphFont"/>
    <w:uiPriority w:val="99"/>
    <w:semiHidden/>
    <w:unhideWhenUsed/>
    <w:rsid w:val="00660ECB"/>
    <w:rPr>
      <w:sz w:val="16"/>
      <w:szCs w:val="16"/>
    </w:rPr>
  </w:style>
  <w:style w:type="paragraph" w:styleId="CommentText">
    <w:name w:val="annotation text"/>
    <w:basedOn w:val="Normal"/>
    <w:link w:val="CommentTextChar"/>
    <w:uiPriority w:val="99"/>
    <w:unhideWhenUsed/>
    <w:rsid w:val="00660ECB"/>
    <w:pPr>
      <w:spacing w:line="240" w:lineRule="auto"/>
    </w:pPr>
    <w:rPr>
      <w:sz w:val="20"/>
      <w:szCs w:val="20"/>
    </w:rPr>
  </w:style>
  <w:style w:type="character" w:customStyle="1" w:styleId="CommentTextChar">
    <w:name w:val="Comment Text Char"/>
    <w:basedOn w:val="DefaultParagraphFont"/>
    <w:link w:val="CommentText"/>
    <w:uiPriority w:val="99"/>
    <w:rsid w:val="00660ECB"/>
    <w:rPr>
      <w:sz w:val="20"/>
      <w:szCs w:val="20"/>
    </w:rPr>
  </w:style>
  <w:style w:type="table" w:styleId="TableGrid">
    <w:name w:val="Table Grid"/>
    <w:basedOn w:val="TableNormal"/>
    <w:uiPriority w:val="59"/>
    <w:rsid w:val="00660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60ECB"/>
  </w:style>
  <w:style w:type="character" w:customStyle="1" w:styleId="Titel1">
    <w:name w:val="Titel1"/>
    <w:basedOn w:val="DefaultParagraphFont"/>
    <w:rsid w:val="00660ECB"/>
  </w:style>
  <w:style w:type="paragraph" w:styleId="BalloonText">
    <w:name w:val="Balloon Text"/>
    <w:basedOn w:val="Normal"/>
    <w:link w:val="BalloonTextChar"/>
    <w:uiPriority w:val="99"/>
    <w:semiHidden/>
    <w:unhideWhenUsed/>
    <w:rsid w:val="00660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ECB"/>
    <w:rPr>
      <w:rFonts w:ascii="Segoe UI" w:hAnsi="Segoe UI" w:cs="Segoe UI"/>
      <w:sz w:val="18"/>
      <w:szCs w:val="18"/>
    </w:rPr>
  </w:style>
  <w:style w:type="paragraph" w:styleId="Title">
    <w:name w:val="Title"/>
    <w:basedOn w:val="Normal"/>
    <w:next w:val="Normal"/>
    <w:link w:val="TitleChar"/>
    <w:uiPriority w:val="10"/>
    <w:qFormat/>
    <w:rsid w:val="00660E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E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Bulten, Ellen</dc:creator>
  <cp:keywords/>
  <dc:description/>
  <cp:lastModifiedBy>kavitha B.</cp:lastModifiedBy>
  <cp:revision>5</cp:revision>
  <dcterms:created xsi:type="dcterms:W3CDTF">2020-10-21T17:05:00Z</dcterms:created>
  <dcterms:modified xsi:type="dcterms:W3CDTF">2021-03-10T02:42:00Z</dcterms:modified>
</cp:coreProperties>
</file>