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C20E1" w14:textId="77777777" w:rsidR="006D0CAA" w:rsidRDefault="00F23EF3" w:rsidP="001C0014">
      <w:pPr>
        <w:adjustRightInd w:val="0"/>
        <w:spacing w:before="100" w:beforeAutospacing="1" w:after="100" w:afterAutospacing="1" w:line="480" w:lineRule="auto"/>
        <w:jc w:val="both"/>
        <w:rPr>
          <w:rFonts w:ascii="Cambria" w:hAnsi="Cambria"/>
          <w:sz w:val="22"/>
          <w:szCs w:val="22"/>
          <w:lang w:val="en-GB"/>
        </w:rPr>
      </w:pPr>
      <w:r>
        <w:rPr>
          <w:rFonts w:ascii="Cambria" w:hAnsi="Cambria"/>
          <w:sz w:val="22"/>
          <w:szCs w:val="22"/>
          <w:lang w:val="en-GB"/>
        </w:rPr>
        <w:t>Supplementary Material</w:t>
      </w:r>
    </w:p>
    <w:p w14:paraId="6A340705" w14:textId="68325572" w:rsidR="00FD17F5" w:rsidRDefault="00FD17F5" w:rsidP="001C0014">
      <w:pPr>
        <w:adjustRightInd w:val="0"/>
        <w:spacing w:before="100" w:beforeAutospacing="1" w:after="100" w:afterAutospacing="1" w:line="480" w:lineRule="auto"/>
        <w:jc w:val="both"/>
        <w:rPr>
          <w:rFonts w:ascii="Cambria" w:hAnsi="Cambria"/>
          <w:sz w:val="22"/>
          <w:szCs w:val="22"/>
          <w:lang w:val="en-GB"/>
        </w:rPr>
      </w:pPr>
      <w:r w:rsidRPr="001C45B1">
        <w:rPr>
          <w:rFonts w:ascii="Cambria" w:hAnsi="Cambria"/>
          <w:i/>
          <w:iCs/>
          <w:sz w:val="24"/>
          <w:szCs w:val="24"/>
        </w:rPr>
        <w:t xml:space="preserve">Drivers of sustainability transformations: leverage points, contexts and conjunctures </w:t>
      </w:r>
    </w:p>
    <w:p w14:paraId="4AAABE50" w14:textId="1353F0FC" w:rsidR="006D0CAA" w:rsidRPr="00F66616" w:rsidRDefault="006D0CAA" w:rsidP="006D0CAA">
      <w:pPr>
        <w:spacing w:after="100" w:afterAutospacing="1" w:line="480" w:lineRule="auto"/>
        <w:jc w:val="both"/>
        <w:rPr>
          <w:rFonts w:ascii="Cambria" w:hAnsi="Cambria" w:cstheme="minorHAnsi"/>
          <w:sz w:val="22"/>
          <w:szCs w:val="22"/>
          <w:lang w:val="en-GB"/>
        </w:rPr>
      </w:pPr>
      <w:r w:rsidRPr="00F66616">
        <w:rPr>
          <w:rFonts w:ascii="Cambria" w:hAnsi="Cambria" w:cstheme="minorHAnsi"/>
          <w:sz w:val="22"/>
          <w:szCs w:val="22"/>
          <w:lang w:val="en-GB"/>
        </w:rPr>
        <w:t>Björn-Ola Linnér and Victoria Wibeck, Department of Thematic Studies – Environmental Change, Linköping University</w:t>
      </w:r>
    </w:p>
    <w:p w14:paraId="71FCA6F6" w14:textId="15BD410C" w:rsidR="006D0CAA" w:rsidRPr="006D0CAA" w:rsidRDefault="006D0CAA" w:rsidP="001C0014">
      <w:pPr>
        <w:adjustRightInd w:val="0"/>
        <w:spacing w:before="100" w:beforeAutospacing="1" w:after="100" w:afterAutospacing="1" w:line="480" w:lineRule="auto"/>
        <w:jc w:val="both"/>
        <w:rPr>
          <w:rFonts w:ascii="Cambria" w:hAnsi="Cambria"/>
          <w:b/>
          <w:sz w:val="28"/>
          <w:szCs w:val="28"/>
          <w:lang w:val="en-GB"/>
        </w:rPr>
      </w:pPr>
      <w:r w:rsidRPr="006D0CAA">
        <w:rPr>
          <w:rFonts w:ascii="Cambria" w:hAnsi="Cambria"/>
          <w:b/>
          <w:sz w:val="28"/>
          <w:szCs w:val="28"/>
          <w:lang w:val="en-GB"/>
        </w:rPr>
        <w:t>Materials and Methods</w:t>
      </w:r>
    </w:p>
    <w:p w14:paraId="4DBBDA3F" w14:textId="2C81D31F" w:rsidR="005B443D" w:rsidRDefault="005B443D" w:rsidP="001C0014">
      <w:pPr>
        <w:adjustRightInd w:val="0"/>
        <w:spacing w:before="100" w:beforeAutospacing="1" w:after="100" w:afterAutospacing="1" w:line="480" w:lineRule="auto"/>
        <w:jc w:val="both"/>
        <w:rPr>
          <w:rFonts w:ascii="Cambria" w:hAnsi="Cambria"/>
          <w:sz w:val="22"/>
          <w:szCs w:val="22"/>
          <w:lang w:val="en-GB"/>
        </w:rPr>
      </w:pPr>
      <w:r>
        <w:rPr>
          <w:rFonts w:ascii="Cambria" w:hAnsi="Cambria"/>
          <w:sz w:val="22"/>
          <w:szCs w:val="22"/>
          <w:lang w:val="en-GB"/>
        </w:rPr>
        <w:t xml:space="preserve">For our cross-country </w:t>
      </w:r>
      <w:r w:rsidR="007247EF">
        <w:rPr>
          <w:rFonts w:ascii="Cambria" w:hAnsi="Cambria"/>
          <w:sz w:val="22"/>
          <w:szCs w:val="22"/>
          <w:lang w:val="en-GB"/>
        </w:rPr>
        <w:t>study</w:t>
      </w:r>
      <w:r>
        <w:rPr>
          <w:rFonts w:ascii="Cambria" w:hAnsi="Cambria"/>
          <w:sz w:val="22"/>
          <w:szCs w:val="22"/>
          <w:lang w:val="en-GB"/>
        </w:rPr>
        <w:t xml:space="preserve"> of </w:t>
      </w:r>
      <w:r w:rsidR="007247EF">
        <w:rPr>
          <w:rFonts w:ascii="Cambria" w:hAnsi="Cambria"/>
          <w:sz w:val="22"/>
          <w:szCs w:val="22"/>
          <w:lang w:val="en-GB"/>
        </w:rPr>
        <w:t xml:space="preserve">societal transformations towards sustainability, we conducted sense-making analysis of four types of data: research literature, policy documents, international media texts, and focus group interviews. </w:t>
      </w:r>
      <w:r w:rsidRPr="005C5A46">
        <w:rPr>
          <w:rFonts w:ascii="Cambria" w:eastAsiaTheme="minorEastAsia" w:hAnsi="Cambria"/>
          <w:sz w:val="22"/>
          <w:szCs w:val="22"/>
          <w:lang w:val="en-GB"/>
        </w:rPr>
        <w:t xml:space="preserve">Our sense-making analyses </w:t>
      </w:r>
      <w:r w:rsidRPr="005C5A46">
        <w:rPr>
          <w:rFonts w:ascii="Cambria" w:hAnsi="Cambria"/>
          <w:sz w:val="22"/>
          <w:szCs w:val="22"/>
          <w:lang w:val="en-GB"/>
        </w:rPr>
        <w:t xml:space="preserve">are </w:t>
      </w:r>
      <w:r w:rsidRPr="005C5A46">
        <w:rPr>
          <w:rFonts w:ascii="Cambria" w:eastAsiaTheme="minorEastAsia" w:hAnsi="Cambria"/>
          <w:sz w:val="22"/>
          <w:szCs w:val="22"/>
          <w:lang w:val="en-GB"/>
        </w:rPr>
        <w:t xml:space="preserve">inspired by dialogical communication theory (e.g. Bakhtin 1986; </w:t>
      </w:r>
      <w:proofErr w:type="spellStart"/>
      <w:r w:rsidRPr="005C5A46">
        <w:rPr>
          <w:rFonts w:ascii="Cambria" w:eastAsiaTheme="minorEastAsia" w:hAnsi="Cambria"/>
          <w:sz w:val="22"/>
          <w:szCs w:val="22"/>
          <w:lang w:val="en-GB"/>
        </w:rPr>
        <w:t>Linell</w:t>
      </w:r>
      <w:proofErr w:type="spellEnd"/>
      <w:r w:rsidRPr="005C5A46">
        <w:rPr>
          <w:rFonts w:ascii="Cambria" w:eastAsiaTheme="minorEastAsia" w:hAnsi="Cambria"/>
          <w:sz w:val="22"/>
          <w:szCs w:val="22"/>
          <w:lang w:val="en-GB"/>
        </w:rPr>
        <w:t xml:space="preserve"> 1998</w:t>
      </w:r>
      <w:r w:rsidR="0059106A">
        <w:rPr>
          <w:rFonts w:ascii="Cambria" w:eastAsiaTheme="minorEastAsia" w:hAnsi="Cambria"/>
          <w:sz w:val="22"/>
          <w:szCs w:val="22"/>
          <w:lang w:val="en-GB"/>
        </w:rPr>
        <w:t>,</w:t>
      </w:r>
      <w:r>
        <w:rPr>
          <w:rFonts w:ascii="Cambria" w:eastAsiaTheme="minorEastAsia" w:hAnsi="Cambria"/>
          <w:sz w:val="22"/>
          <w:szCs w:val="22"/>
          <w:lang w:val="en-GB"/>
        </w:rPr>
        <w:t xml:space="preserve"> 20</w:t>
      </w:r>
      <w:r w:rsidRPr="005C5A46">
        <w:rPr>
          <w:rFonts w:ascii="Cambria" w:eastAsiaTheme="minorEastAsia" w:hAnsi="Cambria"/>
          <w:sz w:val="22"/>
          <w:szCs w:val="22"/>
          <w:lang w:val="en-GB"/>
        </w:rPr>
        <w:t xml:space="preserve">09; </w:t>
      </w:r>
      <w:proofErr w:type="spellStart"/>
      <w:r w:rsidRPr="005C5A46">
        <w:rPr>
          <w:rFonts w:ascii="Cambria" w:eastAsiaTheme="minorEastAsia" w:hAnsi="Cambria"/>
          <w:sz w:val="22"/>
          <w:szCs w:val="22"/>
          <w:lang w:val="en-GB"/>
        </w:rPr>
        <w:t>Marková</w:t>
      </w:r>
      <w:proofErr w:type="spellEnd"/>
      <w:r w:rsidRPr="005C5A46">
        <w:rPr>
          <w:rFonts w:ascii="Cambria" w:eastAsiaTheme="minorEastAsia" w:hAnsi="Cambria"/>
          <w:sz w:val="22"/>
          <w:szCs w:val="22"/>
          <w:lang w:val="en-GB"/>
        </w:rPr>
        <w:t xml:space="preserve"> et al. 2007), which means that sense-making is formed through processes of dialogues between actors, arguments and ideas forging our perceptions, interpretations and viewpoints towards particular phenomena, our existence and the world. To this end, we analyse linguistic resources that are used to make sense of and communicate  often multifaceted, unacquainted and/or disputed concepts and phenomena. We pay particular attention to </w:t>
      </w:r>
      <w:r w:rsidRPr="005C5A46">
        <w:rPr>
          <w:rFonts w:ascii="Cambria" w:hAnsi="Cambria"/>
          <w:sz w:val="22"/>
          <w:szCs w:val="22"/>
          <w:lang w:val="en-GB"/>
        </w:rPr>
        <w:t>analogies (</w:t>
      </w:r>
      <w:proofErr w:type="spellStart"/>
      <w:r w:rsidRPr="005C5A46">
        <w:rPr>
          <w:rFonts w:ascii="Cambria" w:hAnsi="Cambria"/>
          <w:sz w:val="22"/>
          <w:szCs w:val="22"/>
          <w:lang w:val="en-GB"/>
        </w:rPr>
        <w:t>Marková</w:t>
      </w:r>
      <w:proofErr w:type="spellEnd"/>
      <w:r w:rsidRPr="005C5A46">
        <w:rPr>
          <w:rFonts w:ascii="Cambria" w:hAnsi="Cambria"/>
          <w:sz w:val="22"/>
          <w:szCs w:val="22"/>
          <w:lang w:val="en-GB"/>
        </w:rPr>
        <w:t xml:space="preserve"> et al</w:t>
      </w:r>
      <w:r>
        <w:rPr>
          <w:rFonts w:ascii="Cambria" w:hAnsi="Cambria"/>
          <w:sz w:val="22"/>
          <w:szCs w:val="22"/>
          <w:lang w:val="en-GB"/>
        </w:rPr>
        <w:t>.</w:t>
      </w:r>
      <w:r w:rsidRPr="005C5A46">
        <w:rPr>
          <w:rFonts w:ascii="Cambria" w:hAnsi="Cambria"/>
          <w:sz w:val="22"/>
          <w:szCs w:val="22"/>
          <w:lang w:val="en-GB"/>
        </w:rPr>
        <w:t xml:space="preserve"> 2007), metaphors (Lakoff and Johnson 1980), framing (</w:t>
      </w:r>
      <w:proofErr w:type="spellStart"/>
      <w:r w:rsidRPr="005C5A46">
        <w:rPr>
          <w:rFonts w:ascii="Cambria" w:hAnsi="Cambria"/>
          <w:sz w:val="22"/>
          <w:szCs w:val="22"/>
          <w:lang w:val="en-GB"/>
        </w:rPr>
        <w:t>Entman</w:t>
      </w:r>
      <w:proofErr w:type="spellEnd"/>
      <w:r w:rsidRPr="005C5A46">
        <w:rPr>
          <w:rFonts w:ascii="Cambria" w:hAnsi="Cambria"/>
          <w:sz w:val="22"/>
          <w:szCs w:val="22"/>
          <w:lang w:val="en-GB"/>
        </w:rPr>
        <w:t xml:space="preserve"> 1993; Goffman 1974) and narratives (</w:t>
      </w:r>
      <w:proofErr w:type="spellStart"/>
      <w:r w:rsidRPr="005C5A46">
        <w:rPr>
          <w:rFonts w:ascii="Cambria" w:hAnsi="Cambria"/>
          <w:sz w:val="22"/>
          <w:szCs w:val="22"/>
          <w:lang w:val="en-GB"/>
        </w:rPr>
        <w:t>Harré</w:t>
      </w:r>
      <w:proofErr w:type="spellEnd"/>
      <w:r w:rsidRPr="005C5A46">
        <w:rPr>
          <w:rFonts w:ascii="Cambria" w:hAnsi="Cambria"/>
          <w:sz w:val="22"/>
          <w:szCs w:val="22"/>
          <w:lang w:val="en-GB"/>
        </w:rPr>
        <w:t xml:space="preserve"> et al</w:t>
      </w:r>
      <w:r>
        <w:rPr>
          <w:rFonts w:ascii="Cambria" w:hAnsi="Cambria"/>
          <w:sz w:val="22"/>
          <w:szCs w:val="22"/>
          <w:lang w:val="en-GB"/>
        </w:rPr>
        <w:t>.</w:t>
      </w:r>
      <w:r w:rsidRPr="005C5A46">
        <w:rPr>
          <w:rFonts w:ascii="Cambria" w:hAnsi="Cambria"/>
          <w:sz w:val="22"/>
          <w:szCs w:val="22"/>
          <w:lang w:val="en-GB"/>
        </w:rPr>
        <w:t xml:space="preserve"> 1999). </w:t>
      </w:r>
    </w:p>
    <w:p w14:paraId="17E00D30" w14:textId="54992590" w:rsidR="001C0014" w:rsidRPr="00F66616" w:rsidRDefault="001C0014" w:rsidP="001C0014">
      <w:pPr>
        <w:adjustRightInd w:val="0"/>
        <w:spacing w:before="100" w:beforeAutospacing="1" w:after="100" w:afterAutospacing="1" w:line="480" w:lineRule="auto"/>
        <w:jc w:val="both"/>
        <w:rPr>
          <w:rFonts w:ascii="Cambria" w:eastAsiaTheme="minorEastAsia" w:hAnsi="Cambria"/>
          <w:sz w:val="22"/>
          <w:szCs w:val="22"/>
          <w:lang w:val="en-GB"/>
        </w:rPr>
      </w:pPr>
      <w:r w:rsidRPr="0FA5A0F2">
        <w:rPr>
          <w:rFonts w:ascii="Cambria" w:hAnsi="Cambria"/>
          <w:sz w:val="22"/>
          <w:szCs w:val="22"/>
          <w:lang w:val="en-GB"/>
        </w:rPr>
        <w:t xml:space="preserve">We selected the </w:t>
      </w:r>
      <w:proofErr w:type="spellStart"/>
      <w:r w:rsidRPr="0FA5A0F2">
        <w:rPr>
          <w:rFonts w:ascii="Cambria" w:hAnsi="Cambria"/>
          <w:sz w:val="22"/>
          <w:szCs w:val="22"/>
          <w:lang w:val="en-GB"/>
        </w:rPr>
        <w:t>analyzed</w:t>
      </w:r>
      <w:proofErr w:type="spellEnd"/>
      <w:r w:rsidRPr="0FA5A0F2">
        <w:rPr>
          <w:rFonts w:ascii="Cambria" w:hAnsi="Cambria"/>
          <w:sz w:val="22"/>
          <w:szCs w:val="22"/>
          <w:lang w:val="en-GB"/>
        </w:rPr>
        <w:t xml:space="preserve"> peer-reviewed scholarly literature through </w:t>
      </w:r>
      <w:r w:rsidRPr="0FA5A0F2">
        <w:rPr>
          <w:rFonts w:ascii="Cambria" w:eastAsiaTheme="minorEastAsia" w:hAnsi="Cambria"/>
          <w:sz w:val="22"/>
          <w:szCs w:val="22"/>
          <w:lang w:val="en-GB"/>
        </w:rPr>
        <w:t xml:space="preserve">searching </w:t>
      </w:r>
      <w:r w:rsidRPr="0FA5A0F2">
        <w:rPr>
          <w:rFonts w:ascii="Cambria" w:hAnsi="Cambria"/>
          <w:sz w:val="22"/>
          <w:szCs w:val="22"/>
          <w:lang w:val="en-GB"/>
        </w:rPr>
        <w:t xml:space="preserve">the </w:t>
      </w:r>
      <w:r w:rsidRPr="0FA5A0F2">
        <w:rPr>
          <w:rFonts w:ascii="Cambria" w:eastAsiaTheme="minorEastAsia" w:hAnsi="Cambria"/>
          <w:sz w:val="22"/>
          <w:szCs w:val="22"/>
          <w:lang w:val="en-GB"/>
        </w:rPr>
        <w:t>Scopus database using the search string TITLE-ABS-KEY ((</w:t>
      </w:r>
      <w:proofErr w:type="spellStart"/>
      <w:r w:rsidRPr="0FA5A0F2">
        <w:rPr>
          <w:rFonts w:ascii="Cambria" w:eastAsiaTheme="minorEastAsia" w:hAnsi="Cambria"/>
          <w:sz w:val="22"/>
          <w:szCs w:val="22"/>
          <w:lang w:val="en-GB"/>
        </w:rPr>
        <w:t>societ</w:t>
      </w:r>
      <w:proofErr w:type="spellEnd"/>
      <w:r w:rsidRPr="0FA5A0F2">
        <w:rPr>
          <w:rFonts w:ascii="Cambria" w:eastAsiaTheme="minorEastAsia" w:hAnsi="Cambria"/>
          <w:sz w:val="22"/>
          <w:szCs w:val="22"/>
          <w:lang w:val="en-GB"/>
        </w:rPr>
        <w:t xml:space="preserve">* W/15 transform*) AND NOT (©PRE/10 </w:t>
      </w:r>
      <w:proofErr w:type="spellStart"/>
      <w:r w:rsidRPr="0FA5A0F2">
        <w:rPr>
          <w:rFonts w:ascii="Cambria" w:eastAsiaTheme="minorEastAsia" w:hAnsi="Cambria"/>
          <w:sz w:val="22"/>
          <w:szCs w:val="22"/>
          <w:lang w:val="en-GB"/>
        </w:rPr>
        <w:t>societ</w:t>
      </w:r>
      <w:proofErr w:type="spellEnd"/>
      <w:r w:rsidRPr="0FA5A0F2">
        <w:rPr>
          <w:rFonts w:ascii="Cambria" w:eastAsiaTheme="minorEastAsia" w:hAnsi="Cambria"/>
          <w:sz w:val="22"/>
          <w:szCs w:val="22"/>
          <w:lang w:val="en-GB"/>
        </w:rPr>
        <w:t xml:space="preserve">*)) on the titles, abstracts and key words of articles, reviews, book chapters and books. We searched publications in English up to 2016, </w:t>
      </w:r>
      <w:proofErr w:type="spellStart"/>
      <w:r w:rsidRPr="0FA5A0F2">
        <w:rPr>
          <w:rFonts w:ascii="Cambria" w:eastAsiaTheme="minorEastAsia" w:hAnsi="Cambria"/>
          <w:sz w:val="22"/>
          <w:szCs w:val="22"/>
          <w:lang w:val="en-GB"/>
        </w:rPr>
        <w:t>wich</w:t>
      </w:r>
      <w:proofErr w:type="spellEnd"/>
      <w:r w:rsidRPr="0FA5A0F2">
        <w:rPr>
          <w:rFonts w:ascii="Cambria" w:eastAsiaTheme="minorEastAsia" w:hAnsi="Cambria"/>
          <w:sz w:val="22"/>
          <w:szCs w:val="22"/>
          <w:lang w:val="en-GB"/>
        </w:rPr>
        <w:t xml:space="preserve"> gave in total 6,549 sources. They were analysed through 1) charting their occurrences over time; 2) sorting the publications according to subject areas and geographical locus through the Scopus’ analysis functions; 3) identifying the papers’ most frequently used terms over three distinct periods (1970-1999</w:t>
      </w:r>
      <w:r w:rsidR="00FD17F5">
        <w:rPr>
          <w:rFonts w:ascii="Cambria" w:eastAsiaTheme="minorEastAsia" w:hAnsi="Cambria"/>
          <w:sz w:val="22"/>
          <w:szCs w:val="22"/>
          <w:lang w:val="en-GB"/>
        </w:rPr>
        <w:t>;</w:t>
      </w:r>
      <w:r w:rsidRPr="0FA5A0F2">
        <w:rPr>
          <w:rFonts w:ascii="Cambria" w:eastAsiaTheme="minorEastAsia" w:hAnsi="Cambria"/>
          <w:sz w:val="22"/>
          <w:szCs w:val="22"/>
          <w:lang w:val="en-GB"/>
        </w:rPr>
        <w:t xml:space="preserve"> 2000-2009</w:t>
      </w:r>
      <w:r w:rsidR="00FD17F5">
        <w:rPr>
          <w:rFonts w:ascii="Cambria" w:eastAsiaTheme="minorEastAsia" w:hAnsi="Cambria"/>
          <w:sz w:val="22"/>
          <w:szCs w:val="22"/>
          <w:lang w:val="en-GB"/>
        </w:rPr>
        <w:t>;</w:t>
      </w:r>
      <w:r w:rsidRPr="0FA5A0F2">
        <w:rPr>
          <w:rFonts w:ascii="Cambria" w:eastAsiaTheme="minorEastAsia" w:hAnsi="Cambria"/>
          <w:sz w:val="22"/>
          <w:szCs w:val="22"/>
          <w:lang w:val="en-GB"/>
        </w:rPr>
        <w:t xml:space="preserve"> 2010-2016) through the </w:t>
      </w:r>
      <w:proofErr w:type="spellStart"/>
      <w:r w:rsidRPr="0FA5A0F2">
        <w:rPr>
          <w:rFonts w:ascii="Cambria" w:eastAsiaTheme="minorEastAsia" w:hAnsi="Cambria"/>
          <w:sz w:val="22"/>
          <w:szCs w:val="22"/>
          <w:lang w:val="en-GB"/>
        </w:rPr>
        <w:t>VOSviewer</w:t>
      </w:r>
      <w:proofErr w:type="spellEnd"/>
      <w:r w:rsidRPr="0FA5A0F2">
        <w:rPr>
          <w:rFonts w:ascii="Cambria" w:eastAsiaTheme="minorEastAsia" w:hAnsi="Cambria"/>
          <w:sz w:val="22"/>
          <w:szCs w:val="22"/>
          <w:lang w:val="en-GB"/>
        </w:rPr>
        <w:t xml:space="preserve"> visualization software. </w:t>
      </w:r>
    </w:p>
    <w:p w14:paraId="42A21636" w14:textId="6E04EFB8" w:rsidR="001C0014" w:rsidRPr="00452F0C" w:rsidRDefault="001C0014" w:rsidP="00452F0C">
      <w:pPr>
        <w:spacing w:after="100" w:afterAutospacing="1" w:line="480" w:lineRule="auto"/>
        <w:jc w:val="both"/>
        <w:rPr>
          <w:rFonts w:ascii="Cambria" w:eastAsiaTheme="minorEastAsia" w:hAnsi="Cambria"/>
          <w:sz w:val="22"/>
          <w:szCs w:val="22"/>
          <w:lang w:val="en-GB"/>
        </w:rPr>
      </w:pPr>
      <w:r w:rsidRPr="00F66616">
        <w:rPr>
          <w:rFonts w:ascii="Cambria" w:eastAsiaTheme="minorEastAsia" w:hAnsi="Cambria"/>
          <w:sz w:val="22"/>
          <w:szCs w:val="22"/>
          <w:lang w:val="en-GB"/>
        </w:rPr>
        <w:lastRenderedPageBreak/>
        <w:t>To analyse variations in policy positions between countries, we analy</w:t>
      </w:r>
      <w:r w:rsidR="00FD17F5">
        <w:rPr>
          <w:rFonts w:ascii="Cambria" w:eastAsiaTheme="minorEastAsia" w:hAnsi="Cambria"/>
          <w:sz w:val="22"/>
          <w:szCs w:val="22"/>
          <w:lang w:val="en-GB"/>
        </w:rPr>
        <w:t>s</w:t>
      </w:r>
      <w:r w:rsidRPr="00F66616">
        <w:rPr>
          <w:rFonts w:ascii="Cambria" w:eastAsiaTheme="minorEastAsia" w:hAnsi="Cambria"/>
          <w:sz w:val="22"/>
          <w:szCs w:val="22"/>
          <w:lang w:val="en-GB"/>
        </w:rPr>
        <w:t>ed all Intended and Decided Nationally Determined Contributions (NDCs) to the Paris Agreement as well as Voluntary National Reviews (VNRs) of the UN Sustainable Development Goals. We included all NDCs and VNRs that were submitted to the respective UN bodies by 2018. The 162 NDCs represent 190 parties. Where the NDCs mentioned transformations, we also included the documents to which they referred. 65 VNRs were submitted in 2016-2017. We used the NVivo software to code and sort the NDCs and the VNRs according to which goals, types of transformative actions and actors that were addressed.</w:t>
      </w:r>
      <w:r>
        <w:rPr>
          <w:rFonts w:ascii="Cambria" w:eastAsiaTheme="minorEastAsia" w:hAnsi="Cambria"/>
          <w:sz w:val="22"/>
          <w:szCs w:val="22"/>
          <w:lang w:val="en-GB"/>
        </w:rPr>
        <w:t xml:space="preserve"> In addition, we analysed </w:t>
      </w:r>
      <w:r w:rsidRPr="00761840">
        <w:rPr>
          <w:rFonts w:ascii="Cambria" w:eastAsiaTheme="minorEastAsia" w:hAnsi="Cambria"/>
          <w:sz w:val="22"/>
          <w:szCs w:val="22"/>
          <w:lang w:val="en-GB"/>
        </w:rPr>
        <w:t> background document</w:t>
      </w:r>
      <w:r w:rsidR="005B443D" w:rsidRPr="00761840">
        <w:rPr>
          <w:rFonts w:ascii="Cambria" w:eastAsiaTheme="minorEastAsia" w:hAnsi="Cambria"/>
          <w:sz w:val="22"/>
          <w:szCs w:val="22"/>
          <w:lang w:val="en-GB"/>
        </w:rPr>
        <w:t>s</w:t>
      </w:r>
      <w:r w:rsidRPr="00761840">
        <w:rPr>
          <w:rFonts w:ascii="Cambria" w:eastAsiaTheme="minorEastAsia" w:hAnsi="Cambria"/>
          <w:sz w:val="22"/>
          <w:szCs w:val="22"/>
          <w:lang w:val="en-GB"/>
        </w:rPr>
        <w:t xml:space="preserve"> to which the NDCs refer when discussing transformation, as well as the UN 2030 Agenda and background reports (UN 2013) and the European Green Deal</w:t>
      </w:r>
      <w:r w:rsidR="00452F0C">
        <w:rPr>
          <w:rFonts w:ascii="Cambria" w:eastAsiaTheme="minorEastAsia" w:hAnsi="Cambria"/>
          <w:sz w:val="22"/>
          <w:szCs w:val="22"/>
          <w:lang w:val="en-GB"/>
        </w:rPr>
        <w:t>.</w:t>
      </w:r>
    </w:p>
    <w:p w14:paraId="5F3AF573" w14:textId="77777777" w:rsidR="001C0014" w:rsidRPr="00F66616" w:rsidRDefault="001C0014" w:rsidP="001C0014">
      <w:pPr>
        <w:autoSpaceDE w:val="0"/>
        <w:autoSpaceDN w:val="0"/>
        <w:adjustRightInd w:val="0"/>
        <w:spacing w:after="100" w:afterAutospacing="1" w:line="480" w:lineRule="auto"/>
        <w:jc w:val="both"/>
        <w:rPr>
          <w:rFonts w:ascii="Cambria" w:eastAsiaTheme="minorHAnsi" w:hAnsi="Cambria"/>
          <w:sz w:val="22"/>
          <w:szCs w:val="22"/>
          <w:lang w:val="en-GB"/>
        </w:rPr>
      </w:pPr>
      <w:r w:rsidRPr="00F66616">
        <w:rPr>
          <w:rFonts w:ascii="Cambria" w:eastAsiaTheme="minorHAnsi" w:hAnsi="Cambria"/>
          <w:sz w:val="22"/>
          <w:szCs w:val="22"/>
          <w:lang w:val="en-GB"/>
        </w:rPr>
        <w:t>We used the Retriever database to identify international English-language media texts addressing various instances of sustainability transformations. We employed three diverse search strings</w:t>
      </w:r>
      <w:r>
        <w:rPr>
          <w:rFonts w:ascii="Cambria" w:eastAsiaTheme="minorHAnsi" w:hAnsi="Cambria"/>
          <w:sz w:val="22"/>
          <w:szCs w:val="22"/>
          <w:lang w:val="en-GB"/>
        </w:rPr>
        <w:t>:</w:t>
      </w:r>
      <w:r w:rsidRPr="00F66616">
        <w:rPr>
          <w:rFonts w:ascii="Cambria" w:eastAsiaTheme="minorHAnsi" w:hAnsi="Cambria"/>
          <w:sz w:val="22"/>
          <w:szCs w:val="22"/>
          <w:lang w:val="en-GB"/>
        </w:rPr>
        <w:t xml:space="preserve"> 1) We searched for (transformation* AND </w:t>
      </w:r>
      <w:proofErr w:type="spellStart"/>
      <w:r w:rsidRPr="00F66616">
        <w:rPr>
          <w:rFonts w:ascii="Cambria" w:eastAsiaTheme="minorHAnsi" w:hAnsi="Cambria"/>
          <w:sz w:val="22"/>
          <w:szCs w:val="22"/>
          <w:lang w:val="en-GB"/>
        </w:rPr>
        <w:t>sustainab</w:t>
      </w:r>
      <w:proofErr w:type="spellEnd"/>
      <w:r w:rsidRPr="00F66616">
        <w:rPr>
          <w:rFonts w:ascii="Cambria" w:eastAsiaTheme="minorHAnsi" w:hAnsi="Cambria"/>
          <w:sz w:val="22"/>
          <w:szCs w:val="22"/>
          <w:lang w:val="en-GB"/>
        </w:rPr>
        <w:t>*) to attain an overview of how media covered transformation towards sustainability; 2) To identify social and society types of transformations toward sustainability specifically, in contrast to the wider varieties of transformations (e.g. personal) we searched for (‘</w:t>
      </w:r>
      <w:proofErr w:type="spellStart"/>
      <w:r w:rsidRPr="00F66616">
        <w:rPr>
          <w:rFonts w:ascii="Cambria" w:eastAsiaTheme="minorHAnsi" w:hAnsi="Cambria"/>
          <w:sz w:val="22"/>
          <w:szCs w:val="22"/>
          <w:lang w:val="en-GB"/>
        </w:rPr>
        <w:t>soci</w:t>
      </w:r>
      <w:proofErr w:type="spellEnd"/>
      <w:r w:rsidRPr="00F66616">
        <w:rPr>
          <w:rFonts w:ascii="Cambria" w:eastAsiaTheme="minorHAnsi" w:hAnsi="Cambria"/>
          <w:sz w:val="22"/>
          <w:szCs w:val="22"/>
          <w:lang w:val="en-GB"/>
        </w:rPr>
        <w:t xml:space="preserve">* transformation*’ AND </w:t>
      </w:r>
      <w:proofErr w:type="spellStart"/>
      <w:r w:rsidRPr="00F66616">
        <w:rPr>
          <w:rFonts w:ascii="Cambria" w:eastAsiaTheme="minorHAnsi" w:hAnsi="Cambria"/>
          <w:sz w:val="22"/>
          <w:szCs w:val="22"/>
          <w:lang w:val="en-GB"/>
        </w:rPr>
        <w:t>sustainab</w:t>
      </w:r>
      <w:proofErr w:type="spellEnd"/>
      <w:r w:rsidRPr="00F66616">
        <w:rPr>
          <w:rFonts w:ascii="Cambria" w:eastAsiaTheme="minorHAnsi" w:hAnsi="Cambria"/>
          <w:sz w:val="22"/>
          <w:szCs w:val="22"/>
          <w:lang w:val="en-GB"/>
        </w:rPr>
        <w:t xml:space="preserve">*); 3) lastly, to narrow down the search to identify texts for a deeper analysis of  societal transformations toward sustainability, we narrowed the search to (‘societal transformation*’AND </w:t>
      </w:r>
      <w:proofErr w:type="spellStart"/>
      <w:r w:rsidRPr="00F66616">
        <w:rPr>
          <w:rFonts w:ascii="Cambria" w:eastAsiaTheme="minorHAnsi" w:hAnsi="Cambria"/>
          <w:sz w:val="22"/>
          <w:szCs w:val="22"/>
          <w:lang w:val="en-GB"/>
        </w:rPr>
        <w:t>sustainab</w:t>
      </w:r>
      <w:proofErr w:type="spellEnd"/>
      <w:r w:rsidRPr="00F66616">
        <w:rPr>
          <w:rFonts w:ascii="Cambria" w:eastAsiaTheme="minorHAnsi" w:hAnsi="Cambria"/>
          <w:sz w:val="22"/>
          <w:szCs w:val="22"/>
          <w:lang w:val="en-GB"/>
        </w:rPr>
        <w:t xml:space="preserve">*). </w:t>
      </w:r>
    </w:p>
    <w:p w14:paraId="73E722D4" w14:textId="6A6CFD5D" w:rsidR="001C0014" w:rsidRPr="004260BD" w:rsidRDefault="0083739E" w:rsidP="009F1B2E">
      <w:pPr>
        <w:spacing w:line="480" w:lineRule="auto"/>
        <w:jc w:val="both"/>
        <w:rPr>
          <w:rFonts w:ascii="Cambria" w:eastAsiaTheme="minorHAnsi" w:hAnsi="Cambria"/>
          <w:sz w:val="22"/>
          <w:szCs w:val="22"/>
          <w:lang w:val="en-GB"/>
        </w:rPr>
      </w:pPr>
      <w:r w:rsidRPr="004260BD">
        <w:rPr>
          <w:rFonts w:ascii="Cambria" w:eastAsiaTheme="minorHAnsi" w:hAnsi="Cambria"/>
          <w:sz w:val="22"/>
          <w:szCs w:val="22"/>
          <w:lang w:val="en-GB"/>
        </w:rPr>
        <w:t>In collaboration with colleagues</w:t>
      </w:r>
      <w:r w:rsidR="001C0014" w:rsidRPr="004260BD">
        <w:rPr>
          <w:rFonts w:ascii="Cambria" w:eastAsiaTheme="minorHAnsi" w:hAnsi="Cambria"/>
          <w:sz w:val="22"/>
          <w:szCs w:val="22"/>
          <w:lang w:val="en-GB"/>
        </w:rPr>
        <w:t xml:space="preserve"> in five co</w:t>
      </w:r>
      <w:r w:rsidR="00477ED4" w:rsidRPr="004260BD">
        <w:rPr>
          <w:rFonts w:ascii="Cambria" w:eastAsiaTheme="minorHAnsi" w:hAnsi="Cambria"/>
          <w:sz w:val="22"/>
          <w:szCs w:val="22"/>
          <w:lang w:val="en-GB"/>
        </w:rPr>
        <w:t>untries</w:t>
      </w:r>
      <w:r w:rsidR="001C0014" w:rsidRPr="004260BD">
        <w:rPr>
          <w:rFonts w:ascii="Cambria" w:eastAsiaTheme="minorHAnsi" w:hAnsi="Cambria"/>
          <w:sz w:val="22"/>
          <w:szCs w:val="22"/>
          <w:lang w:val="en-GB"/>
        </w:rPr>
        <w:t xml:space="preserve"> we performed focus group interviews with lay people in </w:t>
      </w:r>
      <w:r w:rsidRPr="004260BD">
        <w:rPr>
          <w:rFonts w:ascii="Cambria" w:eastAsiaTheme="minorHAnsi" w:hAnsi="Cambria"/>
          <w:sz w:val="22"/>
          <w:szCs w:val="22"/>
          <w:lang w:val="en-GB"/>
        </w:rPr>
        <w:t xml:space="preserve">culturally, politically and economically diverse sites with different environmental and social challenges, where the transformation concept had been explicitly grappled with in official policy documents: </w:t>
      </w:r>
      <w:r w:rsidR="00E920BB" w:rsidRPr="004260BD">
        <w:rPr>
          <w:rFonts w:ascii="Cambria" w:eastAsiaTheme="minorHAnsi" w:hAnsi="Cambria"/>
          <w:sz w:val="22"/>
          <w:szCs w:val="22"/>
          <w:lang w:val="en-GB"/>
        </w:rPr>
        <w:t xml:space="preserve">Praia in Cabo Verde, Guangzhou in China, the city of </w:t>
      </w:r>
      <w:proofErr w:type="spellStart"/>
      <w:r w:rsidR="00E920BB" w:rsidRPr="004260BD">
        <w:rPr>
          <w:rFonts w:ascii="Cambria" w:eastAsiaTheme="minorHAnsi" w:hAnsi="Cambria"/>
          <w:sz w:val="22"/>
          <w:szCs w:val="22"/>
          <w:lang w:val="en-GB"/>
        </w:rPr>
        <w:t>Nadi</w:t>
      </w:r>
      <w:proofErr w:type="spellEnd"/>
      <w:r w:rsidR="00E920BB" w:rsidRPr="004260BD">
        <w:rPr>
          <w:rFonts w:ascii="Cambria" w:eastAsiaTheme="minorHAnsi" w:hAnsi="Cambria"/>
          <w:sz w:val="22"/>
          <w:szCs w:val="22"/>
          <w:lang w:val="en-GB"/>
        </w:rPr>
        <w:t xml:space="preserve"> and a village in the </w:t>
      </w:r>
      <w:proofErr w:type="spellStart"/>
      <w:r w:rsidR="00E920BB" w:rsidRPr="004260BD">
        <w:rPr>
          <w:rFonts w:ascii="Cambria" w:eastAsiaTheme="minorHAnsi" w:hAnsi="Cambria"/>
          <w:sz w:val="22"/>
          <w:szCs w:val="22"/>
          <w:lang w:val="en-GB"/>
        </w:rPr>
        <w:t>Yasawas</w:t>
      </w:r>
      <w:proofErr w:type="spellEnd"/>
      <w:r w:rsidR="00E920BB" w:rsidRPr="004260BD">
        <w:rPr>
          <w:rFonts w:ascii="Cambria" w:eastAsiaTheme="minorHAnsi" w:hAnsi="Cambria"/>
          <w:sz w:val="22"/>
          <w:szCs w:val="22"/>
          <w:lang w:val="en-GB"/>
        </w:rPr>
        <w:t xml:space="preserve"> in Fiji, the </w:t>
      </w:r>
      <w:proofErr w:type="spellStart"/>
      <w:r w:rsidR="00E920BB" w:rsidRPr="004260BD">
        <w:rPr>
          <w:rFonts w:ascii="Cambria" w:eastAsiaTheme="minorHAnsi" w:hAnsi="Cambria"/>
          <w:sz w:val="22"/>
          <w:szCs w:val="22"/>
          <w:lang w:val="en-GB"/>
        </w:rPr>
        <w:t>Östergötland</w:t>
      </w:r>
      <w:proofErr w:type="spellEnd"/>
      <w:r w:rsidR="00E920BB" w:rsidRPr="004260BD">
        <w:rPr>
          <w:rFonts w:ascii="Cambria" w:eastAsiaTheme="minorHAnsi" w:hAnsi="Cambria"/>
          <w:sz w:val="22"/>
          <w:szCs w:val="22"/>
          <w:lang w:val="en-GB"/>
        </w:rPr>
        <w:t xml:space="preserve"> region in Sweden, and Boulder, Colorado in the USA. In each of these sites four focus groups</w:t>
      </w:r>
      <w:r w:rsidRPr="004260BD">
        <w:rPr>
          <w:rFonts w:ascii="Cambria" w:eastAsiaTheme="minorHAnsi" w:hAnsi="Cambria"/>
          <w:sz w:val="22"/>
          <w:szCs w:val="22"/>
          <w:lang w:val="en-GB"/>
        </w:rPr>
        <w:t xml:space="preserve"> were recruited</w:t>
      </w:r>
      <w:r w:rsidR="00E920BB" w:rsidRPr="004260BD">
        <w:rPr>
          <w:rFonts w:ascii="Cambria" w:eastAsiaTheme="minorHAnsi" w:hAnsi="Cambria"/>
          <w:sz w:val="22"/>
          <w:szCs w:val="22"/>
          <w:lang w:val="en-GB"/>
        </w:rPr>
        <w:t>, amounting to a total of 20 groups with 136 participants.</w:t>
      </w:r>
      <w:r w:rsidR="009F1B2E" w:rsidRPr="004260BD">
        <w:rPr>
          <w:rFonts w:ascii="Cambria" w:eastAsiaTheme="minorHAnsi" w:hAnsi="Cambria"/>
          <w:sz w:val="22"/>
          <w:szCs w:val="22"/>
          <w:lang w:val="en-GB"/>
        </w:rPr>
        <w:t xml:space="preserve"> To facilitate for the participants to share their experiences, most of the focus groups were homogenous in at least one key aspect (e.g., place of residence or age), while we included </w:t>
      </w:r>
      <w:bookmarkStart w:id="0" w:name="_Hlk63174848"/>
      <w:r w:rsidR="009F1B2E" w:rsidRPr="004260BD">
        <w:rPr>
          <w:rFonts w:ascii="Cambria" w:eastAsiaTheme="minorHAnsi" w:hAnsi="Cambria"/>
          <w:sz w:val="22"/>
          <w:szCs w:val="22"/>
          <w:lang w:val="en-GB"/>
        </w:rPr>
        <w:lastRenderedPageBreak/>
        <w:t xml:space="preserve">differences between the groups to encourage a broad span of opinions to come across in the study. </w:t>
      </w:r>
      <w:bookmarkEnd w:id="0"/>
      <w:r w:rsidRPr="004260BD">
        <w:rPr>
          <w:rFonts w:ascii="Cambria" w:eastAsiaTheme="minorHAnsi" w:hAnsi="Cambria"/>
          <w:sz w:val="22"/>
          <w:szCs w:val="22"/>
          <w:lang w:val="en-GB"/>
        </w:rPr>
        <w:t xml:space="preserve">The details of this study are reported in </w:t>
      </w:r>
      <w:r w:rsidR="001C0014" w:rsidRPr="004260BD">
        <w:rPr>
          <w:rFonts w:ascii="Cambria" w:eastAsiaTheme="minorHAnsi" w:hAnsi="Cambria"/>
          <w:sz w:val="22"/>
          <w:szCs w:val="22"/>
          <w:lang w:val="en-GB"/>
        </w:rPr>
        <w:t>Wibeck et al (2019).</w:t>
      </w:r>
      <w:r w:rsidRPr="004260BD">
        <w:rPr>
          <w:rFonts w:ascii="Cambria" w:eastAsiaTheme="minorHAnsi" w:hAnsi="Cambria"/>
          <w:sz w:val="22"/>
          <w:szCs w:val="22"/>
          <w:lang w:val="en-GB"/>
        </w:rPr>
        <w:t xml:space="preserve"> </w:t>
      </w:r>
    </w:p>
    <w:p w14:paraId="053007FE" w14:textId="37DE2DA8" w:rsidR="00827416" w:rsidRDefault="001C45B1"/>
    <w:p w14:paraId="618A55D4" w14:textId="1EAE3B12" w:rsidR="0059106A" w:rsidRPr="0059106A" w:rsidRDefault="0059106A">
      <w:pPr>
        <w:rPr>
          <w:rFonts w:ascii="Cambria" w:hAnsi="Cambria" w:cs="Arial"/>
          <w:b/>
          <w:color w:val="222222"/>
          <w:sz w:val="22"/>
          <w:szCs w:val="22"/>
          <w:shd w:val="clear" w:color="auto" w:fill="FFFFFF"/>
          <w:lang w:eastAsia="sv-SE"/>
        </w:rPr>
      </w:pPr>
      <w:r w:rsidRPr="0059106A">
        <w:rPr>
          <w:rFonts w:ascii="Cambria" w:hAnsi="Cambria" w:cs="Arial"/>
          <w:b/>
          <w:color w:val="222222"/>
          <w:sz w:val="22"/>
          <w:szCs w:val="22"/>
          <w:shd w:val="clear" w:color="auto" w:fill="FFFFFF"/>
          <w:lang w:eastAsia="sv-SE"/>
        </w:rPr>
        <w:t>References</w:t>
      </w:r>
    </w:p>
    <w:p w14:paraId="1D1CDCA9" w14:textId="00DC7971" w:rsidR="0059106A" w:rsidRDefault="0059106A"/>
    <w:p w14:paraId="54AF7B5E" w14:textId="2D5DD638" w:rsidR="00961603" w:rsidRPr="006D0CAA" w:rsidRDefault="00961603" w:rsidP="006D0CAA">
      <w:pPr>
        <w:autoSpaceDE w:val="0"/>
        <w:autoSpaceDN w:val="0"/>
        <w:adjustRightInd w:val="0"/>
        <w:spacing w:after="240" w:line="276" w:lineRule="auto"/>
        <w:jc w:val="both"/>
        <w:rPr>
          <w:rFonts w:ascii="Cambria" w:hAnsi="Cambria"/>
          <w:lang w:val="en-GB"/>
        </w:rPr>
      </w:pPr>
      <w:r w:rsidRPr="006D0CAA">
        <w:rPr>
          <w:rFonts w:ascii="Cambria" w:hAnsi="Cambria"/>
          <w:lang w:val="en-GB"/>
        </w:rPr>
        <w:t>Bakhtin MM (1986) Speech Genres and Other Late Essays. University of Texas Press, Austin</w:t>
      </w:r>
      <w:r w:rsidR="00FD17F5">
        <w:rPr>
          <w:rFonts w:ascii="Cambria" w:hAnsi="Cambria"/>
          <w:lang w:val="en-GB"/>
        </w:rPr>
        <w:t>, TX</w:t>
      </w:r>
      <w:r w:rsidRPr="006D0CAA">
        <w:rPr>
          <w:rFonts w:ascii="Cambria" w:hAnsi="Cambria"/>
          <w:lang w:val="en-GB"/>
        </w:rPr>
        <w:t xml:space="preserve">. </w:t>
      </w:r>
    </w:p>
    <w:p w14:paraId="1A5B1704" w14:textId="03686027" w:rsidR="00961603" w:rsidRPr="006D0CAA" w:rsidRDefault="00961603" w:rsidP="006D0CAA">
      <w:pPr>
        <w:autoSpaceDE w:val="0"/>
        <w:autoSpaceDN w:val="0"/>
        <w:adjustRightInd w:val="0"/>
        <w:spacing w:after="240" w:line="276" w:lineRule="auto"/>
        <w:jc w:val="both"/>
        <w:rPr>
          <w:rFonts w:ascii="Cambria" w:hAnsi="Cambria"/>
          <w:lang w:val="en-GB"/>
        </w:rPr>
      </w:pPr>
      <w:proofErr w:type="spellStart"/>
      <w:r w:rsidRPr="006D0CAA">
        <w:rPr>
          <w:rFonts w:ascii="Cambria" w:hAnsi="Cambria"/>
          <w:lang w:val="en-GB"/>
        </w:rPr>
        <w:t>Entman</w:t>
      </w:r>
      <w:proofErr w:type="spellEnd"/>
      <w:r w:rsidRPr="006D0CAA">
        <w:rPr>
          <w:rFonts w:ascii="Cambria" w:hAnsi="Cambria"/>
          <w:lang w:val="en-GB"/>
        </w:rPr>
        <w:t xml:space="preserve"> RM (1993) Framing: toward clarification of a fractured paradigm. Journal of Communication 43:51-58.</w:t>
      </w:r>
    </w:p>
    <w:p w14:paraId="563D72D6" w14:textId="53E22A49" w:rsidR="00961603" w:rsidRPr="006D0CAA" w:rsidRDefault="00961603" w:rsidP="006D0CAA">
      <w:pPr>
        <w:autoSpaceDE w:val="0"/>
        <w:autoSpaceDN w:val="0"/>
        <w:adjustRightInd w:val="0"/>
        <w:spacing w:after="240" w:line="276" w:lineRule="auto"/>
        <w:jc w:val="both"/>
        <w:rPr>
          <w:rFonts w:ascii="Cambria" w:hAnsi="Cambria"/>
          <w:lang w:val="en-GB"/>
        </w:rPr>
      </w:pPr>
      <w:r w:rsidRPr="006D0CAA">
        <w:rPr>
          <w:rFonts w:ascii="Cambria" w:hAnsi="Cambria"/>
          <w:lang w:val="en-GB"/>
        </w:rPr>
        <w:t xml:space="preserve">Goffman E (1974) Frame Analysis: An Essay on the Organization of Experience. Harvard University Press, Cambridge, MA. </w:t>
      </w:r>
    </w:p>
    <w:p w14:paraId="10C40C13" w14:textId="293B5579" w:rsidR="00961603" w:rsidRPr="006D0CAA" w:rsidRDefault="00961603" w:rsidP="006D0CAA">
      <w:pPr>
        <w:autoSpaceDE w:val="0"/>
        <w:autoSpaceDN w:val="0"/>
        <w:adjustRightInd w:val="0"/>
        <w:spacing w:after="240" w:line="276" w:lineRule="auto"/>
        <w:jc w:val="both"/>
        <w:rPr>
          <w:rFonts w:ascii="Cambria" w:hAnsi="Cambria"/>
          <w:lang w:val="en-GB"/>
        </w:rPr>
      </w:pPr>
      <w:proofErr w:type="spellStart"/>
      <w:r w:rsidRPr="006D0CAA">
        <w:rPr>
          <w:rFonts w:ascii="Cambria" w:hAnsi="Cambria"/>
          <w:lang w:val="en-GB"/>
        </w:rPr>
        <w:t>Harre</w:t>
      </w:r>
      <w:proofErr w:type="spellEnd"/>
      <w:r w:rsidRPr="006D0CAA">
        <w:rPr>
          <w:rFonts w:ascii="Cambria" w:hAnsi="Cambria"/>
          <w:lang w:val="en-GB"/>
        </w:rPr>
        <w:t xml:space="preserve">́ R, </w:t>
      </w:r>
      <w:proofErr w:type="spellStart"/>
      <w:r w:rsidRPr="006D0CAA">
        <w:rPr>
          <w:rFonts w:ascii="Cambria" w:hAnsi="Cambria"/>
          <w:lang w:val="en-GB"/>
        </w:rPr>
        <w:t>Brockmeier</w:t>
      </w:r>
      <w:proofErr w:type="spellEnd"/>
      <w:r w:rsidRPr="006D0CAA">
        <w:rPr>
          <w:rFonts w:ascii="Cambria" w:hAnsi="Cambria"/>
          <w:lang w:val="en-GB"/>
        </w:rPr>
        <w:t xml:space="preserve"> J, </w:t>
      </w:r>
      <w:proofErr w:type="spellStart"/>
      <w:r w:rsidRPr="006D0CAA">
        <w:rPr>
          <w:rFonts w:ascii="Cambria" w:hAnsi="Cambria"/>
          <w:lang w:val="en-GB"/>
        </w:rPr>
        <w:t>Mühlhäusler</w:t>
      </w:r>
      <w:proofErr w:type="spellEnd"/>
      <w:r w:rsidRPr="006D0CAA">
        <w:rPr>
          <w:rFonts w:ascii="Cambria" w:hAnsi="Cambria"/>
          <w:lang w:val="en-GB"/>
        </w:rPr>
        <w:t xml:space="preserve"> P (1999). </w:t>
      </w:r>
      <w:proofErr w:type="spellStart"/>
      <w:r w:rsidRPr="006D0CAA">
        <w:rPr>
          <w:rFonts w:ascii="Cambria" w:hAnsi="Cambria"/>
          <w:lang w:val="en-GB"/>
        </w:rPr>
        <w:t>Greenspeak</w:t>
      </w:r>
      <w:proofErr w:type="spellEnd"/>
      <w:r w:rsidRPr="006D0CAA">
        <w:rPr>
          <w:rFonts w:ascii="Cambria" w:hAnsi="Cambria"/>
          <w:lang w:val="en-GB"/>
        </w:rPr>
        <w:t>: A Study of Environmental Discourse. Sage, Thousand Oaks, CA.</w:t>
      </w:r>
    </w:p>
    <w:p w14:paraId="644AB8AE" w14:textId="2C6FC427" w:rsidR="00961603" w:rsidRPr="006D0CAA" w:rsidRDefault="00961603" w:rsidP="006D0CAA">
      <w:pPr>
        <w:autoSpaceDE w:val="0"/>
        <w:autoSpaceDN w:val="0"/>
        <w:adjustRightInd w:val="0"/>
        <w:spacing w:after="240" w:line="276" w:lineRule="auto"/>
        <w:jc w:val="both"/>
        <w:rPr>
          <w:rFonts w:ascii="Cambria" w:hAnsi="Cambria"/>
          <w:lang w:val="en-GB"/>
        </w:rPr>
      </w:pPr>
      <w:r w:rsidRPr="006D0CAA">
        <w:rPr>
          <w:rFonts w:ascii="Cambria" w:hAnsi="Cambria"/>
          <w:lang w:val="en-GB"/>
        </w:rPr>
        <w:t>Lakoff G, Johnson M (1980) Metaphors We Live By. Chicago University Press, Chicago</w:t>
      </w:r>
      <w:r w:rsidR="00FD17F5">
        <w:rPr>
          <w:rFonts w:ascii="Cambria" w:hAnsi="Cambria"/>
          <w:lang w:val="en-GB"/>
        </w:rPr>
        <w:t>, IL</w:t>
      </w:r>
      <w:r w:rsidRPr="006D0CAA">
        <w:rPr>
          <w:rFonts w:ascii="Cambria" w:hAnsi="Cambria"/>
          <w:lang w:val="en-GB"/>
        </w:rPr>
        <w:t>.</w:t>
      </w:r>
    </w:p>
    <w:p w14:paraId="7A3956D3" w14:textId="77777777" w:rsidR="00961603" w:rsidRPr="006D0CAA" w:rsidRDefault="00961603" w:rsidP="006D0CAA">
      <w:pPr>
        <w:autoSpaceDE w:val="0"/>
        <w:autoSpaceDN w:val="0"/>
        <w:adjustRightInd w:val="0"/>
        <w:spacing w:after="240" w:line="276" w:lineRule="auto"/>
        <w:jc w:val="both"/>
        <w:rPr>
          <w:rFonts w:ascii="Cambria" w:hAnsi="Cambria"/>
          <w:lang w:val="en-GB"/>
        </w:rPr>
      </w:pPr>
      <w:proofErr w:type="spellStart"/>
      <w:r w:rsidRPr="006D0CAA">
        <w:rPr>
          <w:rFonts w:ascii="Cambria" w:hAnsi="Cambria"/>
          <w:lang w:val="en-GB"/>
        </w:rPr>
        <w:t>Linell</w:t>
      </w:r>
      <w:proofErr w:type="spellEnd"/>
      <w:r w:rsidRPr="006D0CAA">
        <w:rPr>
          <w:rFonts w:ascii="Cambria" w:hAnsi="Cambria"/>
          <w:lang w:val="en-GB"/>
        </w:rPr>
        <w:t xml:space="preserve">  P (1998) Approaching Dialogue: Talk, Interaction and Contexts in Dialogical Perspectives. John </w:t>
      </w:r>
      <w:proofErr w:type="spellStart"/>
      <w:r w:rsidRPr="006D0CAA">
        <w:rPr>
          <w:rFonts w:ascii="Cambria" w:hAnsi="Cambria"/>
          <w:lang w:val="en-GB"/>
        </w:rPr>
        <w:t>Benjamins</w:t>
      </w:r>
      <w:proofErr w:type="spellEnd"/>
      <w:r w:rsidRPr="006D0CAA">
        <w:rPr>
          <w:rFonts w:ascii="Cambria" w:hAnsi="Cambria"/>
          <w:lang w:val="en-GB"/>
        </w:rPr>
        <w:t xml:space="preserve"> Publishing, Amsterdam.</w:t>
      </w:r>
    </w:p>
    <w:p w14:paraId="04C4DFC8" w14:textId="77777777" w:rsidR="00961603" w:rsidRPr="006D0CAA" w:rsidRDefault="00961603" w:rsidP="006D0CAA">
      <w:pPr>
        <w:autoSpaceDE w:val="0"/>
        <w:autoSpaceDN w:val="0"/>
        <w:adjustRightInd w:val="0"/>
        <w:spacing w:after="240" w:line="276" w:lineRule="auto"/>
        <w:jc w:val="both"/>
        <w:rPr>
          <w:rFonts w:ascii="Cambria" w:hAnsi="Cambria"/>
          <w:lang w:val="en-GB"/>
        </w:rPr>
      </w:pPr>
      <w:proofErr w:type="spellStart"/>
      <w:r w:rsidRPr="006D0CAA">
        <w:rPr>
          <w:rFonts w:ascii="Cambria" w:hAnsi="Cambria"/>
          <w:lang w:val="en-GB"/>
        </w:rPr>
        <w:t>Linell</w:t>
      </w:r>
      <w:proofErr w:type="spellEnd"/>
      <w:r w:rsidRPr="006D0CAA">
        <w:rPr>
          <w:rFonts w:ascii="Cambria" w:hAnsi="Cambria"/>
          <w:lang w:val="en-GB"/>
        </w:rPr>
        <w:t xml:space="preserve"> P (2009) Rethinking Language, Mind, and World Dialogically: Interactional and Contextual Theories of Human Sense Making. Information Age Publishing, Charlotte, NC.</w:t>
      </w:r>
    </w:p>
    <w:p w14:paraId="6B254B3B" w14:textId="643EAF91" w:rsidR="00961603" w:rsidRPr="006D0CAA" w:rsidRDefault="00961603" w:rsidP="006D0CAA">
      <w:pPr>
        <w:pStyle w:val="Paragraph"/>
        <w:spacing w:after="240" w:line="276" w:lineRule="auto"/>
        <w:ind w:firstLine="0"/>
        <w:jc w:val="both"/>
        <w:rPr>
          <w:rFonts w:ascii="Cambria" w:hAnsi="Cambria"/>
          <w:sz w:val="20"/>
          <w:szCs w:val="20"/>
          <w:lang w:val="en-GB"/>
        </w:rPr>
      </w:pPr>
      <w:proofErr w:type="spellStart"/>
      <w:r w:rsidRPr="006D0CAA">
        <w:rPr>
          <w:rFonts w:ascii="Cambria" w:hAnsi="Cambria"/>
          <w:sz w:val="20"/>
          <w:szCs w:val="20"/>
          <w:lang w:val="en-GB"/>
        </w:rPr>
        <w:t>Marková</w:t>
      </w:r>
      <w:proofErr w:type="spellEnd"/>
      <w:r w:rsidRPr="006D0CAA">
        <w:rPr>
          <w:rFonts w:ascii="Cambria" w:hAnsi="Cambria"/>
          <w:sz w:val="20"/>
          <w:szCs w:val="20"/>
          <w:lang w:val="en-GB"/>
        </w:rPr>
        <w:t xml:space="preserve"> I, </w:t>
      </w:r>
      <w:proofErr w:type="spellStart"/>
      <w:r w:rsidRPr="006D0CAA">
        <w:rPr>
          <w:rFonts w:ascii="Cambria" w:hAnsi="Cambria"/>
          <w:sz w:val="20"/>
          <w:szCs w:val="20"/>
          <w:lang w:val="en-GB"/>
        </w:rPr>
        <w:t>Linell</w:t>
      </w:r>
      <w:proofErr w:type="spellEnd"/>
      <w:r w:rsidRPr="006D0CAA">
        <w:rPr>
          <w:rFonts w:ascii="Cambria" w:hAnsi="Cambria"/>
          <w:sz w:val="20"/>
          <w:szCs w:val="20"/>
          <w:lang w:val="en-GB"/>
        </w:rPr>
        <w:t xml:space="preserve"> P, </w:t>
      </w:r>
      <w:proofErr w:type="spellStart"/>
      <w:r w:rsidRPr="006D0CAA">
        <w:rPr>
          <w:rFonts w:ascii="Cambria" w:hAnsi="Cambria"/>
          <w:sz w:val="20"/>
          <w:szCs w:val="20"/>
          <w:lang w:val="en-GB"/>
        </w:rPr>
        <w:t>Grossen</w:t>
      </w:r>
      <w:proofErr w:type="spellEnd"/>
      <w:r w:rsidRPr="006D0CAA">
        <w:rPr>
          <w:rFonts w:ascii="Cambria" w:hAnsi="Cambria"/>
          <w:sz w:val="20"/>
          <w:szCs w:val="20"/>
          <w:lang w:val="en-GB"/>
        </w:rPr>
        <w:t xml:space="preserve"> M, Salazar </w:t>
      </w:r>
      <w:proofErr w:type="spellStart"/>
      <w:r w:rsidRPr="006D0CAA">
        <w:rPr>
          <w:rFonts w:ascii="Cambria" w:hAnsi="Cambria"/>
          <w:sz w:val="20"/>
          <w:szCs w:val="20"/>
          <w:lang w:val="en-GB"/>
        </w:rPr>
        <w:t>Orvig</w:t>
      </w:r>
      <w:proofErr w:type="spellEnd"/>
      <w:r w:rsidRPr="006D0CAA">
        <w:rPr>
          <w:rFonts w:ascii="Cambria" w:hAnsi="Cambria"/>
          <w:sz w:val="20"/>
          <w:szCs w:val="20"/>
          <w:lang w:val="en-GB"/>
        </w:rPr>
        <w:t xml:space="preserve"> A (2007) Dialogue in Focus Groups: Exploring in Socially Shared Knowledge. Equinox Publishing, London.</w:t>
      </w:r>
    </w:p>
    <w:p w14:paraId="113C0BEE" w14:textId="59C469C6" w:rsidR="0059106A" w:rsidRPr="006D0CAA" w:rsidRDefault="0059106A" w:rsidP="006D0CAA">
      <w:pPr>
        <w:autoSpaceDE w:val="0"/>
        <w:autoSpaceDN w:val="0"/>
        <w:adjustRightInd w:val="0"/>
        <w:spacing w:line="276" w:lineRule="auto"/>
        <w:rPr>
          <w:rFonts w:ascii="Cambria" w:hAnsi="Cambria"/>
          <w:lang w:val="en-GB"/>
        </w:rPr>
      </w:pPr>
      <w:r w:rsidRPr="006D0CAA">
        <w:rPr>
          <w:rFonts w:ascii="Cambria" w:hAnsi="Cambria"/>
          <w:lang w:val="en-GB"/>
        </w:rPr>
        <w:t xml:space="preserve">UN </w:t>
      </w:r>
      <w:r w:rsidR="009261E7">
        <w:rPr>
          <w:rFonts w:ascii="Cambria" w:hAnsi="Cambria"/>
          <w:lang w:val="en-GB"/>
        </w:rPr>
        <w:t>(</w:t>
      </w:r>
      <w:r w:rsidRPr="006D0CAA">
        <w:rPr>
          <w:rFonts w:ascii="Cambria" w:hAnsi="Cambria"/>
          <w:lang w:val="en-GB"/>
        </w:rPr>
        <w:t>2013</w:t>
      </w:r>
      <w:r w:rsidR="009261E7">
        <w:rPr>
          <w:rFonts w:ascii="Cambria" w:hAnsi="Cambria"/>
          <w:lang w:val="en-GB"/>
        </w:rPr>
        <w:t>)</w:t>
      </w:r>
      <w:r w:rsidRPr="006D0CAA">
        <w:rPr>
          <w:rFonts w:ascii="Cambria" w:hAnsi="Cambria"/>
          <w:lang w:val="en-GB"/>
        </w:rPr>
        <w:t>. A New Global Partnership: Eradicate Poverty and Transform Economies through Sustainable Development: The Report of the High-Level Panel of Eminent Persons on the Post-2015 Development Agenda</w:t>
      </w:r>
      <w:r w:rsidR="00FD17F5">
        <w:rPr>
          <w:rFonts w:ascii="Cambria" w:hAnsi="Cambria"/>
          <w:lang w:val="en-GB"/>
        </w:rPr>
        <w:t xml:space="preserve">. </w:t>
      </w:r>
      <w:r w:rsidRPr="006D0CAA">
        <w:rPr>
          <w:rFonts w:ascii="Cambria" w:hAnsi="Cambria"/>
          <w:lang w:val="en-GB"/>
        </w:rPr>
        <w:t>United Nations</w:t>
      </w:r>
      <w:r w:rsidR="00FD17F5">
        <w:rPr>
          <w:rFonts w:ascii="Cambria" w:hAnsi="Cambria"/>
          <w:lang w:val="en-GB"/>
        </w:rPr>
        <w:t>, New York</w:t>
      </w:r>
      <w:r w:rsidRPr="006D0CAA">
        <w:rPr>
          <w:rFonts w:ascii="Cambria" w:hAnsi="Cambria"/>
          <w:lang w:val="en-GB"/>
        </w:rPr>
        <w:t>.</w:t>
      </w:r>
    </w:p>
    <w:p w14:paraId="252B828C" w14:textId="3E8F43C6" w:rsidR="0059106A" w:rsidRPr="006D0CAA" w:rsidRDefault="0059106A" w:rsidP="006D0CAA">
      <w:pPr>
        <w:spacing w:line="276" w:lineRule="auto"/>
        <w:rPr>
          <w:rFonts w:ascii="Cambria" w:hAnsi="Cambria"/>
          <w:lang w:val="en-GB"/>
        </w:rPr>
      </w:pPr>
    </w:p>
    <w:p w14:paraId="4B4C180C" w14:textId="0B39E021" w:rsidR="0059106A" w:rsidRPr="006D0CAA" w:rsidRDefault="0059106A" w:rsidP="006D0CAA">
      <w:pPr>
        <w:spacing w:line="276" w:lineRule="auto"/>
        <w:rPr>
          <w:rFonts w:ascii="Cambria" w:hAnsi="Cambria"/>
          <w:lang w:val="en-GB"/>
        </w:rPr>
      </w:pPr>
      <w:r w:rsidRPr="006D0CAA">
        <w:rPr>
          <w:rFonts w:ascii="Cambria" w:hAnsi="Cambria"/>
          <w:lang w:val="en-GB"/>
        </w:rPr>
        <w:t>Wibeck, V., Linnér, B-O., Alves, M., Asplund, T., Bohman, A., Boykoff, M., Feetham, P. M., Huang, Y., Nascimento, J., Rich, J., Rocha C. Y., Vaccarino, F., Xian, S.  (2019) Stories of transformation: a cross-country focus group study on sustainable development and societal change. Sustainability 11:2427.</w:t>
      </w:r>
    </w:p>
    <w:p w14:paraId="1927DA60" w14:textId="77777777" w:rsidR="0059106A" w:rsidRDefault="0059106A"/>
    <w:sectPr w:rsidR="0059106A" w:rsidSect="000F5D1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14"/>
    <w:rsid w:val="000F5D12"/>
    <w:rsid w:val="001C0014"/>
    <w:rsid w:val="001C45B1"/>
    <w:rsid w:val="003001A2"/>
    <w:rsid w:val="003D48BB"/>
    <w:rsid w:val="004260BD"/>
    <w:rsid w:val="00452F0C"/>
    <w:rsid w:val="00477ED4"/>
    <w:rsid w:val="005544D8"/>
    <w:rsid w:val="0059106A"/>
    <w:rsid w:val="005B443D"/>
    <w:rsid w:val="0068214C"/>
    <w:rsid w:val="006D0CAA"/>
    <w:rsid w:val="007247EF"/>
    <w:rsid w:val="00761840"/>
    <w:rsid w:val="0083739E"/>
    <w:rsid w:val="009261E7"/>
    <w:rsid w:val="00961603"/>
    <w:rsid w:val="009F1B2E"/>
    <w:rsid w:val="00A737CC"/>
    <w:rsid w:val="00DB4029"/>
    <w:rsid w:val="00E61D57"/>
    <w:rsid w:val="00E920BB"/>
    <w:rsid w:val="00EE1112"/>
    <w:rsid w:val="00F23EF3"/>
    <w:rsid w:val="00FA76C9"/>
    <w:rsid w:val="00FD17F5"/>
    <w:rsid w:val="00FD4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328F"/>
  <w14:defaultImageDpi w14:val="32767"/>
  <w15:chartTrackingRefBased/>
  <w15:docId w15:val="{F8B3760A-A968-4A4A-8148-7A33811E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0014"/>
    <w:rPr>
      <w:rFonts w:ascii="Times New Roman" w:eastAsia="Times New Roman" w:hAnsi="Times New Roman" w:cs="Times New Roman"/>
      <w:sz w:val="20"/>
      <w:szCs w:val="20"/>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0014"/>
    <w:rPr>
      <w:sz w:val="18"/>
      <w:szCs w:val="18"/>
    </w:rPr>
  </w:style>
  <w:style w:type="character" w:customStyle="1" w:styleId="BallongtextChar">
    <w:name w:val="Ballongtext Char"/>
    <w:basedOn w:val="Standardstycketeckensnitt"/>
    <w:link w:val="Ballongtext"/>
    <w:uiPriority w:val="99"/>
    <w:semiHidden/>
    <w:rsid w:val="001C0014"/>
    <w:rPr>
      <w:rFonts w:ascii="Times New Roman" w:eastAsia="Times New Roman" w:hAnsi="Times New Roman" w:cs="Times New Roman"/>
      <w:sz w:val="18"/>
      <w:szCs w:val="18"/>
      <w:lang w:val="en-US"/>
    </w:rPr>
  </w:style>
  <w:style w:type="character" w:customStyle="1" w:styleId="normaltextrun">
    <w:name w:val="normaltextrun"/>
    <w:basedOn w:val="Standardstycketeckensnitt"/>
    <w:rsid w:val="001C0014"/>
  </w:style>
  <w:style w:type="character" w:customStyle="1" w:styleId="apple-converted-space">
    <w:name w:val="apple-converted-space"/>
    <w:basedOn w:val="Standardstycketeckensnitt"/>
    <w:rsid w:val="001C0014"/>
  </w:style>
  <w:style w:type="character" w:styleId="Kommentarsreferens">
    <w:name w:val="annotation reference"/>
    <w:basedOn w:val="Standardstycketeckensnitt"/>
    <w:uiPriority w:val="99"/>
    <w:semiHidden/>
    <w:unhideWhenUsed/>
    <w:rsid w:val="001C0014"/>
    <w:rPr>
      <w:sz w:val="16"/>
      <w:szCs w:val="16"/>
    </w:rPr>
  </w:style>
  <w:style w:type="paragraph" w:styleId="Kommentarer">
    <w:name w:val="annotation text"/>
    <w:basedOn w:val="Normal"/>
    <w:link w:val="KommentarerChar"/>
    <w:uiPriority w:val="99"/>
    <w:semiHidden/>
    <w:unhideWhenUsed/>
    <w:rsid w:val="001C0014"/>
  </w:style>
  <w:style w:type="character" w:customStyle="1" w:styleId="KommentarerChar">
    <w:name w:val="Kommentarer Char"/>
    <w:basedOn w:val="Standardstycketeckensnitt"/>
    <w:link w:val="Kommentarer"/>
    <w:uiPriority w:val="99"/>
    <w:semiHidden/>
    <w:rsid w:val="001C0014"/>
    <w:rPr>
      <w:rFonts w:ascii="Times New Roman" w:eastAsia="Times New Roman" w:hAnsi="Times New Roman" w:cs="Times New Roman"/>
      <w:sz w:val="20"/>
      <w:szCs w:val="20"/>
      <w:lang w:val="en-US"/>
    </w:rPr>
  </w:style>
  <w:style w:type="paragraph" w:styleId="Kommentarsmne">
    <w:name w:val="annotation subject"/>
    <w:basedOn w:val="Kommentarer"/>
    <w:next w:val="Kommentarer"/>
    <w:link w:val="KommentarsmneChar"/>
    <w:uiPriority w:val="99"/>
    <w:semiHidden/>
    <w:unhideWhenUsed/>
    <w:rsid w:val="001C0014"/>
    <w:rPr>
      <w:b/>
      <w:bCs/>
    </w:rPr>
  </w:style>
  <w:style w:type="character" w:customStyle="1" w:styleId="KommentarsmneChar">
    <w:name w:val="Kommentarsämne Char"/>
    <w:basedOn w:val="KommentarerChar"/>
    <w:link w:val="Kommentarsmne"/>
    <w:uiPriority w:val="99"/>
    <w:semiHidden/>
    <w:rsid w:val="001C0014"/>
    <w:rPr>
      <w:rFonts w:ascii="Times New Roman" w:eastAsia="Times New Roman" w:hAnsi="Times New Roman" w:cs="Times New Roman"/>
      <w:b/>
      <w:bCs/>
      <w:sz w:val="20"/>
      <w:szCs w:val="20"/>
      <w:lang w:val="en-US"/>
    </w:rPr>
  </w:style>
  <w:style w:type="paragraph" w:customStyle="1" w:styleId="Paragraph">
    <w:name w:val="Paragraph"/>
    <w:basedOn w:val="Normal"/>
    <w:rsid w:val="00961603"/>
    <w:pPr>
      <w:spacing w:before="120"/>
      <w:ind w:firstLine="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2954900">
      <w:bodyDiv w:val="1"/>
      <w:marLeft w:val="0"/>
      <w:marRight w:val="0"/>
      <w:marTop w:val="0"/>
      <w:marBottom w:val="0"/>
      <w:divBdr>
        <w:top w:val="none" w:sz="0" w:space="0" w:color="auto"/>
        <w:left w:val="none" w:sz="0" w:space="0" w:color="auto"/>
        <w:bottom w:val="none" w:sz="0" w:space="0" w:color="auto"/>
        <w:right w:val="none" w:sz="0" w:space="0" w:color="auto"/>
      </w:divBdr>
    </w:div>
    <w:div w:id="1581913259">
      <w:bodyDiv w:val="1"/>
      <w:marLeft w:val="0"/>
      <w:marRight w:val="0"/>
      <w:marTop w:val="0"/>
      <w:marBottom w:val="0"/>
      <w:divBdr>
        <w:top w:val="none" w:sz="0" w:space="0" w:color="auto"/>
        <w:left w:val="none" w:sz="0" w:space="0" w:color="auto"/>
        <w:bottom w:val="none" w:sz="0" w:space="0" w:color="auto"/>
        <w:right w:val="none" w:sz="0" w:space="0" w:color="auto"/>
      </w:divBdr>
    </w:div>
    <w:div w:id="193778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946</Words>
  <Characters>5014</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Wibeck</dc:creator>
  <cp:keywords/>
  <dc:description/>
  <cp:lastModifiedBy>Björn-Ola Linnér</cp:lastModifiedBy>
  <cp:revision>2</cp:revision>
  <dcterms:created xsi:type="dcterms:W3CDTF">2021-04-22T19:48:00Z</dcterms:created>
  <dcterms:modified xsi:type="dcterms:W3CDTF">2021-04-22T19:48:00Z</dcterms:modified>
</cp:coreProperties>
</file>