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189D1" w14:textId="77777777" w:rsidR="006E66A0" w:rsidRPr="006E66A0" w:rsidRDefault="006E66A0" w:rsidP="006E66A0">
      <w:pPr>
        <w:pStyle w:val="NoParagraphStyle"/>
        <w:suppressAutoHyphens/>
        <w:spacing w:before="240" w:line="360" w:lineRule="auto"/>
        <w:rPr>
          <w:rFonts w:ascii="Arial" w:hAnsi="Arial" w:cs="Arial"/>
          <w:iCs/>
          <w:sz w:val="32"/>
          <w:szCs w:val="32"/>
          <w:u w:val="single"/>
        </w:rPr>
      </w:pPr>
      <w:r w:rsidRPr="006E66A0">
        <w:rPr>
          <w:rFonts w:ascii="Arial" w:hAnsi="Arial" w:cs="Arial"/>
          <w:iCs/>
          <w:sz w:val="32"/>
          <w:szCs w:val="32"/>
          <w:u w:val="single"/>
        </w:rPr>
        <w:t>Supplementary information</w:t>
      </w:r>
    </w:p>
    <w:p w14:paraId="64FC78C9" w14:textId="5B0E60BD" w:rsidR="006E66A0" w:rsidRPr="006F33B6" w:rsidRDefault="009E5AC5" w:rsidP="006E66A0">
      <w:pPr>
        <w:pStyle w:val="NoParagraphStyle"/>
        <w:suppressAutoHyphens/>
        <w:spacing w:before="240" w:line="360" w:lineRule="auto"/>
        <w:rPr>
          <w:rFonts w:ascii="Arial" w:hAnsi="Arial" w:cs="Arial"/>
          <w:iCs/>
          <w:sz w:val="32"/>
          <w:szCs w:val="32"/>
        </w:rPr>
      </w:pPr>
      <w:r>
        <w:rPr>
          <w:rFonts w:ascii="Arial" w:hAnsi="Arial" w:cs="Arial"/>
          <w:iCs/>
          <w:sz w:val="32"/>
          <w:szCs w:val="32"/>
        </w:rPr>
        <w:t>J</w:t>
      </w:r>
      <w:r w:rsidR="006E66A0">
        <w:rPr>
          <w:rFonts w:ascii="Arial" w:hAnsi="Arial" w:cs="Arial"/>
          <w:iCs/>
          <w:sz w:val="32"/>
          <w:szCs w:val="32"/>
        </w:rPr>
        <w:t xml:space="preserve">ob creation </w:t>
      </w:r>
      <w:r w:rsidR="006E66A0" w:rsidRPr="006F33B6">
        <w:rPr>
          <w:rFonts w:ascii="Arial" w:hAnsi="Arial" w:cs="Arial"/>
          <w:iCs/>
          <w:sz w:val="32"/>
          <w:szCs w:val="32"/>
        </w:rPr>
        <w:t>in</w:t>
      </w:r>
      <w:r w:rsidR="006E66A0">
        <w:rPr>
          <w:rFonts w:ascii="Arial" w:hAnsi="Arial" w:cs="Arial"/>
          <w:iCs/>
          <w:sz w:val="32"/>
          <w:szCs w:val="32"/>
        </w:rPr>
        <w:t xml:space="preserve"> a low carbon transition to</w:t>
      </w:r>
      <w:r w:rsidR="006E66A0" w:rsidRPr="006F33B6">
        <w:rPr>
          <w:rFonts w:ascii="Arial" w:hAnsi="Arial" w:cs="Arial"/>
          <w:iCs/>
          <w:sz w:val="32"/>
          <w:szCs w:val="32"/>
        </w:rPr>
        <w:t xml:space="preserve"> renewable</w:t>
      </w:r>
      <w:r w:rsidR="006E66A0">
        <w:rPr>
          <w:rFonts w:ascii="Arial" w:hAnsi="Arial" w:cs="Arial"/>
          <w:iCs/>
          <w:sz w:val="32"/>
          <w:szCs w:val="32"/>
        </w:rPr>
        <w:t>s</w:t>
      </w:r>
      <w:r w:rsidR="006E66A0" w:rsidRPr="006F33B6">
        <w:rPr>
          <w:rFonts w:ascii="Arial" w:hAnsi="Arial" w:cs="Arial"/>
          <w:iCs/>
          <w:sz w:val="32"/>
          <w:szCs w:val="32"/>
        </w:rPr>
        <w:t xml:space="preserve"> and energy efficiency: A review of international </w:t>
      </w:r>
      <w:r w:rsidR="006E66A0">
        <w:rPr>
          <w:rFonts w:ascii="Arial" w:hAnsi="Arial" w:cs="Arial"/>
          <w:iCs/>
          <w:sz w:val="32"/>
          <w:szCs w:val="32"/>
        </w:rPr>
        <w:t>evidence</w:t>
      </w:r>
    </w:p>
    <w:p w14:paraId="44B2AE4E" w14:textId="77777777" w:rsidR="006E66A0" w:rsidRPr="00974991" w:rsidRDefault="006E66A0" w:rsidP="006E66A0">
      <w:pPr>
        <w:pStyle w:val="NoParagraphStyle"/>
        <w:suppressAutoHyphens/>
        <w:spacing w:before="240" w:line="360" w:lineRule="auto"/>
        <w:rPr>
          <w:rFonts w:ascii="Arial" w:hAnsi="Arial" w:cs="Arial"/>
          <w:i/>
          <w:sz w:val="32"/>
          <w:szCs w:val="32"/>
        </w:rPr>
      </w:pPr>
    </w:p>
    <w:p w14:paraId="15D5C6C6" w14:textId="62E22EE1" w:rsidR="006E66A0" w:rsidRDefault="006E66A0" w:rsidP="006E66A0">
      <w:pPr>
        <w:pStyle w:val="NoParagraphStyle"/>
        <w:suppressAutoHyphens/>
        <w:spacing w:line="360" w:lineRule="auto"/>
        <w:rPr>
          <w:rFonts w:ascii="Arial" w:hAnsi="Arial" w:cs="Arial"/>
          <w:i/>
          <w:iCs/>
          <w:sz w:val="28"/>
          <w:szCs w:val="28"/>
          <w:vertAlign w:val="superscript"/>
        </w:rPr>
      </w:pPr>
      <w:r w:rsidRPr="2A5EC07A">
        <w:rPr>
          <w:rFonts w:ascii="Arial" w:hAnsi="Arial" w:cs="Arial"/>
          <w:i/>
          <w:iCs/>
          <w:sz w:val="28"/>
          <w:szCs w:val="28"/>
        </w:rPr>
        <w:t>Richard Hanna</w:t>
      </w:r>
      <w:r w:rsidRPr="00530C1D">
        <w:rPr>
          <w:rStyle w:val="FootnoteReference"/>
        </w:rPr>
        <w:footnoteReference w:id="1"/>
      </w:r>
      <w:r w:rsidRPr="00530C1D">
        <w:rPr>
          <w:rStyle w:val="FootnoteReference"/>
        </w:rPr>
        <w:footnoteReference w:id="2"/>
      </w:r>
      <w:r>
        <w:rPr>
          <w:rFonts w:ascii="Arial" w:hAnsi="Arial" w:cs="Arial"/>
          <w:i/>
          <w:iCs/>
          <w:sz w:val="28"/>
          <w:szCs w:val="28"/>
        </w:rPr>
        <w:t xml:space="preserve">; </w:t>
      </w:r>
      <w:r w:rsidRPr="0044215F">
        <w:rPr>
          <w:rFonts w:ascii="Arial" w:hAnsi="Arial" w:cs="Arial"/>
          <w:i/>
          <w:iCs/>
          <w:sz w:val="28"/>
          <w:szCs w:val="28"/>
        </w:rPr>
        <w:t>Philip Heptonstall</w:t>
      </w:r>
      <w:r w:rsidRPr="0044215F">
        <w:rPr>
          <w:rFonts w:ascii="Arial" w:hAnsi="Arial" w:cs="Arial"/>
          <w:i/>
          <w:iCs/>
          <w:sz w:val="28"/>
          <w:szCs w:val="28"/>
          <w:vertAlign w:val="superscript"/>
        </w:rPr>
        <w:t>1</w:t>
      </w:r>
      <w:r>
        <w:rPr>
          <w:rFonts w:ascii="Arial" w:hAnsi="Arial" w:cs="Arial"/>
          <w:i/>
          <w:iCs/>
          <w:sz w:val="28"/>
          <w:szCs w:val="28"/>
        </w:rPr>
        <w:t xml:space="preserve">; </w:t>
      </w:r>
      <w:r w:rsidRPr="2A5EC07A">
        <w:rPr>
          <w:rFonts w:ascii="Arial" w:hAnsi="Arial" w:cs="Arial"/>
          <w:i/>
          <w:iCs/>
          <w:sz w:val="28"/>
          <w:szCs w:val="28"/>
        </w:rPr>
        <w:t>Rob</w:t>
      </w:r>
      <w:r>
        <w:rPr>
          <w:rFonts w:ascii="Arial" w:hAnsi="Arial" w:cs="Arial"/>
          <w:i/>
          <w:iCs/>
          <w:sz w:val="28"/>
          <w:szCs w:val="28"/>
        </w:rPr>
        <w:t>ert</w:t>
      </w:r>
      <w:r w:rsidRPr="2A5EC07A">
        <w:rPr>
          <w:rFonts w:ascii="Arial" w:hAnsi="Arial" w:cs="Arial"/>
          <w:i/>
          <w:iCs/>
          <w:sz w:val="28"/>
          <w:szCs w:val="28"/>
        </w:rPr>
        <w:t xml:space="preserve"> Gross</w:t>
      </w:r>
      <w:r w:rsidRPr="0044215F">
        <w:rPr>
          <w:rFonts w:ascii="Arial" w:hAnsi="Arial" w:cs="Arial"/>
          <w:i/>
          <w:iCs/>
          <w:sz w:val="28"/>
          <w:szCs w:val="28"/>
          <w:vertAlign w:val="superscript"/>
        </w:rPr>
        <w:t>1</w:t>
      </w:r>
    </w:p>
    <w:p w14:paraId="1A2D6A1F" w14:textId="77777777" w:rsidR="006E66A0" w:rsidRDefault="006E66A0">
      <w:pPr>
        <w:rPr>
          <w:rFonts w:ascii="Arial" w:hAnsi="Arial" w:cs="Arial"/>
          <w:i/>
          <w:iCs/>
          <w:color w:val="000000"/>
          <w:kern w:val="0"/>
          <w:sz w:val="28"/>
          <w:szCs w:val="28"/>
          <w:vertAlign w:val="superscript"/>
          <w14:ligatures w14:val="none"/>
        </w:rPr>
      </w:pPr>
      <w:r>
        <w:rPr>
          <w:rFonts w:ascii="Arial" w:hAnsi="Arial" w:cs="Arial"/>
          <w:i/>
          <w:iCs/>
          <w:sz w:val="28"/>
          <w:szCs w:val="28"/>
          <w:vertAlign w:val="superscript"/>
        </w:rPr>
        <w:br w:type="page"/>
      </w:r>
    </w:p>
    <w:p w14:paraId="4897B60E" w14:textId="77777777" w:rsidR="006E66A0" w:rsidRPr="006E66A0" w:rsidRDefault="006E66A0" w:rsidP="006E66A0">
      <w:pPr>
        <w:spacing w:line="360" w:lineRule="auto"/>
        <w:rPr>
          <w:rFonts w:ascii="Arial" w:eastAsia="MS Gothic" w:hAnsi="Arial" w:cs="Arial"/>
          <w:b/>
          <w:bCs/>
          <w:sz w:val="24"/>
          <w:szCs w:val="24"/>
        </w:rPr>
      </w:pPr>
      <w:r w:rsidRPr="006E66A0">
        <w:rPr>
          <w:rFonts w:ascii="Arial" w:hAnsi="Arial" w:cs="Arial"/>
          <w:b/>
          <w:bCs/>
          <w:sz w:val="24"/>
          <w:szCs w:val="24"/>
        </w:rPr>
        <w:lastRenderedPageBreak/>
        <w:t>Expert Group advisers</w:t>
      </w:r>
    </w:p>
    <w:p w14:paraId="7F301245" w14:textId="77777777" w:rsidR="006E66A0" w:rsidRPr="006E66A0" w:rsidRDefault="006E66A0" w:rsidP="006E66A0">
      <w:pPr>
        <w:spacing w:after="240" w:line="360" w:lineRule="auto"/>
        <w:rPr>
          <w:rFonts w:ascii="Arial" w:hAnsi="Arial" w:cs="Arial"/>
          <w:sz w:val="20"/>
          <w:szCs w:val="20"/>
        </w:rPr>
      </w:pPr>
      <w:r w:rsidRPr="006E66A0">
        <w:rPr>
          <w:rFonts w:ascii="Arial" w:hAnsi="Arial" w:cs="Arial"/>
          <w:sz w:val="20"/>
          <w:szCs w:val="20"/>
        </w:rPr>
        <w:t>The expert advisers were asked to comment on the scope of the project and the proposed approach, advise and assist the researchers in identifying relevant evidence sources, and review draft results. The following expert advisers contributed to the project:</w:t>
      </w:r>
    </w:p>
    <w:p w14:paraId="7239E370" w14:textId="77777777" w:rsidR="006E66A0" w:rsidRPr="006E66A0" w:rsidRDefault="006E66A0" w:rsidP="006E66A0">
      <w:pPr>
        <w:spacing w:after="60" w:line="360" w:lineRule="auto"/>
        <w:rPr>
          <w:rFonts w:ascii="Arial" w:eastAsia="Arial" w:hAnsi="Arial" w:cs="Arial"/>
          <w:sz w:val="20"/>
          <w:szCs w:val="20"/>
        </w:rPr>
      </w:pPr>
      <w:r w:rsidRPr="006E66A0">
        <w:rPr>
          <w:rFonts w:ascii="Arial" w:eastAsia="Arial" w:hAnsi="Arial" w:cs="Arial"/>
          <w:sz w:val="20"/>
          <w:szCs w:val="20"/>
        </w:rPr>
        <w:t>Dr Grant Allan (University of Strathclyde, Scotland)</w:t>
      </w:r>
    </w:p>
    <w:p w14:paraId="31D741FD" w14:textId="77777777" w:rsidR="006E66A0" w:rsidRPr="006E66A0" w:rsidRDefault="006E66A0" w:rsidP="006E66A0">
      <w:pPr>
        <w:spacing w:after="60" w:line="360" w:lineRule="auto"/>
        <w:rPr>
          <w:rFonts w:ascii="Arial" w:hAnsi="Arial" w:cs="Arial"/>
          <w:sz w:val="20"/>
          <w:szCs w:val="20"/>
        </w:rPr>
      </w:pPr>
      <w:r w:rsidRPr="006E66A0">
        <w:rPr>
          <w:rFonts w:ascii="Arial" w:eastAsia="Arial" w:hAnsi="Arial" w:cs="Arial"/>
          <w:sz w:val="20"/>
          <w:szCs w:val="20"/>
        </w:rPr>
        <w:t>Prof John Barrett (University of Leeds, England)</w:t>
      </w:r>
    </w:p>
    <w:p w14:paraId="2A0B5BF5" w14:textId="77777777" w:rsidR="006E66A0" w:rsidRPr="006E66A0" w:rsidRDefault="006E66A0" w:rsidP="006E66A0">
      <w:pPr>
        <w:spacing w:after="60" w:line="360" w:lineRule="auto"/>
        <w:rPr>
          <w:rFonts w:ascii="Arial" w:eastAsia="Arial" w:hAnsi="Arial" w:cs="Arial"/>
          <w:sz w:val="20"/>
          <w:szCs w:val="20"/>
        </w:rPr>
      </w:pPr>
      <w:r w:rsidRPr="006E66A0">
        <w:rPr>
          <w:rFonts w:ascii="Arial" w:eastAsia="Arial" w:hAnsi="Arial" w:cs="Arial"/>
          <w:sz w:val="20"/>
          <w:szCs w:val="20"/>
        </w:rPr>
        <w:t>Dr Will Blyth (Oxford Energy Associates and Foreign, Commonwealth &amp; Development Office, UK)</w:t>
      </w:r>
    </w:p>
    <w:p w14:paraId="10D37FB4" w14:textId="77777777" w:rsidR="006E66A0" w:rsidRPr="006E66A0" w:rsidRDefault="006E66A0" w:rsidP="006E66A0">
      <w:pPr>
        <w:spacing w:after="60" w:line="360" w:lineRule="auto"/>
        <w:rPr>
          <w:rFonts w:ascii="Arial" w:hAnsi="Arial" w:cs="Arial"/>
          <w:sz w:val="20"/>
          <w:szCs w:val="20"/>
        </w:rPr>
      </w:pPr>
      <w:r w:rsidRPr="006E66A0">
        <w:rPr>
          <w:rFonts w:ascii="Arial" w:eastAsia="Arial" w:hAnsi="Arial" w:cs="Arial"/>
          <w:sz w:val="20"/>
          <w:szCs w:val="20"/>
        </w:rPr>
        <w:t>Lucy Geoghegan (Scottish Government)</w:t>
      </w:r>
    </w:p>
    <w:p w14:paraId="1CD6CAA0" w14:textId="77777777" w:rsidR="006E66A0" w:rsidRPr="006E66A0" w:rsidRDefault="006E66A0" w:rsidP="006E66A0">
      <w:pPr>
        <w:spacing w:line="360" w:lineRule="auto"/>
        <w:rPr>
          <w:rFonts w:ascii="Arial" w:eastAsia="Arial" w:hAnsi="Arial" w:cs="Arial"/>
          <w:sz w:val="20"/>
          <w:szCs w:val="20"/>
        </w:rPr>
      </w:pPr>
      <w:r w:rsidRPr="006E66A0">
        <w:rPr>
          <w:rFonts w:ascii="Arial" w:eastAsia="Arial" w:hAnsi="Arial" w:cs="Arial"/>
          <w:sz w:val="20"/>
          <w:szCs w:val="20"/>
        </w:rPr>
        <w:t>Mike Hemsley (UK Climate Change Committee)</w:t>
      </w:r>
    </w:p>
    <w:p w14:paraId="7728125F" w14:textId="77777777" w:rsidR="006E66A0" w:rsidRPr="006E66A0" w:rsidRDefault="006E66A0" w:rsidP="006E66A0">
      <w:pPr>
        <w:spacing w:line="360" w:lineRule="auto"/>
        <w:rPr>
          <w:rFonts w:ascii="Arial" w:eastAsia="Arial" w:hAnsi="Arial" w:cs="Arial"/>
          <w:sz w:val="20"/>
          <w:szCs w:val="20"/>
        </w:rPr>
      </w:pPr>
      <w:r w:rsidRPr="006E66A0">
        <w:rPr>
          <w:rFonts w:ascii="Arial" w:hAnsi="Arial" w:cs="Arial"/>
          <w:color w:val="000000"/>
          <w:sz w:val="20"/>
          <w:szCs w:val="20"/>
          <w:shd w:val="clear" w:color="auto" w:fill="FFFFFF"/>
        </w:rPr>
        <w:t>Bianca de Farias Letti</w:t>
      </w:r>
      <w:r w:rsidRPr="006E66A0">
        <w:rPr>
          <w:rFonts w:ascii="Arial" w:eastAsia="Arial" w:hAnsi="Arial" w:cs="Arial"/>
          <w:sz w:val="20"/>
          <w:szCs w:val="20"/>
        </w:rPr>
        <w:t xml:space="preserve"> (UK Climate Change Committee)</w:t>
      </w:r>
    </w:p>
    <w:p w14:paraId="5755B3D5" w14:textId="77777777" w:rsidR="006E66A0" w:rsidRPr="006E66A0" w:rsidRDefault="006E66A0" w:rsidP="006E66A0">
      <w:pPr>
        <w:spacing w:after="60" w:line="360" w:lineRule="auto"/>
        <w:rPr>
          <w:rFonts w:ascii="Arial" w:eastAsia="Arial" w:hAnsi="Arial" w:cs="Arial"/>
          <w:sz w:val="20"/>
          <w:szCs w:val="20"/>
        </w:rPr>
      </w:pPr>
      <w:r w:rsidRPr="006E66A0">
        <w:rPr>
          <w:rFonts w:ascii="Arial" w:eastAsia="Arial" w:hAnsi="Arial" w:cs="Arial"/>
          <w:sz w:val="20"/>
          <w:szCs w:val="20"/>
        </w:rPr>
        <w:t>Paul Mathews (HM Treasury, UK)</w:t>
      </w:r>
    </w:p>
    <w:p w14:paraId="0DE0CCD2" w14:textId="77777777" w:rsidR="006E66A0" w:rsidRPr="006E66A0" w:rsidRDefault="006E66A0" w:rsidP="006E66A0">
      <w:pPr>
        <w:spacing w:after="60" w:line="360" w:lineRule="auto"/>
        <w:rPr>
          <w:rFonts w:ascii="Arial" w:eastAsia="Arial" w:hAnsi="Arial" w:cs="Arial"/>
          <w:sz w:val="20"/>
          <w:szCs w:val="20"/>
        </w:rPr>
      </w:pPr>
      <w:r w:rsidRPr="006E66A0">
        <w:rPr>
          <w:rFonts w:ascii="Arial" w:eastAsia="Arial" w:hAnsi="Arial" w:cs="Arial"/>
          <w:sz w:val="20"/>
          <w:szCs w:val="20"/>
        </w:rPr>
        <w:t>Luke Nightingale (Department for Business, Energy &amp; Industrial Strategy, UK)</w:t>
      </w:r>
    </w:p>
    <w:p w14:paraId="041E50FC" w14:textId="77777777" w:rsidR="006E66A0" w:rsidRPr="006E66A0" w:rsidRDefault="006E66A0" w:rsidP="006E66A0">
      <w:pPr>
        <w:spacing w:after="60" w:line="360" w:lineRule="auto"/>
        <w:rPr>
          <w:rFonts w:ascii="Arial" w:eastAsia="Arial" w:hAnsi="Arial" w:cs="Arial"/>
          <w:sz w:val="20"/>
          <w:szCs w:val="20"/>
        </w:rPr>
      </w:pPr>
      <w:r w:rsidRPr="006E66A0">
        <w:rPr>
          <w:rFonts w:ascii="Arial" w:eastAsia="Arial" w:hAnsi="Arial" w:cs="Arial"/>
          <w:sz w:val="20"/>
          <w:szCs w:val="20"/>
        </w:rPr>
        <w:t>Prof Karen Turner (University of Strathclyde, Scotland)</w:t>
      </w:r>
    </w:p>
    <w:p w14:paraId="30C078AC" w14:textId="77777777" w:rsidR="006E66A0" w:rsidRPr="006E66A0" w:rsidRDefault="006E66A0" w:rsidP="006E66A0">
      <w:pPr>
        <w:pStyle w:val="NoParagraphStyle"/>
        <w:suppressAutoHyphens/>
        <w:spacing w:line="360" w:lineRule="auto"/>
        <w:rPr>
          <w:rFonts w:ascii="Arial" w:hAnsi="Arial" w:cs="Arial"/>
          <w:i/>
          <w:iCs/>
          <w:vertAlign w:val="superscript"/>
        </w:rPr>
      </w:pPr>
    </w:p>
    <w:p w14:paraId="453744A4" w14:textId="72C27162" w:rsidR="006E66A0" w:rsidRPr="006E66A0" w:rsidRDefault="006E66A0">
      <w:pPr>
        <w:rPr>
          <w:rFonts w:ascii="Arial" w:hAnsi="Arial" w:cs="Arial"/>
          <w:i/>
          <w:iCs/>
          <w:color w:val="000000"/>
          <w:kern w:val="0"/>
          <w:sz w:val="24"/>
          <w:szCs w:val="24"/>
          <w14:ligatures w14:val="none"/>
        </w:rPr>
      </w:pPr>
      <w:r w:rsidRPr="006E66A0">
        <w:rPr>
          <w:rFonts w:ascii="Arial" w:hAnsi="Arial" w:cs="Arial"/>
          <w:i/>
          <w:iCs/>
          <w:sz w:val="24"/>
          <w:szCs w:val="24"/>
        </w:rPr>
        <w:br w:type="page"/>
      </w:r>
    </w:p>
    <w:p w14:paraId="36599B3D" w14:textId="489D2291" w:rsidR="006E66A0" w:rsidRPr="006E66A0" w:rsidRDefault="006E66A0" w:rsidP="006E66A0">
      <w:pPr>
        <w:rPr>
          <w:rFonts w:ascii="Arial" w:hAnsi="Arial" w:cs="Arial"/>
          <w:b/>
          <w:bCs/>
          <w:sz w:val="24"/>
          <w:szCs w:val="24"/>
        </w:rPr>
      </w:pPr>
      <w:r w:rsidRPr="006E66A0">
        <w:rPr>
          <w:rFonts w:ascii="Arial" w:hAnsi="Arial" w:cs="Arial"/>
          <w:b/>
          <w:bCs/>
          <w:sz w:val="24"/>
          <w:szCs w:val="24"/>
        </w:rPr>
        <w:t>Table S</w:t>
      </w:r>
      <w:proofErr w:type="gramStart"/>
      <w:r w:rsidRPr="006E66A0">
        <w:rPr>
          <w:rFonts w:ascii="Arial" w:hAnsi="Arial" w:cs="Arial"/>
          <w:b/>
          <w:bCs/>
          <w:sz w:val="24"/>
          <w:szCs w:val="24"/>
        </w:rPr>
        <w:t>1  Search</w:t>
      </w:r>
      <w:proofErr w:type="gramEnd"/>
      <w:r w:rsidRPr="006E66A0">
        <w:rPr>
          <w:rFonts w:ascii="Arial" w:hAnsi="Arial" w:cs="Arial"/>
          <w:b/>
          <w:bCs/>
          <w:sz w:val="24"/>
          <w:szCs w:val="24"/>
        </w:rPr>
        <w:t xml:space="preserve"> strings, Boolean operators and databases applied in systematic review</w:t>
      </w:r>
    </w:p>
    <w:tbl>
      <w:tblPr>
        <w:tblStyle w:val="TableGrid"/>
        <w:tblW w:w="8926" w:type="dxa"/>
        <w:tblLayout w:type="fixed"/>
        <w:tblLook w:val="04A0" w:firstRow="1" w:lastRow="0" w:firstColumn="1" w:lastColumn="0" w:noHBand="0" w:noVBand="1"/>
      </w:tblPr>
      <w:tblGrid>
        <w:gridCol w:w="1984"/>
        <w:gridCol w:w="3256"/>
        <w:gridCol w:w="1701"/>
        <w:gridCol w:w="1985"/>
      </w:tblGrid>
      <w:tr w:rsidR="006E66A0" w:rsidRPr="006E66A0" w14:paraId="161C68C5" w14:textId="77777777" w:rsidTr="0080285E">
        <w:tc>
          <w:tcPr>
            <w:tcW w:w="1984" w:type="dxa"/>
          </w:tcPr>
          <w:p w14:paraId="26A54F40" w14:textId="019992D1" w:rsidR="006E66A0" w:rsidRPr="006E66A0" w:rsidRDefault="006E66A0" w:rsidP="0080285E">
            <w:pPr>
              <w:rPr>
                <w:rFonts w:ascii="Arial" w:hAnsi="Arial" w:cs="Arial"/>
                <w:b/>
                <w:bCs/>
                <w:sz w:val="20"/>
                <w:szCs w:val="20"/>
              </w:rPr>
            </w:pPr>
            <w:r w:rsidRPr="006E66A0">
              <w:rPr>
                <w:rFonts w:ascii="Arial" w:hAnsi="Arial" w:cs="Arial"/>
                <w:b/>
                <w:bCs/>
                <w:sz w:val="20"/>
                <w:szCs w:val="20"/>
              </w:rPr>
              <w:t xml:space="preserve">Review type: number of </w:t>
            </w:r>
            <w:proofErr w:type="gramStart"/>
            <w:r w:rsidRPr="006E66A0">
              <w:rPr>
                <w:rFonts w:ascii="Arial" w:hAnsi="Arial" w:cs="Arial"/>
                <w:b/>
                <w:bCs/>
                <w:sz w:val="20"/>
                <w:szCs w:val="20"/>
              </w:rPr>
              <w:t>search</w:t>
            </w:r>
            <w:proofErr w:type="gramEnd"/>
            <w:r w:rsidRPr="006E66A0">
              <w:rPr>
                <w:rFonts w:ascii="Arial" w:hAnsi="Arial" w:cs="Arial"/>
                <w:b/>
                <w:bCs/>
                <w:sz w:val="20"/>
                <w:szCs w:val="20"/>
              </w:rPr>
              <w:t xml:space="preserve"> </w:t>
            </w:r>
          </w:p>
        </w:tc>
        <w:tc>
          <w:tcPr>
            <w:tcW w:w="3256" w:type="dxa"/>
          </w:tcPr>
          <w:p w14:paraId="2EDE06CB" w14:textId="77777777" w:rsidR="006E66A0" w:rsidRPr="006E66A0" w:rsidRDefault="006E66A0" w:rsidP="0080285E">
            <w:pPr>
              <w:rPr>
                <w:rFonts w:ascii="Arial" w:hAnsi="Arial" w:cs="Arial"/>
                <w:b/>
                <w:bCs/>
                <w:sz w:val="20"/>
                <w:szCs w:val="20"/>
              </w:rPr>
            </w:pPr>
            <w:r w:rsidRPr="006E66A0">
              <w:rPr>
                <w:rFonts w:ascii="Arial" w:hAnsi="Arial" w:cs="Arial"/>
                <w:b/>
                <w:bCs/>
                <w:sz w:val="20"/>
                <w:szCs w:val="20"/>
              </w:rPr>
              <w:t>Search string (search terms and Boolean operators)</w:t>
            </w:r>
          </w:p>
        </w:tc>
        <w:tc>
          <w:tcPr>
            <w:tcW w:w="1701" w:type="dxa"/>
          </w:tcPr>
          <w:p w14:paraId="16B76A99" w14:textId="77777777" w:rsidR="006E66A0" w:rsidRPr="006E66A0" w:rsidRDefault="006E66A0" w:rsidP="0080285E">
            <w:pPr>
              <w:rPr>
                <w:rFonts w:ascii="Arial" w:hAnsi="Arial" w:cs="Arial"/>
                <w:b/>
                <w:bCs/>
                <w:sz w:val="20"/>
                <w:szCs w:val="20"/>
              </w:rPr>
            </w:pPr>
            <w:r w:rsidRPr="006E66A0">
              <w:rPr>
                <w:rFonts w:ascii="Arial" w:hAnsi="Arial" w:cs="Arial"/>
                <w:b/>
                <w:bCs/>
                <w:sz w:val="20"/>
                <w:szCs w:val="20"/>
              </w:rPr>
              <w:t>Database</w:t>
            </w:r>
          </w:p>
        </w:tc>
        <w:tc>
          <w:tcPr>
            <w:tcW w:w="1985" w:type="dxa"/>
          </w:tcPr>
          <w:p w14:paraId="158122B0" w14:textId="77777777" w:rsidR="006E66A0" w:rsidRPr="006E66A0" w:rsidRDefault="006E66A0" w:rsidP="0080285E">
            <w:pPr>
              <w:rPr>
                <w:rFonts w:ascii="Arial" w:hAnsi="Arial" w:cs="Arial"/>
                <w:b/>
                <w:bCs/>
                <w:sz w:val="20"/>
                <w:szCs w:val="20"/>
              </w:rPr>
            </w:pPr>
            <w:r w:rsidRPr="006E66A0">
              <w:rPr>
                <w:rFonts w:ascii="Arial" w:hAnsi="Arial" w:cs="Arial"/>
                <w:b/>
                <w:bCs/>
                <w:sz w:val="20"/>
                <w:szCs w:val="20"/>
              </w:rPr>
              <w:t>Number of results screened for relevance and duplicates</w:t>
            </w:r>
          </w:p>
        </w:tc>
      </w:tr>
      <w:tr w:rsidR="006E66A0" w:rsidRPr="006E66A0" w14:paraId="754EE3EF" w14:textId="77777777" w:rsidTr="0080285E">
        <w:tc>
          <w:tcPr>
            <w:tcW w:w="1984" w:type="dxa"/>
          </w:tcPr>
          <w:p w14:paraId="5AEC1532" w14:textId="2A8A47B0" w:rsidR="006E66A0" w:rsidRPr="006E66A0" w:rsidRDefault="006E66A0" w:rsidP="0080285E">
            <w:pPr>
              <w:rPr>
                <w:rFonts w:ascii="Arial" w:hAnsi="Arial" w:cs="Arial"/>
                <w:sz w:val="20"/>
                <w:szCs w:val="20"/>
              </w:rPr>
            </w:pPr>
            <w:r w:rsidRPr="006E66A0">
              <w:rPr>
                <w:rFonts w:ascii="Arial" w:hAnsi="Arial" w:cs="Arial"/>
                <w:sz w:val="20"/>
                <w:szCs w:val="20"/>
              </w:rPr>
              <w:t>S</w:t>
            </w:r>
            <w:r w:rsidR="00CE4D42">
              <w:rPr>
                <w:rFonts w:ascii="Arial" w:hAnsi="Arial" w:cs="Arial"/>
                <w:sz w:val="20"/>
                <w:szCs w:val="20"/>
              </w:rPr>
              <w:t xml:space="preserve">coping </w:t>
            </w:r>
            <w:r w:rsidR="00BA5D92">
              <w:rPr>
                <w:rFonts w:ascii="Arial" w:hAnsi="Arial" w:cs="Arial"/>
                <w:sz w:val="20"/>
                <w:szCs w:val="20"/>
              </w:rPr>
              <w:t>r</w:t>
            </w:r>
            <w:r w:rsidR="00CE4D42">
              <w:rPr>
                <w:rFonts w:ascii="Arial" w:hAnsi="Arial" w:cs="Arial"/>
                <w:sz w:val="20"/>
                <w:szCs w:val="20"/>
              </w:rPr>
              <w:t>eview</w:t>
            </w:r>
            <w:r w:rsidRPr="006E66A0">
              <w:rPr>
                <w:rFonts w:ascii="Arial" w:hAnsi="Arial" w:cs="Arial"/>
                <w:sz w:val="20"/>
                <w:szCs w:val="20"/>
              </w:rPr>
              <w:t xml:space="preserve"> 1</w:t>
            </w:r>
          </w:p>
        </w:tc>
        <w:tc>
          <w:tcPr>
            <w:tcW w:w="3256" w:type="dxa"/>
          </w:tcPr>
          <w:p w14:paraId="2DF611E1" w14:textId="77777777" w:rsidR="006E66A0" w:rsidRPr="006E66A0" w:rsidRDefault="006E66A0" w:rsidP="0080285E">
            <w:pPr>
              <w:rPr>
                <w:rFonts w:ascii="Arial" w:hAnsi="Arial" w:cs="Arial"/>
                <w:sz w:val="20"/>
                <w:szCs w:val="20"/>
              </w:rPr>
            </w:pPr>
            <w:r w:rsidRPr="006E66A0">
              <w:rPr>
                <w:rFonts w:ascii="Arial" w:hAnsi="Arial" w:cs="Arial"/>
                <w:sz w:val="20"/>
                <w:szCs w:val="20"/>
              </w:rPr>
              <w:t>"</w:t>
            </w:r>
            <w:proofErr w:type="gramStart"/>
            <w:r w:rsidRPr="006E66A0">
              <w:rPr>
                <w:rFonts w:ascii="Arial" w:hAnsi="Arial" w:cs="Arial"/>
                <w:sz w:val="20"/>
                <w:szCs w:val="20"/>
              </w:rPr>
              <w:t>green</w:t>
            </w:r>
            <w:proofErr w:type="gramEnd"/>
            <w:r w:rsidRPr="006E66A0">
              <w:rPr>
                <w:rFonts w:ascii="Arial" w:hAnsi="Arial" w:cs="Arial"/>
                <w:sz w:val="20"/>
                <w:szCs w:val="20"/>
              </w:rPr>
              <w:t xml:space="preserve"> job" AND energy</w:t>
            </w:r>
          </w:p>
        </w:tc>
        <w:tc>
          <w:tcPr>
            <w:tcW w:w="1701" w:type="dxa"/>
          </w:tcPr>
          <w:p w14:paraId="5418C219" w14:textId="77777777" w:rsidR="006E66A0" w:rsidRPr="006E66A0" w:rsidRDefault="006E66A0" w:rsidP="0080285E">
            <w:pPr>
              <w:rPr>
                <w:rFonts w:ascii="Arial" w:hAnsi="Arial" w:cs="Arial"/>
                <w:sz w:val="20"/>
                <w:szCs w:val="20"/>
              </w:rPr>
            </w:pPr>
            <w:r w:rsidRPr="006E66A0">
              <w:rPr>
                <w:rFonts w:ascii="Arial" w:hAnsi="Arial" w:cs="Arial"/>
                <w:sz w:val="20"/>
                <w:szCs w:val="20"/>
              </w:rPr>
              <w:t>ScienceDirect</w:t>
            </w:r>
          </w:p>
        </w:tc>
        <w:tc>
          <w:tcPr>
            <w:tcW w:w="1985" w:type="dxa"/>
          </w:tcPr>
          <w:p w14:paraId="54DB1F5C" w14:textId="77777777" w:rsidR="006E66A0" w:rsidRPr="006E66A0" w:rsidRDefault="006E66A0" w:rsidP="0080285E">
            <w:pPr>
              <w:rPr>
                <w:rFonts w:ascii="Arial" w:hAnsi="Arial" w:cs="Arial"/>
                <w:sz w:val="20"/>
                <w:szCs w:val="20"/>
              </w:rPr>
            </w:pPr>
            <w:r w:rsidRPr="006E66A0">
              <w:rPr>
                <w:rFonts w:ascii="Arial" w:hAnsi="Arial" w:cs="Arial"/>
                <w:sz w:val="20"/>
                <w:szCs w:val="20"/>
              </w:rPr>
              <w:t>25</w:t>
            </w:r>
          </w:p>
        </w:tc>
      </w:tr>
      <w:tr w:rsidR="006E66A0" w:rsidRPr="006E66A0" w14:paraId="24A5F70B" w14:textId="77777777" w:rsidTr="0080285E">
        <w:tc>
          <w:tcPr>
            <w:tcW w:w="1984" w:type="dxa"/>
          </w:tcPr>
          <w:p w14:paraId="6E8B4E05" w14:textId="3BF7D05A" w:rsidR="006E66A0" w:rsidRPr="006E66A0" w:rsidRDefault="006E66A0" w:rsidP="0080285E">
            <w:pPr>
              <w:rPr>
                <w:rFonts w:ascii="Arial" w:hAnsi="Arial" w:cs="Arial"/>
                <w:sz w:val="20"/>
                <w:szCs w:val="20"/>
              </w:rPr>
            </w:pPr>
            <w:r w:rsidRPr="006E66A0">
              <w:rPr>
                <w:rFonts w:ascii="Arial" w:hAnsi="Arial" w:cs="Arial"/>
                <w:sz w:val="20"/>
                <w:szCs w:val="20"/>
              </w:rPr>
              <w:t>S</w:t>
            </w:r>
            <w:r w:rsidR="00CE4D42">
              <w:rPr>
                <w:rFonts w:ascii="Arial" w:hAnsi="Arial" w:cs="Arial"/>
                <w:sz w:val="20"/>
                <w:szCs w:val="20"/>
              </w:rPr>
              <w:t xml:space="preserve">coping </w:t>
            </w:r>
            <w:r w:rsidR="00BA5D92">
              <w:rPr>
                <w:rFonts w:ascii="Arial" w:hAnsi="Arial" w:cs="Arial"/>
                <w:sz w:val="20"/>
                <w:szCs w:val="20"/>
              </w:rPr>
              <w:t>r</w:t>
            </w:r>
            <w:r w:rsidR="00CE4D42">
              <w:rPr>
                <w:rFonts w:ascii="Arial" w:hAnsi="Arial" w:cs="Arial"/>
                <w:sz w:val="20"/>
                <w:szCs w:val="20"/>
              </w:rPr>
              <w:t>eview</w:t>
            </w:r>
            <w:r w:rsidRPr="006E66A0">
              <w:rPr>
                <w:rFonts w:ascii="Arial" w:hAnsi="Arial" w:cs="Arial"/>
                <w:sz w:val="20"/>
                <w:szCs w:val="20"/>
              </w:rPr>
              <w:t xml:space="preserve"> 2</w:t>
            </w:r>
          </w:p>
        </w:tc>
        <w:tc>
          <w:tcPr>
            <w:tcW w:w="3256" w:type="dxa"/>
          </w:tcPr>
          <w:p w14:paraId="713CFBF1" w14:textId="77777777" w:rsidR="006E66A0" w:rsidRPr="006E66A0" w:rsidRDefault="006E66A0" w:rsidP="0080285E">
            <w:pPr>
              <w:rPr>
                <w:rFonts w:ascii="Arial" w:hAnsi="Arial" w:cs="Arial"/>
                <w:sz w:val="20"/>
                <w:szCs w:val="20"/>
              </w:rPr>
            </w:pPr>
            <w:r w:rsidRPr="006E66A0">
              <w:rPr>
                <w:rFonts w:ascii="Arial" w:hAnsi="Arial" w:cs="Arial"/>
                <w:sz w:val="20"/>
                <w:szCs w:val="20"/>
              </w:rPr>
              <w:t>renewable AND job</w:t>
            </w:r>
          </w:p>
        </w:tc>
        <w:tc>
          <w:tcPr>
            <w:tcW w:w="1701" w:type="dxa"/>
          </w:tcPr>
          <w:p w14:paraId="4B9A3C91" w14:textId="77777777" w:rsidR="006E66A0" w:rsidRPr="006E66A0" w:rsidRDefault="006E66A0" w:rsidP="0080285E">
            <w:pPr>
              <w:rPr>
                <w:rFonts w:ascii="Arial" w:hAnsi="Arial" w:cs="Arial"/>
                <w:sz w:val="20"/>
                <w:szCs w:val="20"/>
              </w:rPr>
            </w:pPr>
            <w:r w:rsidRPr="006E66A0">
              <w:rPr>
                <w:rFonts w:ascii="Arial" w:hAnsi="Arial" w:cs="Arial"/>
                <w:sz w:val="20"/>
                <w:szCs w:val="20"/>
              </w:rPr>
              <w:t>ScienceDirect</w:t>
            </w:r>
          </w:p>
          <w:tbl>
            <w:tblPr>
              <w:tblW w:w="1540" w:type="dxa"/>
              <w:tblLayout w:type="fixed"/>
              <w:tblLook w:val="04A0" w:firstRow="1" w:lastRow="0" w:firstColumn="1" w:lastColumn="0" w:noHBand="0" w:noVBand="1"/>
            </w:tblPr>
            <w:tblGrid>
              <w:gridCol w:w="1540"/>
            </w:tblGrid>
            <w:tr w:rsidR="006E66A0" w:rsidRPr="006E66A0" w14:paraId="1A3DD4E6" w14:textId="77777777" w:rsidTr="0080285E">
              <w:trPr>
                <w:trHeight w:val="290"/>
              </w:trPr>
              <w:tc>
                <w:tcPr>
                  <w:tcW w:w="1540" w:type="dxa"/>
                  <w:tcBorders>
                    <w:top w:val="nil"/>
                    <w:left w:val="nil"/>
                    <w:bottom w:val="nil"/>
                    <w:right w:val="nil"/>
                  </w:tcBorders>
                  <w:shd w:val="clear" w:color="auto" w:fill="auto"/>
                  <w:vAlign w:val="bottom"/>
                  <w:hideMark/>
                </w:tcPr>
                <w:p w14:paraId="771275CB" w14:textId="77777777" w:rsidR="006E66A0" w:rsidRPr="006E66A0" w:rsidRDefault="006E66A0" w:rsidP="0080285E">
                  <w:pPr>
                    <w:spacing w:after="0" w:line="240" w:lineRule="auto"/>
                    <w:rPr>
                      <w:rFonts w:ascii="Arial" w:eastAsia="Times New Roman" w:hAnsi="Arial" w:cs="Arial"/>
                      <w:color w:val="000000"/>
                      <w:sz w:val="20"/>
                      <w:szCs w:val="20"/>
                      <w:lang w:eastAsia="en-GB"/>
                    </w:rPr>
                  </w:pPr>
                </w:p>
              </w:tc>
            </w:tr>
          </w:tbl>
          <w:p w14:paraId="511D419D" w14:textId="77777777" w:rsidR="006E66A0" w:rsidRPr="006E66A0" w:rsidRDefault="006E66A0" w:rsidP="0080285E">
            <w:pPr>
              <w:rPr>
                <w:rFonts w:ascii="Arial" w:hAnsi="Arial" w:cs="Arial"/>
                <w:sz w:val="20"/>
                <w:szCs w:val="20"/>
              </w:rPr>
            </w:pPr>
          </w:p>
        </w:tc>
        <w:tc>
          <w:tcPr>
            <w:tcW w:w="1985" w:type="dxa"/>
          </w:tcPr>
          <w:p w14:paraId="6A6AF781" w14:textId="77777777" w:rsidR="006E66A0" w:rsidRPr="006E66A0" w:rsidRDefault="006E66A0" w:rsidP="0080285E">
            <w:pPr>
              <w:rPr>
                <w:rFonts w:ascii="Arial" w:hAnsi="Arial" w:cs="Arial"/>
                <w:sz w:val="20"/>
                <w:szCs w:val="20"/>
              </w:rPr>
            </w:pPr>
            <w:r w:rsidRPr="006E66A0">
              <w:rPr>
                <w:rFonts w:ascii="Arial" w:hAnsi="Arial" w:cs="Arial"/>
                <w:sz w:val="20"/>
                <w:szCs w:val="20"/>
              </w:rPr>
              <w:t>25</w:t>
            </w:r>
          </w:p>
        </w:tc>
      </w:tr>
      <w:tr w:rsidR="006E66A0" w:rsidRPr="006E66A0" w14:paraId="060805FF" w14:textId="77777777" w:rsidTr="0080285E">
        <w:tc>
          <w:tcPr>
            <w:tcW w:w="1984" w:type="dxa"/>
          </w:tcPr>
          <w:p w14:paraId="0E03190C" w14:textId="15963315" w:rsidR="006E66A0" w:rsidRPr="006E66A0" w:rsidRDefault="006E66A0" w:rsidP="0080285E">
            <w:pPr>
              <w:rPr>
                <w:rFonts w:ascii="Arial" w:hAnsi="Arial" w:cs="Arial"/>
                <w:sz w:val="20"/>
                <w:szCs w:val="20"/>
              </w:rPr>
            </w:pPr>
            <w:r w:rsidRPr="006E66A0">
              <w:rPr>
                <w:rFonts w:ascii="Arial" w:hAnsi="Arial" w:cs="Arial"/>
                <w:sz w:val="20"/>
                <w:szCs w:val="20"/>
              </w:rPr>
              <w:t>S</w:t>
            </w:r>
            <w:r w:rsidR="00CE4D42">
              <w:rPr>
                <w:rFonts w:ascii="Arial" w:hAnsi="Arial" w:cs="Arial"/>
                <w:sz w:val="20"/>
                <w:szCs w:val="20"/>
              </w:rPr>
              <w:t xml:space="preserve">coping </w:t>
            </w:r>
            <w:r w:rsidR="00BA5D92">
              <w:rPr>
                <w:rFonts w:ascii="Arial" w:hAnsi="Arial" w:cs="Arial"/>
                <w:sz w:val="20"/>
                <w:szCs w:val="20"/>
              </w:rPr>
              <w:t>r</w:t>
            </w:r>
            <w:r w:rsidR="00CE4D42">
              <w:rPr>
                <w:rFonts w:ascii="Arial" w:hAnsi="Arial" w:cs="Arial"/>
                <w:sz w:val="20"/>
                <w:szCs w:val="20"/>
              </w:rPr>
              <w:t>eview</w:t>
            </w:r>
            <w:r w:rsidRPr="006E66A0">
              <w:rPr>
                <w:rFonts w:ascii="Arial" w:hAnsi="Arial" w:cs="Arial"/>
                <w:sz w:val="20"/>
                <w:szCs w:val="20"/>
              </w:rPr>
              <w:t xml:space="preserve"> 3</w:t>
            </w:r>
          </w:p>
        </w:tc>
        <w:tc>
          <w:tcPr>
            <w:tcW w:w="3256" w:type="dxa"/>
          </w:tcPr>
          <w:p w14:paraId="27E48FBE" w14:textId="77777777" w:rsidR="006E66A0" w:rsidRPr="006E66A0" w:rsidRDefault="006E66A0" w:rsidP="0080285E">
            <w:pPr>
              <w:rPr>
                <w:rFonts w:ascii="Arial" w:hAnsi="Arial" w:cs="Arial"/>
                <w:sz w:val="20"/>
                <w:szCs w:val="20"/>
              </w:rPr>
            </w:pPr>
            <w:r w:rsidRPr="006E66A0">
              <w:rPr>
                <w:rFonts w:ascii="Arial" w:hAnsi="Arial" w:cs="Arial"/>
                <w:sz w:val="20"/>
                <w:szCs w:val="20"/>
              </w:rPr>
              <w:t>"</w:t>
            </w:r>
            <w:proofErr w:type="gramStart"/>
            <w:r w:rsidRPr="006E66A0">
              <w:rPr>
                <w:rFonts w:ascii="Arial" w:hAnsi="Arial" w:cs="Arial"/>
                <w:sz w:val="20"/>
                <w:szCs w:val="20"/>
              </w:rPr>
              <w:t>green</w:t>
            </w:r>
            <w:proofErr w:type="gramEnd"/>
            <w:r w:rsidRPr="006E66A0">
              <w:rPr>
                <w:rFonts w:ascii="Arial" w:hAnsi="Arial" w:cs="Arial"/>
                <w:sz w:val="20"/>
                <w:szCs w:val="20"/>
              </w:rPr>
              <w:t xml:space="preserve"> job" energy</w:t>
            </w:r>
          </w:p>
        </w:tc>
        <w:tc>
          <w:tcPr>
            <w:tcW w:w="1701" w:type="dxa"/>
          </w:tcPr>
          <w:p w14:paraId="066B3036" w14:textId="77777777" w:rsidR="006E66A0" w:rsidRPr="006E66A0" w:rsidRDefault="006E66A0" w:rsidP="0080285E">
            <w:pPr>
              <w:rPr>
                <w:rFonts w:ascii="Arial" w:hAnsi="Arial" w:cs="Arial"/>
                <w:sz w:val="20"/>
                <w:szCs w:val="20"/>
              </w:rPr>
            </w:pPr>
            <w:r w:rsidRPr="006E66A0">
              <w:rPr>
                <w:rFonts w:ascii="Arial" w:eastAsia="Times New Roman" w:hAnsi="Arial" w:cs="Arial"/>
                <w:color w:val="000000"/>
                <w:sz w:val="20"/>
                <w:szCs w:val="20"/>
                <w:lang w:eastAsia="en-GB"/>
              </w:rPr>
              <w:t>Google Scholar</w:t>
            </w:r>
          </w:p>
        </w:tc>
        <w:tc>
          <w:tcPr>
            <w:tcW w:w="1985" w:type="dxa"/>
          </w:tcPr>
          <w:p w14:paraId="59254655" w14:textId="77777777" w:rsidR="006E66A0" w:rsidRPr="006E66A0" w:rsidRDefault="006E66A0" w:rsidP="0080285E">
            <w:pPr>
              <w:rPr>
                <w:rFonts w:ascii="Arial" w:eastAsia="Times New Roman" w:hAnsi="Arial" w:cs="Arial"/>
                <w:color w:val="000000"/>
                <w:sz w:val="20"/>
                <w:szCs w:val="20"/>
                <w:lang w:eastAsia="en-GB"/>
              </w:rPr>
            </w:pPr>
            <w:r w:rsidRPr="006E66A0">
              <w:rPr>
                <w:rFonts w:ascii="Arial" w:eastAsia="Times New Roman" w:hAnsi="Arial" w:cs="Arial"/>
                <w:color w:val="000000"/>
                <w:sz w:val="20"/>
                <w:szCs w:val="20"/>
                <w:lang w:eastAsia="en-GB"/>
              </w:rPr>
              <w:t>25</w:t>
            </w:r>
          </w:p>
        </w:tc>
      </w:tr>
      <w:tr w:rsidR="006E66A0" w:rsidRPr="006E66A0" w14:paraId="6EA9987B" w14:textId="77777777" w:rsidTr="0080285E">
        <w:tc>
          <w:tcPr>
            <w:tcW w:w="1984" w:type="dxa"/>
          </w:tcPr>
          <w:p w14:paraId="7CDAB650" w14:textId="31639207" w:rsidR="006E66A0" w:rsidRPr="006E66A0" w:rsidRDefault="006E66A0" w:rsidP="0080285E">
            <w:pPr>
              <w:rPr>
                <w:rFonts w:ascii="Arial" w:hAnsi="Arial" w:cs="Arial"/>
                <w:sz w:val="20"/>
                <w:szCs w:val="20"/>
              </w:rPr>
            </w:pPr>
            <w:r w:rsidRPr="006E66A0">
              <w:rPr>
                <w:rFonts w:ascii="Arial" w:hAnsi="Arial" w:cs="Arial"/>
                <w:sz w:val="20"/>
                <w:szCs w:val="20"/>
              </w:rPr>
              <w:t>S</w:t>
            </w:r>
            <w:r w:rsidR="00CE4D42">
              <w:rPr>
                <w:rFonts w:ascii="Arial" w:hAnsi="Arial" w:cs="Arial"/>
                <w:sz w:val="20"/>
                <w:szCs w:val="20"/>
              </w:rPr>
              <w:t xml:space="preserve">coping </w:t>
            </w:r>
            <w:r w:rsidR="00BA5D92">
              <w:rPr>
                <w:rFonts w:ascii="Arial" w:hAnsi="Arial" w:cs="Arial"/>
                <w:sz w:val="20"/>
                <w:szCs w:val="20"/>
              </w:rPr>
              <w:t>r</w:t>
            </w:r>
            <w:r w:rsidR="00CE4D42">
              <w:rPr>
                <w:rFonts w:ascii="Arial" w:hAnsi="Arial" w:cs="Arial"/>
                <w:sz w:val="20"/>
                <w:szCs w:val="20"/>
              </w:rPr>
              <w:t>eview</w:t>
            </w:r>
            <w:r w:rsidRPr="006E66A0">
              <w:rPr>
                <w:rFonts w:ascii="Arial" w:hAnsi="Arial" w:cs="Arial"/>
                <w:sz w:val="20"/>
                <w:szCs w:val="20"/>
              </w:rPr>
              <w:t xml:space="preserve"> 4</w:t>
            </w:r>
          </w:p>
        </w:tc>
        <w:tc>
          <w:tcPr>
            <w:tcW w:w="3256" w:type="dxa"/>
          </w:tcPr>
          <w:p w14:paraId="6D91217B" w14:textId="77777777" w:rsidR="006E66A0" w:rsidRPr="006E66A0" w:rsidRDefault="006E66A0" w:rsidP="0080285E">
            <w:pPr>
              <w:rPr>
                <w:rFonts w:ascii="Arial" w:hAnsi="Arial" w:cs="Arial"/>
                <w:sz w:val="20"/>
                <w:szCs w:val="20"/>
              </w:rPr>
            </w:pPr>
            <w:r w:rsidRPr="006E66A0">
              <w:rPr>
                <w:rFonts w:ascii="Arial" w:hAnsi="Arial" w:cs="Arial"/>
                <w:sz w:val="20"/>
                <w:szCs w:val="20"/>
              </w:rPr>
              <w:t>("green job" OR "low carbon job") (skill OR "supply chain" OR "net zero" OR "just transition" OR stimulus)</w:t>
            </w:r>
          </w:p>
        </w:tc>
        <w:tc>
          <w:tcPr>
            <w:tcW w:w="1701" w:type="dxa"/>
          </w:tcPr>
          <w:p w14:paraId="73BE66CA" w14:textId="77777777" w:rsidR="006E66A0" w:rsidRPr="006E66A0" w:rsidRDefault="006E66A0" w:rsidP="0080285E">
            <w:pPr>
              <w:rPr>
                <w:rFonts w:ascii="Arial" w:hAnsi="Arial" w:cs="Arial"/>
                <w:sz w:val="20"/>
                <w:szCs w:val="20"/>
              </w:rPr>
            </w:pPr>
            <w:r w:rsidRPr="006E66A0">
              <w:rPr>
                <w:rFonts w:ascii="Arial" w:hAnsi="Arial" w:cs="Arial"/>
                <w:sz w:val="20"/>
                <w:szCs w:val="20"/>
              </w:rPr>
              <w:t>Google Scholar</w:t>
            </w:r>
          </w:p>
        </w:tc>
        <w:tc>
          <w:tcPr>
            <w:tcW w:w="1985" w:type="dxa"/>
          </w:tcPr>
          <w:p w14:paraId="6A7A3E01" w14:textId="77777777" w:rsidR="006E66A0" w:rsidRPr="006E66A0" w:rsidRDefault="006E66A0" w:rsidP="0080285E">
            <w:pPr>
              <w:rPr>
                <w:rFonts w:ascii="Arial" w:hAnsi="Arial" w:cs="Arial"/>
                <w:sz w:val="20"/>
                <w:szCs w:val="20"/>
              </w:rPr>
            </w:pPr>
            <w:r w:rsidRPr="006E66A0">
              <w:rPr>
                <w:rFonts w:ascii="Arial" w:hAnsi="Arial" w:cs="Arial"/>
                <w:sz w:val="20"/>
                <w:szCs w:val="20"/>
              </w:rPr>
              <w:t>25</w:t>
            </w:r>
          </w:p>
        </w:tc>
      </w:tr>
      <w:tr w:rsidR="006E66A0" w:rsidRPr="006E66A0" w14:paraId="308A329D" w14:textId="77777777" w:rsidTr="0080285E">
        <w:tc>
          <w:tcPr>
            <w:tcW w:w="1984" w:type="dxa"/>
          </w:tcPr>
          <w:p w14:paraId="7B4BAB01" w14:textId="36A87842" w:rsidR="006E66A0" w:rsidRPr="006E66A0" w:rsidRDefault="006E66A0" w:rsidP="0080285E">
            <w:pPr>
              <w:rPr>
                <w:rFonts w:ascii="Arial" w:hAnsi="Arial" w:cs="Arial"/>
                <w:sz w:val="20"/>
                <w:szCs w:val="20"/>
              </w:rPr>
            </w:pPr>
            <w:r w:rsidRPr="006E66A0">
              <w:rPr>
                <w:rFonts w:ascii="Arial" w:hAnsi="Arial" w:cs="Arial"/>
                <w:sz w:val="20"/>
                <w:szCs w:val="20"/>
              </w:rPr>
              <w:t>S</w:t>
            </w:r>
            <w:r w:rsidR="00CE4D42">
              <w:rPr>
                <w:rFonts w:ascii="Arial" w:hAnsi="Arial" w:cs="Arial"/>
                <w:sz w:val="20"/>
                <w:szCs w:val="20"/>
              </w:rPr>
              <w:t xml:space="preserve">coping </w:t>
            </w:r>
            <w:r w:rsidR="00BA5D92">
              <w:rPr>
                <w:rFonts w:ascii="Arial" w:hAnsi="Arial" w:cs="Arial"/>
                <w:sz w:val="20"/>
                <w:szCs w:val="20"/>
              </w:rPr>
              <w:t>r</w:t>
            </w:r>
            <w:r w:rsidR="00CE4D42">
              <w:rPr>
                <w:rFonts w:ascii="Arial" w:hAnsi="Arial" w:cs="Arial"/>
                <w:sz w:val="20"/>
                <w:szCs w:val="20"/>
              </w:rPr>
              <w:t>eview</w:t>
            </w:r>
            <w:r w:rsidRPr="006E66A0">
              <w:rPr>
                <w:rFonts w:ascii="Arial" w:hAnsi="Arial" w:cs="Arial"/>
                <w:sz w:val="20"/>
                <w:szCs w:val="20"/>
              </w:rPr>
              <w:t xml:space="preserve"> 5</w:t>
            </w:r>
          </w:p>
        </w:tc>
        <w:tc>
          <w:tcPr>
            <w:tcW w:w="3256" w:type="dxa"/>
          </w:tcPr>
          <w:p w14:paraId="20EC3D2D" w14:textId="77777777" w:rsidR="006E66A0" w:rsidRPr="006E66A0" w:rsidRDefault="006E66A0" w:rsidP="0080285E">
            <w:pPr>
              <w:rPr>
                <w:rFonts w:ascii="Arial" w:hAnsi="Arial" w:cs="Arial"/>
                <w:sz w:val="20"/>
                <w:szCs w:val="20"/>
              </w:rPr>
            </w:pPr>
            <w:r w:rsidRPr="006E66A0">
              <w:rPr>
                <w:rFonts w:ascii="Arial" w:hAnsi="Arial" w:cs="Arial"/>
                <w:sz w:val="20"/>
                <w:szCs w:val="20"/>
              </w:rPr>
              <w:t>Manually identified documents</w:t>
            </w:r>
          </w:p>
        </w:tc>
        <w:tc>
          <w:tcPr>
            <w:tcW w:w="1701" w:type="dxa"/>
          </w:tcPr>
          <w:p w14:paraId="21F3ABE9" w14:textId="77777777" w:rsidR="006E66A0" w:rsidRPr="006E66A0" w:rsidRDefault="006E66A0" w:rsidP="0080285E">
            <w:pPr>
              <w:rPr>
                <w:rFonts w:ascii="Arial" w:hAnsi="Arial" w:cs="Arial"/>
                <w:sz w:val="20"/>
                <w:szCs w:val="20"/>
              </w:rPr>
            </w:pPr>
            <w:r w:rsidRPr="006E66A0">
              <w:rPr>
                <w:rFonts w:ascii="Arial" w:hAnsi="Arial" w:cs="Arial"/>
                <w:sz w:val="20"/>
                <w:szCs w:val="20"/>
              </w:rPr>
              <w:t>N/A</w:t>
            </w:r>
          </w:p>
        </w:tc>
        <w:tc>
          <w:tcPr>
            <w:tcW w:w="1985" w:type="dxa"/>
          </w:tcPr>
          <w:p w14:paraId="1C16C4D7" w14:textId="77777777" w:rsidR="006E66A0" w:rsidRPr="006E66A0" w:rsidRDefault="006E66A0" w:rsidP="0080285E">
            <w:pPr>
              <w:rPr>
                <w:rFonts w:ascii="Arial" w:hAnsi="Arial" w:cs="Arial"/>
                <w:sz w:val="20"/>
                <w:szCs w:val="20"/>
              </w:rPr>
            </w:pPr>
            <w:r w:rsidRPr="006E66A0">
              <w:rPr>
                <w:rFonts w:ascii="Arial" w:hAnsi="Arial" w:cs="Arial"/>
                <w:sz w:val="20"/>
                <w:szCs w:val="20"/>
              </w:rPr>
              <w:t>19</w:t>
            </w:r>
          </w:p>
        </w:tc>
      </w:tr>
      <w:tr w:rsidR="006E66A0" w:rsidRPr="006E66A0" w14:paraId="5E290041" w14:textId="77777777" w:rsidTr="0080285E">
        <w:tc>
          <w:tcPr>
            <w:tcW w:w="1984" w:type="dxa"/>
          </w:tcPr>
          <w:p w14:paraId="40C487F4" w14:textId="24249291" w:rsidR="006E66A0" w:rsidRPr="006E66A0" w:rsidRDefault="00CE4D42" w:rsidP="0080285E">
            <w:pPr>
              <w:rPr>
                <w:rFonts w:ascii="Arial" w:hAnsi="Arial" w:cs="Arial"/>
                <w:sz w:val="20"/>
                <w:szCs w:val="20"/>
              </w:rPr>
            </w:pPr>
            <w:r>
              <w:rPr>
                <w:rFonts w:ascii="Arial" w:hAnsi="Arial" w:cs="Arial"/>
                <w:sz w:val="20"/>
                <w:szCs w:val="20"/>
              </w:rPr>
              <w:t xml:space="preserve">Systematic </w:t>
            </w:r>
            <w:r w:rsidR="00BA5D92">
              <w:rPr>
                <w:rFonts w:ascii="Arial" w:hAnsi="Arial" w:cs="Arial"/>
                <w:sz w:val="20"/>
                <w:szCs w:val="20"/>
              </w:rPr>
              <w:t>r</w:t>
            </w:r>
            <w:r>
              <w:rPr>
                <w:rFonts w:ascii="Arial" w:hAnsi="Arial" w:cs="Arial"/>
                <w:sz w:val="20"/>
                <w:szCs w:val="20"/>
              </w:rPr>
              <w:t>eview</w:t>
            </w:r>
            <w:r w:rsidR="006E66A0" w:rsidRPr="006E66A0">
              <w:rPr>
                <w:rFonts w:ascii="Arial" w:hAnsi="Arial" w:cs="Arial"/>
                <w:sz w:val="20"/>
                <w:szCs w:val="20"/>
              </w:rPr>
              <w:t xml:space="preserve"> 1</w:t>
            </w:r>
          </w:p>
        </w:tc>
        <w:tc>
          <w:tcPr>
            <w:tcW w:w="3256" w:type="dxa"/>
          </w:tcPr>
          <w:p w14:paraId="4EA06A17" w14:textId="77777777" w:rsidR="006E66A0" w:rsidRPr="006E66A0" w:rsidRDefault="006E66A0" w:rsidP="0080285E">
            <w:pPr>
              <w:rPr>
                <w:rFonts w:ascii="Arial" w:hAnsi="Arial" w:cs="Arial"/>
                <w:color w:val="000000"/>
                <w:sz w:val="20"/>
                <w:szCs w:val="20"/>
              </w:rPr>
            </w:pPr>
            <w:r w:rsidRPr="006E66A0">
              <w:rPr>
                <w:rFonts w:ascii="Arial" w:hAnsi="Arial" w:cs="Arial"/>
                <w:color w:val="000000"/>
                <w:sz w:val="20"/>
                <w:szCs w:val="20"/>
              </w:rPr>
              <w:t>(job OR employment OR "job creation" OR "employment creation" green OR renewable OR energy OR "low carbon") (jobs/MW OR jobs/GW OR direct OR indirect OR induced OR multiplier OR "employment factor")</w:t>
            </w:r>
          </w:p>
        </w:tc>
        <w:tc>
          <w:tcPr>
            <w:tcW w:w="1701" w:type="dxa"/>
          </w:tcPr>
          <w:p w14:paraId="7B12D502" w14:textId="77777777" w:rsidR="006E66A0" w:rsidRPr="006E66A0" w:rsidRDefault="006E66A0" w:rsidP="0080285E">
            <w:pPr>
              <w:rPr>
                <w:rFonts w:ascii="Arial" w:hAnsi="Arial" w:cs="Arial"/>
                <w:sz w:val="20"/>
                <w:szCs w:val="20"/>
              </w:rPr>
            </w:pPr>
            <w:r w:rsidRPr="006E66A0">
              <w:rPr>
                <w:rFonts w:ascii="Arial" w:hAnsi="Arial" w:cs="Arial"/>
                <w:sz w:val="20"/>
                <w:szCs w:val="20"/>
              </w:rPr>
              <w:t>Google Scholar</w:t>
            </w:r>
          </w:p>
        </w:tc>
        <w:tc>
          <w:tcPr>
            <w:tcW w:w="1985" w:type="dxa"/>
          </w:tcPr>
          <w:p w14:paraId="1C82BA12" w14:textId="77777777" w:rsidR="006E66A0" w:rsidRPr="006E66A0" w:rsidRDefault="006E66A0" w:rsidP="0080285E">
            <w:pPr>
              <w:rPr>
                <w:rFonts w:ascii="Arial" w:hAnsi="Arial" w:cs="Arial"/>
                <w:sz w:val="20"/>
                <w:szCs w:val="20"/>
              </w:rPr>
            </w:pPr>
            <w:r w:rsidRPr="006E66A0">
              <w:rPr>
                <w:rFonts w:ascii="Arial" w:hAnsi="Arial" w:cs="Arial"/>
                <w:sz w:val="20"/>
                <w:szCs w:val="20"/>
              </w:rPr>
              <w:t>60</w:t>
            </w:r>
          </w:p>
        </w:tc>
      </w:tr>
      <w:tr w:rsidR="006E66A0" w:rsidRPr="006E66A0" w14:paraId="5215406A" w14:textId="77777777" w:rsidTr="0080285E">
        <w:tc>
          <w:tcPr>
            <w:tcW w:w="1984" w:type="dxa"/>
          </w:tcPr>
          <w:p w14:paraId="65FBB4E6" w14:textId="64D31A86" w:rsidR="006E66A0" w:rsidRPr="006E66A0" w:rsidRDefault="00CE4D42" w:rsidP="0080285E">
            <w:pPr>
              <w:rPr>
                <w:rFonts w:ascii="Arial" w:hAnsi="Arial" w:cs="Arial"/>
                <w:sz w:val="20"/>
                <w:szCs w:val="20"/>
              </w:rPr>
            </w:pPr>
            <w:r>
              <w:rPr>
                <w:rFonts w:ascii="Arial" w:hAnsi="Arial" w:cs="Arial"/>
                <w:sz w:val="20"/>
                <w:szCs w:val="20"/>
              </w:rPr>
              <w:t xml:space="preserve">Systematic </w:t>
            </w:r>
            <w:r w:rsidR="00BA5D92">
              <w:rPr>
                <w:rFonts w:ascii="Arial" w:hAnsi="Arial" w:cs="Arial"/>
                <w:sz w:val="20"/>
                <w:szCs w:val="20"/>
              </w:rPr>
              <w:t>r</w:t>
            </w:r>
            <w:r>
              <w:rPr>
                <w:rFonts w:ascii="Arial" w:hAnsi="Arial" w:cs="Arial"/>
                <w:sz w:val="20"/>
                <w:szCs w:val="20"/>
              </w:rPr>
              <w:t>eview</w:t>
            </w:r>
            <w:r w:rsidR="006E66A0" w:rsidRPr="006E66A0">
              <w:rPr>
                <w:rFonts w:ascii="Arial" w:hAnsi="Arial" w:cs="Arial"/>
                <w:sz w:val="20"/>
                <w:szCs w:val="20"/>
              </w:rPr>
              <w:t xml:space="preserve"> 2</w:t>
            </w:r>
          </w:p>
        </w:tc>
        <w:tc>
          <w:tcPr>
            <w:tcW w:w="3256" w:type="dxa"/>
          </w:tcPr>
          <w:p w14:paraId="0457BBFE" w14:textId="7E93A237" w:rsidR="006E66A0" w:rsidRPr="006E66A0" w:rsidRDefault="006E66A0" w:rsidP="0080285E">
            <w:pPr>
              <w:rPr>
                <w:rFonts w:ascii="Arial" w:hAnsi="Arial" w:cs="Arial"/>
                <w:color w:val="000000"/>
                <w:sz w:val="20"/>
                <w:szCs w:val="20"/>
              </w:rPr>
            </w:pPr>
            <w:r w:rsidRPr="006E66A0">
              <w:rPr>
                <w:rFonts w:ascii="Arial" w:hAnsi="Arial" w:cs="Arial"/>
                <w:color w:val="000000"/>
                <w:sz w:val="20"/>
                <w:szCs w:val="20"/>
              </w:rPr>
              <w:t>(job OR employment OR "job creation" OR "employment creation" green OR renewable OR energy OR "low carbon") (subsidy OR incentive OR stimulus OR policy OR invest OR spend OR CAPEX OR OPEX)</w:t>
            </w:r>
          </w:p>
        </w:tc>
        <w:tc>
          <w:tcPr>
            <w:tcW w:w="1701" w:type="dxa"/>
          </w:tcPr>
          <w:p w14:paraId="34D3A9FC" w14:textId="77777777" w:rsidR="006E66A0" w:rsidRPr="006E66A0" w:rsidRDefault="006E66A0" w:rsidP="0080285E">
            <w:pPr>
              <w:rPr>
                <w:rFonts w:ascii="Arial" w:hAnsi="Arial" w:cs="Arial"/>
                <w:sz w:val="20"/>
                <w:szCs w:val="20"/>
              </w:rPr>
            </w:pPr>
            <w:r w:rsidRPr="006E66A0">
              <w:rPr>
                <w:rFonts w:ascii="Arial" w:hAnsi="Arial" w:cs="Arial"/>
                <w:sz w:val="20"/>
                <w:szCs w:val="20"/>
              </w:rPr>
              <w:t>Google Scholar</w:t>
            </w:r>
          </w:p>
        </w:tc>
        <w:tc>
          <w:tcPr>
            <w:tcW w:w="1985" w:type="dxa"/>
          </w:tcPr>
          <w:p w14:paraId="372CF08E" w14:textId="77777777" w:rsidR="006E66A0" w:rsidRPr="006E66A0" w:rsidRDefault="006E66A0" w:rsidP="0080285E">
            <w:pPr>
              <w:rPr>
                <w:rFonts w:ascii="Arial" w:hAnsi="Arial" w:cs="Arial"/>
                <w:sz w:val="20"/>
                <w:szCs w:val="20"/>
              </w:rPr>
            </w:pPr>
            <w:r w:rsidRPr="006E66A0">
              <w:rPr>
                <w:rFonts w:ascii="Arial" w:hAnsi="Arial" w:cs="Arial"/>
                <w:sz w:val="20"/>
                <w:szCs w:val="20"/>
              </w:rPr>
              <w:t>60</w:t>
            </w:r>
          </w:p>
        </w:tc>
      </w:tr>
      <w:tr w:rsidR="006E66A0" w:rsidRPr="006E66A0" w14:paraId="554D0F27" w14:textId="77777777" w:rsidTr="0080285E">
        <w:tc>
          <w:tcPr>
            <w:tcW w:w="1984" w:type="dxa"/>
          </w:tcPr>
          <w:p w14:paraId="145511A1" w14:textId="45454A01" w:rsidR="006E66A0" w:rsidRPr="006E66A0" w:rsidRDefault="00CE4D42" w:rsidP="0080285E">
            <w:pPr>
              <w:rPr>
                <w:rFonts w:ascii="Arial" w:hAnsi="Arial" w:cs="Arial"/>
                <w:sz w:val="20"/>
                <w:szCs w:val="20"/>
              </w:rPr>
            </w:pPr>
            <w:r>
              <w:rPr>
                <w:rFonts w:ascii="Arial" w:hAnsi="Arial" w:cs="Arial"/>
                <w:sz w:val="20"/>
                <w:szCs w:val="20"/>
              </w:rPr>
              <w:t xml:space="preserve">Systematic </w:t>
            </w:r>
            <w:r w:rsidR="00BA5D92">
              <w:rPr>
                <w:rFonts w:ascii="Arial" w:hAnsi="Arial" w:cs="Arial"/>
                <w:sz w:val="20"/>
                <w:szCs w:val="20"/>
              </w:rPr>
              <w:t>r</w:t>
            </w:r>
            <w:r>
              <w:rPr>
                <w:rFonts w:ascii="Arial" w:hAnsi="Arial" w:cs="Arial"/>
                <w:sz w:val="20"/>
                <w:szCs w:val="20"/>
              </w:rPr>
              <w:t>eview</w:t>
            </w:r>
            <w:r w:rsidR="006E66A0" w:rsidRPr="006E66A0">
              <w:rPr>
                <w:rFonts w:ascii="Arial" w:hAnsi="Arial" w:cs="Arial"/>
                <w:sz w:val="20"/>
                <w:szCs w:val="20"/>
              </w:rPr>
              <w:t xml:space="preserve"> 3</w:t>
            </w:r>
          </w:p>
        </w:tc>
        <w:tc>
          <w:tcPr>
            <w:tcW w:w="3256" w:type="dxa"/>
          </w:tcPr>
          <w:p w14:paraId="1E920F47" w14:textId="77777777" w:rsidR="006E66A0" w:rsidRPr="006E66A0" w:rsidRDefault="006E66A0" w:rsidP="0080285E">
            <w:pPr>
              <w:rPr>
                <w:rFonts w:ascii="Arial" w:hAnsi="Arial" w:cs="Arial"/>
                <w:sz w:val="20"/>
                <w:szCs w:val="20"/>
              </w:rPr>
            </w:pPr>
            <w:r w:rsidRPr="006E66A0">
              <w:rPr>
                <w:rFonts w:ascii="Arial" w:hAnsi="Arial" w:cs="Arial"/>
                <w:sz w:val="20"/>
                <w:szCs w:val="20"/>
              </w:rPr>
              <w:t>(job OR employment OR "job creation" OR "employment creation" "natural gas" OR "shale gas" OR coal OR fossil OR nuclear) (jobs/MW OR jobs/GW OR direct OR indirect OR induced OR multiplier OR "employment factor")</w:t>
            </w:r>
          </w:p>
        </w:tc>
        <w:tc>
          <w:tcPr>
            <w:tcW w:w="1701" w:type="dxa"/>
          </w:tcPr>
          <w:p w14:paraId="6460DCB3" w14:textId="77777777" w:rsidR="006E66A0" w:rsidRPr="006E66A0" w:rsidRDefault="006E66A0" w:rsidP="0080285E">
            <w:pPr>
              <w:rPr>
                <w:rFonts w:ascii="Arial" w:hAnsi="Arial" w:cs="Arial"/>
                <w:sz w:val="20"/>
                <w:szCs w:val="20"/>
              </w:rPr>
            </w:pPr>
            <w:r w:rsidRPr="006E66A0">
              <w:rPr>
                <w:rFonts w:ascii="Arial" w:hAnsi="Arial" w:cs="Arial"/>
                <w:sz w:val="20"/>
                <w:szCs w:val="20"/>
              </w:rPr>
              <w:t>Google Scholar</w:t>
            </w:r>
          </w:p>
        </w:tc>
        <w:tc>
          <w:tcPr>
            <w:tcW w:w="1985" w:type="dxa"/>
          </w:tcPr>
          <w:p w14:paraId="72FFAAEC" w14:textId="77777777" w:rsidR="006E66A0" w:rsidRPr="006E66A0" w:rsidRDefault="006E66A0" w:rsidP="0080285E">
            <w:pPr>
              <w:rPr>
                <w:rFonts w:ascii="Arial" w:hAnsi="Arial" w:cs="Arial"/>
                <w:sz w:val="20"/>
                <w:szCs w:val="20"/>
              </w:rPr>
            </w:pPr>
            <w:r w:rsidRPr="006E66A0">
              <w:rPr>
                <w:rFonts w:ascii="Arial" w:hAnsi="Arial" w:cs="Arial"/>
                <w:sz w:val="20"/>
                <w:szCs w:val="20"/>
              </w:rPr>
              <w:t>60</w:t>
            </w:r>
          </w:p>
        </w:tc>
      </w:tr>
      <w:tr w:rsidR="006E66A0" w:rsidRPr="006E66A0" w14:paraId="4B7D1285" w14:textId="77777777" w:rsidTr="0080285E">
        <w:tc>
          <w:tcPr>
            <w:tcW w:w="1984" w:type="dxa"/>
          </w:tcPr>
          <w:p w14:paraId="084B28E8" w14:textId="1C4448AC" w:rsidR="006E66A0" w:rsidRPr="006E66A0" w:rsidRDefault="00CE4D42" w:rsidP="0080285E">
            <w:pPr>
              <w:rPr>
                <w:rFonts w:ascii="Arial" w:hAnsi="Arial" w:cs="Arial"/>
                <w:sz w:val="20"/>
                <w:szCs w:val="20"/>
              </w:rPr>
            </w:pPr>
            <w:r>
              <w:rPr>
                <w:rFonts w:ascii="Arial" w:hAnsi="Arial" w:cs="Arial"/>
                <w:sz w:val="20"/>
                <w:szCs w:val="20"/>
              </w:rPr>
              <w:t xml:space="preserve">Systematic </w:t>
            </w:r>
            <w:r w:rsidR="00BA5D92">
              <w:rPr>
                <w:rFonts w:ascii="Arial" w:hAnsi="Arial" w:cs="Arial"/>
                <w:sz w:val="20"/>
                <w:szCs w:val="20"/>
              </w:rPr>
              <w:t>r</w:t>
            </w:r>
            <w:r>
              <w:rPr>
                <w:rFonts w:ascii="Arial" w:hAnsi="Arial" w:cs="Arial"/>
                <w:sz w:val="20"/>
                <w:szCs w:val="20"/>
              </w:rPr>
              <w:t>eview</w:t>
            </w:r>
            <w:r w:rsidR="006E66A0" w:rsidRPr="006E66A0">
              <w:rPr>
                <w:rFonts w:ascii="Arial" w:hAnsi="Arial" w:cs="Arial"/>
                <w:sz w:val="20"/>
                <w:szCs w:val="20"/>
              </w:rPr>
              <w:t xml:space="preserve"> 4</w:t>
            </w:r>
          </w:p>
        </w:tc>
        <w:tc>
          <w:tcPr>
            <w:tcW w:w="3256" w:type="dxa"/>
          </w:tcPr>
          <w:p w14:paraId="466D08AC" w14:textId="77777777" w:rsidR="006E66A0" w:rsidRPr="006E66A0" w:rsidRDefault="006E66A0" w:rsidP="0080285E">
            <w:pPr>
              <w:rPr>
                <w:rFonts w:ascii="Arial" w:hAnsi="Arial" w:cs="Arial"/>
                <w:sz w:val="20"/>
                <w:szCs w:val="20"/>
              </w:rPr>
            </w:pPr>
            <w:r w:rsidRPr="006E66A0">
              <w:rPr>
                <w:rFonts w:ascii="Arial" w:hAnsi="Arial" w:cs="Arial"/>
                <w:sz w:val="20"/>
                <w:szCs w:val="20"/>
              </w:rPr>
              <w:t>("job creation" OR "employment creation" OR "employment factor" renewable OR "energy efficiency") (local OR regional OR location OR geography OR quality OR skill OR qualification OR "decent work")</w:t>
            </w:r>
          </w:p>
        </w:tc>
        <w:tc>
          <w:tcPr>
            <w:tcW w:w="1701" w:type="dxa"/>
          </w:tcPr>
          <w:p w14:paraId="5FF297C2" w14:textId="77777777" w:rsidR="006E66A0" w:rsidRPr="006E66A0" w:rsidRDefault="006E66A0" w:rsidP="0080285E">
            <w:pPr>
              <w:rPr>
                <w:rFonts w:ascii="Arial" w:hAnsi="Arial" w:cs="Arial"/>
                <w:sz w:val="20"/>
                <w:szCs w:val="20"/>
              </w:rPr>
            </w:pPr>
            <w:r w:rsidRPr="006E66A0">
              <w:rPr>
                <w:rFonts w:ascii="Arial" w:hAnsi="Arial" w:cs="Arial"/>
                <w:sz w:val="20"/>
                <w:szCs w:val="20"/>
              </w:rPr>
              <w:t>Google Scholar</w:t>
            </w:r>
          </w:p>
        </w:tc>
        <w:tc>
          <w:tcPr>
            <w:tcW w:w="1985" w:type="dxa"/>
          </w:tcPr>
          <w:p w14:paraId="78B4CF2E" w14:textId="77777777" w:rsidR="006E66A0" w:rsidRPr="006E66A0" w:rsidRDefault="006E66A0" w:rsidP="0080285E">
            <w:pPr>
              <w:rPr>
                <w:rFonts w:ascii="Arial" w:hAnsi="Arial" w:cs="Arial"/>
                <w:sz w:val="20"/>
                <w:szCs w:val="20"/>
              </w:rPr>
            </w:pPr>
            <w:r w:rsidRPr="006E66A0">
              <w:rPr>
                <w:rFonts w:ascii="Arial" w:hAnsi="Arial" w:cs="Arial"/>
                <w:sz w:val="20"/>
                <w:szCs w:val="20"/>
              </w:rPr>
              <w:t>60</w:t>
            </w:r>
          </w:p>
        </w:tc>
      </w:tr>
      <w:tr w:rsidR="006E66A0" w:rsidRPr="006E66A0" w14:paraId="72A4F6BD" w14:textId="77777777" w:rsidTr="0080285E">
        <w:tc>
          <w:tcPr>
            <w:tcW w:w="1984" w:type="dxa"/>
          </w:tcPr>
          <w:p w14:paraId="183C4712" w14:textId="010E6A3C" w:rsidR="006E66A0" w:rsidRPr="006E66A0" w:rsidRDefault="00CE4D42" w:rsidP="0080285E">
            <w:pPr>
              <w:rPr>
                <w:rFonts w:ascii="Arial" w:hAnsi="Arial" w:cs="Arial"/>
                <w:sz w:val="20"/>
                <w:szCs w:val="20"/>
              </w:rPr>
            </w:pPr>
            <w:r>
              <w:rPr>
                <w:rFonts w:ascii="Arial" w:hAnsi="Arial" w:cs="Arial"/>
                <w:sz w:val="20"/>
                <w:szCs w:val="20"/>
              </w:rPr>
              <w:t xml:space="preserve">Systematic </w:t>
            </w:r>
            <w:r w:rsidR="00BA5D92">
              <w:rPr>
                <w:rFonts w:ascii="Arial" w:hAnsi="Arial" w:cs="Arial"/>
                <w:sz w:val="20"/>
                <w:szCs w:val="20"/>
              </w:rPr>
              <w:t>r</w:t>
            </w:r>
            <w:r>
              <w:rPr>
                <w:rFonts w:ascii="Arial" w:hAnsi="Arial" w:cs="Arial"/>
                <w:sz w:val="20"/>
                <w:szCs w:val="20"/>
              </w:rPr>
              <w:t>eview</w:t>
            </w:r>
            <w:r w:rsidR="006E66A0" w:rsidRPr="006E66A0">
              <w:rPr>
                <w:rFonts w:ascii="Arial" w:hAnsi="Arial" w:cs="Arial"/>
                <w:sz w:val="20"/>
                <w:szCs w:val="20"/>
              </w:rPr>
              <w:t xml:space="preserve"> 5</w:t>
            </w:r>
          </w:p>
        </w:tc>
        <w:tc>
          <w:tcPr>
            <w:tcW w:w="3256" w:type="dxa"/>
          </w:tcPr>
          <w:p w14:paraId="5B7F2D58" w14:textId="77777777" w:rsidR="006E66A0" w:rsidRPr="006E66A0" w:rsidRDefault="006E66A0" w:rsidP="0080285E">
            <w:pPr>
              <w:rPr>
                <w:rFonts w:ascii="Arial" w:hAnsi="Arial" w:cs="Arial"/>
                <w:sz w:val="20"/>
                <w:szCs w:val="20"/>
              </w:rPr>
            </w:pPr>
            <w:r w:rsidRPr="006E66A0">
              <w:rPr>
                <w:rFonts w:ascii="Arial" w:hAnsi="Arial" w:cs="Arial"/>
                <w:sz w:val="20"/>
                <w:szCs w:val="20"/>
              </w:rPr>
              <w:t>((("job creation" OR "employment creation") AND (renewable OR energy OR "low carbon" OR "energy efficiency" OR "fossil fuel")) AND (quality OR skill)))</w:t>
            </w:r>
          </w:p>
        </w:tc>
        <w:tc>
          <w:tcPr>
            <w:tcW w:w="1701" w:type="dxa"/>
          </w:tcPr>
          <w:p w14:paraId="38FB5E76" w14:textId="77777777" w:rsidR="006E66A0" w:rsidRPr="006E66A0" w:rsidRDefault="006E66A0" w:rsidP="0080285E">
            <w:pPr>
              <w:rPr>
                <w:rFonts w:ascii="Arial" w:hAnsi="Arial" w:cs="Arial"/>
                <w:sz w:val="20"/>
                <w:szCs w:val="20"/>
              </w:rPr>
            </w:pPr>
            <w:r w:rsidRPr="006E66A0">
              <w:rPr>
                <w:rFonts w:ascii="Arial" w:hAnsi="Arial" w:cs="Arial"/>
                <w:sz w:val="20"/>
                <w:szCs w:val="20"/>
              </w:rPr>
              <w:t>ScienceDirect</w:t>
            </w:r>
          </w:p>
        </w:tc>
        <w:tc>
          <w:tcPr>
            <w:tcW w:w="1985" w:type="dxa"/>
          </w:tcPr>
          <w:p w14:paraId="1E63B860" w14:textId="77777777" w:rsidR="006E66A0" w:rsidRPr="006E66A0" w:rsidRDefault="006E66A0" w:rsidP="0080285E">
            <w:pPr>
              <w:rPr>
                <w:rFonts w:ascii="Arial" w:hAnsi="Arial" w:cs="Arial"/>
                <w:sz w:val="20"/>
                <w:szCs w:val="20"/>
              </w:rPr>
            </w:pPr>
            <w:r w:rsidRPr="006E66A0">
              <w:rPr>
                <w:rFonts w:ascii="Arial" w:hAnsi="Arial" w:cs="Arial"/>
                <w:sz w:val="20"/>
                <w:szCs w:val="20"/>
              </w:rPr>
              <w:t>60</w:t>
            </w:r>
          </w:p>
        </w:tc>
      </w:tr>
      <w:tr w:rsidR="006E66A0" w:rsidRPr="006E66A0" w14:paraId="203A536F" w14:textId="77777777" w:rsidTr="0080285E">
        <w:tc>
          <w:tcPr>
            <w:tcW w:w="1984" w:type="dxa"/>
          </w:tcPr>
          <w:p w14:paraId="3D9AB5E2" w14:textId="35DB0F3E" w:rsidR="006E66A0" w:rsidRPr="006E66A0" w:rsidRDefault="00CE4D42" w:rsidP="0080285E">
            <w:pPr>
              <w:rPr>
                <w:rFonts w:ascii="Arial" w:hAnsi="Arial" w:cs="Arial"/>
                <w:sz w:val="20"/>
                <w:szCs w:val="20"/>
              </w:rPr>
            </w:pPr>
            <w:r>
              <w:rPr>
                <w:rFonts w:ascii="Arial" w:hAnsi="Arial" w:cs="Arial"/>
                <w:sz w:val="20"/>
                <w:szCs w:val="20"/>
              </w:rPr>
              <w:t xml:space="preserve">Systematic </w:t>
            </w:r>
            <w:r w:rsidR="00BA5D92">
              <w:rPr>
                <w:rFonts w:ascii="Arial" w:hAnsi="Arial" w:cs="Arial"/>
                <w:sz w:val="20"/>
                <w:szCs w:val="20"/>
              </w:rPr>
              <w:t>r</w:t>
            </w:r>
            <w:r>
              <w:rPr>
                <w:rFonts w:ascii="Arial" w:hAnsi="Arial" w:cs="Arial"/>
                <w:sz w:val="20"/>
                <w:szCs w:val="20"/>
              </w:rPr>
              <w:t>eview</w:t>
            </w:r>
            <w:r w:rsidR="006E66A0" w:rsidRPr="006E66A0">
              <w:rPr>
                <w:rFonts w:ascii="Arial" w:hAnsi="Arial" w:cs="Arial"/>
                <w:sz w:val="20"/>
                <w:szCs w:val="20"/>
              </w:rPr>
              <w:t xml:space="preserve"> 6</w:t>
            </w:r>
          </w:p>
        </w:tc>
        <w:tc>
          <w:tcPr>
            <w:tcW w:w="3256" w:type="dxa"/>
          </w:tcPr>
          <w:p w14:paraId="73407770" w14:textId="77777777" w:rsidR="006E66A0" w:rsidRPr="006E66A0" w:rsidRDefault="006E66A0" w:rsidP="0080285E">
            <w:pPr>
              <w:rPr>
                <w:rFonts w:ascii="Arial" w:hAnsi="Arial" w:cs="Arial"/>
                <w:sz w:val="20"/>
                <w:szCs w:val="20"/>
              </w:rPr>
            </w:pPr>
            <w:r w:rsidRPr="006E66A0">
              <w:rPr>
                <w:rFonts w:ascii="Arial" w:hAnsi="Arial" w:cs="Arial"/>
                <w:sz w:val="20"/>
                <w:szCs w:val="20"/>
              </w:rPr>
              <w:t>((("job creation" OR "job destruction") AND (renewable OR energy OR "low carbon" OR "energy efficiency" OR "fossil fuel")) AND (regional OR national)))</w:t>
            </w:r>
          </w:p>
        </w:tc>
        <w:tc>
          <w:tcPr>
            <w:tcW w:w="1701" w:type="dxa"/>
          </w:tcPr>
          <w:p w14:paraId="0B3309D0" w14:textId="77777777" w:rsidR="006E66A0" w:rsidRPr="006E66A0" w:rsidRDefault="006E66A0" w:rsidP="0080285E">
            <w:pPr>
              <w:rPr>
                <w:rFonts w:ascii="Arial" w:hAnsi="Arial" w:cs="Arial"/>
                <w:sz w:val="20"/>
                <w:szCs w:val="20"/>
              </w:rPr>
            </w:pPr>
            <w:r w:rsidRPr="006E66A0">
              <w:rPr>
                <w:rFonts w:ascii="Arial" w:hAnsi="Arial" w:cs="Arial"/>
                <w:sz w:val="20"/>
                <w:szCs w:val="20"/>
              </w:rPr>
              <w:t>ScienceDirect</w:t>
            </w:r>
          </w:p>
          <w:tbl>
            <w:tblPr>
              <w:tblW w:w="1540" w:type="dxa"/>
              <w:tblLayout w:type="fixed"/>
              <w:tblLook w:val="04A0" w:firstRow="1" w:lastRow="0" w:firstColumn="1" w:lastColumn="0" w:noHBand="0" w:noVBand="1"/>
            </w:tblPr>
            <w:tblGrid>
              <w:gridCol w:w="1540"/>
            </w:tblGrid>
            <w:tr w:rsidR="006E66A0" w:rsidRPr="006E66A0" w14:paraId="2D9E5BFF" w14:textId="77777777" w:rsidTr="0080285E">
              <w:trPr>
                <w:trHeight w:val="290"/>
              </w:trPr>
              <w:tc>
                <w:tcPr>
                  <w:tcW w:w="1540" w:type="dxa"/>
                  <w:tcBorders>
                    <w:top w:val="nil"/>
                    <w:left w:val="nil"/>
                    <w:bottom w:val="nil"/>
                    <w:right w:val="nil"/>
                  </w:tcBorders>
                  <w:shd w:val="clear" w:color="auto" w:fill="auto"/>
                  <w:vAlign w:val="bottom"/>
                  <w:hideMark/>
                </w:tcPr>
                <w:p w14:paraId="400C296F" w14:textId="77777777" w:rsidR="006E66A0" w:rsidRPr="006E66A0" w:rsidRDefault="006E66A0" w:rsidP="0080285E">
                  <w:pPr>
                    <w:spacing w:after="0" w:line="240" w:lineRule="auto"/>
                    <w:rPr>
                      <w:rFonts w:ascii="Arial" w:eastAsia="Times New Roman" w:hAnsi="Arial" w:cs="Arial"/>
                      <w:color w:val="000000"/>
                      <w:sz w:val="20"/>
                      <w:szCs w:val="20"/>
                      <w:lang w:eastAsia="en-GB"/>
                    </w:rPr>
                  </w:pPr>
                </w:p>
              </w:tc>
            </w:tr>
          </w:tbl>
          <w:p w14:paraId="2F3C02DB" w14:textId="77777777" w:rsidR="006E66A0" w:rsidRPr="006E66A0" w:rsidRDefault="006E66A0" w:rsidP="0080285E">
            <w:pPr>
              <w:rPr>
                <w:rFonts w:ascii="Arial" w:hAnsi="Arial" w:cs="Arial"/>
                <w:sz w:val="20"/>
                <w:szCs w:val="20"/>
              </w:rPr>
            </w:pPr>
          </w:p>
        </w:tc>
        <w:tc>
          <w:tcPr>
            <w:tcW w:w="1985" w:type="dxa"/>
          </w:tcPr>
          <w:p w14:paraId="2C464E65" w14:textId="77777777" w:rsidR="006E66A0" w:rsidRPr="006E66A0" w:rsidRDefault="006E66A0" w:rsidP="0080285E">
            <w:pPr>
              <w:rPr>
                <w:rFonts w:ascii="Arial" w:hAnsi="Arial" w:cs="Arial"/>
                <w:sz w:val="20"/>
                <w:szCs w:val="20"/>
              </w:rPr>
            </w:pPr>
            <w:r w:rsidRPr="006E66A0">
              <w:rPr>
                <w:rFonts w:ascii="Arial" w:hAnsi="Arial" w:cs="Arial"/>
                <w:sz w:val="20"/>
                <w:szCs w:val="20"/>
              </w:rPr>
              <w:t>60</w:t>
            </w:r>
          </w:p>
        </w:tc>
      </w:tr>
      <w:tr w:rsidR="006E66A0" w:rsidRPr="006E66A0" w14:paraId="7B77C9AD" w14:textId="77777777" w:rsidTr="0080285E">
        <w:tc>
          <w:tcPr>
            <w:tcW w:w="1984" w:type="dxa"/>
          </w:tcPr>
          <w:p w14:paraId="789F7B86" w14:textId="68BCD9A3" w:rsidR="006E66A0" w:rsidRPr="006E66A0" w:rsidRDefault="00CE4D42" w:rsidP="0080285E">
            <w:pPr>
              <w:rPr>
                <w:rFonts w:ascii="Arial" w:hAnsi="Arial" w:cs="Arial"/>
                <w:sz w:val="20"/>
                <w:szCs w:val="20"/>
              </w:rPr>
            </w:pPr>
            <w:r>
              <w:rPr>
                <w:rFonts w:ascii="Arial" w:hAnsi="Arial" w:cs="Arial"/>
                <w:sz w:val="20"/>
                <w:szCs w:val="20"/>
              </w:rPr>
              <w:t xml:space="preserve">Systematic </w:t>
            </w:r>
            <w:r w:rsidR="00124B3F">
              <w:rPr>
                <w:rFonts w:ascii="Arial" w:hAnsi="Arial" w:cs="Arial"/>
                <w:sz w:val="20"/>
                <w:szCs w:val="20"/>
              </w:rPr>
              <w:t>r</w:t>
            </w:r>
            <w:r>
              <w:rPr>
                <w:rFonts w:ascii="Arial" w:hAnsi="Arial" w:cs="Arial"/>
                <w:sz w:val="20"/>
                <w:szCs w:val="20"/>
              </w:rPr>
              <w:t>eview</w:t>
            </w:r>
            <w:r w:rsidR="006E66A0" w:rsidRPr="006E66A0">
              <w:rPr>
                <w:rFonts w:ascii="Arial" w:hAnsi="Arial" w:cs="Arial"/>
                <w:sz w:val="20"/>
                <w:szCs w:val="20"/>
              </w:rPr>
              <w:t xml:space="preserve"> 7</w:t>
            </w:r>
          </w:p>
        </w:tc>
        <w:tc>
          <w:tcPr>
            <w:tcW w:w="3256" w:type="dxa"/>
          </w:tcPr>
          <w:p w14:paraId="1952B859" w14:textId="77777777" w:rsidR="006E66A0" w:rsidRPr="006E66A0" w:rsidRDefault="006E66A0" w:rsidP="0080285E">
            <w:pPr>
              <w:rPr>
                <w:rFonts w:ascii="Arial" w:hAnsi="Arial" w:cs="Arial"/>
                <w:sz w:val="20"/>
                <w:szCs w:val="20"/>
              </w:rPr>
            </w:pPr>
            <w:r w:rsidRPr="006E66A0">
              <w:rPr>
                <w:rFonts w:ascii="Arial" w:hAnsi="Arial" w:cs="Arial"/>
                <w:sz w:val="20"/>
                <w:szCs w:val="20"/>
              </w:rPr>
              <w:t>ALL</w:t>
            </w:r>
            <w:proofErr w:type="gramStart"/>
            <w:r w:rsidRPr="006E66A0">
              <w:rPr>
                <w:rFonts w:ascii="Arial" w:hAnsi="Arial" w:cs="Arial"/>
                <w:sz w:val="20"/>
                <w:szCs w:val="20"/>
              </w:rPr>
              <w:t>=(</w:t>
            </w:r>
            <w:proofErr w:type="gramEnd"/>
            <w:r w:rsidRPr="006E66A0">
              <w:rPr>
                <w:rFonts w:ascii="Arial" w:hAnsi="Arial" w:cs="Arial"/>
                <w:sz w:val="20"/>
                <w:szCs w:val="20"/>
              </w:rPr>
              <w:t>((net AND (job OR employment OR "job creation")) AND ("renewable energy" OR "energy efficiency" OR "low carbon" OR decarbonisation OR "climate change" OR "net zero" OR nuclear)))</w:t>
            </w:r>
          </w:p>
        </w:tc>
        <w:tc>
          <w:tcPr>
            <w:tcW w:w="1701" w:type="dxa"/>
          </w:tcPr>
          <w:p w14:paraId="1576DAC4" w14:textId="77777777" w:rsidR="006E66A0" w:rsidRPr="006E66A0" w:rsidRDefault="006E66A0" w:rsidP="0080285E">
            <w:pPr>
              <w:rPr>
                <w:rFonts w:ascii="Arial" w:hAnsi="Arial" w:cs="Arial"/>
                <w:sz w:val="20"/>
                <w:szCs w:val="20"/>
              </w:rPr>
            </w:pPr>
            <w:r w:rsidRPr="006E66A0">
              <w:rPr>
                <w:rFonts w:ascii="Arial" w:hAnsi="Arial" w:cs="Arial"/>
                <w:sz w:val="20"/>
                <w:szCs w:val="20"/>
              </w:rPr>
              <w:t>Web of Science</w:t>
            </w:r>
          </w:p>
        </w:tc>
        <w:tc>
          <w:tcPr>
            <w:tcW w:w="1985" w:type="dxa"/>
          </w:tcPr>
          <w:p w14:paraId="0BB36008" w14:textId="77777777" w:rsidR="006E66A0" w:rsidRPr="006E66A0" w:rsidRDefault="006E66A0" w:rsidP="0080285E">
            <w:pPr>
              <w:rPr>
                <w:rFonts w:ascii="Arial" w:hAnsi="Arial" w:cs="Arial"/>
                <w:sz w:val="20"/>
                <w:szCs w:val="20"/>
              </w:rPr>
            </w:pPr>
            <w:r w:rsidRPr="006E66A0">
              <w:rPr>
                <w:rFonts w:ascii="Arial" w:hAnsi="Arial" w:cs="Arial"/>
                <w:sz w:val="20"/>
                <w:szCs w:val="20"/>
              </w:rPr>
              <w:t>266</w:t>
            </w:r>
          </w:p>
        </w:tc>
      </w:tr>
      <w:tr w:rsidR="006E66A0" w:rsidRPr="006E66A0" w14:paraId="51B6B618" w14:textId="77777777" w:rsidTr="0080285E">
        <w:tc>
          <w:tcPr>
            <w:tcW w:w="1984" w:type="dxa"/>
          </w:tcPr>
          <w:p w14:paraId="3D80E995" w14:textId="1478DEE4" w:rsidR="006E66A0" w:rsidRPr="006E66A0" w:rsidRDefault="00CE4D42" w:rsidP="0080285E">
            <w:pPr>
              <w:rPr>
                <w:rFonts w:ascii="Arial" w:hAnsi="Arial" w:cs="Arial"/>
                <w:sz w:val="20"/>
                <w:szCs w:val="20"/>
              </w:rPr>
            </w:pPr>
            <w:r>
              <w:rPr>
                <w:rFonts w:ascii="Arial" w:hAnsi="Arial" w:cs="Arial"/>
                <w:sz w:val="20"/>
                <w:szCs w:val="20"/>
              </w:rPr>
              <w:t xml:space="preserve">Systematic </w:t>
            </w:r>
            <w:r w:rsidR="00124B3F">
              <w:rPr>
                <w:rFonts w:ascii="Arial" w:hAnsi="Arial" w:cs="Arial"/>
                <w:sz w:val="20"/>
                <w:szCs w:val="20"/>
              </w:rPr>
              <w:t>r</w:t>
            </w:r>
            <w:r>
              <w:rPr>
                <w:rFonts w:ascii="Arial" w:hAnsi="Arial" w:cs="Arial"/>
                <w:sz w:val="20"/>
                <w:szCs w:val="20"/>
              </w:rPr>
              <w:t>eview</w:t>
            </w:r>
            <w:r w:rsidR="006E66A0" w:rsidRPr="006E66A0">
              <w:rPr>
                <w:rFonts w:ascii="Arial" w:hAnsi="Arial" w:cs="Arial"/>
                <w:sz w:val="20"/>
                <w:szCs w:val="20"/>
              </w:rPr>
              <w:t xml:space="preserve"> 8</w:t>
            </w:r>
          </w:p>
        </w:tc>
        <w:tc>
          <w:tcPr>
            <w:tcW w:w="3256" w:type="dxa"/>
          </w:tcPr>
          <w:p w14:paraId="158DDD29" w14:textId="77777777" w:rsidR="006E66A0" w:rsidRPr="006E66A0" w:rsidRDefault="006E66A0" w:rsidP="0080285E">
            <w:pPr>
              <w:rPr>
                <w:rFonts w:ascii="Arial" w:hAnsi="Arial" w:cs="Arial"/>
                <w:sz w:val="20"/>
                <w:szCs w:val="20"/>
              </w:rPr>
            </w:pPr>
            <w:r w:rsidRPr="006E66A0">
              <w:rPr>
                <w:rFonts w:ascii="Arial" w:hAnsi="Arial" w:cs="Arial"/>
                <w:sz w:val="20"/>
                <w:szCs w:val="20"/>
              </w:rPr>
              <w:t>ALL</w:t>
            </w:r>
            <w:proofErr w:type="gramStart"/>
            <w:r w:rsidRPr="006E66A0">
              <w:rPr>
                <w:rFonts w:ascii="Arial" w:hAnsi="Arial" w:cs="Arial"/>
                <w:sz w:val="20"/>
                <w:szCs w:val="20"/>
              </w:rPr>
              <w:t>=(</w:t>
            </w:r>
            <w:proofErr w:type="gramEnd"/>
            <w:r w:rsidRPr="006E66A0">
              <w:rPr>
                <w:rFonts w:ascii="Arial" w:hAnsi="Arial" w:cs="Arial"/>
                <w:sz w:val="20"/>
                <w:szCs w:val="20"/>
              </w:rPr>
              <w:t>((net AND (job OR employment OR "job destruction")) AND ("fossil fuel" OR coal OR gas OR "natural gas" OR "shale gas" OR "net zero" OR "climate change" OR decarbonisation)))</w:t>
            </w:r>
          </w:p>
        </w:tc>
        <w:tc>
          <w:tcPr>
            <w:tcW w:w="1701" w:type="dxa"/>
          </w:tcPr>
          <w:p w14:paraId="7E6A342C" w14:textId="77777777" w:rsidR="006E66A0" w:rsidRPr="006E66A0" w:rsidRDefault="006E66A0" w:rsidP="0080285E">
            <w:pPr>
              <w:rPr>
                <w:rFonts w:ascii="Arial" w:hAnsi="Arial" w:cs="Arial"/>
                <w:sz w:val="20"/>
                <w:szCs w:val="20"/>
              </w:rPr>
            </w:pPr>
            <w:r w:rsidRPr="006E66A0">
              <w:rPr>
                <w:rFonts w:ascii="Arial" w:hAnsi="Arial" w:cs="Arial"/>
                <w:sz w:val="20"/>
                <w:szCs w:val="20"/>
              </w:rPr>
              <w:t>Web of Science</w:t>
            </w:r>
          </w:p>
        </w:tc>
        <w:tc>
          <w:tcPr>
            <w:tcW w:w="1985" w:type="dxa"/>
          </w:tcPr>
          <w:p w14:paraId="4B608AB9" w14:textId="77777777" w:rsidR="006E66A0" w:rsidRPr="006E66A0" w:rsidRDefault="006E66A0" w:rsidP="0080285E">
            <w:pPr>
              <w:rPr>
                <w:rFonts w:ascii="Arial" w:hAnsi="Arial" w:cs="Arial"/>
                <w:sz w:val="20"/>
                <w:szCs w:val="20"/>
              </w:rPr>
            </w:pPr>
            <w:r w:rsidRPr="006E66A0">
              <w:rPr>
                <w:rFonts w:ascii="Arial" w:hAnsi="Arial" w:cs="Arial"/>
                <w:sz w:val="20"/>
                <w:szCs w:val="20"/>
              </w:rPr>
              <w:t>262</w:t>
            </w:r>
          </w:p>
        </w:tc>
      </w:tr>
    </w:tbl>
    <w:p w14:paraId="69749D38" w14:textId="77777777" w:rsidR="006E66A0" w:rsidRPr="006E66A0" w:rsidRDefault="006E66A0" w:rsidP="006E66A0">
      <w:pPr>
        <w:rPr>
          <w:rFonts w:ascii="Arial" w:hAnsi="Arial" w:cs="Arial"/>
          <w:sz w:val="20"/>
          <w:szCs w:val="20"/>
        </w:rPr>
      </w:pPr>
    </w:p>
    <w:p w14:paraId="39C059C4" w14:textId="697BAF49" w:rsidR="006E66A0" w:rsidRPr="006E66A0" w:rsidRDefault="006E66A0" w:rsidP="006E66A0">
      <w:pPr>
        <w:rPr>
          <w:rFonts w:ascii="Arial" w:hAnsi="Arial" w:cs="Arial"/>
          <w:b/>
          <w:bCs/>
          <w:sz w:val="20"/>
          <w:szCs w:val="20"/>
          <w:u w:val="single"/>
        </w:rPr>
      </w:pPr>
      <w:r w:rsidRPr="006E66A0">
        <w:rPr>
          <w:rFonts w:ascii="Arial" w:hAnsi="Arial" w:cs="Arial"/>
          <w:b/>
          <w:bCs/>
          <w:sz w:val="20"/>
          <w:szCs w:val="20"/>
          <w:u w:val="single"/>
        </w:rPr>
        <w:t>Notes to Table S1</w:t>
      </w:r>
    </w:p>
    <w:p w14:paraId="76F7EC27" w14:textId="77777777" w:rsidR="006E66A0" w:rsidRPr="007A0FAA" w:rsidRDefault="006E66A0" w:rsidP="006E66A0">
      <w:pPr>
        <w:pStyle w:val="ListParagraph"/>
        <w:numPr>
          <w:ilvl w:val="0"/>
          <w:numId w:val="1"/>
        </w:numPr>
        <w:rPr>
          <w:rFonts w:cs="Arial"/>
          <w:i/>
          <w:iCs/>
          <w:sz w:val="20"/>
          <w:szCs w:val="20"/>
        </w:rPr>
      </w:pPr>
      <w:r w:rsidRPr="007A0FAA">
        <w:rPr>
          <w:rFonts w:cs="Arial"/>
          <w:i/>
          <w:iCs/>
          <w:sz w:val="20"/>
          <w:szCs w:val="20"/>
        </w:rPr>
        <w:t>Google Scholar automatically inserts the Boolean operator “AND” between each search term or set of brackets where no other Boolean operator exists.</w:t>
      </w:r>
    </w:p>
    <w:p w14:paraId="2884C067" w14:textId="521B65CD" w:rsidR="00AC6719" w:rsidRPr="007A0FAA" w:rsidRDefault="006E66A0" w:rsidP="006E66A0">
      <w:pPr>
        <w:pStyle w:val="ListParagraph"/>
        <w:numPr>
          <w:ilvl w:val="0"/>
          <w:numId w:val="1"/>
        </w:numPr>
        <w:rPr>
          <w:rFonts w:cs="Arial"/>
          <w:i/>
          <w:iCs/>
          <w:sz w:val="20"/>
          <w:szCs w:val="20"/>
        </w:rPr>
      </w:pPr>
      <w:r w:rsidRPr="007A0FAA">
        <w:rPr>
          <w:rFonts w:cs="Arial"/>
          <w:i/>
          <w:iCs/>
          <w:sz w:val="20"/>
          <w:szCs w:val="20"/>
        </w:rPr>
        <w:t>The ScienceDirect advanced search was used, which permits a maximum of 8 Boolean operators in one search string.</w:t>
      </w:r>
    </w:p>
    <w:p w14:paraId="51E65B53" w14:textId="77777777" w:rsidR="00EA7826" w:rsidRDefault="00EA7826" w:rsidP="00EA7826">
      <w:pPr>
        <w:rPr>
          <w:rFonts w:cs="Arial"/>
          <w:sz w:val="20"/>
          <w:szCs w:val="20"/>
        </w:rPr>
      </w:pPr>
    </w:p>
    <w:p w14:paraId="414B3F88" w14:textId="77777777" w:rsidR="00EA7826" w:rsidRDefault="00EA7826" w:rsidP="00EA7826">
      <w:pPr>
        <w:rPr>
          <w:rFonts w:cs="Arial"/>
          <w:sz w:val="20"/>
          <w:szCs w:val="20"/>
        </w:rPr>
      </w:pPr>
    </w:p>
    <w:p w14:paraId="35770019" w14:textId="77777777" w:rsidR="00EA7826" w:rsidRDefault="00EA7826" w:rsidP="00EA7826">
      <w:pPr>
        <w:rPr>
          <w:rFonts w:cs="Arial"/>
          <w:sz w:val="20"/>
          <w:szCs w:val="20"/>
        </w:rPr>
      </w:pPr>
    </w:p>
    <w:p w14:paraId="399005EE" w14:textId="77777777" w:rsidR="00EA7826" w:rsidRDefault="00EA7826" w:rsidP="00EA7826">
      <w:pPr>
        <w:rPr>
          <w:rFonts w:cs="Arial"/>
          <w:sz w:val="20"/>
          <w:szCs w:val="20"/>
        </w:rPr>
      </w:pPr>
    </w:p>
    <w:p w14:paraId="6C49A85B" w14:textId="77777777" w:rsidR="00EA7826" w:rsidRDefault="00EA7826" w:rsidP="00EA7826">
      <w:pPr>
        <w:rPr>
          <w:rFonts w:cs="Arial"/>
          <w:sz w:val="20"/>
          <w:szCs w:val="20"/>
        </w:rPr>
      </w:pPr>
    </w:p>
    <w:p w14:paraId="22C829A5" w14:textId="77777777" w:rsidR="00EA7826" w:rsidRDefault="00EA7826" w:rsidP="00EA7826">
      <w:pPr>
        <w:rPr>
          <w:rFonts w:cs="Arial"/>
          <w:sz w:val="20"/>
          <w:szCs w:val="20"/>
        </w:rPr>
      </w:pPr>
    </w:p>
    <w:p w14:paraId="37278CCE" w14:textId="77777777" w:rsidR="00EA7826" w:rsidRDefault="00EA7826" w:rsidP="00EA7826">
      <w:pPr>
        <w:rPr>
          <w:rFonts w:cs="Arial"/>
          <w:sz w:val="20"/>
          <w:szCs w:val="20"/>
        </w:rPr>
      </w:pPr>
    </w:p>
    <w:p w14:paraId="69FB56F3" w14:textId="77777777" w:rsidR="00EA7826" w:rsidRDefault="00EA7826" w:rsidP="00EA7826">
      <w:pPr>
        <w:rPr>
          <w:rFonts w:cs="Arial"/>
          <w:sz w:val="20"/>
          <w:szCs w:val="20"/>
        </w:rPr>
      </w:pPr>
    </w:p>
    <w:p w14:paraId="4069E1F2" w14:textId="77777777" w:rsidR="00EA7826" w:rsidRDefault="00EA7826" w:rsidP="00EA7826">
      <w:pPr>
        <w:rPr>
          <w:rFonts w:cs="Arial"/>
          <w:sz w:val="20"/>
          <w:szCs w:val="20"/>
        </w:rPr>
      </w:pPr>
    </w:p>
    <w:p w14:paraId="62FB5661" w14:textId="77777777" w:rsidR="00EA7826" w:rsidRDefault="00EA7826" w:rsidP="00EA7826">
      <w:pPr>
        <w:rPr>
          <w:rFonts w:cs="Arial"/>
          <w:sz w:val="20"/>
          <w:szCs w:val="20"/>
        </w:rPr>
      </w:pPr>
    </w:p>
    <w:p w14:paraId="77384F07" w14:textId="77777777" w:rsidR="00EA7826" w:rsidRDefault="00EA7826" w:rsidP="00EA7826">
      <w:pPr>
        <w:rPr>
          <w:rFonts w:cs="Arial"/>
          <w:sz w:val="20"/>
          <w:szCs w:val="20"/>
        </w:rPr>
      </w:pPr>
    </w:p>
    <w:p w14:paraId="1FA3E174" w14:textId="77777777" w:rsidR="00EA7826" w:rsidRDefault="00EA7826" w:rsidP="00EA7826">
      <w:pPr>
        <w:rPr>
          <w:rFonts w:cs="Arial"/>
          <w:sz w:val="20"/>
          <w:szCs w:val="20"/>
        </w:rPr>
      </w:pPr>
    </w:p>
    <w:p w14:paraId="616949F2" w14:textId="77777777" w:rsidR="00984799" w:rsidRDefault="00984799" w:rsidP="00AC6719">
      <w:pPr>
        <w:rPr>
          <w:rFonts w:cs="Arial"/>
          <w:sz w:val="20"/>
          <w:szCs w:val="20"/>
        </w:rPr>
      </w:pPr>
    </w:p>
    <w:p w14:paraId="3BFE3901" w14:textId="34819F68" w:rsidR="00EA7826" w:rsidRDefault="00EA7826" w:rsidP="00AC6719">
      <w:pPr>
        <w:rPr>
          <w:rFonts w:cs="Arial"/>
          <w:sz w:val="20"/>
          <w:szCs w:val="20"/>
        </w:rPr>
        <w:sectPr w:rsidR="00EA7826" w:rsidSect="00E272BE">
          <w:pgSz w:w="11906" w:h="16838"/>
          <w:pgMar w:top="1440" w:right="1440" w:bottom="1440" w:left="1440" w:header="709" w:footer="709" w:gutter="0"/>
          <w:cols w:space="708"/>
          <w:docGrid w:linePitch="360"/>
        </w:sectPr>
      </w:pPr>
    </w:p>
    <w:p w14:paraId="1C1BD9C9" w14:textId="00447BC9" w:rsidR="00D12939" w:rsidRPr="0010334F" w:rsidRDefault="00301C8D" w:rsidP="007F37EA">
      <w:pPr>
        <w:rPr>
          <w:rFonts w:ascii="Arial" w:hAnsi="Arial" w:cs="Arial"/>
          <w:b/>
          <w:bCs/>
          <w:sz w:val="24"/>
          <w:szCs w:val="24"/>
        </w:rPr>
      </w:pPr>
      <w:r w:rsidRPr="0010334F">
        <w:rPr>
          <w:rFonts w:ascii="Arial" w:hAnsi="Arial" w:cs="Arial"/>
          <w:b/>
          <w:bCs/>
          <w:sz w:val="24"/>
          <w:szCs w:val="24"/>
        </w:rPr>
        <w:t>Table S</w:t>
      </w:r>
      <w:proofErr w:type="gramStart"/>
      <w:r w:rsidRPr="0010334F">
        <w:rPr>
          <w:rFonts w:ascii="Arial" w:hAnsi="Arial" w:cs="Arial"/>
          <w:b/>
          <w:bCs/>
          <w:sz w:val="24"/>
          <w:szCs w:val="24"/>
        </w:rPr>
        <w:t>2</w:t>
      </w:r>
      <w:r w:rsidR="007F37EA" w:rsidRPr="0010334F">
        <w:rPr>
          <w:rFonts w:ascii="Arial" w:hAnsi="Arial" w:cs="Arial"/>
          <w:b/>
          <w:bCs/>
          <w:sz w:val="24"/>
          <w:szCs w:val="24"/>
        </w:rPr>
        <w:t xml:space="preserve">  Estimates</w:t>
      </w:r>
      <w:proofErr w:type="gramEnd"/>
      <w:r w:rsidR="007F37EA" w:rsidRPr="0010334F">
        <w:rPr>
          <w:rFonts w:ascii="Arial" w:hAnsi="Arial" w:cs="Arial"/>
          <w:b/>
          <w:bCs/>
          <w:sz w:val="24"/>
          <w:szCs w:val="24"/>
        </w:rPr>
        <w:t xml:space="preserve"> in the reviewed literature on: (1) </w:t>
      </w:r>
      <w:r w:rsidR="003D0AA0">
        <w:rPr>
          <w:rFonts w:ascii="Arial" w:hAnsi="Arial" w:cs="Arial"/>
          <w:b/>
          <w:bCs/>
          <w:sz w:val="24"/>
          <w:szCs w:val="24"/>
        </w:rPr>
        <w:t>g</w:t>
      </w:r>
      <w:r w:rsidR="007F37EA" w:rsidRPr="0010334F">
        <w:rPr>
          <w:rFonts w:ascii="Arial" w:hAnsi="Arial" w:cs="Arial"/>
          <w:b/>
          <w:bCs/>
          <w:sz w:val="24"/>
          <w:szCs w:val="24"/>
        </w:rPr>
        <w:t>ross job-years created in manufacturing (M) and construction and installation (C&amp;I) per MW of installed capacity</w:t>
      </w:r>
      <w:r w:rsidR="00BC0D10" w:rsidRPr="0010334F">
        <w:rPr>
          <w:rFonts w:ascii="Arial" w:hAnsi="Arial" w:cs="Arial"/>
          <w:b/>
          <w:bCs/>
          <w:sz w:val="24"/>
          <w:szCs w:val="24"/>
        </w:rPr>
        <w:t>;</w:t>
      </w:r>
      <w:r w:rsidR="007F37EA" w:rsidRPr="0010334F">
        <w:rPr>
          <w:rFonts w:ascii="Arial" w:hAnsi="Arial" w:cs="Arial"/>
          <w:b/>
          <w:bCs/>
          <w:sz w:val="24"/>
          <w:szCs w:val="24"/>
        </w:rPr>
        <w:t xml:space="preserve"> and (2) </w:t>
      </w:r>
      <w:r w:rsidR="003D0AA0">
        <w:rPr>
          <w:rFonts w:ascii="Arial" w:hAnsi="Arial" w:cs="Arial"/>
          <w:b/>
          <w:bCs/>
          <w:sz w:val="24"/>
          <w:szCs w:val="24"/>
        </w:rPr>
        <w:t>g</w:t>
      </w:r>
      <w:r w:rsidR="007F37EA" w:rsidRPr="0010334F">
        <w:rPr>
          <w:rFonts w:ascii="Arial" w:hAnsi="Arial" w:cs="Arial"/>
          <w:b/>
          <w:bCs/>
          <w:sz w:val="24"/>
          <w:szCs w:val="24"/>
        </w:rPr>
        <w:t>ross jobs created in operation and maintenance per GW of installed capacity</w:t>
      </w:r>
      <w:r w:rsidR="00BC0D10" w:rsidRPr="0010334F">
        <w:rPr>
          <w:rFonts w:ascii="Arial" w:hAnsi="Arial" w:cs="Arial"/>
          <w:b/>
          <w:bCs/>
          <w:sz w:val="24"/>
          <w:szCs w:val="24"/>
        </w:rPr>
        <w:t>.</w:t>
      </w:r>
    </w:p>
    <w:tbl>
      <w:tblPr>
        <w:tblStyle w:val="TableGrid"/>
        <w:tblW w:w="0" w:type="auto"/>
        <w:tblLook w:val="04A0" w:firstRow="1" w:lastRow="0" w:firstColumn="1" w:lastColumn="0" w:noHBand="0" w:noVBand="1"/>
      </w:tblPr>
      <w:tblGrid>
        <w:gridCol w:w="840"/>
        <w:gridCol w:w="890"/>
        <w:gridCol w:w="828"/>
        <w:gridCol w:w="841"/>
        <w:gridCol w:w="829"/>
        <w:gridCol w:w="891"/>
        <w:gridCol w:w="829"/>
        <w:gridCol w:w="841"/>
        <w:gridCol w:w="760"/>
        <w:gridCol w:w="710"/>
        <w:gridCol w:w="829"/>
        <w:gridCol w:w="891"/>
        <w:gridCol w:w="829"/>
        <w:gridCol w:w="841"/>
        <w:gridCol w:w="760"/>
        <w:gridCol w:w="710"/>
        <w:gridCol w:w="829"/>
      </w:tblGrid>
      <w:tr w:rsidR="0047291F" w:rsidRPr="00EA7826" w14:paraId="403A86E2" w14:textId="77777777" w:rsidTr="003537A2">
        <w:trPr>
          <w:trHeight w:val="2385"/>
        </w:trPr>
        <w:tc>
          <w:tcPr>
            <w:tcW w:w="841" w:type="dxa"/>
            <w:hideMark/>
          </w:tcPr>
          <w:p w14:paraId="0BE4FA84" w14:textId="01AFF73B" w:rsidR="00F52323" w:rsidRPr="00F52323" w:rsidRDefault="00F52323" w:rsidP="00F52323">
            <w:pPr>
              <w:rPr>
                <w:rFonts w:ascii="Arial" w:hAnsi="Arial" w:cs="Arial"/>
                <w:b/>
                <w:bCs/>
                <w:color w:val="000000" w:themeColor="text1"/>
                <w:sz w:val="18"/>
                <w:szCs w:val="18"/>
              </w:rPr>
            </w:pPr>
            <w:r w:rsidRPr="00F52323">
              <w:rPr>
                <w:rFonts w:ascii="Arial" w:hAnsi="Arial" w:cs="Arial"/>
                <w:b/>
                <w:bCs/>
                <w:color w:val="000000" w:themeColor="text1"/>
                <w:sz w:val="18"/>
                <w:szCs w:val="18"/>
              </w:rPr>
              <w:t>Source/s (see also metadata below)</w:t>
            </w:r>
          </w:p>
        </w:tc>
        <w:tc>
          <w:tcPr>
            <w:tcW w:w="892" w:type="dxa"/>
            <w:hideMark/>
          </w:tcPr>
          <w:p w14:paraId="6A6B4110" w14:textId="7CC19DAF"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{"citationItems":[{"id":"ITEM-1","itemData":{"DOI":"10.1016/j.techfore.2019.06.008","ISSN":"00401625","abstract":"Aside from reducing the energy sector's negative impacts on the environment, renewable power generation technologies are creating new wealth and becoming important job creators for the 21st century. Employment creation over the duration of the global energy transition is an important aspect to explore, which could have policy ramifications around the world. This research focuses on the employment impact of an accelerated uptake of renewable electricity generation that sees the world derive 100% of its electricity from renewable sources by 2050, in order to meet the goals set by the Paris Agreement. An analytical job creation assessment for the global power sector from 2015 to 2050 is estimated and presented on a regional basis. It is found that the global direct jobs associated with the electricity sector increases from about 21 million in 2015 to nearly 35 million in 2050. Solar PV, batteries and wind power are the major job creating technologies during the energy transition from 2015 to 2050. This is the first global study presenting job creation projections for energy storage. The results indicate that a global energy transition will have an overall positive impact on the future stability and growth of economies around the world.","author":[{"dropping-particle":"","family":"Ram","given":"Manish","non-dropping-particle":"","parse-names":false,"suffix":""},{"dropping-particle":"","family":"Aghahosseini","given":"Arman","non-dropping-particle":"","parse-names":false,"suffix":""},{"dropping-particle":"","family":"Breyer","given":"Christian","non-dropping-particle":"","parse-names":false,"suffix":""}],"container-title":"Technological Forecasting and Social Change","id":"ITEM-1","issued":{"date-parts":[["2020","2","1"]]},"page":"119682","publisher":"Elsevier Inc.","title":"Job creation during the global energy transition towards 100% renewable power system by 2050","type":"article-journal","volume":"151"},"uris":["http://www.mendeley.com/documents/?uuid=278e53cd-1ad1-3f32-9492-8828da56a9dd"]},{"id":"ITEM-2","itemData":{"DOI":"10.1016/J.ENERGY.2021.121690","ISSN":"0360-5442","abstract":"Driven by climate mitigation goals countries around the world are prioritising low-cost renewables for economic growth and recovery from the aftermath of the global pandemic. It is quite clear that sustainable technology choices result in broader socioeconomic benefits, as is shown by countries that have been early movers in transitioning their energy sectors towards higher shares of renewables. There is growing interest in better understanding the direct impact on employment by energy transitions with concerns over jobs lost in the conventional energy sectors, which will be crucial in informing decision making around the world. This research focuses on the net employment impacts of an accelerated uptake of renewable energy that envisages the world deriving 100 % of its energy from renewable sources by 2050, compatible with the ambitious goals of the Paris Agreement. Direct energy jobs associated with the power, heat, transport, and desalination sectors increase substantially from about 57 million in 2020 to nearly 134 million by 2050. Value chains in renewables and sustainable technologies are found to be more labour intensive than extractive fossil fuels. The results indicate that a global energy transition will have positive impacts on future stability and growth of economies around the world.","author":[{"dropping-particle":"","family":"Ram","given":"Manish","non-dropping-particle":"","parse-names":false,"suffix":""},{"dropping-particle":"","family":"Osorio-Aravena","given":"Juan Carlos","non-dropping-particle":"","parse-names":false,"suffix":""},{"dropping-particle":"","family":"Aghahosseini","given":"Arman","non-dropping-particle":"","parse-names":false,"suffix":""},{"dropping-particle":"","family":"Bogdanov","given":"Dmitrii","non-dropping-particle":"","parse-names":false,"suffix":""},{"dropping-particle":"","family":"Breyer","given":"Christian","non-dropping-particle":"","parse-names":false,"suffix":""}],"container-title":"Energy","id":"ITEM-2","issued":{"date-parts":[["2022","1","1"]]},"page":"121690","publisher":"Pergamon","title":"Job creation during a climate compliant global energy transition across the power, heat, transport, and desalination sectors by 2050","type":"article-journal","volume":"238"},"uris":["http://www.mendeley.com/documents/?uuid=2c121a98-a478-319a-8748-dfcc0f25ca01"]}],"mendeley":{"formattedCitation":"(Ram, Aghahosseini and Breyer, 2020; Ram &lt;i&gt;et al.&lt;/i&gt;, 2022)","manualFormatting":"Ram, Aghahosseini and Breyer (2020); Ram et al., (2022)","plainTextFormattedCitation":"(Ram, Aghahosseini and Breyer, 2020; Ram et al., 2022)","previouslyFormattedCitation":"(Ram, Aghahosseini and Breyer, 2020; Ram &lt;i&gt;et al.&lt;/i&gt;, 2022)"},"properties":{"noteIndex":0},"schema":"https://github.com/citation-style-language/schema/raw/master/csl-citation.json"}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 xml:space="preserve">Ram, Aghahosseini and Breyer (2020); Ram </w:t>
            </w:r>
            <w:r w:rsidRPr="00F52323">
              <w:rPr>
                <w:rFonts w:ascii="Arial" w:hAnsi="Arial" w:cs="Arial"/>
                <w:i/>
                <w:noProof/>
                <w:color w:val="000000" w:themeColor="text1"/>
                <w:sz w:val="18"/>
                <w:szCs w:val="18"/>
              </w:rPr>
              <w:t>et al.</w:t>
            </w:r>
            <w:r w:rsidRPr="00F52323">
              <w:rPr>
                <w:rFonts w:ascii="Arial" w:hAnsi="Arial" w:cs="Arial"/>
                <w:noProof/>
                <w:color w:val="000000" w:themeColor="text1"/>
                <w:sz w:val="18"/>
                <w:szCs w:val="18"/>
              </w:rPr>
              <w:t>, (2022)</w:t>
            </w:r>
            <w:r w:rsidRPr="00F52323">
              <w:rPr>
                <w:rFonts w:ascii="Arial" w:hAnsi="Arial" w:cs="Arial"/>
                <w:color w:val="000000" w:themeColor="text1"/>
                <w:sz w:val="18"/>
                <w:szCs w:val="18"/>
              </w:rPr>
              <w:fldChar w:fldCharType="end"/>
            </w:r>
          </w:p>
        </w:tc>
        <w:tc>
          <w:tcPr>
            <w:tcW w:w="829" w:type="dxa"/>
            <w:hideMark/>
          </w:tcPr>
          <w:p w14:paraId="2FABFBF9" w14:textId="1738A2A2"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{"citationItems":[{"id":"ITEM-1","itemData":{"DOI":"10.1016/J.ENERGY.2015.08.061","ISSN":"0360-5442","abstract":"There has been an intense debate on the quantification of the employment effects of renewable electricity deployment in the European Union. However, most studies carried out in the past have focused on specific countries and those with a European-wide scope have not provided disaggregated results per country. Furthermore, differences between importing and exporting countries have not been considered. This paper aims to cover those gaps. It presents a novel methodology which integrates the aforementioned considerations in order to calculate the employment effects of renewable energy deployment. The methodology is useful to calculate dynamic employment factors (considering technology learning effects) and the specific capacity (based on trade effects) to which these factors should be applied. It is applied to three renewable energy technologies - photovoltaics, wind on-shore and wind off-shore- in the European Union Member States in the 2008-2012 period. The results using this novel methodology broadly confirm the figures provided in other contributions in the literature. The proposed methodology can be instrumental in assessing the socio-economic effects of policies and investment programmes targeting the deployment of renewable energy technologies.","author":[{"dropping-particle":"","family":"Ortega","given":"Margarita","non-dropping-particle":"","parse-names":false,"suffix":""},{"dropping-particle":"del","family":"Río","given":"Pablo","non-dropping-particle":"","parse-names":false,"suffix":""},{"dropping-particle":"","family":"Ruiz","given":"Pablo","non-dropping-particle":"","parse-names":false,"suffix":""},{"dropping-particle":"","family":"Thiel","given":"Christian","non-dropping-particle":"","parse-names":false,"suffix":""}],"container-title":"Energy","id":"ITEM-1","issued":{"date-parts":[["2015","11","1"]]},"page":"940-951","publisher":"Pergamon","title":"Employment effects of renewable electricity deployment. A novel methodology","type":"article-journal","volume":"91"},"uris":["http://www.mendeley.com/documents/?uuid=2d3aab20-0f25-3a83-8506-832316d9a58c"]},{"id":"ITEM-2","itemData":{"DOI":"10.1016/J.RSER.2019.109657","ISSN":"1364-0321","abstract":"Job creation is arguably an important socioeconomic benefit of renewable energy deployment. In turn, this employment creation may be contingent upon the influence of some key factors, including technology learning, trade effects and policies and may affect different renewable energy technologies and activities of the renewable energy value chain in different ways. This paper estimates the gross employment stemming from the deployment of three renewable electricity technologies – photovoltaics (PV), wind on-shore and wind off-shore – up to 2050 for all Member States of the European Union. It uses a novel analytical methodology which is able to capture the influence of technology learning and internal and external trade. Additionally, it provides highly disaggregated results per activity in the supply chain (manufacturing, installation and O&amp;M), year and country for different technology and policy scenarios. The results show that the employment created by those three technologies can be significant but considerable differences across technologies, activities and countries can be observed. In the analyzed period (2014–2050), most employment will be created in the PV sector, in the operation and maintenance activities and it will be highly geographically concentrated in a few countries. However, job creation will strongly depend on the scenarios and assumptions being made. In particular our findings suggest that the availability of carbon capture and storage will have a considerable influence on the number of jobs being created. In contrast, changes in other assumptions have limited effects on the results: a variable (vs. a constant) learning rate, more restrictive emissions targets by 2050 and higher PV costs.","author":[{"dropping-particle":"","family":"Ortega","given":"Margarita","non-dropping-particle":"","parse-names":false,"suffix":""},{"dropping-particle":"del","family":"Río","given":"Pablo","non-dropping-particle":"","parse-names":false,"suffix":""},{"dropping-particle":"","family":"Ruiz","given":"Pablo","non-dropping-particle":"","parse-names":false,"suffix":""},{"dropping-particle":"","family":"Nijs","given":"Wouter","non-dropping-particle":"","parse-names":false,"suffix":""},{"dropping-particle":"","family":"Politis","given":"Savvas","non-dropping-particle":"","parse-names":false,"suffix":""}],"container-title":"Renewable and Sustainable Energy Reviews","id":"ITEM-2","issued":{"date-parts":[["2020","4","1"]]},"page":"109657","publisher":"Pergamon","title":"Analysing the influence of trade, technology learning and policy on the employment prospects of wind and solar energy deployment: The EU case","type":"article-journal","volume":"122"},"uris":["http://www.mendeley.com/documents/?uuid=eecd8f72-7f54-38ab-aba4-c375c20a6c8f"]}],"mendeley":{"formattedCitation":"(Ortega &lt;i&gt;et al.&lt;/i&gt;, 2015, 2020)","manualFormatting":"Ortega et al. (2015, 2020)","plainTextFormattedCitation":"(Ortega et al., 2015, 2020)","previouslyFormattedCitation":"(Ortega &lt;i&gt;et al.&lt;/i&gt;, 2015, 2020)"},"properties":{"noteIndex":0},"schema":"https://github.com/citation-style-language/schema/raw/master/csl-citation.json"}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 xml:space="preserve">Ortega </w:t>
            </w:r>
            <w:r w:rsidRPr="00F52323">
              <w:rPr>
                <w:rFonts w:ascii="Arial" w:hAnsi="Arial" w:cs="Arial"/>
                <w:i/>
                <w:noProof/>
                <w:color w:val="000000" w:themeColor="text1"/>
                <w:sz w:val="18"/>
                <w:szCs w:val="18"/>
              </w:rPr>
              <w:t xml:space="preserve">et al. </w:t>
            </w:r>
            <w:r w:rsidRPr="00F52323">
              <w:rPr>
                <w:rFonts w:ascii="Arial" w:hAnsi="Arial" w:cs="Arial"/>
                <w:iCs/>
                <w:noProof/>
                <w:color w:val="000000" w:themeColor="text1"/>
                <w:sz w:val="18"/>
                <w:szCs w:val="18"/>
              </w:rPr>
              <w:t>(</w:t>
            </w:r>
            <w:r w:rsidRPr="00F52323">
              <w:rPr>
                <w:rFonts w:ascii="Arial" w:hAnsi="Arial" w:cs="Arial"/>
                <w:noProof/>
                <w:color w:val="000000" w:themeColor="text1"/>
                <w:sz w:val="18"/>
                <w:szCs w:val="18"/>
              </w:rPr>
              <w:t>2015, 2020)</w:t>
            </w:r>
            <w:r w:rsidRPr="00F52323">
              <w:rPr>
                <w:rFonts w:ascii="Arial" w:hAnsi="Arial" w:cs="Arial"/>
                <w:color w:val="000000" w:themeColor="text1"/>
                <w:sz w:val="18"/>
                <w:szCs w:val="18"/>
              </w:rPr>
              <w:fldChar w:fldCharType="end"/>
            </w:r>
          </w:p>
        </w:tc>
        <w:tc>
          <w:tcPr>
            <w:tcW w:w="842" w:type="dxa"/>
            <w:hideMark/>
          </w:tcPr>
          <w:p w14:paraId="73EE4E47" w14:textId="03E04036"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{"citationItems":[{"id":"ITEM-1","itemData":{"DOI":"10.1007/978-3-030-05843-2_10","ISBN":"978-3-030-05843-2","abstract":"This section provides the input data for two different employment development calculation methods: The quantitative analysis, which looks into the overall number of jobs in renewable and fossil fuel industries and the occupational analysis which looks into specific job categories required for the solar and wind sector as well as the oil, gas, and coal industry. Results are given with various figures and tables.","author":[{"dropping-particle":"","family":"Dominish","given":"Elsa","non-dropping-particle":"","parse-names":false,"suffix":""},{"dropping-particle":"","family":"Briggs","given":"Chris","non-dropping-particle":"","parse-names":false,"suffix":""},{"dropping-particle":"","family":"Teske","given":"Sven","non-dropping-particle":"","parse-names":false,"suffix":""},{"dropping-particle":"","family":"Mey","given":"Franziska","non-dropping-particle":"","parse-names":false,"suffix":""}],"id":"ITEM-1","issued":{"date-parts":[["2019"]]},"number-of-pages":"413-435","publisher":"Springer","publisher-place":"Cham, Switzerland","title":"Just transition: Employment projections for the 2.0 °C and 1.5 °C scenarios. In: Teske, S. (Ed.) Achieving the Paris climate agreement goals.","type":"book"},"uris":["http://www.mendeley.com/documents/?uuid=e36bf5d0-9302-4a5f-9ac2-ec4b40c71091"]}],"mendeley":{"formattedCitation":"(Dominish &lt;i&gt;et al.&lt;/i&gt;, 2019)","manualFormatting":"Dominish et al. (2019)","plainTextFormattedCitation":"(Dominish et al., 2019)","previouslyFormattedCitation":"(Dominish &lt;i&gt;et al.&lt;/i&gt;, 2019)"},"properties":{"noteIndex":0},"schema":"https://github.com/citation-style-language/schema/raw/master/csl-citation.json"}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 xml:space="preserve">Dominish </w:t>
            </w:r>
            <w:r w:rsidRPr="00F52323">
              <w:rPr>
                <w:rFonts w:ascii="Arial" w:hAnsi="Arial" w:cs="Arial"/>
                <w:i/>
                <w:noProof/>
                <w:color w:val="000000" w:themeColor="text1"/>
                <w:sz w:val="18"/>
                <w:szCs w:val="18"/>
              </w:rPr>
              <w:t xml:space="preserve">et al. </w:t>
            </w:r>
            <w:r w:rsidRPr="00F52323">
              <w:rPr>
                <w:rFonts w:ascii="Arial" w:hAnsi="Arial" w:cs="Arial"/>
                <w:noProof/>
                <w:color w:val="000000" w:themeColor="text1"/>
                <w:sz w:val="18"/>
                <w:szCs w:val="18"/>
              </w:rPr>
              <w:t>(2019)</w:t>
            </w:r>
            <w:r w:rsidRPr="00F52323">
              <w:rPr>
                <w:rFonts w:ascii="Arial" w:hAnsi="Arial" w:cs="Arial"/>
                <w:color w:val="000000" w:themeColor="text1"/>
                <w:sz w:val="18"/>
                <w:szCs w:val="18"/>
              </w:rPr>
              <w:fldChar w:fldCharType="end"/>
            </w:r>
          </w:p>
        </w:tc>
        <w:tc>
          <w:tcPr>
            <w:tcW w:w="829" w:type="dxa"/>
            <w:hideMark/>
          </w:tcPr>
          <w:p w14:paraId="183DFD4B" w14:textId="64DF81EB"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{"citationItems":[{"id":"ITEM-1","itemData":{"DOI":"10.1016/J.ENPOL.2016.02.055","ISSN":"0301-4215","abstract":"This paper presents for the first time an integrated life cycle sustainability assessment of the electricity sector in Turkey, considering environmental, economic and social aspects. Twenty life cycle sustainability indicators (11 environmental, three economic and six social) are used to evaluate the current electricity options. Geothermal power is the best option for six environmental impacts but it has the highest capital costs. Small reservoir and run-of-river power has the lowest global warming potential while large reservoir is best for the depletion of elements and fossil resources, and acidification. It also has the lowest levelised costs, worker injuries and fatalities but provides the lowest life cycle employment opportunities. Gas power has the lowest capital costs but it provides the lowest direct employment and has the highest levelised costs and ozone layer depletion. Given these trade-offs, a multi-criteria decision analysis has been carried out to identify the most sustainable options assuming different stakeholder preferences. For all the preferences considered, hydropower is the most sustainable option for Turkey, followed by geothermal and wind electricity. This work demonstrates the importance for energy policy of an integrated life cycle sustainability assessment and how tensions between different aspects can be reconciled to identify win-win solutions.","author":[{"dropping-particle":"","family":"Atilgan","given":"Burcin","non-dropping-particle":"","parse-names":false,"suffix":""},{"dropping-particle":"","family":"Azapagic","given":"Adisa","non-dropping-particle":"","parse-names":false,"suffix":""}],"container-title":"Energy Policy","id":"ITEM-1","issued":{"date-parts":[["2016","6","1"]]},"page":"168-186","publisher":"Elsevier","title":"An integrated life cycle sustainability assessment of electricity generation in Turkey","type":"article-journal","volume":"93"},"uris":["http://www.mendeley.com/documents/?uuid=4417b803-c431-3fd2-bc1c-86984429681d"]}],"mendeley":{"formattedCitation":"(Atilgan and Azapagic, 2016)","manualFormatting":"Atilgan and Azapagic (2016)","plainTextFormattedCitation":"(Atilgan and Azapagic, 2016)","previouslyFormattedCitation":"(Atilgan and Azapagic, 2016)"},"properties":{"noteIndex":0},"schema":"https://github.com/citation-style-language/schema/raw/master/csl-citation.json"}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Atilgan and Azapagic (2016)</w:t>
            </w:r>
            <w:r w:rsidRPr="00F52323">
              <w:rPr>
                <w:rFonts w:ascii="Arial" w:hAnsi="Arial" w:cs="Arial"/>
                <w:color w:val="000000" w:themeColor="text1"/>
                <w:sz w:val="18"/>
                <w:szCs w:val="18"/>
              </w:rPr>
              <w:fldChar w:fldCharType="end"/>
            </w:r>
          </w:p>
        </w:tc>
        <w:tc>
          <w:tcPr>
            <w:tcW w:w="892" w:type="dxa"/>
            <w:hideMark/>
          </w:tcPr>
          <w:p w14:paraId="1D2AF7B2" w14:textId="004471B3"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{"citationItems":[{"id":"ITEM-1","itemData":{"DOI":"10.1016/j.techfore.2019.06.008","ISSN":"00401625","abstract":"Aside from reducing the energy sector's negative impacts on the environment, renewable power generation technologies are creating new wealth and becoming important job creators for the 21st century. Employment creation over the duration of the global energy transition is an important aspect to explore, which could have policy ramifications around the world. This research focuses on the employment impact of an accelerated uptake of renewable electricity generation that sees the world derive 100% of its electricity from renewable sources by 2050, in order to meet the goals set by the Paris Agreement. An analytical job creation assessment for the global power sector from 2015 to 2050 is estimated and presented on a regional basis. It is found that the global direct jobs associated with the electricity sector increases from about 21 million in 2015 to nearly 35 million in 2050. Solar PV, batteries and wind power are the major job creating technologies during the energy transition from 2015 to 2050. This is the first global study presenting job creation projections for energy storage. The results indicate that a global energy transition will have an overall positive impact on the future stability and growth of economies around the world.","author":[{"dropping-particle":"","family":"Ram","given":"Manish","non-dropping-particle":"","parse-names":false,"suffix":""},{"dropping-particle":"","family":"Aghahosseini","given":"Arman","non-dropping-particle":"","parse-names":false,"suffix":""},{"dropping-particle":"","family":"Breyer","given":"Christian","non-dropping-particle":"","parse-names":false,"suffix":""}],"container-title":"Technological Forecasting and Social Change","id":"ITEM-1","issued":{"date-parts":[["2020","2","1"]]},"page":"119682","publisher":"Elsevier Inc.","title":"Job creation during the global energy transition towards 100% renewable power system by 2050","type":"article-journal","volume":"151"},"uris":["http://www.mendeley.com/documents/?uuid=278e53cd-1ad1-3f32-9492-8828da56a9dd"]},{"id":"ITEM-2","itemData":{"DOI":"10.1016/J.ENERGY.2021.121690","ISSN":"0360-5442","abstract":"Driven by climate mitigation goals countries around the world are prioritising low-cost renewables for economic growth and recovery from the aftermath of the global pandemic. It is quite clear that sustainable technology choices result in broader socioeconomic benefits, as is shown by countries that have been early movers in transitioning their energy sectors towards higher shares of renewables. There is growing interest in better understanding the direct impact on employment by energy transitions with concerns over jobs lost in the conventional energy sectors, which will be crucial in informing decision making around the world. This research focuses on the net employment impacts of an accelerated uptake of renewable energy that envisages the world deriving 100 % of its energy from renewable sources by 2050, compatible with the ambitious goals of the Paris Agreement. Direct energy jobs associated with the power, heat, transport, and desalination sectors increase substantially from about 57 million in 2020 to nearly 134 million by 2050. Value chains in renewables and sustainable technologies are found to be more labour intensive than extractive fossil fuels. The results indicate that a global energy transition will have positive impacts on future stability and growth of economies around the world.","author":[{"dropping-particle":"","family":"Ram","given":"Manish","non-dropping-particle":"","parse-names":false,"suffix":""},{"dropping-particle":"","family":"Osorio-Aravena","given":"Juan Carlos","non-dropping-particle":"","parse-names":false,"suffix":""},{"dropping-particle":"","family":"Aghahosseini","given":"Arman","non-dropping-particle":"","parse-names":false,"suffix":""},{"dropping-particle":"","family":"Bogdanov","given":"Dmitrii","non-dropping-particle":"","parse-names":false,"suffix":""},{"dropping-particle":"","family":"Breyer","given":"Christian","non-dropping-particle":"","parse-names":false,"suffix":""}],"container-title":"Energy","id":"ITEM-2","issued":{"date-parts":[["2022","1","1"]]},"page":"121690","publisher":"Pergamon","title":"Job creation during a climate compliant global energy transition across the power, heat, transport, and desalination sectors by 2050","type":"article-journal","volume":"238"},"uris":["http://www.mendeley.com/documents/?uuid=2c121a98-a478-319a-8748-dfcc0f25ca01"]}],"mendeley":{"formattedCitation":"(Ram, Aghahosseini and Breyer, 2020; Ram &lt;i&gt;et al.&lt;/i&gt;, 2022)","manualFormatting":"Ram, Aghahosseini and Breyer (2020); Ram et al., (2022)","plainTextFormattedCitation":"(Ram, Aghahosseini and Breyer, 2020; Ram et al., 2022)","previouslyFormattedCitation":"(Ram, Aghahosseini and Breyer, 2020; Ram &lt;i&gt;et al.&lt;/i&gt;, 2022)"},"properties":{"noteIndex":0},"schema":"https://github.com/citation-style-language/schema/raw/master/csl-citation.json"}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 xml:space="preserve">Ram, Aghahosseini and Breyer (2020); Ram </w:t>
            </w:r>
            <w:r w:rsidRPr="00F52323">
              <w:rPr>
                <w:rFonts w:ascii="Arial" w:hAnsi="Arial" w:cs="Arial"/>
                <w:i/>
                <w:noProof/>
                <w:color w:val="000000" w:themeColor="text1"/>
                <w:sz w:val="18"/>
                <w:szCs w:val="18"/>
              </w:rPr>
              <w:t>et al.</w:t>
            </w:r>
            <w:r w:rsidRPr="00F52323">
              <w:rPr>
                <w:rFonts w:ascii="Arial" w:hAnsi="Arial" w:cs="Arial"/>
                <w:noProof/>
                <w:color w:val="000000" w:themeColor="text1"/>
                <w:sz w:val="18"/>
                <w:szCs w:val="18"/>
              </w:rPr>
              <w:t>, (2022)</w:t>
            </w:r>
            <w:r w:rsidRPr="00F52323">
              <w:rPr>
                <w:rFonts w:ascii="Arial" w:hAnsi="Arial" w:cs="Arial"/>
                <w:color w:val="000000" w:themeColor="text1"/>
                <w:sz w:val="18"/>
                <w:szCs w:val="18"/>
              </w:rPr>
              <w:fldChar w:fldCharType="end"/>
            </w:r>
          </w:p>
        </w:tc>
        <w:tc>
          <w:tcPr>
            <w:tcW w:w="829" w:type="dxa"/>
            <w:hideMark/>
          </w:tcPr>
          <w:p w14:paraId="146D2C27" w14:textId="1956235B"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{"citationItems":[{"id":"ITEM-1","itemData":{"DOI":"10.1016/J.ENERGY.2015.08.061","ISSN":"0360-5442","abstract":"There has been an intense debate on the quantification of the employment effects of renewable electricity deployment in the European Union. However, most studies carried out in the past have focused on specific countries and those with a European-wide scope have not provided disaggregated results per country. Furthermore, differences between importing and exporting countries have not been considered. This paper aims to cover those gaps. It presents a novel methodology which integrates the aforementioned considerations in order to calculate the employment effects of renewable energy deployment. The methodology is useful to calculate dynamic employment factors (considering technology learning effects) and the specific capacity (based on trade effects) to which these factors should be applied. It is applied to three renewable energy technologies - photovoltaics, wind on-shore and wind off-shore- in the European Union Member States in the 2008-2012 period. The results using this novel methodology broadly confirm the figures provided in other contributions in the literature. The proposed methodology can be instrumental in assessing the socio-economic effects of policies and investment programmes targeting the deployment of renewable energy technologies.","author":[{"dropping-particle":"","family":"Ortega","given":"Margarita","non-dropping-particle":"","parse-names":false,"suffix":""},{"dropping-particle":"del","family":"Río","given":"Pablo","non-dropping-particle":"","parse-names":false,"suffix":""},{"dropping-particle":"","family":"Ruiz","given":"Pablo","non-dropping-particle":"","parse-names":false,"suffix":""},{"dropping-particle":"","family":"Thiel","given":"Christian","non-dropping-particle":"","parse-names":false,"suffix":""}],"container-title":"Energy","id":"ITEM-1","issued":{"date-parts":[["2015","11","1"]]},"page":"940-951","publisher":"Pergamon","title":"Employment effects of renewable electricity deployment. A novel methodology","type":"article-journal","volume":"91"},"uris":["http://www.mendeley.com/documents/?uuid=2d3aab20-0f25-3a83-8506-832316d9a58c"]},{"id":"ITEM-2","itemData":{"DOI":"10.1016/J.RSER.2019.109657","ISSN":"1364-0321","abstract":"Job creation is arguably an important socioeconomic benefit of renewable energy deployment. In turn, this employment creation may be contingent upon the influence of some key factors, including technology learning, trade effects and policies and may affect different renewable energy technologies and activities of the renewable energy value chain in different ways. This paper estimates the gross employment stemming from the deployment of three renewable electricity technologies – photovoltaics (PV), wind on-shore and wind off-shore – up to 2050 for all Member States of the European Union. It uses a novel analytical methodology which is able to capture the influence of technology learning and internal and external trade. Additionally, it provides highly disaggregated results per activity in the supply chain (manufacturing, installation and O&amp;M), year and country for different technology and policy scenarios. The results show that the employment created by those three technologies can be significant but considerable differences across technologies, activities and countries can be observed. In the analyzed period (2014–2050), most employment will be created in the PV sector, in the operation and maintenance activities and it will be highly geographically concentrated in a few countries. However, job creation will strongly depend on the scenarios and assumptions being made. In particular our findings suggest that the availability of carbon capture and storage will have a considerable influence on the number of jobs being created. In contrast, changes in other assumptions have limited effects on the results: a variable (vs. a constant) learning rate, more restrictive emissions targets by 2050 and higher PV costs.","author":[{"dropping-particle":"","family":"Ortega","given":"Margarita","non-dropping-particle":"","parse-names":false,"suffix":""},{"dropping-particle":"del","family":"Río","given":"Pablo","non-dropping-particle":"","parse-names":false,"suffix":""},{"dropping-particle":"","family":"Ruiz","given":"Pablo","non-dropping-particle":"","parse-names":false,"suffix":""},{"dropping-particle":"","family":"Nijs","given":"Wouter","non-dropping-particle":"","parse-names":false,"suffix":""},{"dropping-particle":"","family":"Politis","given":"Savvas","non-dropping-particle":"","parse-names":false,"suffix":""}],"container-title":"Renewable and Sustainable Energy Reviews","id":"ITEM-2","issued":{"date-parts":[["2020","4","1"]]},"page":"109657","publisher":"Pergamon","title":"Analysing the influence of trade, technology learning and policy on the employment prospects of wind and solar energy deployment: The EU case","type":"article-journal","volume":"122"},"uris":["http://www.mendeley.com/documents/?uuid=eecd8f72-7f54-38ab-aba4-c375c20a6c8f"]}],"mendeley":{"formattedCitation":"(Ortega &lt;i&gt;et al.&lt;/i&gt;, 2015, 2020)","manualFormatting":"Ortega et al. (2015, 2020)","plainTextFormattedCitation":"(Ortega et al., 2015, 2020)","previouslyFormattedCitation":"(Ortega &lt;i&gt;et al.&lt;/i&gt;, 2015, 2020)"},"properties":{"noteIndex":0},"schema":"https://github.com/citation-style-language/schema/raw/master/csl-citation.json"}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 xml:space="preserve">Ortega </w:t>
            </w:r>
            <w:r w:rsidRPr="00F52323">
              <w:rPr>
                <w:rFonts w:ascii="Arial" w:hAnsi="Arial" w:cs="Arial"/>
                <w:i/>
                <w:noProof/>
                <w:color w:val="000000" w:themeColor="text1"/>
                <w:sz w:val="18"/>
                <w:szCs w:val="18"/>
              </w:rPr>
              <w:t xml:space="preserve">et al. </w:t>
            </w:r>
            <w:r w:rsidRPr="00F52323">
              <w:rPr>
                <w:rFonts w:ascii="Arial" w:hAnsi="Arial" w:cs="Arial"/>
                <w:iCs/>
                <w:noProof/>
                <w:color w:val="000000" w:themeColor="text1"/>
                <w:sz w:val="18"/>
                <w:szCs w:val="18"/>
              </w:rPr>
              <w:t>(</w:t>
            </w:r>
            <w:r w:rsidRPr="00F52323">
              <w:rPr>
                <w:rFonts w:ascii="Arial" w:hAnsi="Arial" w:cs="Arial"/>
                <w:noProof/>
                <w:color w:val="000000" w:themeColor="text1"/>
                <w:sz w:val="18"/>
                <w:szCs w:val="18"/>
              </w:rPr>
              <w:t>2015, 2020)</w:t>
            </w:r>
            <w:r w:rsidRPr="00F52323">
              <w:rPr>
                <w:rFonts w:ascii="Arial" w:hAnsi="Arial" w:cs="Arial"/>
                <w:color w:val="000000" w:themeColor="text1"/>
                <w:sz w:val="18"/>
                <w:szCs w:val="18"/>
              </w:rPr>
              <w:fldChar w:fldCharType="end"/>
            </w:r>
          </w:p>
        </w:tc>
        <w:tc>
          <w:tcPr>
            <w:tcW w:w="842" w:type="dxa"/>
            <w:hideMark/>
          </w:tcPr>
          <w:p w14:paraId="3B438865" w14:textId="1D9651EA"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{"citationItems":[{"id":"ITEM-1","itemData":{"DOI":"10.1007/978-3-030-05843-2_10","ISBN":"978-3-030-05843-2","abstract":"This section provides the input data for two different employment development calculation methods: The quantitative analysis, which looks into the overall number of jobs in renewable and fossil fuel industries and the occupational analysis which looks into specific job categories required for the solar and wind sector as well as the oil, gas, and coal industry. Results are given with various figures and tables.","author":[{"dropping-particle":"","family":"Dominish","given":"Elsa","non-dropping-particle":"","parse-names":false,"suffix":""},{"dropping-particle":"","family":"Briggs","given":"Chris","non-dropping-particle":"","parse-names":false,"suffix":""},{"dropping-particle":"","family":"Teske","given":"Sven","non-dropping-particle":"","parse-names":false,"suffix":""},{"dropping-particle":"","family":"Mey","given":"Franziska","non-dropping-particle":"","parse-names":false,"suffix":""}],"id":"ITEM-1","issued":{"date-parts":[["2019"]]},"number-of-pages":"413-435","publisher":"Springer","publisher-place":"Cham, Switzerland","title":"Just transition: Employment projections for the 2.0 °C and 1.5 °C scenarios. In: Teske, S. (Ed.) Achieving the Paris climate agreement goals.","type":"book"},"uris":["http://www.mendeley.com/documents/?uuid=e36bf5d0-9302-4a5f-9ac2-ec4b40c71091"]}],"mendeley":{"formattedCitation":"(Dominish &lt;i&gt;et al.&lt;/i&gt;, 2019)","manualFormatting":"Dominish et al. (2019)","plainTextFormattedCitation":"(Dominish et al., 2019)","previouslyFormattedCitation":"(Dominish &lt;i&gt;et al.&lt;/i&gt;, 2019)"},"properties":{"noteIndex":0},"schema":"https://github.com/citation-style-language/schema/raw/master/csl-citation.json"}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 xml:space="preserve">Dominish </w:t>
            </w:r>
            <w:r w:rsidRPr="00F52323">
              <w:rPr>
                <w:rFonts w:ascii="Arial" w:hAnsi="Arial" w:cs="Arial"/>
                <w:i/>
                <w:noProof/>
                <w:color w:val="000000" w:themeColor="text1"/>
                <w:sz w:val="18"/>
                <w:szCs w:val="18"/>
              </w:rPr>
              <w:t xml:space="preserve">et al. </w:t>
            </w:r>
            <w:r w:rsidRPr="00F52323">
              <w:rPr>
                <w:rFonts w:ascii="Arial" w:hAnsi="Arial" w:cs="Arial"/>
                <w:noProof/>
                <w:color w:val="000000" w:themeColor="text1"/>
                <w:sz w:val="18"/>
                <w:szCs w:val="18"/>
              </w:rPr>
              <w:t>(2019)</w:t>
            </w:r>
            <w:r w:rsidRPr="00F52323">
              <w:rPr>
                <w:rFonts w:ascii="Arial" w:hAnsi="Arial" w:cs="Arial"/>
                <w:color w:val="000000" w:themeColor="text1"/>
                <w:sz w:val="18"/>
                <w:szCs w:val="18"/>
              </w:rPr>
              <w:fldChar w:fldCharType="end"/>
            </w:r>
          </w:p>
        </w:tc>
        <w:tc>
          <w:tcPr>
            <w:tcW w:w="761" w:type="dxa"/>
            <w:hideMark/>
          </w:tcPr>
          <w:p w14:paraId="30EBF8A0" w14:textId="496DC7B5" w:rsidR="00F52323" w:rsidRPr="00F52323" w:rsidRDefault="00F52323" w:rsidP="00F52323">
            <w:pPr>
              <w:rPr>
                <w:rFonts w:ascii="Arial" w:hAnsi="Arial" w:cs="Arial"/>
                <w:noProof/>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{"citationItems":[{"id":"ITEM-1","itemData":{"DOI":"10.1016/J.SCS.2016.05.013","ISSN":"2210-6707","abstract":"Energy sustainable strategies in Europe advocate increasing the share of electricity generated from renewable energy sources (RES-E) in response to the need of reducing Green House Gas (GHG) emissions. RES-E production is considered to have a prominent role in the crusade against climate change and in Europe's energy security. Renewable energy technology (RET) deployment is also sought for promoting a large number of jobs. Nevertheless, the exact number of jobs created is presented with large discrepancies across recent studies. The use of different methodologies but also the consideration of different assumptions even when the same methodology is applied has implications on the variability of employment estimates. This paper is aimed at providing a clearer understanding of what are the implications of government support for RES-E on jobs, and to see if current claims over employment benefits are too optimistic or even pessimistic in light of these findings. Taking Portugal as a case study, this paper conveys an assessment of the impact of renewable energy targets for electricity generation on employment for the years 2008–2020. The analysis is conducted by means of the Input-Output (IO) approach (quantity and price models) and considering the different life cycle stages of RES-E and conventional electricity (CE) power plants.","author":[{"dropping-particle":"","family":"Henriques","given":"Carla O.","non-dropping-particle":"","parse-names":false,"suffix":""},{"dropping-particle":"","family":"Coelho","given":"Dulce H.","non-dropping-particle":"","parse-names":false,"suffix":""},{"dropping-particle":"","family":"Cassidy","given":"Natalie L.","non-dropping-particle":"","parse-names":false,"suffix":""}],"container-title":"Sustainable Cities and Society","id":"ITEM-1","issued":{"date-parts":[["2016","10","1"]]},"page":"519-530","publisher":"Elsevier","title":"Employment impact assessment of renewable energy targets for electricity generation by 2020—An IO LCA approach","type":"article-journal","volume":"26"},"uris":["http://www.mendeley.com/documents/?uuid=9ccc33f2-2840-3f0e-9304-5c39e9cc1900"]}],"mendeley":{"formattedCitation":"(Henriques, Coelho and Cassidy, 2016)","manualFormatting":"Henriques, Coelho and Cassidy\r(2016)","plainTextFormattedCitation":"(Henriques, Coelho and Cassidy, 2016)","previouslyFormattedCitation":"(Henriques, Coelho and Cassidy, 2016)"},"properties":{"noteIndex":0},"schema":"https://github.com/citation-style-language/schema/raw/master/csl-citation.json"}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Henriques, Coelho and Cassidy</w:t>
            </w:r>
          </w:p>
          <w:p w14:paraId="28D45552" w14:textId="7F71197E" w:rsidR="00F52323" w:rsidRPr="00F52323" w:rsidRDefault="00F52323" w:rsidP="00F52323">
            <w:pPr>
              <w:rPr>
                <w:rFonts w:ascii="Arial" w:hAnsi="Arial" w:cs="Arial"/>
                <w:noProof/>
                <w:color w:val="000000" w:themeColor="text1"/>
                <w:sz w:val="18"/>
                <w:szCs w:val="18"/>
              </w:rPr>
            </w:pPr>
            <w:r w:rsidRPr="00F52323">
              <w:rPr>
                <w:rFonts w:ascii="Arial" w:hAnsi="Arial" w:cs="Arial"/>
                <w:noProof/>
                <w:color w:val="000000" w:themeColor="text1"/>
                <w:sz w:val="18"/>
                <w:szCs w:val="18"/>
              </w:rPr>
              <w:t>(2016)</w:t>
            </w:r>
            <w:r w:rsidRPr="00F52323">
              <w:rPr>
                <w:rFonts w:ascii="Arial" w:hAnsi="Arial" w:cs="Arial"/>
                <w:color w:val="000000" w:themeColor="text1"/>
                <w:sz w:val="18"/>
                <w:szCs w:val="18"/>
              </w:rPr>
              <w:fldChar w:fldCharType="end"/>
            </w:r>
          </w:p>
        </w:tc>
        <w:tc>
          <w:tcPr>
            <w:tcW w:w="711" w:type="dxa"/>
            <w:hideMark/>
          </w:tcPr>
          <w:p w14:paraId="74DA0154" w14:textId="68DEE4E1"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00E540C1">
              <w:rPr>
                <w:rFonts w:ascii="Arial" w:hAnsi="Arial" w:cs="Arial"/>
                <w:color w:val="000000" w:themeColor="text1"/>
                <w:sz w:val="18"/>
                <w:szCs w:val="18"/>
              </w:rPr>
              <w:instrText xml:space="preserve">ADDIN CSL_CITATION {"citationItems":[{"id":"ITEM-1","itemData":{"DOI":"10.1016/J.JOULE.2017.07.005","ISSN":"2542-4351","abstract":"We develop roadmaps to transform the all-purpose energy infrastructures (electricity, transportation, heating/cooling, industry, agriculture/forestry/fishing) of 139 countries to ones powered by wind, water, and sunlight (WWS). The roadmaps envision 80% conversion by 2030 and 100% by 2050. WWS not only replaces business-as-usual (BAU) power, but also reduces it </w:instrText>
            </w:r>
            <w:r w:rsidR="00E540C1">
              <w:rPr>
                <w:rFonts w:ascii="Cambria Math" w:hAnsi="Cambria Math" w:cs="Cambria Math"/>
                <w:color w:val="000000" w:themeColor="text1"/>
                <w:sz w:val="18"/>
                <w:szCs w:val="18"/>
              </w:rPr>
              <w:instrText>∼</w:instrText>
            </w:r>
            <w:r w:rsidR="00E540C1">
              <w:rPr>
                <w:rFonts w:ascii="Arial" w:hAnsi="Arial" w:cs="Arial"/>
                <w:color w:val="000000" w:themeColor="text1"/>
                <w:sz w:val="18"/>
                <w:szCs w:val="18"/>
              </w:rPr>
              <w:instrText xml:space="preserve">42.5% because the work: energy ratio of WWS electricity exceeds that of combustion (23.0%), WWS requires no mining, transporting, or processing of fuels (12.6%), and WWS end-use efficiency is assumed to exceed that of BAU (6.9%). Converting may create </w:instrText>
            </w:r>
            <w:r w:rsidR="00E540C1">
              <w:rPr>
                <w:rFonts w:ascii="Cambria Math" w:hAnsi="Cambria Math" w:cs="Cambria Math"/>
                <w:color w:val="000000" w:themeColor="text1"/>
                <w:sz w:val="18"/>
                <w:szCs w:val="18"/>
              </w:rPr>
              <w:instrText>∼</w:instrText>
            </w:r>
            <w:r w:rsidR="00E540C1">
              <w:rPr>
                <w:rFonts w:ascii="Arial" w:hAnsi="Arial" w:cs="Arial"/>
                <w:color w:val="000000" w:themeColor="text1"/>
                <w:sz w:val="18"/>
                <w:szCs w:val="18"/>
              </w:rPr>
              <w:instrText xml:space="preserve">24.3 million more permanent, full-time jobs than jobs lost. It may avoid </w:instrText>
            </w:r>
            <w:r w:rsidR="00E540C1">
              <w:rPr>
                <w:rFonts w:ascii="Cambria Math" w:hAnsi="Cambria Math" w:cs="Cambria Math"/>
                <w:color w:val="000000" w:themeColor="text1"/>
                <w:sz w:val="18"/>
                <w:szCs w:val="18"/>
              </w:rPr>
              <w:instrText>∼</w:instrText>
            </w:r>
            <w:r w:rsidR="00E540C1">
              <w:rPr>
                <w:rFonts w:ascii="Arial" w:hAnsi="Arial" w:cs="Arial"/>
                <w:color w:val="000000" w:themeColor="text1"/>
                <w:sz w:val="18"/>
                <w:szCs w:val="18"/>
              </w:rPr>
              <w:instrText xml:space="preserve">4.6 million/year premature air-pollution deaths today and </w:instrText>
            </w:r>
            <w:r w:rsidR="00E540C1">
              <w:rPr>
                <w:rFonts w:ascii="Cambria Math" w:hAnsi="Cambria Math" w:cs="Cambria Math"/>
                <w:color w:val="000000" w:themeColor="text1"/>
                <w:sz w:val="18"/>
                <w:szCs w:val="18"/>
              </w:rPr>
              <w:instrText>∼</w:instrText>
            </w:r>
            <w:r w:rsidR="00E540C1">
              <w:rPr>
                <w:rFonts w:ascii="Arial" w:hAnsi="Arial" w:cs="Arial"/>
                <w:color w:val="000000" w:themeColor="text1"/>
                <w:sz w:val="18"/>
                <w:szCs w:val="18"/>
              </w:rPr>
              <w:instrText xml:space="preserve">3.5 million/year in 2050; </w:instrText>
            </w:r>
            <w:r w:rsidR="00E540C1">
              <w:rPr>
                <w:rFonts w:ascii="Cambria Math" w:hAnsi="Cambria Math" w:cs="Cambria Math"/>
                <w:color w:val="000000" w:themeColor="text1"/>
                <w:sz w:val="18"/>
                <w:szCs w:val="18"/>
              </w:rPr>
              <w:instrText>∼</w:instrText>
            </w:r>
            <w:r w:rsidR="00E540C1">
              <w:rPr>
                <w:rFonts w:ascii="Arial" w:hAnsi="Arial" w:cs="Arial"/>
                <w:color w:val="000000" w:themeColor="text1"/>
                <w:sz w:val="18"/>
                <w:szCs w:val="18"/>
              </w:rPr>
              <w:instrText xml:space="preserve">$22.8 trillion/year (12.7 ¢/kWh-BAU-all-energy) in 2050 air-pollution costs; and </w:instrText>
            </w:r>
            <w:r w:rsidR="00E540C1">
              <w:rPr>
                <w:rFonts w:ascii="Cambria Math" w:hAnsi="Cambria Math" w:cs="Cambria Math"/>
                <w:color w:val="000000" w:themeColor="text1"/>
                <w:sz w:val="18"/>
                <w:szCs w:val="18"/>
              </w:rPr>
              <w:instrText>∼</w:instrText>
            </w:r>
            <w:r w:rsidR="00E540C1">
              <w:rPr>
                <w:rFonts w:ascii="Arial" w:hAnsi="Arial" w:cs="Arial"/>
                <w:color w:val="000000" w:themeColor="text1"/>
                <w:sz w:val="18"/>
                <w:szCs w:val="18"/>
              </w:rPr>
              <w:instrText>$28.5 trillion/year (15.8 ¢/kWh-BAU-all-energy) in 2050 climate costs. Transitioning should also stabilize energy prices because fuel costs are zero, reduce power disruption and increase access to energy by decentralizing power, and avoid 1.5°C global warming. For the world to reverse global warming, eliminate millions of annual air-pollution deaths, and provide secure energy, every country must have an energy roadmap based on widely available, reliable, zero-emission energy technologies. This study presents such roadmaps for 139 countries of the world. These roadmaps are far more aggressive than what the Paris agreement calls for, but are still technically and economically feasible. The solution is to electrify all energy sectors (transportation, heating/cooling, industry, agriculture/forestry/fishing) and provide all electricity with 100% wind, water, and solar (WWS) power. If fully implemented by 2050, the roadmaps will enable the world to avoid 1.5°C global warming and millions of annual air-pollution deaths, create 24.3 million net new long-term, full-time jobs, reduce energy costs to society, reduce energy end-use by 42.5%, reduce power disruption, and increase worldwide access to energy. We develop energy roadmaps to significantly slow global warming and nearly eliminate air-pollution mortality in 139 countries. These plans call for electrifying all energy sectors (transportation, heating/cooling, industry, agriculture/forestry/fishing) and providing the electricity with 100% wind, water, and solar (WWS) power. Fully implementing the roadmaps by 2050 avoids 1.5°C global warming and millions of deaths fr…","author":[{"dropping-particle":"","family":"Jacobson","given":"Mark Z.","non-dropping-particle":"","parse-names":false,"suffix":""},{"dropping-particle":"","family":"Delucchi","given":"Mark A.","non-dropping-particle":"","parse-names":false,"suffix":""},{"dropping-particle":"","family":"Bauer","given":"Zack A.F.","non-dropping-particle":"","parse-names":false,"suffix":""},{"dropping-particle":"","family":"Goodman","given":"Savannah C.","non-dropping-particle":"","parse-names":false,"suffix":""},{"dropping-particle":"","family":"Chapman","given":"William E.","non-dropping-particle":"","parse-names":false,"suffix":""},{"dropping-particle":"","family":"Cameron","given":"Mary A.","non-dropping-particle":"","parse-names":false,"suffix":""},{"dropping-particle":"","family":"Bozonnat","given":"Cedric","non-dropping-particle":"","parse-names":false,"suffix":""},{"dropping-particle":"","family":"Chobadi","given":"Liat","non-dropping-particle":"","parse-names":false,"suffix":""},{"dropping-particle":"","family":"Clonts","given":"Hailey A.","non-dropping-particle":"","parse-names":false,"suffix":""},{"dropping-particle":"","family":"Enevoldsen","given":"Peter","non-dropping-particle":"","parse-names":false,"suffix":""},{"dropping-particle":"","family":"Erwin","given":"Jenny R.","non-dropping-particle":"","parse-names":false,"suffix":""},{"dropping-particle":"","family":"Fobi","given":"Simone N.","non-dropping-particle":"","parse-names":false,"suffix":""},{"dropping-particle":"","family":"Goldstrom","given":"Owen K.","non-dropping-particle":"","parse-names":false,"suffix":""},{"dropping-particle":"","family":"Hennessy","given":"Eleanor M.","non-dropping-particle":"","parse-names":false,"suffix":""},{"dropping-particle":"","family":"Liu","given":"Jingyi","non-dropping-particle":"","parse-names":false,"suffix":""},{"dropping-particle":"","family":"Lo","given":"Jonathan","non-dropping-particle":"","parse-names":false,"suffix":""},{"dropping-particle":"","family":"Meyer","given":"Clayton B.","non-dropping-particle":"","parse-names":false,"suffix":""},{"dropping-particle":"","family":"Morris","given":"Sean B.","non-dropping-particle":"","parse-names":false,"suffix":""},{"dropping-particle":"","family":"Moy","given":"Kevin R.","non-dropping-particle":"","parse-names":false,"suffix":""},{"dropping-particle":"","family":"O'Neill","given":"Patrick L.","non-dropping-particle":"","parse-names":false,"suffix":""},{"dropping-particle":"","family":"Petkov","given":"Ivalin","non-dropping-particle":"","parse-names":false,"suffix":""},{"dropping-particle":"","family":"Redfern","given":"Stephanie","non-dropping-particle":"","parse-names":false,"suffix":""},{"dropping-particle":"","family":"Schucker","given":"Robin","non-dropping-particle":"","parse-names":false,"suffix":""},{"dropping-particle":"","family":"Sontag","given":"Michael A.","non-dropping-particle":"","parse-names":false,"suffix":""},{"dropping-particle":"","family":"Wang","given":"Jingfan","non-dropping-particle":"","parse-names":false,"suffix":""},{"dropping-particle":"","family":"Weiner","given":"Eric","non-dropping-particle":"","parse-names":false,"suffix":""},{"dropping-particle":"","family":"Yachanin","given":"Alexander S.","non-dropping-particle":"","parse-names":false,"suffix":""}],"container-title":"Joule","id":"ITEM-1","issue":"1","issued":{"date-parts":[["2017","9","6"]]},"page":"108-121","publisher":"Cell Press","title":"100% clean and renewable wind, water, and sunlight all-sector energy roadmaps for 139 countries of the world","type":"article-journal","volume":"1"},"uris":["http://www.mendeley.com/documents/?uuid=fbfa97b2-0a84-3209-ae67-1797a90e137c"]}],"mendeley":{"formattedCitation":"(Jacobson &lt;i&gt;et al.&lt;/i&gt;, 2017)","manualFormatting":"Jacobson et al. (2017)","plainTextFormattedCitation":"(Jacobson et al., 2017)","previouslyFormattedCitation":"(Jacobson &lt;i&gt;et al.&lt;/i&gt;, 2017)"},"properties":{"noteIndex":0},"schema":"https://github.com/citation-style-language/schema/raw/master/csl-citation.json"}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 xml:space="preserve">Jacobson </w:t>
            </w:r>
            <w:r w:rsidRPr="00F52323">
              <w:rPr>
                <w:rFonts w:ascii="Arial" w:hAnsi="Arial" w:cs="Arial"/>
                <w:i/>
                <w:noProof/>
                <w:color w:val="000000" w:themeColor="text1"/>
                <w:sz w:val="18"/>
                <w:szCs w:val="18"/>
              </w:rPr>
              <w:t xml:space="preserve">et al. </w:t>
            </w:r>
            <w:r w:rsidRPr="00F52323">
              <w:rPr>
                <w:rFonts w:ascii="Arial" w:hAnsi="Arial" w:cs="Arial"/>
                <w:noProof/>
                <w:color w:val="000000" w:themeColor="text1"/>
                <w:sz w:val="18"/>
                <w:szCs w:val="18"/>
              </w:rPr>
              <w:t>(2017)</w:t>
            </w:r>
            <w:r w:rsidRPr="00F52323">
              <w:rPr>
                <w:rFonts w:ascii="Arial" w:hAnsi="Arial" w:cs="Arial"/>
                <w:color w:val="000000" w:themeColor="text1"/>
                <w:sz w:val="18"/>
                <w:szCs w:val="18"/>
              </w:rPr>
              <w:fldChar w:fldCharType="end"/>
            </w:r>
          </w:p>
        </w:tc>
        <w:tc>
          <w:tcPr>
            <w:tcW w:w="829" w:type="dxa"/>
            <w:hideMark/>
          </w:tcPr>
          <w:p w14:paraId="6A71EBD9" w14:textId="5AA8821C"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{"citationItems":[{"id":"ITEM-1","itemData":{"DOI":"10.1016/J.ENPOL.2016.02.055","ISSN":"0301-4215","abstract":"This paper presents for the first time an integrated life cycle sustainability assessment of the electricity sector in Turkey, considering environmental, economic and social aspects. Twenty life cycle sustainability indicators (11 environmental, three economic and six social) are used to evaluate the current electricity options. Geothermal power is the best option for six environmental impacts but it has the highest capital costs. Small reservoir and run-of-river power has the lowest global warming potential while large reservoir is best for the depletion of elements and fossil resources, and acidification. It also has the lowest levelised costs, worker injuries and fatalities but provides the lowest life cycle employment opportunities. Gas power has the lowest capital costs but it provides the lowest direct employment and has the highest levelised costs and ozone layer depletion. Given these trade-offs, a multi-criteria decision analysis has been carried out to identify the most sustainable options assuming different stakeholder preferences. For all the preferences considered, hydropower is the most sustainable option for Turkey, followed by geothermal and wind electricity. This work demonstrates the importance for energy policy of an integrated life cycle sustainability assessment and how tensions between different aspects can be reconciled to identify win-win solutions.","author":[{"dropping-particle":"","family":"Atilgan","given":"Burcin","non-dropping-particle":"","parse-names":false,"suffix":""},{"dropping-particle":"","family":"Azapagic","given":"Adisa","non-dropping-particle":"","parse-names":false,"suffix":""}],"container-title":"Energy Policy","id":"ITEM-1","issued":{"date-parts":[["2016","6","1"]]},"page":"168-186","publisher":"Elsevier","title":"An integrated life cycle sustainability assessment of electricity generation in Turkey","type":"article-journal","volume":"93"},"uris":["http://www.mendeley.com/documents/?uuid=4417b803-c431-3fd2-bc1c-86984429681d"]}],"mendeley":{"formattedCitation":"(Atilgan and Azapagic, 2016)","manualFormatting":"Atilgan and Azapagic (2016)","plainTextFormattedCitation":"(Atilgan and Azapagic, 2016)","previouslyFormattedCitation":"(Atilgan and Azapagic, 2016)"},"properties":{"noteIndex":0},"schema":"https://github.com/citation-style-language/schema/raw/master/csl-citation.json"}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Atilgan and Azapagic (2016)</w:t>
            </w:r>
            <w:r w:rsidRPr="00F52323">
              <w:rPr>
                <w:rFonts w:ascii="Arial" w:hAnsi="Arial" w:cs="Arial"/>
                <w:color w:val="000000" w:themeColor="text1"/>
                <w:sz w:val="18"/>
                <w:szCs w:val="18"/>
              </w:rPr>
              <w:fldChar w:fldCharType="end"/>
            </w:r>
          </w:p>
        </w:tc>
        <w:tc>
          <w:tcPr>
            <w:tcW w:w="892" w:type="dxa"/>
            <w:hideMark/>
          </w:tcPr>
          <w:p w14:paraId="2F71D93F" w14:textId="597ADEA0"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{"citationItems":[{"id":"ITEM-1","itemData":{"DOI":"10.1016/j.techfore.2019.06.008","ISSN":"00401625","abstract":"Aside from reducing the energy sector's negative impacts on the environment, renewable power generation technologies are creating new wealth and becoming important job creators for the 21st century. Employment creation over the duration of the global energy transition is an important aspect to explore, which could have policy ramifications around the world. This research focuses on the employment impact of an accelerated uptake of renewable electricity generation that sees the world derive 100% of its electricity from renewable sources by 2050, in order to meet the goals set by the Paris Agreement. An analytical job creation assessment for the global power sector from 2015 to 2050 is estimated and presented on a regional basis. It is found that the global direct jobs associated with the electricity sector increases from about 21 million in 2015 to nearly 35 million in 2050. Solar PV, batteries and wind power are the major job creating technologies during the energy transition from 2015 to 2050. This is the first global study presenting job creation projections for energy storage. The results indicate that a global energy transition will have an overall positive impact on the future stability and growth of economies around the world.","author":[{"dropping-particle":"","family":"Ram","given":"Manish","non-dropping-particle":"","parse-names":false,"suffix":""},{"dropping-particle":"","family":"Aghahosseini","given":"Arman","non-dropping-particle":"","parse-names":false,"suffix":""},{"dropping-particle":"","family":"Breyer","given":"Christian","non-dropping-particle":"","parse-names":false,"suffix":""}],"container-title":"Technological Forecasting and Social Change","id":"ITEM-1","issued":{"date-parts":[["2020","2","1"]]},"page":"119682","publisher":"Elsevier Inc.","title":"Job creation during the global energy transition towards 100% renewable power system by 2050","type":"article-journal","volume":"151"},"uris":["http://www.mendeley.com/documents/?uuid=278e53cd-1ad1-3f32-9492-8828da56a9dd"]},{"id":"ITEM-2","itemData":{"DOI":"10.1016/J.ENERGY.2021.121690","ISSN":"0360-5442","abstract":"Driven by climate mitigation goals countries around the world are prioritising low-cost renewables for economic growth and recovery from the aftermath of the global pandemic. It is quite clear that sustainable technology choices result in broader socioeconomic benefits, as is shown by countries that have been early movers in transitioning their energy sectors towards higher shares of renewables. There is growing interest in better understanding the direct impact on employment by energy transitions with concerns over jobs lost in the conventional energy sectors, which will be crucial in informing decision making around the world. This research focuses on the net employment impacts of an accelerated uptake of renewable energy that envisages the world deriving 100 % of its energy from renewable sources by 2050, compatible with the ambitious goals of the Paris Agreement. Direct energy jobs associated with the power, heat, transport, and desalination sectors increase substantially from about 57 million in 2020 to nearly 134 million by 2050. Value chains in renewables and sustainable technologies are found to be more labour intensive than extractive fossil fuels. The results indicate that a global energy transition will have positive impacts on future stability and growth of economies around the world.","author":[{"dropping-particle":"","family":"Ram","given":"Manish","non-dropping-particle":"","parse-names":false,"suffix":""},{"dropping-particle":"","family":"Osorio-Aravena","given":"Juan Carlos","non-dropping-particle":"","parse-names":false,"suffix":""},{"dropping-particle":"","family":"Aghahosseini","given":"Arman","non-dropping-particle":"","parse-names":false,"suffix":""},{"dropping-particle":"","family":"Bogdanov","given":"Dmitrii","non-dropping-particle":"","parse-names":false,"suffix":""},{"dropping-particle":"","family":"Breyer","given":"Christian","non-dropping-particle":"","parse-names":false,"suffix":""}],"container-title":"Energy","id":"ITEM-2","issued":{"date-parts":[["2022","1","1"]]},"page":"121690","publisher":"Pergamon","title":"Job creation during a climate compliant global energy transition across the power, heat, transport, and desalination sectors by 2050","type":"article-journal","volume":"238"},"uris":["http://www.mendeley.com/documents/?uuid=2c121a98-a478-319a-8748-dfcc0f25ca01"]}],"mendeley":{"formattedCitation":"(Ram, Aghahosseini and Breyer, 2020; Ram &lt;i&gt;et al.&lt;/i&gt;, 2022)","manualFormatting":"Ram, Aghahosseini and Breyer (2020); Ram et al., (2022)","plainTextFormattedCitation":"(Ram, Aghahosseini and Breyer, 2020; Ram et al., 2022)","previouslyFormattedCitation":"(Ram, Aghahosseini and Breyer, 2020; Ram &lt;i&gt;et al.&lt;/i&gt;, 2022)"},"properties":{"noteIndex":0},"schema":"https://github.com/citation-style-language/schema/raw/master/csl-citation.json"}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 xml:space="preserve">Ram, Aghahosseini and Breyer (2020); Ram </w:t>
            </w:r>
            <w:r w:rsidRPr="00F52323">
              <w:rPr>
                <w:rFonts w:ascii="Arial" w:hAnsi="Arial" w:cs="Arial"/>
                <w:i/>
                <w:noProof/>
                <w:color w:val="000000" w:themeColor="text1"/>
                <w:sz w:val="18"/>
                <w:szCs w:val="18"/>
              </w:rPr>
              <w:t>et al.</w:t>
            </w:r>
            <w:r w:rsidRPr="00F52323">
              <w:rPr>
                <w:rFonts w:ascii="Arial" w:hAnsi="Arial" w:cs="Arial"/>
                <w:noProof/>
                <w:color w:val="000000" w:themeColor="text1"/>
                <w:sz w:val="18"/>
                <w:szCs w:val="18"/>
              </w:rPr>
              <w:t>, (2022)</w:t>
            </w:r>
            <w:r w:rsidRPr="00F52323">
              <w:rPr>
                <w:rFonts w:ascii="Arial" w:hAnsi="Arial" w:cs="Arial"/>
                <w:color w:val="000000" w:themeColor="text1"/>
                <w:sz w:val="18"/>
                <w:szCs w:val="18"/>
              </w:rPr>
              <w:fldChar w:fldCharType="end"/>
            </w:r>
          </w:p>
        </w:tc>
        <w:tc>
          <w:tcPr>
            <w:tcW w:w="829" w:type="dxa"/>
            <w:hideMark/>
          </w:tcPr>
          <w:p w14:paraId="3DA81191" w14:textId="5006D463"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{"citationItems":[{"id":"ITEM-1","itemData":{"DOI":"10.1016/J.ENERGY.2015.08.061","ISSN":"0360-5442","abstract":"There has been an intense debate on the quantification of the employment effects of renewable electricity deployment in the European Union. However, most studies carried out in the past have focused on specific countries and those with a European-wide scope have not provided disaggregated results per country. Furthermore, differences between importing and exporting countries have not been considered. This paper aims to cover those gaps. It presents a novel methodology which integrates the aforementioned considerations in order to calculate the employment effects of renewable energy deployment. The methodology is useful to calculate dynamic employment factors (considering technology learning effects) and the specific capacity (based on trade effects) to which these factors should be applied. It is applied to three renewable energy technologies - photovoltaics, wind on-shore and wind off-shore- in the European Union Member States in the 2008-2012 period. The results using this novel methodology broadly confirm the figures provided in other contributions in the literature. The proposed methodology can be instrumental in assessing the socio-economic effects of policies and investment programmes targeting the deployment of renewable energy technologies.","author":[{"dropping-particle":"","family":"Ortega","given":"Margarita","non-dropping-particle":"","parse-names":false,"suffix":""},{"dropping-particle":"del","family":"Río","given":"Pablo","non-dropping-particle":"","parse-names":false,"suffix":""},{"dropping-particle":"","family":"Ruiz","given":"Pablo","non-dropping-particle":"","parse-names":false,"suffix":""},{"dropping-particle":"","family":"Thiel","given":"Christian","non-dropping-particle":"","parse-names":false,"suffix":""}],"container-title":"Energy","id":"ITEM-1","issued":{"date-parts":[["2015","11","1"]]},"page":"940-951","publisher":"Pergamon","title":"Employment effects of renewable electricity deployment. A novel methodology","type":"article-journal","volume":"91"},"uris":["http://www.mendeley.com/documents/?uuid=2d3aab20-0f25-3a83-8506-832316d9a58c"]},{"id":"ITEM-2","itemData":{"DOI":"10.1016/J.RSER.2019.109657","ISSN":"1364-0321","abstract":"Job creation is arguably an important socioeconomic benefit of renewable energy deployment. In turn, this employment creation may be contingent upon the influence of some key factors, including technology learning, trade effects and policies and may affect different renewable energy technologies and activities of the renewable energy value chain in different ways. This paper estimates the gross employment stemming from the deployment of three renewable electricity technologies – photovoltaics (PV), wind on-shore and wind off-shore – up to 2050 for all Member States of the European Union. It uses a novel analytical methodology which is able to capture the influence of technology learning and internal and external trade. Additionally, it provides highly disaggregated results per activity in the supply chain (manufacturing, installation and O&amp;M), year and country for different technology and policy scenarios. The results show that the employment created by those three technologies can be significant but considerable differences across technologies, activities and countries can be observed. In the analyzed period (2014–2050), most employment will be created in the PV sector, in the operation and maintenance activities and it will be highly geographically concentrated in a few countries. However, job creation will strongly depend on the scenarios and assumptions being made. In particular our findings suggest that the availability of carbon capture and storage will have a considerable influence on the number of jobs being created. In contrast, changes in other assumptions have limited effects on the results: a variable (vs. a constant) learning rate, more restrictive emissions targets by 2050 and higher PV costs.","author":[{"dropping-particle":"","family":"Ortega","given":"Margarita","non-dropping-particle":"","parse-names":false,"suffix":""},{"dropping-particle":"del","family":"Río","given":"Pablo","non-dropping-particle":"","parse-names":false,"suffix":""},{"dropping-particle":"","family":"Ruiz","given":"Pablo","non-dropping-particle":"","parse-names":false,"suffix":""},{"dropping-particle":"","family":"Nijs","given":"Wouter","non-dropping-particle":"","parse-names":false,"suffix":""},{"dropping-particle":"","family":"Politis","given":"Savvas","non-dropping-particle":"","parse-names":false,"suffix":""}],"container-title":"Renewable and Sustainable Energy Reviews","id":"ITEM-2","issued":{"date-parts":[["2020","4","1"]]},"page":"109657","publisher":"Pergamon","title":"Analysing the influence of trade, technology learning and policy on the employment prospects of wind and solar energy deployment: The EU case","type":"article-journal","volume":"122"},"uris":["http://www.mendeley.com/documents/?uuid=eecd8f72-7f54-38ab-aba4-c375c20a6c8f"]}],"mendeley":{"formattedCitation":"(Ortega &lt;i&gt;et al.&lt;/i&gt;, 2015, 2020)","manualFormatting":"Ortega et al. (2015, 2020)","plainTextFormattedCitation":"(Ortega et al., 2015, 2020)","previouslyFormattedCitation":"(Ortega &lt;i&gt;et al.&lt;/i&gt;, 2015, 2020)"},"properties":{"noteIndex":0},"schema":"https://github.com/citation-style-language/schema/raw/master/csl-citation.json"}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 xml:space="preserve">Ortega </w:t>
            </w:r>
            <w:r w:rsidRPr="00F52323">
              <w:rPr>
                <w:rFonts w:ascii="Arial" w:hAnsi="Arial" w:cs="Arial"/>
                <w:i/>
                <w:noProof/>
                <w:color w:val="000000" w:themeColor="text1"/>
                <w:sz w:val="18"/>
                <w:szCs w:val="18"/>
              </w:rPr>
              <w:t xml:space="preserve">et al. </w:t>
            </w:r>
            <w:r w:rsidRPr="00F52323">
              <w:rPr>
                <w:rFonts w:ascii="Arial" w:hAnsi="Arial" w:cs="Arial"/>
                <w:iCs/>
                <w:noProof/>
                <w:color w:val="000000" w:themeColor="text1"/>
                <w:sz w:val="18"/>
                <w:szCs w:val="18"/>
              </w:rPr>
              <w:t>(</w:t>
            </w:r>
            <w:r w:rsidRPr="00F52323">
              <w:rPr>
                <w:rFonts w:ascii="Arial" w:hAnsi="Arial" w:cs="Arial"/>
                <w:noProof/>
                <w:color w:val="000000" w:themeColor="text1"/>
                <w:sz w:val="18"/>
                <w:szCs w:val="18"/>
              </w:rPr>
              <w:t>2015, 2020)</w:t>
            </w:r>
            <w:r w:rsidRPr="00F52323">
              <w:rPr>
                <w:rFonts w:ascii="Arial" w:hAnsi="Arial" w:cs="Arial"/>
                <w:color w:val="000000" w:themeColor="text1"/>
                <w:sz w:val="18"/>
                <w:szCs w:val="18"/>
              </w:rPr>
              <w:fldChar w:fldCharType="end"/>
            </w:r>
          </w:p>
        </w:tc>
        <w:tc>
          <w:tcPr>
            <w:tcW w:w="842" w:type="dxa"/>
            <w:hideMark/>
          </w:tcPr>
          <w:p w14:paraId="73B6ACAF" w14:textId="1AB743A8"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{"citationItems":[{"id":"ITEM-1","itemData":{"DOI":"10.1007/978-3-030-05843-2_10","ISBN":"978-3-030-05843-2","abstract":"This section provides the input data for two different employment development calculation methods: The quantitative analysis, which looks into the overall number of jobs in renewable and fossil fuel industries and the occupational analysis which looks into specific job categories required for the solar and wind sector as well as the oil, gas, and coal industry. Results are given with various figures and tables.","author":[{"dropping-particle":"","family":"Dominish","given":"Elsa","non-dropping-particle":"","parse-names":false,"suffix":""},{"dropping-particle":"","family":"Briggs","given":"Chris","non-dropping-particle":"","parse-names":false,"suffix":""},{"dropping-particle":"","family":"Teske","given":"Sven","non-dropping-particle":"","parse-names":false,"suffix":""},{"dropping-particle":"","family":"Mey","given":"Franziska","non-dropping-particle":"","parse-names":false,"suffix":""}],"id":"ITEM-1","issued":{"date-parts":[["2019"]]},"number-of-pages":"413-435","publisher":"Springer","publisher-place":"Cham, Switzerland","title":"Just transition: Employment projections for the 2.0 °C and 1.5 °C scenarios. In: Teske, S. (Ed.) Achieving the Paris climate agreement goals.","type":"book"},"uris":["http://www.mendeley.com/documents/?uuid=e36bf5d0-9302-4a5f-9ac2-ec4b40c71091"]}],"mendeley":{"formattedCitation":"(Dominish &lt;i&gt;et al.&lt;/i&gt;, 2019)","manualFormatting":"Dominish et al. (2019)","plainTextFormattedCitation":"(Dominish et al., 2019)","previouslyFormattedCitation":"(Dominish &lt;i&gt;et al.&lt;/i&gt;, 2019)"},"properties":{"noteIndex":0},"schema":"https://github.com/citation-style-language/schema/raw/master/csl-citation.json"}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 xml:space="preserve">Dominish </w:t>
            </w:r>
            <w:r w:rsidRPr="00F52323">
              <w:rPr>
                <w:rFonts w:ascii="Arial" w:hAnsi="Arial" w:cs="Arial"/>
                <w:i/>
                <w:noProof/>
                <w:color w:val="000000" w:themeColor="text1"/>
                <w:sz w:val="18"/>
                <w:szCs w:val="18"/>
              </w:rPr>
              <w:t xml:space="preserve">et al. </w:t>
            </w:r>
            <w:r w:rsidRPr="00F52323">
              <w:rPr>
                <w:rFonts w:ascii="Arial" w:hAnsi="Arial" w:cs="Arial"/>
                <w:noProof/>
                <w:color w:val="000000" w:themeColor="text1"/>
                <w:sz w:val="18"/>
                <w:szCs w:val="18"/>
              </w:rPr>
              <w:t>(2019)</w:t>
            </w:r>
            <w:r w:rsidRPr="00F52323">
              <w:rPr>
                <w:rFonts w:ascii="Arial" w:hAnsi="Arial" w:cs="Arial"/>
                <w:color w:val="000000" w:themeColor="text1"/>
                <w:sz w:val="18"/>
                <w:szCs w:val="18"/>
              </w:rPr>
              <w:fldChar w:fldCharType="end"/>
            </w:r>
          </w:p>
        </w:tc>
        <w:tc>
          <w:tcPr>
            <w:tcW w:w="761" w:type="dxa"/>
            <w:hideMark/>
          </w:tcPr>
          <w:p w14:paraId="04F778A7" w14:textId="09744D26" w:rsidR="00F52323" w:rsidRPr="00F52323" w:rsidRDefault="00F52323" w:rsidP="00F52323">
            <w:pPr>
              <w:rPr>
                <w:rFonts w:ascii="Arial" w:hAnsi="Arial" w:cs="Arial"/>
                <w:noProof/>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{"citationItems":[{"id":"ITEM-1","itemData":{"DOI":"10.1016/J.SCS.2016.05.013","ISSN":"2210-6707","abstract":"Energy sustainable strategies in Europe advocate increasing the share of electricity generated from renewable energy sources (RES-E) in response to the need of reducing Green House Gas (GHG) emissions. RES-E production is considered to have a prominent role in the crusade against climate change and in Europe's energy security. Renewable energy technology (RET) deployment is also sought for promoting a large number of jobs. Nevertheless, the exact number of jobs created is presented with large discrepancies across recent studies. The use of different methodologies but also the consideration of different assumptions even when the same methodology is applied has implications on the variability of employment estimates. This paper is aimed at providing a clearer understanding of what are the implications of government support for RES-E on jobs, and to see if current claims over employment benefits are too optimistic or even pessimistic in light of these findings. Taking Portugal as a case study, this paper conveys an assessment of the impact of renewable energy targets for electricity generation on employment for the years 2008–2020. The analysis is conducted by means of the Input-Output (IO) approach (quantity and price models) and considering the different life cycle stages of RES-E and conventional electricity (CE) power plants.","author":[{"dropping-particle":"","family":"Henriques","given":"Carla O.","non-dropping-particle":"","parse-names":false,"suffix":""},{"dropping-particle":"","family":"Coelho","given":"Dulce H.","non-dropping-particle":"","parse-names":false,"suffix":""},{"dropping-particle":"","family":"Cassidy","given":"Natalie L.","non-dropping-particle":"","parse-names":false,"suffix":""}],"container-title":"Sustainable Cities and Society","id":"ITEM-1","issued":{"date-parts":[["2016","10","1"]]},"page":"519-530","publisher":"Elsevier","title":"Employment impact assessment of renewable energy targets for electricity generation by 2020—An IO LCA approach","type":"article-journal","volume":"26"},"uris":["http://www.mendeley.com/documents/?uuid=9ccc33f2-2840-3f0e-9304-5c39e9cc1900"]}],"mendeley":{"formattedCitation":"(Henriques, Coelho and Cassidy, 2016)","manualFormatting":"Henriques, Coelho and Cassidy\r(2016)","plainTextFormattedCitation":"(Henriques, Coelho and Cassidy, 2016)","previouslyFormattedCitation":"(Henriques, Coelho and Cassidy, 2016)"},"properties":{"noteIndex":0},"schema":"https://github.com/citation-style-language/schema/raw/master/csl-citation.json"}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Henriques, Coelho and Cassidy</w:t>
            </w:r>
          </w:p>
          <w:p w14:paraId="420B9A94" w14:textId="24DC56A4" w:rsidR="00F52323" w:rsidRPr="00F52323" w:rsidRDefault="00F52323" w:rsidP="00F52323">
            <w:pPr>
              <w:rPr>
                <w:rFonts w:ascii="Arial" w:hAnsi="Arial" w:cs="Arial"/>
                <w:color w:val="000000" w:themeColor="text1"/>
                <w:sz w:val="18"/>
                <w:szCs w:val="18"/>
              </w:rPr>
            </w:pPr>
            <w:r w:rsidRPr="00F52323">
              <w:rPr>
                <w:rFonts w:ascii="Arial" w:hAnsi="Arial" w:cs="Arial"/>
                <w:noProof/>
                <w:color w:val="000000" w:themeColor="text1"/>
                <w:sz w:val="18"/>
                <w:szCs w:val="18"/>
              </w:rPr>
              <w:t>(2016)</w:t>
            </w:r>
            <w:r w:rsidRPr="00F52323">
              <w:rPr>
                <w:rFonts w:ascii="Arial" w:hAnsi="Arial" w:cs="Arial"/>
                <w:color w:val="000000" w:themeColor="text1"/>
                <w:sz w:val="18"/>
                <w:szCs w:val="18"/>
              </w:rPr>
              <w:fldChar w:fldCharType="end"/>
            </w:r>
          </w:p>
        </w:tc>
        <w:tc>
          <w:tcPr>
            <w:tcW w:w="698" w:type="dxa"/>
            <w:hideMark/>
          </w:tcPr>
          <w:p w14:paraId="5235F3E9" w14:textId="08BE8357"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00E540C1">
              <w:rPr>
                <w:rFonts w:ascii="Arial" w:hAnsi="Arial" w:cs="Arial"/>
                <w:color w:val="000000" w:themeColor="text1"/>
                <w:sz w:val="18"/>
                <w:szCs w:val="18"/>
              </w:rPr>
              <w:instrText xml:space="preserve">ADDIN CSL_CITATION {"citationItems":[{"id":"ITEM-1","itemData":{"DOI":"10.1016/J.JOULE.2017.07.005","ISSN":"2542-4351","abstract":"We develop roadmaps to transform the all-purpose energy infrastructures (electricity, transportation, heating/cooling, industry, agriculture/forestry/fishing) of 139 countries to ones powered by wind, water, and sunlight (WWS). The roadmaps envision 80% conversion by 2030 and 100% by 2050. WWS not only replaces business-as-usual (BAU) power, but also reduces it </w:instrText>
            </w:r>
            <w:r w:rsidR="00E540C1">
              <w:rPr>
                <w:rFonts w:ascii="Cambria Math" w:hAnsi="Cambria Math" w:cs="Cambria Math"/>
                <w:color w:val="000000" w:themeColor="text1"/>
                <w:sz w:val="18"/>
                <w:szCs w:val="18"/>
              </w:rPr>
              <w:instrText>∼</w:instrText>
            </w:r>
            <w:r w:rsidR="00E540C1">
              <w:rPr>
                <w:rFonts w:ascii="Arial" w:hAnsi="Arial" w:cs="Arial"/>
                <w:color w:val="000000" w:themeColor="text1"/>
                <w:sz w:val="18"/>
                <w:szCs w:val="18"/>
              </w:rPr>
              <w:instrText xml:space="preserve">42.5% because the work: energy ratio of WWS electricity exceeds that of combustion (23.0%), WWS requires no mining, transporting, or processing of fuels (12.6%), and WWS end-use efficiency is assumed to exceed that of BAU (6.9%). Converting may create </w:instrText>
            </w:r>
            <w:r w:rsidR="00E540C1">
              <w:rPr>
                <w:rFonts w:ascii="Cambria Math" w:hAnsi="Cambria Math" w:cs="Cambria Math"/>
                <w:color w:val="000000" w:themeColor="text1"/>
                <w:sz w:val="18"/>
                <w:szCs w:val="18"/>
              </w:rPr>
              <w:instrText>∼</w:instrText>
            </w:r>
            <w:r w:rsidR="00E540C1">
              <w:rPr>
                <w:rFonts w:ascii="Arial" w:hAnsi="Arial" w:cs="Arial"/>
                <w:color w:val="000000" w:themeColor="text1"/>
                <w:sz w:val="18"/>
                <w:szCs w:val="18"/>
              </w:rPr>
              <w:instrText xml:space="preserve">24.3 million more permanent, full-time jobs than jobs lost. It may avoid </w:instrText>
            </w:r>
            <w:r w:rsidR="00E540C1">
              <w:rPr>
                <w:rFonts w:ascii="Cambria Math" w:hAnsi="Cambria Math" w:cs="Cambria Math"/>
                <w:color w:val="000000" w:themeColor="text1"/>
                <w:sz w:val="18"/>
                <w:szCs w:val="18"/>
              </w:rPr>
              <w:instrText>∼</w:instrText>
            </w:r>
            <w:r w:rsidR="00E540C1">
              <w:rPr>
                <w:rFonts w:ascii="Arial" w:hAnsi="Arial" w:cs="Arial"/>
                <w:color w:val="000000" w:themeColor="text1"/>
                <w:sz w:val="18"/>
                <w:szCs w:val="18"/>
              </w:rPr>
              <w:instrText xml:space="preserve">4.6 million/year premature air-pollution deaths today and </w:instrText>
            </w:r>
            <w:r w:rsidR="00E540C1">
              <w:rPr>
                <w:rFonts w:ascii="Cambria Math" w:hAnsi="Cambria Math" w:cs="Cambria Math"/>
                <w:color w:val="000000" w:themeColor="text1"/>
                <w:sz w:val="18"/>
                <w:szCs w:val="18"/>
              </w:rPr>
              <w:instrText>∼</w:instrText>
            </w:r>
            <w:r w:rsidR="00E540C1">
              <w:rPr>
                <w:rFonts w:ascii="Arial" w:hAnsi="Arial" w:cs="Arial"/>
                <w:color w:val="000000" w:themeColor="text1"/>
                <w:sz w:val="18"/>
                <w:szCs w:val="18"/>
              </w:rPr>
              <w:instrText xml:space="preserve">3.5 million/year in 2050; </w:instrText>
            </w:r>
            <w:r w:rsidR="00E540C1">
              <w:rPr>
                <w:rFonts w:ascii="Cambria Math" w:hAnsi="Cambria Math" w:cs="Cambria Math"/>
                <w:color w:val="000000" w:themeColor="text1"/>
                <w:sz w:val="18"/>
                <w:szCs w:val="18"/>
              </w:rPr>
              <w:instrText>∼</w:instrText>
            </w:r>
            <w:r w:rsidR="00E540C1">
              <w:rPr>
                <w:rFonts w:ascii="Arial" w:hAnsi="Arial" w:cs="Arial"/>
                <w:color w:val="000000" w:themeColor="text1"/>
                <w:sz w:val="18"/>
                <w:szCs w:val="18"/>
              </w:rPr>
              <w:instrText xml:space="preserve">$22.8 trillion/year (12.7 ¢/kWh-BAU-all-energy) in 2050 air-pollution costs; and </w:instrText>
            </w:r>
            <w:r w:rsidR="00E540C1">
              <w:rPr>
                <w:rFonts w:ascii="Cambria Math" w:hAnsi="Cambria Math" w:cs="Cambria Math"/>
                <w:color w:val="000000" w:themeColor="text1"/>
                <w:sz w:val="18"/>
                <w:szCs w:val="18"/>
              </w:rPr>
              <w:instrText>∼</w:instrText>
            </w:r>
            <w:r w:rsidR="00E540C1">
              <w:rPr>
                <w:rFonts w:ascii="Arial" w:hAnsi="Arial" w:cs="Arial"/>
                <w:color w:val="000000" w:themeColor="text1"/>
                <w:sz w:val="18"/>
                <w:szCs w:val="18"/>
              </w:rPr>
              <w:instrText>$28.5 trillion/year (15.8 ¢/kWh-BAU-all-energy) in 2050 climate costs. Transitioning should also stabilize energy prices because fuel costs are zero, reduce power disruption and increase access to energy by decentralizing power, and avoid 1.5°C global warming. For the world to reverse global warming, eliminate millions of annual air-pollution deaths, and provide secure energy, every country must have an energy roadmap based on widely available, reliable, zero-emission energy technologies. This study presents such roadmaps for 139 countries of the world. These roadmaps are far more aggressive than what the Paris agreement calls for, but are still technically and economically feasible. The solution is to electrify all energy sectors (transportation, heating/cooling, industry, agriculture/forestry/fishing) and provide all electricity with 100% wind, water, and solar (WWS) power. If fully implemented by 2050, the roadmaps will enable the world to avoid 1.5°C global warming and millions of annual air-pollution deaths, create 24.3 million net new long-term, full-time jobs, reduce energy costs to society, reduce energy end-use by 42.5%, reduce power disruption, and increase worldwide access to energy. We develop energy roadmaps to significantly slow global warming and nearly eliminate air-pollution mortality in 139 countries. These plans call for electrifying all energy sectors (transportation, heating/cooling, industry, agriculture/forestry/fishing) and providing the electricity with 100% wind, water, and solar (WWS) power. Fully implementing the roadmaps by 2050 avoids 1.5°C global warming and millions of deaths fr…","author":[{"dropping-particle":"","family":"Jacobson","given":"Mark Z.","non-dropping-particle":"","parse-names":false,"suffix":""},{"dropping-particle":"","family":"Delucchi","given":"Mark A.","non-dropping-particle":"","parse-names":false,"suffix":""},{"dropping-particle":"","family":"Bauer","given":"Zack A.F.","non-dropping-particle":"","parse-names":false,"suffix":""},{"dropping-particle":"","family":"Goodman","given":"Savannah C.","non-dropping-particle":"","parse-names":false,"suffix":""},{"dropping-particle":"","family":"Chapman","given":"William E.","non-dropping-particle":"","parse-names":false,"suffix":""},{"dropping-particle":"","family":"Cameron","given":"Mary A.","non-dropping-particle":"","parse-names":false,"suffix":""},{"dropping-particle":"","family":"Bozonnat","given":"Cedric","non-dropping-particle":"","parse-names":false,"suffix":""},{"dropping-particle":"","family":"Chobadi","given":"Liat","non-dropping-particle":"","parse-names":false,"suffix":""},{"dropping-particle":"","family":"Clonts","given":"Hailey A.","non-dropping-particle":"","parse-names":false,"suffix":""},{"dropping-particle":"","family":"Enevoldsen","given":"Peter","non-dropping-particle":"","parse-names":false,"suffix":""},{"dropping-particle":"","family":"Erwin","given":"Jenny R.","non-dropping-particle":"","parse-names":false,"suffix":""},{"dropping-particle":"","family":"Fobi","given":"Simone N.","non-dropping-particle":"","parse-names":false,"suffix":""},{"dropping-particle":"","family":"Goldstrom","given":"Owen K.","non-dropping-particle":"","parse-names":false,"suffix":""},{"dropping-particle":"","family":"Hennessy","given":"Eleanor M.","non-dropping-particle":"","parse-names":false,"suffix":""},{"dropping-particle":"","family":"Liu","given":"Jingyi","non-dropping-particle":"","parse-names":false,"suffix":""},{"dropping-particle":"","family":"Lo","given":"Jonathan","non-dropping-particle":"","parse-names":false,"suffix":""},{"dropping-particle":"","family":"Meyer","given":"Clayton B.","non-dropping-particle":"","parse-names":false,"suffix":""},{"dropping-particle":"","family":"Morris","given":"Sean B.","non-dropping-particle":"","parse-names":false,"suffix":""},{"dropping-particle":"","family":"Moy","given":"Kevin R.","non-dropping-particle":"","parse-names":false,"suffix":""},{"dropping-particle":"","family":"O'Neill","given":"Patrick L.","non-dropping-particle":"","parse-names":false,"suffix":""},{"dropping-particle":"","family":"Petkov","given":"Ivalin","non-dropping-particle":"","parse-names":false,"suffix":""},{"dropping-particle":"","family":"Redfern","given":"Stephanie","non-dropping-particle":"","parse-names":false,"suffix":""},{"dropping-particle":"","family":"Schucker","given":"Robin","non-dropping-particle":"","parse-names":false,"suffix":""},{"dropping-particle":"","family":"Sontag","given":"Michael A.","non-dropping-particle":"","parse-names":false,"suffix":""},{"dropping-particle":"","family":"Wang","given":"Jingfan","non-dropping-particle":"","parse-names":false,"suffix":""},{"dropping-particle":"","family":"Weiner","given":"Eric","non-dropping-particle":"","parse-names":false,"suffix":""},{"dropping-particle":"","family":"Yachanin","given":"Alexander S.","non-dropping-particle":"","parse-names":false,"suffix":""}],"container-title":"Joule","id":"ITEM-1","issue":"1","issued":{"date-parts":[["2017","9","6"]]},"page":"108-121","publisher":"Cell Press","title":"100% clean and renewable wind, water, and sunlight all-sector energy roadmaps for 139 countries of the world","type":"article-journal","volume":"1"},"uris":["http://www.mendeley.com/documents/?uuid=fbfa97b2-0a84-3209-ae67-1797a90e137c"]}],"mendeley":{"formattedCitation":"(Jacobson &lt;i&gt;et al.&lt;/i&gt;, 2017)","manualFormatting":"Jacobson et al. (2017)","plainTextFormattedCitation":"(Jacobson et al., 2017)","previouslyFormattedCitation":"(Jacobson &lt;i&gt;et al.&lt;/i&gt;, 2017)"},"properties":{"noteIndex":0},"schema":"https://github.com/citation-style-language/schema/raw/master/csl-citation.json"}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 xml:space="preserve">Jacobson </w:t>
            </w:r>
            <w:r w:rsidRPr="00F52323">
              <w:rPr>
                <w:rFonts w:ascii="Arial" w:hAnsi="Arial" w:cs="Arial"/>
                <w:i/>
                <w:noProof/>
                <w:color w:val="000000" w:themeColor="text1"/>
                <w:sz w:val="18"/>
                <w:szCs w:val="18"/>
              </w:rPr>
              <w:t xml:space="preserve">et al. </w:t>
            </w:r>
            <w:r w:rsidRPr="00F52323">
              <w:rPr>
                <w:rFonts w:ascii="Arial" w:hAnsi="Arial" w:cs="Arial"/>
                <w:noProof/>
                <w:color w:val="000000" w:themeColor="text1"/>
                <w:sz w:val="18"/>
                <w:szCs w:val="18"/>
              </w:rPr>
              <w:t>(2017)</w:t>
            </w:r>
            <w:r w:rsidRPr="00F52323">
              <w:rPr>
                <w:rFonts w:ascii="Arial" w:hAnsi="Arial" w:cs="Arial"/>
                <w:color w:val="000000" w:themeColor="text1"/>
                <w:sz w:val="18"/>
                <w:szCs w:val="18"/>
              </w:rPr>
              <w:fldChar w:fldCharType="end"/>
            </w:r>
          </w:p>
        </w:tc>
        <w:tc>
          <w:tcPr>
            <w:tcW w:w="829" w:type="dxa"/>
            <w:hideMark/>
          </w:tcPr>
          <w:p w14:paraId="7ADB0ACE" w14:textId="20FB662D" w:rsidR="00F52323" w:rsidRPr="00F52323" w:rsidRDefault="00F52323" w:rsidP="00F52323">
            <w:pPr>
              <w:rPr>
                <w:rFonts w:ascii="Arial" w:hAnsi="Arial" w:cs="Arial"/>
                <w:color w:val="000000" w:themeColor="text1"/>
                <w:sz w:val="18"/>
                <w:szCs w:val="18"/>
              </w:rPr>
            </w:pPr>
            <w:r w:rsidRPr="00F52323">
              <w:rPr>
                <w:rFonts w:ascii="Arial" w:hAnsi="Arial" w:cs="Arial"/>
                <w:color w:val="000000" w:themeColor="text1"/>
                <w:sz w:val="18"/>
                <w:szCs w:val="18"/>
              </w:rPr>
              <w:fldChar w:fldCharType="begin" w:fldLock="1"/>
            </w:r>
            <w:r w:rsidRPr="00F52323">
              <w:rPr>
                <w:rFonts w:ascii="Arial" w:hAnsi="Arial" w:cs="Arial"/>
                <w:color w:val="000000" w:themeColor="text1"/>
                <w:sz w:val="18"/>
                <w:szCs w:val="18"/>
              </w:rPr>
              <w:instrText>ADDIN CSL_CITATION {"citationItems":[{"id":"ITEM-1","itemData":{"DOI":"10.1016/J.ENPOL.2016.02.055","ISSN":"0301-4215","abstract":"This paper presents for the first time an integrated life cycle sustainability assessment of the electricity sector in Turkey, considering environmental, economic and social aspects. Twenty life cycle sustainability indicators (11 environmental, three economic and six social) are used to evaluate the current electricity options. Geothermal power is the best option for six environmental impacts but it has the highest capital costs. Small reservoir and run-of-river power has the lowest global warming potential while large reservoir is best for the depletion of elements and fossil resources, and acidification. It also has the lowest levelised costs, worker injuries and fatalities but provides the lowest life cycle employment opportunities. Gas power has the lowest capital costs but it provides the lowest direct employment and has the highest levelised costs and ozone layer depletion. Given these trade-offs, a multi-criteria decision analysis has been carried out to identify the most sustainable options assuming different stakeholder preferences. For all the preferences considered, hydropower is the most sustainable option for Turkey, followed by geothermal and wind electricity. This work demonstrates the importance for energy policy of an integrated life cycle sustainability assessment and how tensions between different aspects can be reconciled to identify win-win solutions.","author":[{"dropping-particle":"","family":"Atilgan","given":"Burcin","non-dropping-particle":"","parse-names":false,"suffix":""},{"dropping-particle":"","family":"Azapagic","given":"Adisa","non-dropping-particle":"","parse-names":false,"suffix":""}],"container-title":"Energy Policy","id":"ITEM-1","issued":{"date-parts":[["2016","6","1"]]},"page":"168-186","publisher":"Elsevier","title":"An integrated life cycle sustainability assessment of electricity generation in Turkey","type":"article-journal","volume":"93"},"uris":["http://www.mendeley.com/documents/?uuid=4417b803-c431-3fd2-bc1c-86984429681d"]}],"mendeley":{"formattedCitation":"(Atilgan and Azapagic, 2016)","manualFormatting":"Atilgan and Azapagic (2016)","plainTextFormattedCitation":"(Atilgan and Azapagic, 2016)","previouslyFormattedCitation":"(Atilgan and Azapagic, 2016)"},"properties":{"noteIndex":0},"schema":"https://github.com/citation-style-language/schema/raw/master/csl-citation.json"}</w:instrText>
            </w:r>
            <w:r w:rsidRPr="00F52323">
              <w:rPr>
                <w:rFonts w:ascii="Arial" w:hAnsi="Arial" w:cs="Arial"/>
                <w:color w:val="000000" w:themeColor="text1"/>
                <w:sz w:val="18"/>
                <w:szCs w:val="18"/>
              </w:rPr>
              <w:fldChar w:fldCharType="separate"/>
            </w:r>
            <w:r w:rsidRPr="00F52323">
              <w:rPr>
                <w:rFonts w:ascii="Arial" w:hAnsi="Arial" w:cs="Arial"/>
                <w:noProof/>
                <w:color w:val="000000" w:themeColor="text1"/>
                <w:sz w:val="18"/>
                <w:szCs w:val="18"/>
              </w:rPr>
              <w:t>Atilgan and Azapagic (2016)</w:t>
            </w:r>
            <w:r w:rsidRPr="00F52323">
              <w:rPr>
                <w:rFonts w:ascii="Arial" w:hAnsi="Arial" w:cs="Arial"/>
                <w:color w:val="000000" w:themeColor="text1"/>
                <w:sz w:val="18"/>
                <w:szCs w:val="18"/>
              </w:rPr>
              <w:fldChar w:fldCharType="end"/>
            </w:r>
          </w:p>
        </w:tc>
      </w:tr>
      <w:tr w:rsidR="0047291F" w:rsidRPr="00EA7826" w14:paraId="2A66C4C6" w14:textId="77777777" w:rsidTr="003537A2">
        <w:trPr>
          <w:trHeight w:val="2385"/>
        </w:trPr>
        <w:tc>
          <w:tcPr>
            <w:tcW w:w="841" w:type="dxa"/>
          </w:tcPr>
          <w:p w14:paraId="7D022016" w14:textId="37ECA71C"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Geography</w:t>
            </w:r>
            <w:r>
              <w:rPr>
                <w:rFonts w:ascii="Arial" w:hAnsi="Arial" w:cs="Arial"/>
                <w:b/>
                <w:bCs/>
                <w:color w:val="000000" w:themeColor="text1"/>
                <w:sz w:val="18"/>
                <w:szCs w:val="18"/>
              </w:rPr>
              <w:t xml:space="preserve"> (Timescale)</w:t>
            </w:r>
          </w:p>
          <w:p w14:paraId="084DD070" w14:textId="77777777" w:rsidR="003C6543" w:rsidRPr="00F52323" w:rsidRDefault="003C6543" w:rsidP="003C6543">
            <w:pPr>
              <w:rPr>
                <w:rFonts w:ascii="Arial" w:hAnsi="Arial" w:cs="Arial"/>
                <w:b/>
                <w:bCs/>
                <w:color w:val="000000" w:themeColor="text1"/>
                <w:sz w:val="18"/>
                <w:szCs w:val="18"/>
              </w:rPr>
            </w:pPr>
          </w:p>
        </w:tc>
        <w:tc>
          <w:tcPr>
            <w:tcW w:w="892" w:type="dxa"/>
          </w:tcPr>
          <w:p w14:paraId="5EC12E95" w14:textId="77777777" w:rsidR="003C654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Global</w:t>
            </w:r>
          </w:p>
          <w:p w14:paraId="2C420D83" w14:textId="07C301D4" w:rsidR="003C6543" w:rsidRPr="00F52323" w:rsidRDefault="003C6543" w:rsidP="003C6543">
            <w:pPr>
              <w:rPr>
                <w:rFonts w:ascii="Arial" w:hAnsi="Arial" w:cs="Arial"/>
                <w:color w:val="000000" w:themeColor="text1"/>
                <w:sz w:val="18"/>
                <w:szCs w:val="18"/>
              </w:rPr>
            </w:pPr>
            <w:r>
              <w:rPr>
                <w:rFonts w:ascii="Arial" w:hAnsi="Arial" w:cs="Arial"/>
                <w:color w:val="000000" w:themeColor="text1"/>
                <w:sz w:val="18"/>
                <w:szCs w:val="18"/>
              </w:rPr>
              <w:t>(</w:t>
            </w:r>
            <w:r w:rsidRPr="00F52323">
              <w:rPr>
                <w:rFonts w:ascii="Arial" w:hAnsi="Arial" w:cs="Arial"/>
                <w:color w:val="000000" w:themeColor="text1"/>
                <w:sz w:val="18"/>
                <w:szCs w:val="18"/>
              </w:rPr>
              <w:t>2015 to 2050</w:t>
            </w:r>
            <w:r>
              <w:rPr>
                <w:rFonts w:ascii="Arial" w:hAnsi="Arial" w:cs="Arial"/>
                <w:color w:val="000000" w:themeColor="text1"/>
                <w:sz w:val="18"/>
                <w:szCs w:val="18"/>
              </w:rPr>
              <w:t>)</w:t>
            </w:r>
          </w:p>
        </w:tc>
        <w:tc>
          <w:tcPr>
            <w:tcW w:w="829" w:type="dxa"/>
          </w:tcPr>
          <w:p w14:paraId="481D1FB3" w14:textId="76AFBF5B"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Europe / EU</w:t>
            </w:r>
            <w:r>
              <w:rPr>
                <w:rFonts w:ascii="Arial" w:hAnsi="Arial" w:cs="Arial"/>
                <w:color w:val="000000" w:themeColor="text1"/>
                <w:sz w:val="18"/>
                <w:szCs w:val="18"/>
              </w:rPr>
              <w:t xml:space="preserve"> (</w:t>
            </w:r>
            <w:r w:rsidRPr="00F52323">
              <w:rPr>
                <w:rFonts w:ascii="Arial" w:hAnsi="Arial" w:cs="Arial"/>
                <w:color w:val="000000" w:themeColor="text1"/>
                <w:sz w:val="18"/>
                <w:szCs w:val="18"/>
              </w:rPr>
              <w:t>2008</w:t>
            </w:r>
            <w:r>
              <w:rPr>
                <w:rFonts w:ascii="Arial" w:hAnsi="Arial" w:cs="Arial"/>
                <w:color w:val="000000" w:themeColor="text1"/>
                <w:sz w:val="18"/>
                <w:szCs w:val="18"/>
              </w:rPr>
              <w:t>)</w:t>
            </w:r>
          </w:p>
          <w:p w14:paraId="758175AA" w14:textId="2055E5AE" w:rsidR="003C6543" w:rsidRPr="00F52323" w:rsidRDefault="003C6543" w:rsidP="003C6543">
            <w:pPr>
              <w:rPr>
                <w:rFonts w:ascii="Arial" w:hAnsi="Arial" w:cs="Arial"/>
                <w:color w:val="000000" w:themeColor="text1"/>
                <w:sz w:val="18"/>
                <w:szCs w:val="18"/>
              </w:rPr>
            </w:pPr>
          </w:p>
          <w:p w14:paraId="7D0D3699" w14:textId="77777777" w:rsidR="003C6543" w:rsidRPr="00F52323" w:rsidRDefault="003C6543" w:rsidP="003C6543">
            <w:pPr>
              <w:rPr>
                <w:rFonts w:ascii="Arial" w:hAnsi="Arial" w:cs="Arial"/>
                <w:color w:val="000000" w:themeColor="text1"/>
                <w:sz w:val="18"/>
                <w:szCs w:val="18"/>
              </w:rPr>
            </w:pPr>
          </w:p>
        </w:tc>
        <w:tc>
          <w:tcPr>
            <w:tcW w:w="842" w:type="dxa"/>
          </w:tcPr>
          <w:p w14:paraId="0F71A572" w14:textId="77777777" w:rsidR="003C654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Global</w:t>
            </w:r>
          </w:p>
          <w:p w14:paraId="7EF48DE1" w14:textId="10BB728D" w:rsidR="003C6543" w:rsidRPr="00F52323" w:rsidRDefault="003C6543" w:rsidP="003C6543">
            <w:pPr>
              <w:rPr>
                <w:rFonts w:ascii="Arial" w:hAnsi="Arial" w:cs="Arial"/>
                <w:color w:val="000000" w:themeColor="text1"/>
                <w:sz w:val="18"/>
                <w:szCs w:val="18"/>
              </w:rPr>
            </w:pPr>
            <w:r>
              <w:rPr>
                <w:rFonts w:ascii="Arial" w:hAnsi="Arial" w:cs="Arial"/>
                <w:color w:val="000000" w:themeColor="text1"/>
                <w:sz w:val="18"/>
                <w:szCs w:val="18"/>
              </w:rPr>
              <w:t>(</w:t>
            </w:r>
            <w:r w:rsidRPr="00F52323">
              <w:rPr>
                <w:rFonts w:ascii="Arial" w:hAnsi="Arial" w:cs="Arial"/>
                <w:color w:val="000000" w:themeColor="text1"/>
                <w:sz w:val="18"/>
                <w:szCs w:val="18"/>
              </w:rPr>
              <w:t>2012</w:t>
            </w:r>
            <w:r>
              <w:rPr>
                <w:rFonts w:ascii="Arial" w:hAnsi="Arial" w:cs="Arial"/>
                <w:color w:val="000000" w:themeColor="text1"/>
                <w:sz w:val="18"/>
                <w:szCs w:val="18"/>
              </w:rPr>
              <w:t>)</w:t>
            </w:r>
          </w:p>
        </w:tc>
        <w:tc>
          <w:tcPr>
            <w:tcW w:w="829" w:type="dxa"/>
          </w:tcPr>
          <w:p w14:paraId="0DE9A6F4" w14:textId="77777777" w:rsidR="003C654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Turkey</w:t>
            </w:r>
          </w:p>
          <w:p w14:paraId="06F3EC26" w14:textId="57B6A30D" w:rsidR="003C6543" w:rsidRPr="00F52323" w:rsidRDefault="003C6543" w:rsidP="003C6543">
            <w:pPr>
              <w:rPr>
                <w:rFonts w:ascii="Arial" w:hAnsi="Arial" w:cs="Arial"/>
                <w:color w:val="000000" w:themeColor="text1"/>
                <w:sz w:val="18"/>
                <w:szCs w:val="18"/>
              </w:rPr>
            </w:pPr>
            <w:r>
              <w:rPr>
                <w:rFonts w:ascii="Arial" w:hAnsi="Arial" w:cs="Arial"/>
                <w:color w:val="000000" w:themeColor="text1"/>
                <w:sz w:val="18"/>
                <w:szCs w:val="18"/>
              </w:rPr>
              <w:t>(</w:t>
            </w:r>
            <w:r w:rsidRPr="00F52323">
              <w:rPr>
                <w:rFonts w:ascii="Arial" w:hAnsi="Arial" w:cs="Arial"/>
                <w:color w:val="000000" w:themeColor="text1"/>
                <w:sz w:val="18"/>
                <w:szCs w:val="18"/>
              </w:rPr>
              <w:t>2012</w:t>
            </w:r>
            <w:r>
              <w:rPr>
                <w:rFonts w:ascii="Arial" w:hAnsi="Arial" w:cs="Arial"/>
                <w:color w:val="000000" w:themeColor="text1"/>
                <w:sz w:val="18"/>
                <w:szCs w:val="18"/>
              </w:rPr>
              <w:t>)</w:t>
            </w:r>
          </w:p>
        </w:tc>
        <w:tc>
          <w:tcPr>
            <w:tcW w:w="892" w:type="dxa"/>
          </w:tcPr>
          <w:p w14:paraId="186504EF" w14:textId="69D703BB"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Global</w:t>
            </w:r>
            <w:r>
              <w:rPr>
                <w:rFonts w:ascii="Arial" w:hAnsi="Arial" w:cs="Arial"/>
                <w:color w:val="000000" w:themeColor="text1"/>
                <w:sz w:val="18"/>
                <w:szCs w:val="18"/>
              </w:rPr>
              <w:t xml:space="preserve"> (</w:t>
            </w:r>
            <w:r w:rsidRPr="00F52323">
              <w:rPr>
                <w:rFonts w:ascii="Arial" w:hAnsi="Arial" w:cs="Arial"/>
                <w:color w:val="000000" w:themeColor="text1"/>
                <w:sz w:val="18"/>
                <w:szCs w:val="18"/>
              </w:rPr>
              <w:t>2015 to 2050</w:t>
            </w:r>
            <w:r>
              <w:rPr>
                <w:rFonts w:ascii="Arial" w:hAnsi="Arial" w:cs="Arial"/>
                <w:color w:val="000000" w:themeColor="text1"/>
                <w:sz w:val="18"/>
                <w:szCs w:val="18"/>
              </w:rPr>
              <w:t>)</w:t>
            </w:r>
          </w:p>
          <w:p w14:paraId="56B72793" w14:textId="77777777" w:rsidR="003C6543" w:rsidRPr="00F52323" w:rsidRDefault="003C6543" w:rsidP="003C6543">
            <w:pPr>
              <w:rPr>
                <w:rFonts w:ascii="Arial" w:hAnsi="Arial" w:cs="Arial"/>
                <w:color w:val="000000" w:themeColor="text1"/>
                <w:sz w:val="18"/>
                <w:szCs w:val="18"/>
              </w:rPr>
            </w:pPr>
          </w:p>
        </w:tc>
        <w:tc>
          <w:tcPr>
            <w:tcW w:w="829" w:type="dxa"/>
          </w:tcPr>
          <w:p w14:paraId="19408892" w14:textId="314FDC06"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Europe / EU</w:t>
            </w:r>
            <w:r>
              <w:rPr>
                <w:rFonts w:ascii="Arial" w:hAnsi="Arial" w:cs="Arial"/>
                <w:color w:val="000000" w:themeColor="text1"/>
                <w:sz w:val="18"/>
                <w:szCs w:val="18"/>
              </w:rPr>
              <w:t xml:space="preserve"> (</w:t>
            </w:r>
            <w:r w:rsidRPr="00F52323">
              <w:rPr>
                <w:rFonts w:ascii="Arial" w:hAnsi="Arial" w:cs="Arial"/>
                <w:color w:val="000000" w:themeColor="text1"/>
                <w:sz w:val="18"/>
                <w:szCs w:val="18"/>
              </w:rPr>
              <w:t>2008</w:t>
            </w:r>
            <w:r>
              <w:rPr>
                <w:rFonts w:ascii="Arial" w:hAnsi="Arial" w:cs="Arial"/>
                <w:color w:val="000000" w:themeColor="text1"/>
                <w:sz w:val="18"/>
                <w:szCs w:val="18"/>
              </w:rPr>
              <w:t>)</w:t>
            </w:r>
          </w:p>
          <w:p w14:paraId="767B0D5A" w14:textId="5BC4031B" w:rsidR="003C6543" w:rsidRPr="00F52323" w:rsidRDefault="003C6543" w:rsidP="003C6543">
            <w:pPr>
              <w:rPr>
                <w:rFonts w:ascii="Arial" w:hAnsi="Arial" w:cs="Arial"/>
                <w:color w:val="000000" w:themeColor="text1"/>
                <w:sz w:val="18"/>
                <w:szCs w:val="18"/>
              </w:rPr>
            </w:pPr>
          </w:p>
          <w:p w14:paraId="4B760DF7" w14:textId="77777777" w:rsidR="003C6543" w:rsidRPr="00F52323" w:rsidRDefault="003C6543" w:rsidP="003C6543">
            <w:pPr>
              <w:rPr>
                <w:rFonts w:ascii="Arial" w:hAnsi="Arial" w:cs="Arial"/>
                <w:color w:val="000000" w:themeColor="text1"/>
                <w:sz w:val="18"/>
                <w:szCs w:val="18"/>
              </w:rPr>
            </w:pPr>
          </w:p>
        </w:tc>
        <w:tc>
          <w:tcPr>
            <w:tcW w:w="842" w:type="dxa"/>
          </w:tcPr>
          <w:p w14:paraId="69BC2F4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Global</w:t>
            </w:r>
          </w:p>
          <w:p w14:paraId="0F541178" w14:textId="4CBDC184" w:rsidR="003C6543" w:rsidRPr="00F52323" w:rsidRDefault="003C6543" w:rsidP="003C6543">
            <w:pPr>
              <w:rPr>
                <w:rFonts w:ascii="Arial" w:hAnsi="Arial" w:cs="Arial"/>
                <w:color w:val="000000" w:themeColor="text1"/>
                <w:sz w:val="18"/>
                <w:szCs w:val="18"/>
              </w:rPr>
            </w:pPr>
            <w:r>
              <w:rPr>
                <w:rFonts w:ascii="Arial" w:hAnsi="Arial" w:cs="Arial"/>
                <w:color w:val="000000" w:themeColor="text1"/>
                <w:sz w:val="18"/>
                <w:szCs w:val="18"/>
              </w:rPr>
              <w:t>(</w:t>
            </w:r>
            <w:r w:rsidRPr="00F52323">
              <w:rPr>
                <w:rFonts w:ascii="Arial" w:hAnsi="Arial" w:cs="Arial"/>
                <w:color w:val="000000" w:themeColor="text1"/>
                <w:sz w:val="18"/>
                <w:szCs w:val="18"/>
              </w:rPr>
              <w:t>2012</w:t>
            </w:r>
            <w:r>
              <w:rPr>
                <w:rFonts w:ascii="Arial" w:hAnsi="Arial" w:cs="Arial"/>
                <w:color w:val="000000" w:themeColor="text1"/>
                <w:sz w:val="18"/>
                <w:szCs w:val="18"/>
              </w:rPr>
              <w:t>)</w:t>
            </w:r>
          </w:p>
          <w:p w14:paraId="0B029539" w14:textId="77777777" w:rsidR="003C6543" w:rsidRPr="00F52323" w:rsidRDefault="003C6543" w:rsidP="003C6543">
            <w:pPr>
              <w:rPr>
                <w:rFonts w:ascii="Arial" w:hAnsi="Arial" w:cs="Arial"/>
                <w:color w:val="000000" w:themeColor="text1"/>
                <w:sz w:val="18"/>
                <w:szCs w:val="18"/>
              </w:rPr>
            </w:pPr>
          </w:p>
        </w:tc>
        <w:tc>
          <w:tcPr>
            <w:tcW w:w="761" w:type="dxa"/>
          </w:tcPr>
          <w:p w14:paraId="635452BC" w14:textId="0C716598"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Portugal</w:t>
            </w:r>
            <w:r>
              <w:rPr>
                <w:rFonts w:ascii="Arial" w:hAnsi="Arial" w:cs="Arial"/>
                <w:color w:val="000000" w:themeColor="text1"/>
                <w:sz w:val="18"/>
                <w:szCs w:val="18"/>
              </w:rPr>
              <w:t xml:space="preserve"> (</w:t>
            </w:r>
            <w:r w:rsidRPr="00F52323">
              <w:rPr>
                <w:rFonts w:ascii="Arial" w:hAnsi="Arial" w:cs="Arial"/>
                <w:color w:val="000000" w:themeColor="text1"/>
                <w:sz w:val="18"/>
                <w:szCs w:val="18"/>
              </w:rPr>
              <w:t>2008-2020</w:t>
            </w:r>
            <w:r>
              <w:rPr>
                <w:rFonts w:ascii="Arial" w:hAnsi="Arial" w:cs="Arial"/>
                <w:color w:val="000000" w:themeColor="text1"/>
                <w:sz w:val="18"/>
                <w:szCs w:val="18"/>
              </w:rPr>
              <w:t>)</w:t>
            </w:r>
          </w:p>
          <w:p w14:paraId="736F95AE" w14:textId="34F6E185" w:rsidR="003C6543" w:rsidRPr="00F52323" w:rsidRDefault="003C6543" w:rsidP="003C6543">
            <w:pPr>
              <w:rPr>
                <w:rFonts w:ascii="Arial" w:hAnsi="Arial" w:cs="Arial"/>
                <w:color w:val="000000" w:themeColor="text1"/>
                <w:sz w:val="18"/>
                <w:szCs w:val="18"/>
              </w:rPr>
            </w:pPr>
          </w:p>
          <w:p w14:paraId="7D237309" w14:textId="77777777" w:rsidR="003C6543" w:rsidRPr="00F52323" w:rsidRDefault="003C6543" w:rsidP="003C6543">
            <w:pPr>
              <w:rPr>
                <w:rFonts w:ascii="Arial" w:hAnsi="Arial" w:cs="Arial"/>
                <w:color w:val="000000" w:themeColor="text1"/>
                <w:sz w:val="18"/>
                <w:szCs w:val="18"/>
              </w:rPr>
            </w:pPr>
          </w:p>
        </w:tc>
        <w:tc>
          <w:tcPr>
            <w:tcW w:w="711" w:type="dxa"/>
          </w:tcPr>
          <w:p w14:paraId="452CB4AC" w14:textId="75C1FA92"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Global</w:t>
            </w:r>
            <w:r>
              <w:rPr>
                <w:rFonts w:ascii="Arial" w:hAnsi="Arial" w:cs="Arial"/>
                <w:color w:val="000000" w:themeColor="text1"/>
                <w:sz w:val="18"/>
                <w:szCs w:val="18"/>
              </w:rPr>
              <w:t xml:space="preserve"> (</w:t>
            </w:r>
            <w:r w:rsidRPr="00F52323">
              <w:rPr>
                <w:rFonts w:ascii="Arial" w:hAnsi="Arial" w:cs="Arial"/>
                <w:color w:val="000000" w:themeColor="text1"/>
                <w:sz w:val="18"/>
                <w:szCs w:val="18"/>
              </w:rPr>
              <w:t>2012-2050</w:t>
            </w:r>
            <w:r>
              <w:rPr>
                <w:rFonts w:ascii="Arial" w:hAnsi="Arial" w:cs="Arial"/>
                <w:color w:val="000000" w:themeColor="text1"/>
                <w:sz w:val="18"/>
                <w:szCs w:val="18"/>
              </w:rPr>
              <w:t>)</w:t>
            </w:r>
          </w:p>
          <w:p w14:paraId="54011D79" w14:textId="5F1BF5A3" w:rsidR="003C6543" w:rsidRPr="00F52323" w:rsidRDefault="003C6543" w:rsidP="003C6543">
            <w:pPr>
              <w:rPr>
                <w:rFonts w:ascii="Arial" w:hAnsi="Arial" w:cs="Arial"/>
                <w:color w:val="000000" w:themeColor="text1"/>
                <w:sz w:val="18"/>
                <w:szCs w:val="18"/>
              </w:rPr>
            </w:pPr>
          </w:p>
        </w:tc>
        <w:tc>
          <w:tcPr>
            <w:tcW w:w="829" w:type="dxa"/>
          </w:tcPr>
          <w:p w14:paraId="7192D14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Turkey</w:t>
            </w:r>
          </w:p>
          <w:p w14:paraId="49D498E0" w14:textId="5063ED40" w:rsidR="003C6543" w:rsidRPr="00F52323" w:rsidRDefault="003C6543" w:rsidP="003C6543">
            <w:pPr>
              <w:rPr>
                <w:rFonts w:ascii="Arial" w:hAnsi="Arial" w:cs="Arial"/>
                <w:color w:val="000000" w:themeColor="text1"/>
                <w:sz w:val="18"/>
                <w:szCs w:val="18"/>
              </w:rPr>
            </w:pPr>
            <w:r>
              <w:rPr>
                <w:rFonts w:ascii="Arial" w:hAnsi="Arial" w:cs="Arial"/>
                <w:color w:val="000000" w:themeColor="text1"/>
                <w:sz w:val="18"/>
                <w:szCs w:val="18"/>
              </w:rPr>
              <w:t>(</w:t>
            </w:r>
            <w:r w:rsidRPr="00F52323">
              <w:rPr>
                <w:rFonts w:ascii="Arial" w:hAnsi="Arial" w:cs="Arial"/>
                <w:color w:val="000000" w:themeColor="text1"/>
                <w:sz w:val="18"/>
                <w:szCs w:val="18"/>
              </w:rPr>
              <w:t>2012</w:t>
            </w:r>
            <w:r>
              <w:rPr>
                <w:rFonts w:ascii="Arial" w:hAnsi="Arial" w:cs="Arial"/>
                <w:color w:val="000000" w:themeColor="text1"/>
                <w:sz w:val="18"/>
                <w:szCs w:val="18"/>
              </w:rPr>
              <w:t>)</w:t>
            </w:r>
          </w:p>
        </w:tc>
        <w:tc>
          <w:tcPr>
            <w:tcW w:w="892" w:type="dxa"/>
          </w:tcPr>
          <w:p w14:paraId="7BF9B51E" w14:textId="6F91922B" w:rsidR="003C6543" w:rsidRPr="00F52323" w:rsidRDefault="003C6543" w:rsidP="003C6543">
            <w:pPr>
              <w:rPr>
                <w:rFonts w:ascii="Arial" w:hAnsi="Arial" w:cs="Arial"/>
                <w:color w:val="000000" w:themeColor="text1"/>
                <w:sz w:val="18"/>
                <w:szCs w:val="18"/>
              </w:rPr>
            </w:pPr>
            <w:r>
              <w:rPr>
                <w:rFonts w:ascii="Arial" w:hAnsi="Arial" w:cs="Arial"/>
                <w:color w:val="000000" w:themeColor="text1"/>
                <w:sz w:val="18"/>
                <w:szCs w:val="18"/>
              </w:rPr>
              <w:t>Global (</w:t>
            </w:r>
            <w:r w:rsidRPr="00F52323">
              <w:rPr>
                <w:rFonts w:ascii="Arial" w:hAnsi="Arial" w:cs="Arial"/>
                <w:color w:val="000000" w:themeColor="text1"/>
                <w:sz w:val="18"/>
                <w:szCs w:val="18"/>
              </w:rPr>
              <w:t>2015 to 2050</w:t>
            </w:r>
            <w:r>
              <w:rPr>
                <w:rFonts w:ascii="Arial" w:hAnsi="Arial" w:cs="Arial"/>
                <w:color w:val="000000" w:themeColor="text1"/>
                <w:sz w:val="18"/>
                <w:szCs w:val="18"/>
              </w:rPr>
              <w:t>)</w:t>
            </w:r>
          </w:p>
        </w:tc>
        <w:tc>
          <w:tcPr>
            <w:tcW w:w="829" w:type="dxa"/>
          </w:tcPr>
          <w:p w14:paraId="00896E79" w14:textId="7831124A"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Europe / EU</w:t>
            </w:r>
            <w:r>
              <w:rPr>
                <w:rFonts w:ascii="Arial" w:hAnsi="Arial" w:cs="Arial"/>
                <w:color w:val="000000" w:themeColor="text1"/>
                <w:sz w:val="18"/>
                <w:szCs w:val="18"/>
              </w:rPr>
              <w:t xml:space="preserve"> (2008)</w:t>
            </w:r>
          </w:p>
          <w:p w14:paraId="35A647BF" w14:textId="77777777" w:rsidR="003C6543" w:rsidRPr="00F52323" w:rsidRDefault="003C6543" w:rsidP="003C6543">
            <w:pPr>
              <w:rPr>
                <w:rFonts w:ascii="Arial" w:hAnsi="Arial" w:cs="Arial"/>
                <w:color w:val="000000" w:themeColor="text1"/>
                <w:sz w:val="18"/>
                <w:szCs w:val="18"/>
              </w:rPr>
            </w:pPr>
          </w:p>
        </w:tc>
        <w:tc>
          <w:tcPr>
            <w:tcW w:w="842" w:type="dxa"/>
          </w:tcPr>
          <w:p w14:paraId="471B2A00" w14:textId="2C4F0683"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Global</w:t>
            </w:r>
            <w:r>
              <w:rPr>
                <w:rFonts w:ascii="Arial" w:hAnsi="Arial" w:cs="Arial"/>
                <w:color w:val="000000" w:themeColor="text1"/>
                <w:sz w:val="18"/>
                <w:szCs w:val="18"/>
              </w:rPr>
              <w:t xml:space="preserve"> (2012)</w:t>
            </w:r>
          </w:p>
        </w:tc>
        <w:tc>
          <w:tcPr>
            <w:tcW w:w="761" w:type="dxa"/>
          </w:tcPr>
          <w:p w14:paraId="2B418600" w14:textId="00772F06"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Portu</w:t>
            </w:r>
            <w:r>
              <w:rPr>
                <w:rFonts w:ascii="Arial" w:hAnsi="Arial" w:cs="Arial"/>
                <w:color w:val="000000" w:themeColor="text1"/>
                <w:sz w:val="18"/>
                <w:szCs w:val="18"/>
              </w:rPr>
              <w:t>gal (</w:t>
            </w:r>
            <w:r w:rsidRPr="00F52323">
              <w:rPr>
                <w:rFonts w:ascii="Arial" w:hAnsi="Arial" w:cs="Arial"/>
                <w:color w:val="000000" w:themeColor="text1"/>
                <w:sz w:val="18"/>
                <w:szCs w:val="18"/>
              </w:rPr>
              <w:t>2008-2020</w:t>
            </w:r>
            <w:r>
              <w:rPr>
                <w:rFonts w:ascii="Arial" w:hAnsi="Arial" w:cs="Arial"/>
                <w:color w:val="000000" w:themeColor="text1"/>
                <w:sz w:val="18"/>
                <w:szCs w:val="18"/>
              </w:rPr>
              <w:t>)</w:t>
            </w:r>
          </w:p>
          <w:p w14:paraId="7B8264B6" w14:textId="0BBE6F1E" w:rsidR="003C6543" w:rsidRPr="00F52323" w:rsidRDefault="003C6543" w:rsidP="003C6543">
            <w:pPr>
              <w:rPr>
                <w:rFonts w:ascii="Arial" w:hAnsi="Arial" w:cs="Arial"/>
                <w:color w:val="000000" w:themeColor="text1"/>
                <w:sz w:val="18"/>
                <w:szCs w:val="18"/>
              </w:rPr>
            </w:pPr>
          </w:p>
          <w:p w14:paraId="78272401" w14:textId="77777777" w:rsidR="003C6543" w:rsidRPr="00F52323" w:rsidRDefault="003C6543" w:rsidP="003C6543">
            <w:pPr>
              <w:rPr>
                <w:rFonts w:ascii="Arial" w:hAnsi="Arial" w:cs="Arial"/>
                <w:color w:val="000000" w:themeColor="text1"/>
                <w:sz w:val="18"/>
                <w:szCs w:val="18"/>
              </w:rPr>
            </w:pPr>
          </w:p>
        </w:tc>
        <w:tc>
          <w:tcPr>
            <w:tcW w:w="698" w:type="dxa"/>
          </w:tcPr>
          <w:p w14:paraId="7788E557" w14:textId="213ACDEB"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Global</w:t>
            </w:r>
            <w:r>
              <w:rPr>
                <w:rFonts w:ascii="Arial" w:hAnsi="Arial" w:cs="Arial"/>
                <w:color w:val="000000" w:themeColor="text1"/>
                <w:sz w:val="18"/>
                <w:szCs w:val="18"/>
              </w:rPr>
              <w:t xml:space="preserve"> (</w:t>
            </w:r>
            <w:r w:rsidRPr="00F52323">
              <w:rPr>
                <w:rFonts w:ascii="Arial" w:hAnsi="Arial" w:cs="Arial"/>
                <w:color w:val="000000" w:themeColor="text1"/>
                <w:sz w:val="18"/>
                <w:szCs w:val="18"/>
              </w:rPr>
              <w:t>2012-2050</w:t>
            </w:r>
            <w:r>
              <w:rPr>
                <w:rFonts w:ascii="Arial" w:hAnsi="Arial" w:cs="Arial"/>
                <w:color w:val="000000" w:themeColor="text1"/>
                <w:sz w:val="18"/>
                <w:szCs w:val="18"/>
              </w:rPr>
              <w:t>)</w:t>
            </w:r>
          </w:p>
          <w:p w14:paraId="109D2AAF" w14:textId="59D344EC" w:rsidR="003C6543" w:rsidRPr="00F52323" w:rsidRDefault="003C6543" w:rsidP="003C6543">
            <w:pPr>
              <w:rPr>
                <w:rFonts w:ascii="Arial" w:hAnsi="Arial" w:cs="Arial"/>
                <w:color w:val="000000" w:themeColor="text1"/>
                <w:sz w:val="18"/>
                <w:szCs w:val="18"/>
              </w:rPr>
            </w:pPr>
          </w:p>
        </w:tc>
        <w:tc>
          <w:tcPr>
            <w:tcW w:w="829" w:type="dxa"/>
          </w:tcPr>
          <w:p w14:paraId="4C5A3D2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Turkey</w:t>
            </w:r>
          </w:p>
          <w:p w14:paraId="787B39D6" w14:textId="52771F29" w:rsidR="003C6543" w:rsidRPr="00F52323" w:rsidRDefault="003C6543" w:rsidP="003C6543">
            <w:pPr>
              <w:rPr>
                <w:rFonts w:ascii="Arial" w:hAnsi="Arial" w:cs="Arial"/>
                <w:color w:val="000000" w:themeColor="text1"/>
                <w:sz w:val="18"/>
                <w:szCs w:val="18"/>
              </w:rPr>
            </w:pPr>
            <w:r>
              <w:rPr>
                <w:rFonts w:ascii="Arial" w:hAnsi="Arial" w:cs="Arial"/>
                <w:color w:val="000000" w:themeColor="text1"/>
                <w:sz w:val="18"/>
                <w:szCs w:val="18"/>
              </w:rPr>
              <w:t>(</w:t>
            </w:r>
            <w:r w:rsidRPr="00F52323">
              <w:rPr>
                <w:rFonts w:ascii="Arial" w:hAnsi="Arial" w:cs="Arial"/>
                <w:color w:val="000000" w:themeColor="text1"/>
                <w:sz w:val="18"/>
                <w:szCs w:val="18"/>
              </w:rPr>
              <w:t>2012</w:t>
            </w:r>
            <w:r>
              <w:rPr>
                <w:rFonts w:ascii="Arial" w:hAnsi="Arial" w:cs="Arial"/>
                <w:color w:val="000000" w:themeColor="text1"/>
                <w:sz w:val="18"/>
                <w:szCs w:val="18"/>
              </w:rPr>
              <w:t>)</w:t>
            </w:r>
          </w:p>
        </w:tc>
      </w:tr>
      <w:tr w:rsidR="003C6543" w:rsidRPr="00EA7826" w14:paraId="28AB8053" w14:textId="77777777" w:rsidTr="003537A2">
        <w:trPr>
          <w:trHeight w:val="1410"/>
        </w:trPr>
        <w:tc>
          <w:tcPr>
            <w:tcW w:w="841" w:type="dxa"/>
            <w:noWrap/>
          </w:tcPr>
          <w:p w14:paraId="35954273" w14:textId="77777777" w:rsidR="003C6543" w:rsidRPr="00F52323" w:rsidRDefault="003C6543" w:rsidP="003C6543">
            <w:pPr>
              <w:spacing w:after="160" w:line="259" w:lineRule="auto"/>
              <w:rPr>
                <w:rFonts w:ascii="Arial" w:hAnsi="Arial" w:cs="Arial"/>
                <w:b/>
                <w:bCs/>
                <w:color w:val="000000" w:themeColor="text1"/>
                <w:kern w:val="2"/>
                <w:sz w:val="18"/>
                <w:szCs w:val="18"/>
                <w14:ligatures w14:val="standardContextual"/>
              </w:rPr>
            </w:pPr>
            <w:r w:rsidRPr="00F52323">
              <w:rPr>
                <w:rFonts w:ascii="Arial" w:hAnsi="Arial" w:cs="Arial"/>
                <w:b/>
                <w:bCs/>
                <w:color w:val="000000" w:themeColor="text1"/>
                <w:kern w:val="2"/>
                <w:sz w:val="18"/>
                <w:szCs w:val="18"/>
                <w14:ligatures w14:val="standardContextual"/>
              </w:rPr>
              <w:t>Technology life stage</w:t>
            </w:r>
          </w:p>
          <w:p w14:paraId="2DE9DD6E" w14:textId="77777777" w:rsidR="003C6543" w:rsidRPr="00F52323" w:rsidRDefault="003C6543" w:rsidP="003C6543">
            <w:pPr>
              <w:rPr>
                <w:rFonts w:ascii="Arial" w:hAnsi="Arial" w:cs="Arial"/>
                <w:b/>
                <w:bCs/>
                <w:color w:val="000000" w:themeColor="text1"/>
                <w:sz w:val="18"/>
                <w:szCs w:val="18"/>
              </w:rPr>
            </w:pPr>
          </w:p>
        </w:tc>
        <w:tc>
          <w:tcPr>
            <w:tcW w:w="3392" w:type="dxa"/>
            <w:gridSpan w:val="4"/>
            <w:noWrap/>
          </w:tcPr>
          <w:p w14:paraId="16082A66" w14:textId="0879144F" w:rsidR="003C6543" w:rsidRPr="00F52323" w:rsidRDefault="003C6543" w:rsidP="003C6543">
            <w:pPr>
              <w:rPr>
                <w:rFonts w:ascii="Arial" w:hAnsi="Arial" w:cs="Arial"/>
                <w:color w:val="000000" w:themeColor="text1"/>
                <w:sz w:val="18"/>
                <w:szCs w:val="18"/>
              </w:rPr>
            </w:pPr>
            <w:r w:rsidRPr="00F52323">
              <w:rPr>
                <w:rFonts w:ascii="Arial" w:hAnsi="Arial" w:cs="Arial"/>
                <w:b/>
                <w:bCs/>
                <w:color w:val="000000" w:themeColor="text1"/>
                <w:sz w:val="18"/>
                <w:szCs w:val="18"/>
              </w:rPr>
              <w:t>Manufacturing (job-years /MW)</w:t>
            </w:r>
          </w:p>
        </w:tc>
        <w:tc>
          <w:tcPr>
            <w:tcW w:w="4864" w:type="dxa"/>
            <w:gridSpan w:val="6"/>
            <w:noWrap/>
          </w:tcPr>
          <w:p w14:paraId="0853D69E"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Construction and Installation (job-years /MW)</w:t>
            </w:r>
          </w:p>
          <w:p w14:paraId="1E2B1587" w14:textId="77777777" w:rsidR="003C6543" w:rsidRPr="00F52323" w:rsidRDefault="003C6543" w:rsidP="003C6543">
            <w:pPr>
              <w:rPr>
                <w:rFonts w:ascii="Arial" w:hAnsi="Arial" w:cs="Arial"/>
                <w:color w:val="000000" w:themeColor="text1"/>
                <w:sz w:val="18"/>
                <w:szCs w:val="18"/>
              </w:rPr>
            </w:pPr>
          </w:p>
        </w:tc>
        <w:tc>
          <w:tcPr>
            <w:tcW w:w="4851" w:type="dxa"/>
            <w:gridSpan w:val="6"/>
            <w:noWrap/>
          </w:tcPr>
          <w:p w14:paraId="3B543614" w14:textId="5BD04CF4" w:rsidR="003C6543" w:rsidRPr="00F52323" w:rsidRDefault="003C6543" w:rsidP="003C6543">
            <w:pPr>
              <w:rPr>
                <w:rFonts w:ascii="Arial" w:hAnsi="Arial" w:cs="Arial"/>
                <w:color w:val="000000" w:themeColor="text1"/>
                <w:sz w:val="18"/>
                <w:szCs w:val="18"/>
              </w:rPr>
            </w:pPr>
            <w:r w:rsidRPr="00F52323">
              <w:rPr>
                <w:rFonts w:ascii="Arial" w:hAnsi="Arial" w:cs="Arial"/>
                <w:b/>
                <w:bCs/>
                <w:color w:val="000000" w:themeColor="text1"/>
                <w:sz w:val="18"/>
                <w:szCs w:val="18"/>
              </w:rPr>
              <w:t>Operation and Maintenance (jobs/MW)</w:t>
            </w:r>
          </w:p>
        </w:tc>
      </w:tr>
      <w:tr w:rsidR="0047291F" w:rsidRPr="00EA7826" w14:paraId="4ADB1301" w14:textId="77777777" w:rsidTr="003537A2">
        <w:trPr>
          <w:trHeight w:val="1035"/>
        </w:trPr>
        <w:tc>
          <w:tcPr>
            <w:tcW w:w="841" w:type="dxa"/>
            <w:noWrap/>
            <w:hideMark/>
          </w:tcPr>
          <w:p w14:paraId="2055644B"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Coal</w:t>
            </w:r>
          </w:p>
        </w:tc>
        <w:tc>
          <w:tcPr>
            <w:tcW w:w="892" w:type="dxa"/>
            <w:noWrap/>
            <w:hideMark/>
          </w:tcPr>
          <w:p w14:paraId="06F5631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5.40</w:t>
            </w:r>
          </w:p>
        </w:tc>
        <w:tc>
          <w:tcPr>
            <w:tcW w:w="829" w:type="dxa"/>
            <w:noWrap/>
            <w:hideMark/>
          </w:tcPr>
          <w:p w14:paraId="0EE66A81"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38909CD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5.10</w:t>
            </w:r>
          </w:p>
        </w:tc>
        <w:tc>
          <w:tcPr>
            <w:tcW w:w="829" w:type="dxa"/>
            <w:noWrap/>
            <w:hideMark/>
          </w:tcPr>
          <w:p w14:paraId="1EDDFD56"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7.25</w:t>
            </w:r>
          </w:p>
        </w:tc>
        <w:tc>
          <w:tcPr>
            <w:tcW w:w="892" w:type="dxa"/>
            <w:noWrap/>
            <w:hideMark/>
          </w:tcPr>
          <w:p w14:paraId="454C912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11.20</w:t>
            </w:r>
          </w:p>
        </w:tc>
        <w:tc>
          <w:tcPr>
            <w:tcW w:w="829" w:type="dxa"/>
            <w:noWrap/>
            <w:hideMark/>
          </w:tcPr>
          <w:p w14:paraId="256A496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798E0CD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11.40</w:t>
            </w:r>
          </w:p>
        </w:tc>
        <w:tc>
          <w:tcPr>
            <w:tcW w:w="761" w:type="dxa"/>
            <w:noWrap/>
            <w:hideMark/>
          </w:tcPr>
          <w:p w14:paraId="59907970"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711" w:type="dxa"/>
            <w:noWrap/>
            <w:hideMark/>
          </w:tcPr>
          <w:p w14:paraId="168FA0F8"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29" w:type="dxa"/>
            <w:noWrap/>
            <w:hideMark/>
          </w:tcPr>
          <w:p w14:paraId="1F1F176C"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13.48</w:t>
            </w:r>
          </w:p>
        </w:tc>
        <w:tc>
          <w:tcPr>
            <w:tcW w:w="892" w:type="dxa"/>
            <w:noWrap/>
            <w:hideMark/>
          </w:tcPr>
          <w:p w14:paraId="06D24F1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0.14</w:t>
            </w:r>
          </w:p>
        </w:tc>
        <w:tc>
          <w:tcPr>
            <w:tcW w:w="829" w:type="dxa"/>
            <w:noWrap/>
            <w:hideMark/>
          </w:tcPr>
          <w:p w14:paraId="4D3122C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7110556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0.14</w:t>
            </w:r>
          </w:p>
        </w:tc>
        <w:tc>
          <w:tcPr>
            <w:tcW w:w="761" w:type="dxa"/>
            <w:noWrap/>
            <w:hideMark/>
          </w:tcPr>
          <w:p w14:paraId="1AA94F3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0.16</w:t>
            </w:r>
          </w:p>
        </w:tc>
        <w:tc>
          <w:tcPr>
            <w:tcW w:w="698" w:type="dxa"/>
            <w:noWrap/>
            <w:hideMark/>
          </w:tcPr>
          <w:p w14:paraId="6C5017E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29" w:type="dxa"/>
            <w:noWrap/>
            <w:hideMark/>
          </w:tcPr>
          <w:p w14:paraId="57B160C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0.18</w:t>
            </w:r>
          </w:p>
        </w:tc>
      </w:tr>
      <w:tr w:rsidR="0047291F" w:rsidRPr="00EA7826" w14:paraId="100380A3" w14:textId="77777777" w:rsidTr="003537A2">
        <w:trPr>
          <w:trHeight w:val="1035"/>
        </w:trPr>
        <w:tc>
          <w:tcPr>
            <w:tcW w:w="841" w:type="dxa"/>
            <w:noWrap/>
            <w:hideMark/>
          </w:tcPr>
          <w:p w14:paraId="5174DD3C"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 xml:space="preserve">Natural Gas </w:t>
            </w:r>
          </w:p>
        </w:tc>
        <w:tc>
          <w:tcPr>
            <w:tcW w:w="892" w:type="dxa"/>
            <w:noWrap/>
            <w:hideMark/>
          </w:tcPr>
          <w:p w14:paraId="0B5838C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0.93</w:t>
            </w:r>
          </w:p>
        </w:tc>
        <w:tc>
          <w:tcPr>
            <w:tcW w:w="829" w:type="dxa"/>
            <w:noWrap/>
            <w:hideMark/>
          </w:tcPr>
          <w:p w14:paraId="5286753E"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0B4CB4A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2.90</w:t>
            </w:r>
          </w:p>
        </w:tc>
        <w:tc>
          <w:tcPr>
            <w:tcW w:w="829" w:type="dxa"/>
            <w:noWrap/>
            <w:hideMark/>
          </w:tcPr>
          <w:p w14:paraId="18BB181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2.07</w:t>
            </w:r>
          </w:p>
        </w:tc>
        <w:tc>
          <w:tcPr>
            <w:tcW w:w="892" w:type="dxa"/>
            <w:noWrap/>
            <w:hideMark/>
          </w:tcPr>
          <w:p w14:paraId="5C976D96"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1.30</w:t>
            </w:r>
          </w:p>
        </w:tc>
        <w:tc>
          <w:tcPr>
            <w:tcW w:w="829" w:type="dxa"/>
            <w:noWrap/>
            <w:hideMark/>
          </w:tcPr>
          <w:p w14:paraId="385407C8"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0ABB59E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1.80</w:t>
            </w:r>
          </w:p>
        </w:tc>
        <w:tc>
          <w:tcPr>
            <w:tcW w:w="761" w:type="dxa"/>
            <w:noWrap/>
            <w:hideMark/>
          </w:tcPr>
          <w:p w14:paraId="5074A90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4.10</w:t>
            </w:r>
          </w:p>
        </w:tc>
        <w:tc>
          <w:tcPr>
            <w:tcW w:w="711" w:type="dxa"/>
            <w:noWrap/>
            <w:hideMark/>
          </w:tcPr>
          <w:p w14:paraId="2684DDD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29" w:type="dxa"/>
            <w:noWrap/>
            <w:hideMark/>
          </w:tcPr>
          <w:p w14:paraId="523F3D5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2.98</w:t>
            </w:r>
          </w:p>
        </w:tc>
        <w:tc>
          <w:tcPr>
            <w:tcW w:w="892" w:type="dxa"/>
            <w:noWrap/>
            <w:hideMark/>
          </w:tcPr>
          <w:p w14:paraId="5F215AA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0.14</w:t>
            </w:r>
          </w:p>
        </w:tc>
        <w:tc>
          <w:tcPr>
            <w:tcW w:w="829" w:type="dxa"/>
            <w:noWrap/>
            <w:hideMark/>
          </w:tcPr>
          <w:p w14:paraId="1DA03C1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272D523C"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0.14</w:t>
            </w:r>
          </w:p>
        </w:tc>
        <w:tc>
          <w:tcPr>
            <w:tcW w:w="761" w:type="dxa"/>
            <w:noWrap/>
            <w:hideMark/>
          </w:tcPr>
          <w:p w14:paraId="10B89D85"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0.10</w:t>
            </w:r>
          </w:p>
        </w:tc>
        <w:tc>
          <w:tcPr>
            <w:tcW w:w="698" w:type="dxa"/>
            <w:noWrap/>
            <w:hideMark/>
          </w:tcPr>
          <w:p w14:paraId="157FA301"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29" w:type="dxa"/>
            <w:noWrap/>
            <w:hideMark/>
          </w:tcPr>
          <w:p w14:paraId="5C9D0CDE"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0.14</w:t>
            </w:r>
          </w:p>
        </w:tc>
      </w:tr>
      <w:tr w:rsidR="0047291F" w:rsidRPr="00EA7826" w14:paraId="22462628" w14:textId="77777777" w:rsidTr="003537A2">
        <w:trPr>
          <w:trHeight w:val="1035"/>
        </w:trPr>
        <w:tc>
          <w:tcPr>
            <w:tcW w:w="841" w:type="dxa"/>
            <w:noWrap/>
            <w:hideMark/>
          </w:tcPr>
          <w:p w14:paraId="716A9479"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Nuclear</w:t>
            </w:r>
          </w:p>
        </w:tc>
        <w:tc>
          <w:tcPr>
            <w:tcW w:w="892" w:type="dxa"/>
            <w:noWrap/>
            <w:hideMark/>
          </w:tcPr>
          <w:p w14:paraId="20CEED0E"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1.30</w:t>
            </w:r>
          </w:p>
        </w:tc>
        <w:tc>
          <w:tcPr>
            <w:tcW w:w="829" w:type="dxa"/>
            <w:noWrap/>
            <w:hideMark/>
          </w:tcPr>
          <w:p w14:paraId="3D68F8BE"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7F1B75E0"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1.30</w:t>
            </w:r>
          </w:p>
        </w:tc>
        <w:tc>
          <w:tcPr>
            <w:tcW w:w="829" w:type="dxa"/>
            <w:noWrap/>
            <w:hideMark/>
          </w:tcPr>
          <w:p w14:paraId="5B85FEF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92" w:type="dxa"/>
            <w:noWrap/>
            <w:hideMark/>
          </w:tcPr>
          <w:p w14:paraId="3E926B65"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11.80</w:t>
            </w:r>
          </w:p>
        </w:tc>
        <w:tc>
          <w:tcPr>
            <w:tcW w:w="829" w:type="dxa"/>
            <w:noWrap/>
            <w:hideMark/>
          </w:tcPr>
          <w:p w14:paraId="122EE79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2C778D4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11.80</w:t>
            </w:r>
          </w:p>
        </w:tc>
        <w:tc>
          <w:tcPr>
            <w:tcW w:w="761" w:type="dxa"/>
            <w:noWrap/>
            <w:hideMark/>
          </w:tcPr>
          <w:p w14:paraId="0172EB0E"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711" w:type="dxa"/>
            <w:noWrap/>
            <w:hideMark/>
          </w:tcPr>
          <w:p w14:paraId="30B035E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29" w:type="dxa"/>
            <w:noWrap/>
            <w:hideMark/>
          </w:tcPr>
          <w:p w14:paraId="7310B32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92" w:type="dxa"/>
            <w:noWrap/>
            <w:hideMark/>
          </w:tcPr>
          <w:p w14:paraId="62B5315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0.60</w:t>
            </w:r>
          </w:p>
        </w:tc>
        <w:tc>
          <w:tcPr>
            <w:tcW w:w="829" w:type="dxa"/>
            <w:noWrap/>
            <w:hideMark/>
          </w:tcPr>
          <w:p w14:paraId="5C330DA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2D9FB635"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0.60</w:t>
            </w:r>
          </w:p>
        </w:tc>
        <w:tc>
          <w:tcPr>
            <w:tcW w:w="761" w:type="dxa"/>
            <w:noWrap/>
            <w:hideMark/>
          </w:tcPr>
          <w:p w14:paraId="631DD05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698" w:type="dxa"/>
            <w:noWrap/>
            <w:hideMark/>
          </w:tcPr>
          <w:p w14:paraId="09CF7A1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29" w:type="dxa"/>
            <w:noWrap/>
            <w:hideMark/>
          </w:tcPr>
          <w:p w14:paraId="778AC8CC"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r>
      <w:tr w:rsidR="0047291F" w:rsidRPr="00EA7826" w14:paraId="38846CE5" w14:textId="77777777" w:rsidTr="003537A2">
        <w:trPr>
          <w:trHeight w:val="1035"/>
        </w:trPr>
        <w:tc>
          <w:tcPr>
            <w:tcW w:w="841" w:type="dxa"/>
            <w:noWrap/>
            <w:hideMark/>
          </w:tcPr>
          <w:p w14:paraId="7832A3AB"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Biomass / bioenergy</w:t>
            </w:r>
          </w:p>
        </w:tc>
        <w:tc>
          <w:tcPr>
            <w:tcW w:w="892" w:type="dxa"/>
            <w:noWrap/>
            <w:hideMark/>
          </w:tcPr>
          <w:p w14:paraId="49BDE0D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2.90</w:t>
            </w:r>
          </w:p>
        </w:tc>
        <w:tc>
          <w:tcPr>
            <w:tcW w:w="829" w:type="dxa"/>
            <w:noWrap/>
            <w:hideMark/>
          </w:tcPr>
          <w:p w14:paraId="14676C8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5EBC2BE5"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2.90</w:t>
            </w:r>
          </w:p>
        </w:tc>
        <w:tc>
          <w:tcPr>
            <w:tcW w:w="829" w:type="dxa"/>
            <w:noWrap/>
            <w:hideMark/>
          </w:tcPr>
          <w:p w14:paraId="73ECE5C0"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92" w:type="dxa"/>
            <w:noWrap/>
            <w:hideMark/>
          </w:tcPr>
          <w:p w14:paraId="6236F6B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14.00</w:t>
            </w:r>
          </w:p>
        </w:tc>
        <w:tc>
          <w:tcPr>
            <w:tcW w:w="829" w:type="dxa"/>
            <w:noWrap/>
            <w:hideMark/>
          </w:tcPr>
          <w:p w14:paraId="71A420B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408758C8"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14.00</w:t>
            </w:r>
          </w:p>
        </w:tc>
        <w:tc>
          <w:tcPr>
            <w:tcW w:w="761" w:type="dxa"/>
            <w:noWrap/>
            <w:hideMark/>
          </w:tcPr>
          <w:p w14:paraId="2365BDE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17.67</w:t>
            </w:r>
          </w:p>
        </w:tc>
        <w:tc>
          <w:tcPr>
            <w:tcW w:w="711" w:type="dxa"/>
            <w:noWrap/>
            <w:hideMark/>
          </w:tcPr>
          <w:p w14:paraId="1133518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29" w:type="dxa"/>
            <w:noWrap/>
            <w:hideMark/>
          </w:tcPr>
          <w:p w14:paraId="78CBCFF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92" w:type="dxa"/>
            <w:noWrap/>
            <w:hideMark/>
          </w:tcPr>
          <w:p w14:paraId="3DF5C60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1.50</w:t>
            </w:r>
          </w:p>
        </w:tc>
        <w:tc>
          <w:tcPr>
            <w:tcW w:w="829" w:type="dxa"/>
            <w:noWrap/>
            <w:hideMark/>
          </w:tcPr>
          <w:p w14:paraId="18BA6365"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4183C84C"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1.50</w:t>
            </w:r>
          </w:p>
        </w:tc>
        <w:tc>
          <w:tcPr>
            <w:tcW w:w="761" w:type="dxa"/>
            <w:noWrap/>
            <w:hideMark/>
          </w:tcPr>
          <w:p w14:paraId="77A7E4B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0.20</w:t>
            </w:r>
          </w:p>
        </w:tc>
        <w:tc>
          <w:tcPr>
            <w:tcW w:w="698" w:type="dxa"/>
            <w:noWrap/>
            <w:hideMark/>
          </w:tcPr>
          <w:p w14:paraId="7EFD7FB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29" w:type="dxa"/>
            <w:noWrap/>
            <w:hideMark/>
          </w:tcPr>
          <w:p w14:paraId="5E1A784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r>
      <w:tr w:rsidR="0047291F" w:rsidRPr="00EA7826" w14:paraId="684D26E7" w14:textId="77777777" w:rsidTr="003537A2">
        <w:trPr>
          <w:trHeight w:val="1035"/>
        </w:trPr>
        <w:tc>
          <w:tcPr>
            <w:tcW w:w="841" w:type="dxa"/>
            <w:noWrap/>
            <w:hideMark/>
          </w:tcPr>
          <w:p w14:paraId="4B525CC4"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Geothermal</w:t>
            </w:r>
          </w:p>
        </w:tc>
        <w:tc>
          <w:tcPr>
            <w:tcW w:w="892" w:type="dxa"/>
            <w:noWrap/>
            <w:hideMark/>
          </w:tcPr>
          <w:p w14:paraId="31BDA14C"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3.90</w:t>
            </w:r>
          </w:p>
        </w:tc>
        <w:tc>
          <w:tcPr>
            <w:tcW w:w="829" w:type="dxa"/>
            <w:noWrap/>
            <w:hideMark/>
          </w:tcPr>
          <w:p w14:paraId="52E1AF2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370892F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3.90</w:t>
            </w:r>
          </w:p>
        </w:tc>
        <w:tc>
          <w:tcPr>
            <w:tcW w:w="829" w:type="dxa"/>
            <w:noWrap/>
            <w:hideMark/>
          </w:tcPr>
          <w:p w14:paraId="5EFB62A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8.07</w:t>
            </w:r>
          </w:p>
        </w:tc>
        <w:tc>
          <w:tcPr>
            <w:tcW w:w="892" w:type="dxa"/>
            <w:noWrap/>
            <w:hideMark/>
          </w:tcPr>
          <w:p w14:paraId="6D05693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6.80</w:t>
            </w:r>
          </w:p>
        </w:tc>
        <w:tc>
          <w:tcPr>
            <w:tcW w:w="829" w:type="dxa"/>
            <w:noWrap/>
            <w:hideMark/>
          </w:tcPr>
          <w:p w14:paraId="03A2C2DF"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161A8E9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6.80</w:t>
            </w:r>
          </w:p>
        </w:tc>
        <w:tc>
          <w:tcPr>
            <w:tcW w:w="761" w:type="dxa"/>
            <w:noWrap/>
            <w:hideMark/>
          </w:tcPr>
          <w:p w14:paraId="13DD5628"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711" w:type="dxa"/>
            <w:noWrap/>
            <w:hideMark/>
          </w:tcPr>
          <w:p w14:paraId="2D3EF67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31.78</w:t>
            </w:r>
          </w:p>
        </w:tc>
        <w:tc>
          <w:tcPr>
            <w:tcW w:w="829" w:type="dxa"/>
            <w:noWrap/>
            <w:hideMark/>
          </w:tcPr>
          <w:p w14:paraId="63818346"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12.08</w:t>
            </w:r>
          </w:p>
        </w:tc>
        <w:tc>
          <w:tcPr>
            <w:tcW w:w="892" w:type="dxa"/>
            <w:noWrap/>
            <w:hideMark/>
          </w:tcPr>
          <w:p w14:paraId="7A960B0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0.40</w:t>
            </w:r>
          </w:p>
        </w:tc>
        <w:tc>
          <w:tcPr>
            <w:tcW w:w="829" w:type="dxa"/>
            <w:noWrap/>
            <w:hideMark/>
          </w:tcPr>
          <w:p w14:paraId="69326D1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4E8F683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0.40</w:t>
            </w:r>
          </w:p>
        </w:tc>
        <w:tc>
          <w:tcPr>
            <w:tcW w:w="761" w:type="dxa"/>
            <w:noWrap/>
            <w:hideMark/>
          </w:tcPr>
          <w:p w14:paraId="6E9DD88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0.05</w:t>
            </w:r>
          </w:p>
        </w:tc>
        <w:tc>
          <w:tcPr>
            <w:tcW w:w="698" w:type="dxa"/>
            <w:noWrap/>
            <w:hideMark/>
          </w:tcPr>
          <w:p w14:paraId="3889798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0.46</w:t>
            </w:r>
          </w:p>
        </w:tc>
        <w:tc>
          <w:tcPr>
            <w:tcW w:w="829" w:type="dxa"/>
            <w:noWrap/>
            <w:hideMark/>
          </w:tcPr>
          <w:p w14:paraId="0D073371"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0.71</w:t>
            </w:r>
          </w:p>
        </w:tc>
      </w:tr>
      <w:tr w:rsidR="0047291F" w:rsidRPr="00EA7826" w14:paraId="0284441B" w14:textId="77777777" w:rsidTr="003537A2">
        <w:trPr>
          <w:trHeight w:val="1035"/>
        </w:trPr>
        <w:tc>
          <w:tcPr>
            <w:tcW w:w="841" w:type="dxa"/>
            <w:noWrap/>
            <w:hideMark/>
          </w:tcPr>
          <w:p w14:paraId="72DA563D"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Hydro (Large or Dam)</w:t>
            </w:r>
          </w:p>
        </w:tc>
        <w:tc>
          <w:tcPr>
            <w:tcW w:w="892" w:type="dxa"/>
            <w:noWrap/>
            <w:hideMark/>
          </w:tcPr>
          <w:p w14:paraId="3D2B58B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3.50</w:t>
            </w:r>
          </w:p>
        </w:tc>
        <w:tc>
          <w:tcPr>
            <w:tcW w:w="829" w:type="dxa"/>
            <w:noWrap/>
            <w:hideMark/>
          </w:tcPr>
          <w:p w14:paraId="42F68C4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0770D4BE"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3.90</w:t>
            </w:r>
          </w:p>
        </w:tc>
        <w:tc>
          <w:tcPr>
            <w:tcW w:w="829" w:type="dxa"/>
            <w:noWrap/>
            <w:hideMark/>
          </w:tcPr>
          <w:p w14:paraId="0E9E390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1.50</w:t>
            </w:r>
          </w:p>
        </w:tc>
        <w:tc>
          <w:tcPr>
            <w:tcW w:w="892" w:type="dxa"/>
            <w:noWrap/>
            <w:hideMark/>
          </w:tcPr>
          <w:p w14:paraId="66FF216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7.40</w:t>
            </w:r>
          </w:p>
        </w:tc>
        <w:tc>
          <w:tcPr>
            <w:tcW w:w="829" w:type="dxa"/>
            <w:noWrap/>
            <w:hideMark/>
          </w:tcPr>
          <w:p w14:paraId="64B248E8"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26A3E538"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7.50</w:t>
            </w:r>
          </w:p>
        </w:tc>
        <w:tc>
          <w:tcPr>
            <w:tcW w:w="761" w:type="dxa"/>
            <w:noWrap/>
            <w:hideMark/>
          </w:tcPr>
          <w:p w14:paraId="789D4F4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10.50</w:t>
            </w:r>
          </w:p>
        </w:tc>
        <w:tc>
          <w:tcPr>
            <w:tcW w:w="711" w:type="dxa"/>
            <w:noWrap/>
            <w:hideMark/>
          </w:tcPr>
          <w:p w14:paraId="45F6A6D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29" w:type="dxa"/>
            <w:noWrap/>
            <w:hideMark/>
          </w:tcPr>
          <w:p w14:paraId="226B565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6.00</w:t>
            </w:r>
          </w:p>
        </w:tc>
        <w:tc>
          <w:tcPr>
            <w:tcW w:w="892" w:type="dxa"/>
            <w:noWrap/>
            <w:hideMark/>
          </w:tcPr>
          <w:p w14:paraId="0ADCA925"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0.20</w:t>
            </w:r>
          </w:p>
        </w:tc>
        <w:tc>
          <w:tcPr>
            <w:tcW w:w="829" w:type="dxa"/>
            <w:noWrap/>
            <w:hideMark/>
          </w:tcPr>
          <w:p w14:paraId="4E5199E0"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2B891160"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0.20</w:t>
            </w:r>
          </w:p>
        </w:tc>
        <w:tc>
          <w:tcPr>
            <w:tcW w:w="761" w:type="dxa"/>
            <w:noWrap/>
            <w:hideMark/>
          </w:tcPr>
          <w:p w14:paraId="446C520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0.20</w:t>
            </w:r>
          </w:p>
        </w:tc>
        <w:tc>
          <w:tcPr>
            <w:tcW w:w="698" w:type="dxa"/>
            <w:noWrap/>
            <w:hideMark/>
          </w:tcPr>
          <w:p w14:paraId="0A940C06"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29" w:type="dxa"/>
            <w:noWrap/>
            <w:hideMark/>
          </w:tcPr>
          <w:p w14:paraId="6C9DF31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0.30</w:t>
            </w:r>
          </w:p>
        </w:tc>
      </w:tr>
      <w:tr w:rsidR="0047291F" w:rsidRPr="00EA7826" w14:paraId="7B74E229" w14:textId="77777777" w:rsidTr="003537A2">
        <w:trPr>
          <w:trHeight w:val="1035"/>
        </w:trPr>
        <w:tc>
          <w:tcPr>
            <w:tcW w:w="841" w:type="dxa"/>
            <w:noWrap/>
            <w:hideMark/>
          </w:tcPr>
          <w:p w14:paraId="27356580"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Hydro (Small or Run of River)</w:t>
            </w:r>
          </w:p>
        </w:tc>
        <w:tc>
          <w:tcPr>
            <w:tcW w:w="892" w:type="dxa"/>
            <w:noWrap/>
            <w:hideMark/>
          </w:tcPr>
          <w:p w14:paraId="4683A0F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8.75</w:t>
            </w:r>
          </w:p>
        </w:tc>
        <w:tc>
          <w:tcPr>
            <w:tcW w:w="829" w:type="dxa"/>
            <w:noWrap/>
            <w:hideMark/>
          </w:tcPr>
          <w:p w14:paraId="42C3F150"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720D570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11.10</w:t>
            </w:r>
          </w:p>
        </w:tc>
        <w:tc>
          <w:tcPr>
            <w:tcW w:w="829" w:type="dxa"/>
            <w:noWrap/>
            <w:hideMark/>
          </w:tcPr>
          <w:p w14:paraId="04CFFCD6"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7.25</w:t>
            </w:r>
          </w:p>
        </w:tc>
        <w:tc>
          <w:tcPr>
            <w:tcW w:w="892" w:type="dxa"/>
            <w:noWrap/>
            <w:hideMark/>
          </w:tcPr>
          <w:p w14:paraId="3A23633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18.50</w:t>
            </w:r>
          </w:p>
        </w:tc>
        <w:tc>
          <w:tcPr>
            <w:tcW w:w="829" w:type="dxa"/>
            <w:noWrap/>
            <w:hideMark/>
          </w:tcPr>
          <w:p w14:paraId="7AA183F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2150EF9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15.80</w:t>
            </w:r>
          </w:p>
        </w:tc>
        <w:tc>
          <w:tcPr>
            <w:tcW w:w="761" w:type="dxa"/>
            <w:noWrap/>
            <w:hideMark/>
          </w:tcPr>
          <w:p w14:paraId="3904C26F"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17.22</w:t>
            </w:r>
          </w:p>
        </w:tc>
        <w:tc>
          <w:tcPr>
            <w:tcW w:w="711" w:type="dxa"/>
            <w:noWrap/>
            <w:hideMark/>
          </w:tcPr>
          <w:p w14:paraId="06A3EDD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29" w:type="dxa"/>
            <w:noWrap/>
            <w:hideMark/>
          </w:tcPr>
          <w:p w14:paraId="59E8694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12.97</w:t>
            </w:r>
          </w:p>
        </w:tc>
        <w:tc>
          <w:tcPr>
            <w:tcW w:w="892" w:type="dxa"/>
            <w:noWrap/>
            <w:hideMark/>
          </w:tcPr>
          <w:p w14:paraId="441BEBF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0.50</w:t>
            </w:r>
          </w:p>
        </w:tc>
        <w:tc>
          <w:tcPr>
            <w:tcW w:w="829" w:type="dxa"/>
            <w:noWrap/>
            <w:hideMark/>
          </w:tcPr>
          <w:p w14:paraId="7E3913E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6EBDCB0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4.90</w:t>
            </w:r>
          </w:p>
        </w:tc>
        <w:tc>
          <w:tcPr>
            <w:tcW w:w="761" w:type="dxa"/>
            <w:noWrap/>
            <w:hideMark/>
          </w:tcPr>
          <w:p w14:paraId="0222AF4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0.18</w:t>
            </w:r>
          </w:p>
        </w:tc>
        <w:tc>
          <w:tcPr>
            <w:tcW w:w="698" w:type="dxa"/>
            <w:noWrap/>
            <w:hideMark/>
          </w:tcPr>
          <w:p w14:paraId="07AAE148"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29" w:type="dxa"/>
            <w:noWrap/>
            <w:hideMark/>
          </w:tcPr>
          <w:p w14:paraId="41913A4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0.76</w:t>
            </w:r>
          </w:p>
        </w:tc>
      </w:tr>
      <w:tr w:rsidR="0047291F" w:rsidRPr="00EA7826" w14:paraId="364F8E94" w14:textId="77777777" w:rsidTr="003537A2">
        <w:trPr>
          <w:trHeight w:val="1035"/>
        </w:trPr>
        <w:tc>
          <w:tcPr>
            <w:tcW w:w="841" w:type="dxa"/>
            <w:noWrap/>
            <w:hideMark/>
          </w:tcPr>
          <w:p w14:paraId="4E153AE6"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Hydro (All)</w:t>
            </w:r>
          </w:p>
        </w:tc>
        <w:tc>
          <w:tcPr>
            <w:tcW w:w="892" w:type="dxa"/>
            <w:noWrap/>
            <w:hideMark/>
          </w:tcPr>
          <w:p w14:paraId="1F817B1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6.13</w:t>
            </w:r>
          </w:p>
        </w:tc>
        <w:tc>
          <w:tcPr>
            <w:tcW w:w="829" w:type="dxa"/>
            <w:noWrap/>
            <w:hideMark/>
          </w:tcPr>
          <w:p w14:paraId="455B427F"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5912DD9F"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7.50</w:t>
            </w:r>
          </w:p>
        </w:tc>
        <w:tc>
          <w:tcPr>
            <w:tcW w:w="829" w:type="dxa"/>
            <w:noWrap/>
            <w:hideMark/>
          </w:tcPr>
          <w:p w14:paraId="43CD14A6"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4.38</w:t>
            </w:r>
          </w:p>
        </w:tc>
        <w:tc>
          <w:tcPr>
            <w:tcW w:w="892" w:type="dxa"/>
            <w:noWrap/>
            <w:hideMark/>
          </w:tcPr>
          <w:p w14:paraId="2D9DEFC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12.95</w:t>
            </w:r>
          </w:p>
        </w:tc>
        <w:tc>
          <w:tcPr>
            <w:tcW w:w="829" w:type="dxa"/>
            <w:noWrap/>
            <w:hideMark/>
          </w:tcPr>
          <w:p w14:paraId="1F03BBF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6D4DFDE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11.65</w:t>
            </w:r>
          </w:p>
        </w:tc>
        <w:tc>
          <w:tcPr>
            <w:tcW w:w="761" w:type="dxa"/>
            <w:noWrap/>
            <w:hideMark/>
          </w:tcPr>
          <w:p w14:paraId="6412F36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13.86</w:t>
            </w:r>
          </w:p>
        </w:tc>
        <w:tc>
          <w:tcPr>
            <w:tcW w:w="711" w:type="dxa"/>
            <w:noWrap/>
            <w:hideMark/>
          </w:tcPr>
          <w:p w14:paraId="4610270F"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12.00</w:t>
            </w:r>
          </w:p>
        </w:tc>
        <w:tc>
          <w:tcPr>
            <w:tcW w:w="829" w:type="dxa"/>
            <w:noWrap/>
            <w:hideMark/>
          </w:tcPr>
          <w:p w14:paraId="74B73B38"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9.49</w:t>
            </w:r>
          </w:p>
        </w:tc>
        <w:tc>
          <w:tcPr>
            <w:tcW w:w="892" w:type="dxa"/>
            <w:noWrap/>
            <w:hideMark/>
          </w:tcPr>
          <w:p w14:paraId="3467CC3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0.35</w:t>
            </w:r>
          </w:p>
        </w:tc>
        <w:tc>
          <w:tcPr>
            <w:tcW w:w="829" w:type="dxa"/>
            <w:noWrap/>
            <w:hideMark/>
          </w:tcPr>
          <w:p w14:paraId="0D11C04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42" w:type="dxa"/>
            <w:noWrap/>
            <w:hideMark/>
          </w:tcPr>
          <w:p w14:paraId="7D0A5861"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2.55</w:t>
            </w:r>
          </w:p>
        </w:tc>
        <w:tc>
          <w:tcPr>
            <w:tcW w:w="761" w:type="dxa"/>
            <w:noWrap/>
            <w:hideMark/>
          </w:tcPr>
          <w:p w14:paraId="10ED735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0.19</w:t>
            </w:r>
          </w:p>
        </w:tc>
        <w:tc>
          <w:tcPr>
            <w:tcW w:w="698" w:type="dxa"/>
            <w:noWrap/>
            <w:hideMark/>
          </w:tcPr>
          <w:p w14:paraId="006F361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0.30</w:t>
            </w:r>
          </w:p>
        </w:tc>
        <w:tc>
          <w:tcPr>
            <w:tcW w:w="829" w:type="dxa"/>
            <w:noWrap/>
            <w:hideMark/>
          </w:tcPr>
          <w:p w14:paraId="457BB806"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0.53</w:t>
            </w:r>
          </w:p>
        </w:tc>
      </w:tr>
      <w:tr w:rsidR="0047291F" w:rsidRPr="00EA7826" w14:paraId="681A615A" w14:textId="77777777" w:rsidTr="003537A2">
        <w:trPr>
          <w:trHeight w:val="1035"/>
        </w:trPr>
        <w:tc>
          <w:tcPr>
            <w:tcW w:w="841" w:type="dxa"/>
            <w:noWrap/>
            <w:hideMark/>
          </w:tcPr>
          <w:p w14:paraId="251DA540"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Solar PV (All)</w:t>
            </w:r>
          </w:p>
        </w:tc>
        <w:tc>
          <w:tcPr>
            <w:tcW w:w="892" w:type="dxa"/>
            <w:noWrap/>
            <w:hideMark/>
          </w:tcPr>
          <w:p w14:paraId="7D5947C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6.70</w:t>
            </w:r>
          </w:p>
        </w:tc>
        <w:tc>
          <w:tcPr>
            <w:tcW w:w="829" w:type="dxa"/>
            <w:noWrap/>
            <w:hideMark/>
          </w:tcPr>
          <w:p w14:paraId="6523EB6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9.88</w:t>
            </w:r>
          </w:p>
        </w:tc>
        <w:tc>
          <w:tcPr>
            <w:tcW w:w="842" w:type="dxa"/>
            <w:noWrap/>
            <w:hideMark/>
          </w:tcPr>
          <w:p w14:paraId="2E0B5C6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6.70</w:t>
            </w:r>
          </w:p>
        </w:tc>
        <w:tc>
          <w:tcPr>
            <w:tcW w:w="829" w:type="dxa"/>
            <w:noWrap/>
            <w:hideMark/>
          </w:tcPr>
          <w:p w14:paraId="04E406C1"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92" w:type="dxa"/>
            <w:noWrap/>
            <w:hideMark/>
          </w:tcPr>
          <w:p w14:paraId="3AE3C3D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19.50</w:t>
            </w:r>
          </w:p>
        </w:tc>
        <w:tc>
          <w:tcPr>
            <w:tcW w:w="829" w:type="dxa"/>
            <w:noWrap/>
            <w:hideMark/>
          </w:tcPr>
          <w:p w14:paraId="4EDD3C5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5.28</w:t>
            </w:r>
          </w:p>
        </w:tc>
        <w:tc>
          <w:tcPr>
            <w:tcW w:w="842" w:type="dxa"/>
            <w:noWrap/>
            <w:hideMark/>
          </w:tcPr>
          <w:p w14:paraId="1860ADA6"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13.00</w:t>
            </w:r>
          </w:p>
        </w:tc>
        <w:tc>
          <w:tcPr>
            <w:tcW w:w="761" w:type="dxa"/>
            <w:noWrap/>
            <w:hideMark/>
          </w:tcPr>
          <w:p w14:paraId="4FF27D30"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25.17</w:t>
            </w:r>
          </w:p>
        </w:tc>
        <w:tc>
          <w:tcPr>
            <w:tcW w:w="711" w:type="dxa"/>
            <w:noWrap/>
            <w:hideMark/>
          </w:tcPr>
          <w:p w14:paraId="24B98A0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27.64</w:t>
            </w:r>
          </w:p>
        </w:tc>
        <w:tc>
          <w:tcPr>
            <w:tcW w:w="829" w:type="dxa"/>
            <w:noWrap/>
            <w:hideMark/>
          </w:tcPr>
          <w:p w14:paraId="7CF033F5"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92" w:type="dxa"/>
            <w:noWrap/>
            <w:hideMark/>
          </w:tcPr>
          <w:p w14:paraId="260637E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1.05</w:t>
            </w:r>
          </w:p>
        </w:tc>
        <w:tc>
          <w:tcPr>
            <w:tcW w:w="829" w:type="dxa"/>
            <w:noWrap/>
            <w:hideMark/>
          </w:tcPr>
          <w:p w14:paraId="579BD3D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0.21</w:t>
            </w:r>
          </w:p>
        </w:tc>
        <w:tc>
          <w:tcPr>
            <w:tcW w:w="842" w:type="dxa"/>
            <w:noWrap/>
            <w:hideMark/>
          </w:tcPr>
          <w:p w14:paraId="101BA68C"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0.70</w:t>
            </w:r>
          </w:p>
        </w:tc>
        <w:tc>
          <w:tcPr>
            <w:tcW w:w="761" w:type="dxa"/>
            <w:noWrap/>
            <w:hideMark/>
          </w:tcPr>
          <w:p w14:paraId="0FD0F37F"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0.10</w:t>
            </w:r>
          </w:p>
        </w:tc>
        <w:tc>
          <w:tcPr>
            <w:tcW w:w="698" w:type="dxa"/>
            <w:noWrap/>
            <w:hideMark/>
          </w:tcPr>
          <w:p w14:paraId="5E1A102C"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0.55</w:t>
            </w:r>
          </w:p>
        </w:tc>
        <w:tc>
          <w:tcPr>
            <w:tcW w:w="829" w:type="dxa"/>
            <w:noWrap/>
            <w:hideMark/>
          </w:tcPr>
          <w:p w14:paraId="28EB5B4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r>
      <w:tr w:rsidR="0047291F" w:rsidRPr="00EA7826" w14:paraId="3E5DC9A2" w14:textId="77777777" w:rsidTr="003537A2">
        <w:trPr>
          <w:trHeight w:val="1035"/>
        </w:trPr>
        <w:tc>
          <w:tcPr>
            <w:tcW w:w="841" w:type="dxa"/>
            <w:noWrap/>
            <w:hideMark/>
          </w:tcPr>
          <w:p w14:paraId="5715A55E"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Wind onshore</w:t>
            </w:r>
          </w:p>
        </w:tc>
        <w:tc>
          <w:tcPr>
            <w:tcW w:w="892" w:type="dxa"/>
            <w:noWrap/>
            <w:hideMark/>
          </w:tcPr>
          <w:p w14:paraId="7475E1A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4.70</w:t>
            </w:r>
          </w:p>
        </w:tc>
        <w:tc>
          <w:tcPr>
            <w:tcW w:w="829" w:type="dxa"/>
            <w:noWrap/>
            <w:hideMark/>
          </w:tcPr>
          <w:p w14:paraId="695EFA6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7.56</w:t>
            </w:r>
          </w:p>
        </w:tc>
        <w:tc>
          <w:tcPr>
            <w:tcW w:w="842" w:type="dxa"/>
            <w:noWrap/>
            <w:hideMark/>
          </w:tcPr>
          <w:p w14:paraId="7BB9B59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3.40</w:t>
            </w:r>
          </w:p>
        </w:tc>
        <w:tc>
          <w:tcPr>
            <w:tcW w:w="829" w:type="dxa"/>
            <w:noWrap/>
            <w:hideMark/>
          </w:tcPr>
          <w:p w14:paraId="1E78FA3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12.63</w:t>
            </w:r>
          </w:p>
        </w:tc>
        <w:tc>
          <w:tcPr>
            <w:tcW w:w="892" w:type="dxa"/>
            <w:noWrap/>
            <w:hideMark/>
          </w:tcPr>
          <w:p w14:paraId="2224C49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3.20</w:t>
            </w:r>
          </w:p>
        </w:tc>
        <w:tc>
          <w:tcPr>
            <w:tcW w:w="829" w:type="dxa"/>
            <w:noWrap/>
            <w:hideMark/>
          </w:tcPr>
          <w:p w14:paraId="7797755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3.40</w:t>
            </w:r>
          </w:p>
        </w:tc>
        <w:tc>
          <w:tcPr>
            <w:tcW w:w="842" w:type="dxa"/>
            <w:noWrap/>
            <w:hideMark/>
          </w:tcPr>
          <w:p w14:paraId="087CFD7F"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3.00</w:t>
            </w:r>
          </w:p>
        </w:tc>
        <w:tc>
          <w:tcPr>
            <w:tcW w:w="761" w:type="dxa"/>
            <w:noWrap/>
            <w:hideMark/>
          </w:tcPr>
          <w:p w14:paraId="3E15ACD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711" w:type="dxa"/>
            <w:noWrap/>
            <w:hideMark/>
          </w:tcPr>
          <w:p w14:paraId="60951E7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7.06</w:t>
            </w:r>
          </w:p>
        </w:tc>
        <w:tc>
          <w:tcPr>
            <w:tcW w:w="829" w:type="dxa"/>
            <w:noWrap/>
            <w:hideMark/>
          </w:tcPr>
          <w:p w14:paraId="53BF351E"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4.38</w:t>
            </w:r>
          </w:p>
        </w:tc>
        <w:tc>
          <w:tcPr>
            <w:tcW w:w="892" w:type="dxa"/>
            <w:noWrap/>
            <w:hideMark/>
          </w:tcPr>
          <w:p w14:paraId="696590F8"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0.30</w:t>
            </w:r>
          </w:p>
        </w:tc>
        <w:tc>
          <w:tcPr>
            <w:tcW w:w="829" w:type="dxa"/>
            <w:noWrap/>
            <w:hideMark/>
          </w:tcPr>
          <w:p w14:paraId="78776876"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0.54</w:t>
            </w:r>
          </w:p>
        </w:tc>
        <w:tc>
          <w:tcPr>
            <w:tcW w:w="842" w:type="dxa"/>
            <w:noWrap/>
            <w:hideMark/>
          </w:tcPr>
          <w:p w14:paraId="17EF6610"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0.30</w:t>
            </w:r>
          </w:p>
        </w:tc>
        <w:tc>
          <w:tcPr>
            <w:tcW w:w="761" w:type="dxa"/>
            <w:noWrap/>
            <w:hideMark/>
          </w:tcPr>
          <w:p w14:paraId="562B3C91"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698" w:type="dxa"/>
            <w:noWrap/>
            <w:hideMark/>
          </w:tcPr>
          <w:p w14:paraId="53BF6ED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0.37</w:t>
            </w:r>
          </w:p>
        </w:tc>
        <w:tc>
          <w:tcPr>
            <w:tcW w:w="829" w:type="dxa"/>
            <w:noWrap/>
            <w:hideMark/>
          </w:tcPr>
          <w:p w14:paraId="720B80EC"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0.36</w:t>
            </w:r>
          </w:p>
        </w:tc>
      </w:tr>
      <w:tr w:rsidR="0047291F" w:rsidRPr="00EA7826" w14:paraId="2F4915E7" w14:textId="77777777" w:rsidTr="003537A2">
        <w:trPr>
          <w:trHeight w:val="1035"/>
        </w:trPr>
        <w:tc>
          <w:tcPr>
            <w:tcW w:w="841" w:type="dxa"/>
            <w:noWrap/>
            <w:hideMark/>
          </w:tcPr>
          <w:p w14:paraId="2F0D14E8"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Wind offshore</w:t>
            </w:r>
          </w:p>
        </w:tc>
        <w:tc>
          <w:tcPr>
            <w:tcW w:w="892" w:type="dxa"/>
            <w:noWrap/>
            <w:hideMark/>
          </w:tcPr>
          <w:p w14:paraId="23E7E5F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15.60</w:t>
            </w:r>
          </w:p>
        </w:tc>
        <w:tc>
          <w:tcPr>
            <w:tcW w:w="829" w:type="dxa"/>
            <w:noWrap/>
            <w:hideMark/>
          </w:tcPr>
          <w:p w14:paraId="126D2A5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21.30</w:t>
            </w:r>
          </w:p>
        </w:tc>
        <w:tc>
          <w:tcPr>
            <w:tcW w:w="842" w:type="dxa"/>
            <w:noWrap/>
            <w:hideMark/>
          </w:tcPr>
          <w:p w14:paraId="00FE12A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13.60</w:t>
            </w:r>
          </w:p>
        </w:tc>
        <w:tc>
          <w:tcPr>
            <w:tcW w:w="829" w:type="dxa"/>
            <w:noWrap/>
            <w:hideMark/>
          </w:tcPr>
          <w:p w14:paraId="2E1DD88C"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92" w:type="dxa"/>
            <w:noWrap/>
            <w:hideMark/>
          </w:tcPr>
          <w:p w14:paraId="4A094AD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8.00</w:t>
            </w:r>
          </w:p>
        </w:tc>
        <w:tc>
          <w:tcPr>
            <w:tcW w:w="829" w:type="dxa"/>
            <w:noWrap/>
            <w:hideMark/>
          </w:tcPr>
          <w:p w14:paraId="61886F6F"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5.10</w:t>
            </w:r>
          </w:p>
        </w:tc>
        <w:tc>
          <w:tcPr>
            <w:tcW w:w="842" w:type="dxa"/>
            <w:noWrap/>
            <w:hideMark/>
          </w:tcPr>
          <w:p w14:paraId="4A27D156"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6.50</w:t>
            </w:r>
          </w:p>
        </w:tc>
        <w:tc>
          <w:tcPr>
            <w:tcW w:w="761" w:type="dxa"/>
            <w:noWrap/>
            <w:hideMark/>
          </w:tcPr>
          <w:p w14:paraId="7496AC2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711" w:type="dxa"/>
            <w:noWrap/>
            <w:hideMark/>
          </w:tcPr>
          <w:p w14:paraId="535835AE"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9.30</w:t>
            </w:r>
          </w:p>
        </w:tc>
        <w:tc>
          <w:tcPr>
            <w:tcW w:w="829" w:type="dxa"/>
            <w:noWrap/>
            <w:hideMark/>
          </w:tcPr>
          <w:p w14:paraId="7A102D7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892" w:type="dxa"/>
            <w:noWrap/>
            <w:hideMark/>
          </w:tcPr>
          <w:p w14:paraId="59AC7B6E"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0.20</w:t>
            </w:r>
          </w:p>
        </w:tc>
        <w:tc>
          <w:tcPr>
            <w:tcW w:w="829" w:type="dxa"/>
            <w:noWrap/>
            <w:hideMark/>
          </w:tcPr>
          <w:p w14:paraId="4907FF1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1.09</w:t>
            </w:r>
          </w:p>
        </w:tc>
        <w:tc>
          <w:tcPr>
            <w:tcW w:w="842" w:type="dxa"/>
            <w:noWrap/>
            <w:hideMark/>
          </w:tcPr>
          <w:p w14:paraId="52D287F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0.15</w:t>
            </w:r>
          </w:p>
        </w:tc>
        <w:tc>
          <w:tcPr>
            <w:tcW w:w="761" w:type="dxa"/>
            <w:noWrap/>
            <w:hideMark/>
          </w:tcPr>
          <w:p w14:paraId="71B73B2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c>
          <w:tcPr>
            <w:tcW w:w="698" w:type="dxa"/>
            <w:noWrap/>
            <w:hideMark/>
          </w:tcPr>
          <w:p w14:paraId="1D64AC32"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0.63</w:t>
            </w:r>
          </w:p>
        </w:tc>
        <w:tc>
          <w:tcPr>
            <w:tcW w:w="829" w:type="dxa"/>
            <w:noWrap/>
            <w:hideMark/>
          </w:tcPr>
          <w:p w14:paraId="3A2EC505"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w:t>
            </w:r>
          </w:p>
        </w:tc>
      </w:tr>
      <w:tr w:rsidR="0047291F" w:rsidRPr="00EA7826" w14:paraId="17E4896B" w14:textId="77777777" w:rsidTr="003537A2">
        <w:trPr>
          <w:trHeight w:val="1035"/>
        </w:trPr>
        <w:tc>
          <w:tcPr>
            <w:tcW w:w="841" w:type="dxa"/>
            <w:noWrap/>
            <w:hideMark/>
          </w:tcPr>
          <w:p w14:paraId="21DA0487"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Wind (All)</w:t>
            </w:r>
          </w:p>
        </w:tc>
        <w:tc>
          <w:tcPr>
            <w:tcW w:w="892" w:type="dxa"/>
            <w:noWrap/>
            <w:hideMark/>
          </w:tcPr>
          <w:p w14:paraId="43EC7F11"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10.15</w:t>
            </w:r>
          </w:p>
        </w:tc>
        <w:tc>
          <w:tcPr>
            <w:tcW w:w="829" w:type="dxa"/>
            <w:noWrap/>
            <w:hideMark/>
          </w:tcPr>
          <w:p w14:paraId="62D388B7"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14.43</w:t>
            </w:r>
          </w:p>
        </w:tc>
        <w:tc>
          <w:tcPr>
            <w:tcW w:w="842" w:type="dxa"/>
            <w:noWrap/>
            <w:hideMark/>
          </w:tcPr>
          <w:p w14:paraId="6830B0A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8.50</w:t>
            </w:r>
          </w:p>
        </w:tc>
        <w:tc>
          <w:tcPr>
            <w:tcW w:w="829" w:type="dxa"/>
            <w:noWrap/>
            <w:hideMark/>
          </w:tcPr>
          <w:p w14:paraId="2EF56D7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12.63</w:t>
            </w:r>
          </w:p>
        </w:tc>
        <w:tc>
          <w:tcPr>
            <w:tcW w:w="892" w:type="dxa"/>
            <w:noWrap/>
            <w:hideMark/>
          </w:tcPr>
          <w:p w14:paraId="1874C7DF"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5.60</w:t>
            </w:r>
          </w:p>
        </w:tc>
        <w:tc>
          <w:tcPr>
            <w:tcW w:w="829" w:type="dxa"/>
            <w:noWrap/>
            <w:hideMark/>
          </w:tcPr>
          <w:p w14:paraId="5324697D"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4.25</w:t>
            </w:r>
          </w:p>
        </w:tc>
        <w:tc>
          <w:tcPr>
            <w:tcW w:w="842" w:type="dxa"/>
            <w:noWrap/>
            <w:hideMark/>
          </w:tcPr>
          <w:p w14:paraId="36EFB215"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4.75</w:t>
            </w:r>
          </w:p>
        </w:tc>
        <w:tc>
          <w:tcPr>
            <w:tcW w:w="761" w:type="dxa"/>
            <w:noWrap/>
            <w:hideMark/>
          </w:tcPr>
          <w:p w14:paraId="248FA905"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5.04</w:t>
            </w:r>
          </w:p>
        </w:tc>
        <w:tc>
          <w:tcPr>
            <w:tcW w:w="711" w:type="dxa"/>
            <w:noWrap/>
            <w:hideMark/>
          </w:tcPr>
          <w:p w14:paraId="3653F30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8.18</w:t>
            </w:r>
          </w:p>
        </w:tc>
        <w:tc>
          <w:tcPr>
            <w:tcW w:w="829" w:type="dxa"/>
            <w:noWrap/>
            <w:hideMark/>
          </w:tcPr>
          <w:p w14:paraId="4D9FB8C0"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4.38</w:t>
            </w:r>
          </w:p>
        </w:tc>
        <w:tc>
          <w:tcPr>
            <w:tcW w:w="892" w:type="dxa"/>
            <w:noWrap/>
            <w:hideMark/>
          </w:tcPr>
          <w:p w14:paraId="037F69B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0.25</w:t>
            </w:r>
          </w:p>
        </w:tc>
        <w:tc>
          <w:tcPr>
            <w:tcW w:w="829" w:type="dxa"/>
            <w:noWrap/>
            <w:hideMark/>
          </w:tcPr>
          <w:p w14:paraId="4A07E57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0.82</w:t>
            </w:r>
          </w:p>
        </w:tc>
        <w:tc>
          <w:tcPr>
            <w:tcW w:w="842" w:type="dxa"/>
            <w:noWrap/>
            <w:hideMark/>
          </w:tcPr>
          <w:p w14:paraId="2BFA67A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0.23</w:t>
            </w:r>
          </w:p>
        </w:tc>
        <w:tc>
          <w:tcPr>
            <w:tcW w:w="761" w:type="dxa"/>
            <w:noWrap/>
            <w:hideMark/>
          </w:tcPr>
          <w:p w14:paraId="4067940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0.14</w:t>
            </w:r>
          </w:p>
        </w:tc>
        <w:tc>
          <w:tcPr>
            <w:tcW w:w="698" w:type="dxa"/>
            <w:noWrap/>
            <w:hideMark/>
          </w:tcPr>
          <w:p w14:paraId="60A70EB6"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0.50</w:t>
            </w:r>
          </w:p>
        </w:tc>
        <w:tc>
          <w:tcPr>
            <w:tcW w:w="829" w:type="dxa"/>
            <w:noWrap/>
            <w:hideMark/>
          </w:tcPr>
          <w:p w14:paraId="03EC361C"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0.36</w:t>
            </w:r>
          </w:p>
        </w:tc>
      </w:tr>
      <w:tr w:rsidR="0047291F" w:rsidRPr="0010334F" w14:paraId="0747A503" w14:textId="77777777" w:rsidTr="003537A2">
        <w:trPr>
          <w:trHeight w:val="557"/>
        </w:trPr>
        <w:tc>
          <w:tcPr>
            <w:tcW w:w="841" w:type="dxa"/>
            <w:noWrap/>
          </w:tcPr>
          <w:p w14:paraId="22B50C43" w14:textId="77777777" w:rsidR="003C6543" w:rsidRPr="00F52323" w:rsidRDefault="003C6543" w:rsidP="003C6543">
            <w:pPr>
              <w:rPr>
                <w:rFonts w:ascii="Arial" w:hAnsi="Arial" w:cs="Arial"/>
                <w:b/>
                <w:bCs/>
                <w:color w:val="000000" w:themeColor="text1"/>
                <w:sz w:val="18"/>
                <w:szCs w:val="18"/>
              </w:rPr>
            </w:pPr>
            <w:r w:rsidRPr="00F52323">
              <w:rPr>
                <w:rFonts w:ascii="Arial" w:hAnsi="Arial" w:cs="Arial"/>
                <w:b/>
                <w:bCs/>
                <w:color w:val="000000" w:themeColor="text1"/>
                <w:sz w:val="18"/>
                <w:szCs w:val="18"/>
              </w:rPr>
              <w:t>Method</w:t>
            </w:r>
          </w:p>
          <w:p w14:paraId="16A43CCF" w14:textId="77777777" w:rsidR="003C6543" w:rsidRPr="00F52323" w:rsidRDefault="003C6543" w:rsidP="003C6543">
            <w:pPr>
              <w:rPr>
                <w:rFonts w:ascii="Arial" w:hAnsi="Arial" w:cs="Arial"/>
                <w:b/>
                <w:bCs/>
                <w:color w:val="000000" w:themeColor="text1"/>
                <w:sz w:val="18"/>
                <w:szCs w:val="18"/>
              </w:rPr>
            </w:pPr>
          </w:p>
        </w:tc>
        <w:tc>
          <w:tcPr>
            <w:tcW w:w="892" w:type="dxa"/>
            <w:noWrap/>
          </w:tcPr>
          <w:p w14:paraId="35BD9C3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Analytical method - employment factor analysis based on literature review combined with LUT Energy System Transition Model.</w:t>
            </w:r>
          </w:p>
        </w:tc>
        <w:tc>
          <w:tcPr>
            <w:tcW w:w="829" w:type="dxa"/>
            <w:noWrap/>
          </w:tcPr>
          <w:p w14:paraId="0760532B"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Analytical method - employment factors from literature review</w:t>
            </w:r>
          </w:p>
          <w:p w14:paraId="461E49E9" w14:textId="49061B0D" w:rsidR="003C6543" w:rsidRPr="00F52323" w:rsidRDefault="003C6543" w:rsidP="003C6543">
            <w:pPr>
              <w:rPr>
                <w:rFonts w:ascii="Arial" w:hAnsi="Arial" w:cs="Arial"/>
                <w:color w:val="000000" w:themeColor="text1"/>
                <w:sz w:val="18"/>
                <w:szCs w:val="18"/>
              </w:rPr>
            </w:pPr>
          </w:p>
        </w:tc>
        <w:tc>
          <w:tcPr>
            <w:tcW w:w="842" w:type="dxa"/>
            <w:noWrap/>
          </w:tcPr>
          <w:p w14:paraId="2088435C"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 xml:space="preserve">Employment factors derived from </w:t>
            </w:r>
            <w:proofErr w:type="spellStart"/>
            <w:r w:rsidRPr="00F52323">
              <w:rPr>
                <w:rFonts w:ascii="Arial" w:hAnsi="Arial" w:cs="Arial"/>
                <w:color w:val="000000" w:themeColor="text1"/>
                <w:sz w:val="18"/>
                <w:szCs w:val="18"/>
              </w:rPr>
              <w:t>Dominish</w:t>
            </w:r>
            <w:proofErr w:type="spellEnd"/>
            <w:r w:rsidRPr="00F52323">
              <w:rPr>
                <w:rFonts w:ascii="Arial" w:hAnsi="Arial" w:cs="Arial"/>
                <w:color w:val="000000" w:themeColor="text1"/>
                <w:sz w:val="18"/>
                <w:szCs w:val="18"/>
              </w:rPr>
              <w:t xml:space="preserve"> et al. (2018) and previous </w:t>
            </w:r>
            <w:proofErr w:type="gramStart"/>
            <w:r w:rsidRPr="00F52323">
              <w:rPr>
                <w:rFonts w:ascii="Arial" w:hAnsi="Arial" w:cs="Arial"/>
                <w:color w:val="000000" w:themeColor="text1"/>
                <w:sz w:val="18"/>
                <w:szCs w:val="18"/>
              </w:rPr>
              <w:t>literature</w:t>
            </w:r>
            <w:proofErr w:type="gramEnd"/>
          </w:p>
          <w:p w14:paraId="13065361" w14:textId="7D00C245" w:rsidR="003C6543" w:rsidRPr="00F52323" w:rsidRDefault="003C6543" w:rsidP="003C6543">
            <w:pPr>
              <w:rPr>
                <w:rFonts w:ascii="Arial" w:hAnsi="Arial" w:cs="Arial"/>
                <w:color w:val="000000" w:themeColor="text1"/>
                <w:sz w:val="18"/>
                <w:szCs w:val="18"/>
              </w:rPr>
            </w:pPr>
          </w:p>
        </w:tc>
        <w:tc>
          <w:tcPr>
            <w:tcW w:w="829" w:type="dxa"/>
            <w:noWrap/>
          </w:tcPr>
          <w:p w14:paraId="478D477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Analytical method: literature review and quantitative employment factor calculation</w:t>
            </w:r>
          </w:p>
          <w:p w14:paraId="08F12DA1" w14:textId="3A291909" w:rsidR="003C6543" w:rsidRPr="00F52323" w:rsidRDefault="003C6543" w:rsidP="003C6543">
            <w:pPr>
              <w:rPr>
                <w:rFonts w:ascii="Arial" w:hAnsi="Arial" w:cs="Arial"/>
                <w:color w:val="000000" w:themeColor="text1"/>
                <w:sz w:val="18"/>
                <w:szCs w:val="18"/>
              </w:rPr>
            </w:pPr>
          </w:p>
          <w:p w14:paraId="74B95AA5" w14:textId="20790AB5" w:rsidR="003C6543" w:rsidRPr="00F52323" w:rsidRDefault="003C6543" w:rsidP="003C6543">
            <w:pPr>
              <w:rPr>
                <w:rFonts w:ascii="Arial" w:hAnsi="Arial" w:cs="Arial"/>
                <w:color w:val="000000" w:themeColor="text1"/>
                <w:sz w:val="18"/>
                <w:szCs w:val="18"/>
              </w:rPr>
            </w:pPr>
          </w:p>
        </w:tc>
        <w:tc>
          <w:tcPr>
            <w:tcW w:w="892" w:type="dxa"/>
            <w:noWrap/>
          </w:tcPr>
          <w:p w14:paraId="05D764CE" w14:textId="4B655603"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Analytical method - employment factor analysis based on literature review combined with LUT Energy System Transition Model.</w:t>
            </w:r>
          </w:p>
        </w:tc>
        <w:tc>
          <w:tcPr>
            <w:tcW w:w="829" w:type="dxa"/>
            <w:noWrap/>
          </w:tcPr>
          <w:p w14:paraId="40FBC7A5"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Analytical method - employment factors from literature review</w:t>
            </w:r>
          </w:p>
          <w:p w14:paraId="3342E5DD" w14:textId="77777777" w:rsidR="003C6543" w:rsidRPr="00F52323" w:rsidRDefault="003C6543" w:rsidP="003C6543">
            <w:pPr>
              <w:rPr>
                <w:rFonts w:ascii="Arial" w:hAnsi="Arial" w:cs="Arial"/>
                <w:color w:val="000000" w:themeColor="text1"/>
                <w:sz w:val="18"/>
                <w:szCs w:val="18"/>
              </w:rPr>
            </w:pPr>
          </w:p>
        </w:tc>
        <w:tc>
          <w:tcPr>
            <w:tcW w:w="842" w:type="dxa"/>
            <w:noWrap/>
          </w:tcPr>
          <w:p w14:paraId="4606A399"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 xml:space="preserve">Employment factors derived from </w:t>
            </w:r>
            <w:proofErr w:type="spellStart"/>
            <w:r w:rsidRPr="00F52323">
              <w:rPr>
                <w:rFonts w:ascii="Arial" w:hAnsi="Arial" w:cs="Arial"/>
                <w:color w:val="000000" w:themeColor="text1"/>
                <w:sz w:val="18"/>
                <w:szCs w:val="18"/>
              </w:rPr>
              <w:t>Dominish</w:t>
            </w:r>
            <w:proofErr w:type="spellEnd"/>
            <w:r w:rsidRPr="00F52323">
              <w:rPr>
                <w:rFonts w:ascii="Arial" w:hAnsi="Arial" w:cs="Arial"/>
                <w:color w:val="000000" w:themeColor="text1"/>
                <w:sz w:val="18"/>
                <w:szCs w:val="18"/>
              </w:rPr>
              <w:t xml:space="preserve"> et al. (2018) and previous </w:t>
            </w:r>
            <w:proofErr w:type="gramStart"/>
            <w:r w:rsidRPr="00F52323">
              <w:rPr>
                <w:rFonts w:ascii="Arial" w:hAnsi="Arial" w:cs="Arial"/>
                <w:color w:val="000000" w:themeColor="text1"/>
                <w:sz w:val="18"/>
                <w:szCs w:val="18"/>
              </w:rPr>
              <w:t>literature</w:t>
            </w:r>
            <w:proofErr w:type="gramEnd"/>
          </w:p>
          <w:p w14:paraId="28791D83" w14:textId="77777777" w:rsidR="003C6543" w:rsidRPr="00F52323" w:rsidRDefault="003C6543" w:rsidP="003C6543">
            <w:pPr>
              <w:rPr>
                <w:rFonts w:ascii="Arial" w:hAnsi="Arial" w:cs="Arial"/>
                <w:color w:val="000000" w:themeColor="text1"/>
                <w:sz w:val="18"/>
                <w:szCs w:val="18"/>
              </w:rPr>
            </w:pPr>
          </w:p>
        </w:tc>
        <w:tc>
          <w:tcPr>
            <w:tcW w:w="761" w:type="dxa"/>
            <w:noWrap/>
          </w:tcPr>
          <w:p w14:paraId="6FE5E54A"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Input-output model</w:t>
            </w:r>
          </w:p>
          <w:p w14:paraId="496DF658" w14:textId="706BFAF2" w:rsidR="003C6543" w:rsidRPr="00F52323" w:rsidRDefault="003C6543" w:rsidP="003C6543">
            <w:pPr>
              <w:rPr>
                <w:rFonts w:ascii="Arial" w:hAnsi="Arial" w:cs="Arial"/>
                <w:color w:val="000000" w:themeColor="text1"/>
                <w:sz w:val="18"/>
                <w:szCs w:val="18"/>
              </w:rPr>
            </w:pPr>
          </w:p>
        </w:tc>
        <w:tc>
          <w:tcPr>
            <w:tcW w:w="711" w:type="dxa"/>
            <w:noWrap/>
          </w:tcPr>
          <w:p w14:paraId="388DAE1F"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Input-output model</w:t>
            </w:r>
          </w:p>
          <w:p w14:paraId="1A9059F3" w14:textId="509FC5FD" w:rsidR="003C6543" w:rsidRPr="00F52323" w:rsidRDefault="003C6543" w:rsidP="003C6543">
            <w:pPr>
              <w:rPr>
                <w:rFonts w:ascii="Arial" w:hAnsi="Arial" w:cs="Arial"/>
                <w:color w:val="000000" w:themeColor="text1"/>
                <w:sz w:val="18"/>
                <w:szCs w:val="18"/>
              </w:rPr>
            </w:pPr>
          </w:p>
        </w:tc>
        <w:tc>
          <w:tcPr>
            <w:tcW w:w="829" w:type="dxa"/>
            <w:noWrap/>
          </w:tcPr>
          <w:p w14:paraId="2F6C4035"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Analytical method: literature review and quantitative employment factor calculation</w:t>
            </w:r>
          </w:p>
          <w:p w14:paraId="66E803E6" w14:textId="77777777" w:rsidR="003C6543" w:rsidRPr="00F52323" w:rsidRDefault="003C6543" w:rsidP="003C6543">
            <w:pPr>
              <w:rPr>
                <w:rFonts w:ascii="Arial" w:hAnsi="Arial" w:cs="Arial"/>
                <w:color w:val="000000" w:themeColor="text1"/>
                <w:sz w:val="18"/>
                <w:szCs w:val="18"/>
              </w:rPr>
            </w:pPr>
          </w:p>
          <w:p w14:paraId="2ED779CC" w14:textId="38AE8E0E" w:rsidR="003C6543" w:rsidRPr="00F52323" w:rsidRDefault="003C6543" w:rsidP="003C6543">
            <w:pPr>
              <w:rPr>
                <w:rFonts w:ascii="Arial" w:hAnsi="Arial" w:cs="Arial"/>
                <w:color w:val="000000" w:themeColor="text1"/>
                <w:sz w:val="18"/>
                <w:szCs w:val="18"/>
              </w:rPr>
            </w:pPr>
          </w:p>
        </w:tc>
        <w:tc>
          <w:tcPr>
            <w:tcW w:w="892" w:type="dxa"/>
            <w:noWrap/>
          </w:tcPr>
          <w:p w14:paraId="1B685BA2" w14:textId="4272B2C8"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Analytical method - employment factor analysis based on literature review combined with LUT Energy System Transition Model.</w:t>
            </w:r>
          </w:p>
        </w:tc>
        <w:tc>
          <w:tcPr>
            <w:tcW w:w="829" w:type="dxa"/>
            <w:noWrap/>
          </w:tcPr>
          <w:p w14:paraId="59EB9356"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Analytical method - employment factors from literature review</w:t>
            </w:r>
          </w:p>
          <w:p w14:paraId="0D900522" w14:textId="77777777" w:rsidR="003C6543" w:rsidRPr="00F52323" w:rsidRDefault="003C6543" w:rsidP="003C6543">
            <w:pPr>
              <w:rPr>
                <w:rFonts w:ascii="Arial" w:hAnsi="Arial" w:cs="Arial"/>
                <w:color w:val="000000" w:themeColor="text1"/>
                <w:sz w:val="18"/>
                <w:szCs w:val="18"/>
              </w:rPr>
            </w:pPr>
          </w:p>
        </w:tc>
        <w:tc>
          <w:tcPr>
            <w:tcW w:w="842" w:type="dxa"/>
            <w:noWrap/>
          </w:tcPr>
          <w:p w14:paraId="4099A57F"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 xml:space="preserve">Employment factors derived from </w:t>
            </w:r>
            <w:proofErr w:type="spellStart"/>
            <w:r w:rsidRPr="00F52323">
              <w:rPr>
                <w:rFonts w:ascii="Arial" w:hAnsi="Arial" w:cs="Arial"/>
                <w:color w:val="000000" w:themeColor="text1"/>
                <w:sz w:val="18"/>
                <w:szCs w:val="18"/>
              </w:rPr>
              <w:t>Dominish</w:t>
            </w:r>
            <w:proofErr w:type="spellEnd"/>
            <w:r w:rsidRPr="00F52323">
              <w:rPr>
                <w:rFonts w:ascii="Arial" w:hAnsi="Arial" w:cs="Arial"/>
                <w:color w:val="000000" w:themeColor="text1"/>
                <w:sz w:val="18"/>
                <w:szCs w:val="18"/>
              </w:rPr>
              <w:t xml:space="preserve"> et al. (2018) and previous </w:t>
            </w:r>
            <w:proofErr w:type="gramStart"/>
            <w:r w:rsidRPr="00F52323">
              <w:rPr>
                <w:rFonts w:ascii="Arial" w:hAnsi="Arial" w:cs="Arial"/>
                <w:color w:val="000000" w:themeColor="text1"/>
                <w:sz w:val="18"/>
                <w:szCs w:val="18"/>
              </w:rPr>
              <w:t>literature</w:t>
            </w:r>
            <w:proofErr w:type="gramEnd"/>
          </w:p>
          <w:p w14:paraId="6921B46D" w14:textId="77777777" w:rsidR="003C6543" w:rsidRPr="00F52323" w:rsidRDefault="003C6543" w:rsidP="003C6543">
            <w:pPr>
              <w:rPr>
                <w:rFonts w:ascii="Arial" w:hAnsi="Arial" w:cs="Arial"/>
                <w:color w:val="000000" w:themeColor="text1"/>
                <w:sz w:val="18"/>
                <w:szCs w:val="18"/>
              </w:rPr>
            </w:pPr>
          </w:p>
        </w:tc>
        <w:tc>
          <w:tcPr>
            <w:tcW w:w="761" w:type="dxa"/>
            <w:noWrap/>
          </w:tcPr>
          <w:p w14:paraId="0453AEE4"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Input-output model</w:t>
            </w:r>
          </w:p>
          <w:p w14:paraId="4D13B9F3" w14:textId="77777777" w:rsidR="003C6543" w:rsidRPr="00F52323" w:rsidRDefault="003C6543" w:rsidP="003C6543">
            <w:pPr>
              <w:rPr>
                <w:rFonts w:ascii="Arial" w:hAnsi="Arial" w:cs="Arial"/>
                <w:color w:val="000000" w:themeColor="text1"/>
                <w:sz w:val="18"/>
                <w:szCs w:val="18"/>
              </w:rPr>
            </w:pPr>
          </w:p>
        </w:tc>
        <w:tc>
          <w:tcPr>
            <w:tcW w:w="698" w:type="dxa"/>
            <w:noWrap/>
          </w:tcPr>
          <w:p w14:paraId="764EEC33"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Input-output model</w:t>
            </w:r>
          </w:p>
          <w:p w14:paraId="08D17EE4" w14:textId="77777777" w:rsidR="003C6543" w:rsidRPr="00F52323" w:rsidRDefault="003C6543" w:rsidP="003C6543">
            <w:pPr>
              <w:rPr>
                <w:rFonts w:ascii="Arial" w:hAnsi="Arial" w:cs="Arial"/>
                <w:color w:val="000000" w:themeColor="text1"/>
                <w:sz w:val="18"/>
                <w:szCs w:val="18"/>
              </w:rPr>
            </w:pPr>
          </w:p>
        </w:tc>
        <w:tc>
          <w:tcPr>
            <w:tcW w:w="829" w:type="dxa"/>
            <w:noWrap/>
          </w:tcPr>
          <w:p w14:paraId="1FEE04E0" w14:textId="77777777"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Analytical method: literature review and quantitative employment factor calculation</w:t>
            </w:r>
          </w:p>
          <w:p w14:paraId="093DBABA" w14:textId="77777777" w:rsidR="003C6543" w:rsidRPr="00F52323" w:rsidRDefault="003C6543" w:rsidP="003C6543">
            <w:pPr>
              <w:rPr>
                <w:rFonts w:ascii="Arial" w:hAnsi="Arial" w:cs="Arial"/>
                <w:color w:val="000000" w:themeColor="text1"/>
                <w:sz w:val="18"/>
                <w:szCs w:val="18"/>
              </w:rPr>
            </w:pPr>
          </w:p>
          <w:p w14:paraId="67FD9B9C" w14:textId="77777777" w:rsidR="003C6543" w:rsidRPr="00F52323" w:rsidRDefault="003C6543" w:rsidP="003C6543">
            <w:pPr>
              <w:rPr>
                <w:rFonts w:ascii="Arial" w:hAnsi="Arial" w:cs="Arial"/>
                <w:color w:val="000000" w:themeColor="text1"/>
                <w:sz w:val="18"/>
                <w:szCs w:val="18"/>
              </w:rPr>
            </w:pPr>
          </w:p>
        </w:tc>
      </w:tr>
      <w:tr w:rsidR="0047291F" w:rsidRPr="0010334F" w14:paraId="57586DBA" w14:textId="77777777" w:rsidTr="003537A2">
        <w:trPr>
          <w:trHeight w:val="1841"/>
        </w:trPr>
        <w:tc>
          <w:tcPr>
            <w:tcW w:w="841" w:type="dxa"/>
            <w:noWrap/>
          </w:tcPr>
          <w:p w14:paraId="17DA7315" w14:textId="3540D155" w:rsidR="003C6543" w:rsidRPr="00F52323" w:rsidRDefault="003C6543" w:rsidP="003C6543">
            <w:pPr>
              <w:rPr>
                <w:rFonts w:ascii="Arial" w:hAnsi="Arial" w:cs="Arial"/>
                <w:b/>
                <w:bCs/>
                <w:color w:val="000000" w:themeColor="text1"/>
                <w:sz w:val="18"/>
                <w:szCs w:val="18"/>
              </w:rPr>
            </w:pPr>
            <w:r w:rsidRPr="00C76651">
              <w:rPr>
                <w:rFonts w:ascii="Arial" w:hAnsi="Arial" w:cs="Arial"/>
                <w:b/>
                <w:bCs/>
                <w:sz w:val="18"/>
                <w:szCs w:val="18"/>
              </w:rPr>
              <w:t>Are direct, indirect and/or induced jobs included?</w:t>
            </w:r>
          </w:p>
        </w:tc>
        <w:tc>
          <w:tcPr>
            <w:tcW w:w="892" w:type="dxa"/>
            <w:noWrap/>
          </w:tcPr>
          <w:p w14:paraId="327DA7E6" w14:textId="02D04F0E"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Direct jobs only</w:t>
            </w:r>
          </w:p>
        </w:tc>
        <w:tc>
          <w:tcPr>
            <w:tcW w:w="829" w:type="dxa"/>
            <w:noWrap/>
          </w:tcPr>
          <w:p w14:paraId="199EF009" w14:textId="0A48AB86"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Includes direct and indirect jobs</w:t>
            </w:r>
          </w:p>
        </w:tc>
        <w:tc>
          <w:tcPr>
            <w:tcW w:w="842" w:type="dxa"/>
            <w:noWrap/>
          </w:tcPr>
          <w:p w14:paraId="016B35B5" w14:textId="2129C163"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Includes direct jobs only</w:t>
            </w:r>
          </w:p>
        </w:tc>
        <w:tc>
          <w:tcPr>
            <w:tcW w:w="829" w:type="dxa"/>
            <w:noWrap/>
          </w:tcPr>
          <w:p w14:paraId="08F80938" w14:textId="5E9C8B8F"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Includes direct and indirect jobs</w:t>
            </w:r>
          </w:p>
        </w:tc>
        <w:tc>
          <w:tcPr>
            <w:tcW w:w="892" w:type="dxa"/>
            <w:noWrap/>
          </w:tcPr>
          <w:p w14:paraId="2E86601E" w14:textId="09A1A049"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Direct jobs only</w:t>
            </w:r>
          </w:p>
        </w:tc>
        <w:tc>
          <w:tcPr>
            <w:tcW w:w="829" w:type="dxa"/>
            <w:noWrap/>
          </w:tcPr>
          <w:p w14:paraId="74223BC5" w14:textId="1626D62B"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Includes direct and indirect jobs</w:t>
            </w:r>
          </w:p>
        </w:tc>
        <w:tc>
          <w:tcPr>
            <w:tcW w:w="842" w:type="dxa"/>
            <w:noWrap/>
          </w:tcPr>
          <w:p w14:paraId="605BE718" w14:textId="07BEFCA0"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Includes direct jobs only</w:t>
            </w:r>
          </w:p>
        </w:tc>
        <w:tc>
          <w:tcPr>
            <w:tcW w:w="761" w:type="dxa"/>
            <w:noWrap/>
          </w:tcPr>
          <w:p w14:paraId="40BD62F4" w14:textId="79871789"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Includes direct jobs only</w:t>
            </w:r>
          </w:p>
        </w:tc>
        <w:tc>
          <w:tcPr>
            <w:tcW w:w="711" w:type="dxa"/>
            <w:noWrap/>
          </w:tcPr>
          <w:p w14:paraId="3C89FF4F" w14:textId="1C7B57D3"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 xml:space="preserve">Includes direct, </w:t>
            </w:r>
            <w:proofErr w:type="gramStart"/>
            <w:r w:rsidRPr="00F52323">
              <w:rPr>
                <w:rFonts w:ascii="Arial" w:hAnsi="Arial" w:cs="Arial"/>
                <w:color w:val="000000" w:themeColor="text1"/>
                <w:sz w:val="18"/>
                <w:szCs w:val="18"/>
              </w:rPr>
              <w:t>indirect</w:t>
            </w:r>
            <w:proofErr w:type="gramEnd"/>
            <w:r w:rsidRPr="00F52323">
              <w:rPr>
                <w:rFonts w:ascii="Arial" w:hAnsi="Arial" w:cs="Arial"/>
                <w:color w:val="000000" w:themeColor="text1"/>
                <w:sz w:val="18"/>
                <w:szCs w:val="18"/>
              </w:rPr>
              <w:t xml:space="preserve"> and induced jobs</w:t>
            </w:r>
          </w:p>
        </w:tc>
        <w:tc>
          <w:tcPr>
            <w:tcW w:w="829" w:type="dxa"/>
            <w:noWrap/>
          </w:tcPr>
          <w:p w14:paraId="15145D48" w14:textId="6DEA75CE"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Includes direct and indirect jobs</w:t>
            </w:r>
          </w:p>
        </w:tc>
        <w:tc>
          <w:tcPr>
            <w:tcW w:w="892" w:type="dxa"/>
            <w:noWrap/>
          </w:tcPr>
          <w:p w14:paraId="494B55FE" w14:textId="45418855"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Direct jobs only</w:t>
            </w:r>
          </w:p>
        </w:tc>
        <w:tc>
          <w:tcPr>
            <w:tcW w:w="829" w:type="dxa"/>
            <w:noWrap/>
          </w:tcPr>
          <w:p w14:paraId="6A2ECC02" w14:textId="3D8038E9"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Includes direct and indirect jobs</w:t>
            </w:r>
          </w:p>
        </w:tc>
        <w:tc>
          <w:tcPr>
            <w:tcW w:w="842" w:type="dxa"/>
            <w:noWrap/>
          </w:tcPr>
          <w:p w14:paraId="205567A8" w14:textId="616EC7F6"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Includes direct jobs only</w:t>
            </w:r>
          </w:p>
        </w:tc>
        <w:tc>
          <w:tcPr>
            <w:tcW w:w="761" w:type="dxa"/>
            <w:noWrap/>
          </w:tcPr>
          <w:p w14:paraId="07766656" w14:textId="19691F65"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Includes direct jobs only</w:t>
            </w:r>
          </w:p>
        </w:tc>
        <w:tc>
          <w:tcPr>
            <w:tcW w:w="698" w:type="dxa"/>
            <w:noWrap/>
          </w:tcPr>
          <w:p w14:paraId="64409D99" w14:textId="4CC868F9"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 xml:space="preserve">Includes direct, </w:t>
            </w:r>
            <w:proofErr w:type="gramStart"/>
            <w:r w:rsidRPr="00F52323">
              <w:rPr>
                <w:rFonts w:ascii="Arial" w:hAnsi="Arial" w:cs="Arial"/>
                <w:color w:val="000000" w:themeColor="text1"/>
                <w:sz w:val="18"/>
                <w:szCs w:val="18"/>
              </w:rPr>
              <w:t>indirect</w:t>
            </w:r>
            <w:proofErr w:type="gramEnd"/>
            <w:r w:rsidRPr="00F52323">
              <w:rPr>
                <w:rFonts w:ascii="Arial" w:hAnsi="Arial" w:cs="Arial"/>
                <w:color w:val="000000" w:themeColor="text1"/>
                <w:sz w:val="18"/>
                <w:szCs w:val="18"/>
              </w:rPr>
              <w:t xml:space="preserve"> and induced jobs</w:t>
            </w:r>
          </w:p>
        </w:tc>
        <w:tc>
          <w:tcPr>
            <w:tcW w:w="829" w:type="dxa"/>
            <w:noWrap/>
          </w:tcPr>
          <w:p w14:paraId="1DEAE4CE" w14:textId="203131A3" w:rsidR="003C6543" w:rsidRPr="00F52323" w:rsidRDefault="003C6543" w:rsidP="003C6543">
            <w:pPr>
              <w:rPr>
                <w:rFonts w:ascii="Arial" w:hAnsi="Arial" w:cs="Arial"/>
                <w:color w:val="000000" w:themeColor="text1"/>
                <w:sz w:val="18"/>
                <w:szCs w:val="18"/>
              </w:rPr>
            </w:pPr>
            <w:r w:rsidRPr="00F52323">
              <w:rPr>
                <w:rFonts w:ascii="Arial" w:hAnsi="Arial" w:cs="Arial"/>
                <w:color w:val="000000" w:themeColor="text1"/>
                <w:sz w:val="18"/>
                <w:szCs w:val="18"/>
              </w:rPr>
              <w:t>Includes direct and indirect jobs</w:t>
            </w:r>
          </w:p>
        </w:tc>
      </w:tr>
      <w:tr w:rsidR="0047291F" w:rsidRPr="0010334F" w14:paraId="62255F45" w14:textId="77777777" w:rsidTr="003537A2">
        <w:trPr>
          <w:trHeight w:val="1841"/>
        </w:trPr>
        <w:tc>
          <w:tcPr>
            <w:tcW w:w="841" w:type="dxa"/>
            <w:noWrap/>
          </w:tcPr>
          <w:p w14:paraId="234708C0" w14:textId="0053DDCA" w:rsidR="003537A2" w:rsidRPr="00325511" w:rsidRDefault="003537A2" w:rsidP="00325511">
            <w:pPr>
              <w:rPr>
                <w:b/>
                <w:bCs/>
                <w:color w:val="000000" w:themeColor="text1"/>
                <w:sz w:val="20"/>
                <w:szCs w:val="20"/>
              </w:rPr>
            </w:pPr>
            <w:r>
              <w:rPr>
                <w:b/>
                <w:bCs/>
                <w:color w:val="000000" w:themeColor="text1"/>
                <w:sz w:val="20"/>
                <w:szCs w:val="20"/>
              </w:rPr>
              <w:t>Document type (Publisher)</w:t>
            </w:r>
          </w:p>
        </w:tc>
        <w:tc>
          <w:tcPr>
            <w:tcW w:w="892" w:type="dxa"/>
            <w:noWrap/>
          </w:tcPr>
          <w:p w14:paraId="7727632C" w14:textId="50AA7016"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s (Elsevier)</w:t>
            </w:r>
          </w:p>
        </w:tc>
        <w:tc>
          <w:tcPr>
            <w:tcW w:w="829" w:type="dxa"/>
            <w:noWrap/>
          </w:tcPr>
          <w:p w14:paraId="3D147C61" w14:textId="776AC960"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s (Elsevier)</w:t>
            </w:r>
          </w:p>
        </w:tc>
        <w:tc>
          <w:tcPr>
            <w:tcW w:w="842" w:type="dxa"/>
            <w:noWrap/>
          </w:tcPr>
          <w:p w14:paraId="55F47692" w14:textId="24DBB329" w:rsidR="003537A2" w:rsidRPr="00F52323" w:rsidRDefault="003537A2" w:rsidP="003537A2">
            <w:pPr>
              <w:rPr>
                <w:rFonts w:ascii="Arial" w:hAnsi="Arial" w:cs="Arial"/>
                <w:color w:val="000000" w:themeColor="text1"/>
                <w:sz w:val="18"/>
                <w:szCs w:val="18"/>
              </w:rPr>
            </w:pPr>
            <w:r>
              <w:rPr>
                <w:rFonts w:ascii="Arial" w:hAnsi="Arial" w:cs="Arial"/>
                <w:color w:val="000000" w:themeColor="text1"/>
                <w:sz w:val="18"/>
                <w:szCs w:val="18"/>
              </w:rPr>
              <w:t>Book chapter (Springer)</w:t>
            </w:r>
          </w:p>
        </w:tc>
        <w:tc>
          <w:tcPr>
            <w:tcW w:w="829" w:type="dxa"/>
            <w:noWrap/>
          </w:tcPr>
          <w:p w14:paraId="1E759702" w14:textId="52D03931"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 xml:space="preserve"> (Elsevier)</w:t>
            </w:r>
          </w:p>
        </w:tc>
        <w:tc>
          <w:tcPr>
            <w:tcW w:w="892" w:type="dxa"/>
            <w:noWrap/>
          </w:tcPr>
          <w:p w14:paraId="202EE4A5" w14:textId="7CCD4FCC"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s (Elsevier)</w:t>
            </w:r>
          </w:p>
        </w:tc>
        <w:tc>
          <w:tcPr>
            <w:tcW w:w="829" w:type="dxa"/>
            <w:noWrap/>
          </w:tcPr>
          <w:p w14:paraId="42065B45" w14:textId="05EF3DCD"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s (Elsevier)</w:t>
            </w:r>
          </w:p>
        </w:tc>
        <w:tc>
          <w:tcPr>
            <w:tcW w:w="842" w:type="dxa"/>
            <w:noWrap/>
          </w:tcPr>
          <w:p w14:paraId="08E82AEE" w14:textId="13997EDB" w:rsidR="003537A2" w:rsidRPr="00F52323" w:rsidRDefault="003537A2" w:rsidP="003537A2">
            <w:pPr>
              <w:rPr>
                <w:rFonts w:ascii="Arial" w:hAnsi="Arial" w:cs="Arial"/>
                <w:color w:val="000000" w:themeColor="text1"/>
                <w:sz w:val="18"/>
                <w:szCs w:val="18"/>
              </w:rPr>
            </w:pPr>
            <w:r>
              <w:rPr>
                <w:rFonts w:ascii="Arial" w:hAnsi="Arial" w:cs="Arial"/>
                <w:color w:val="000000" w:themeColor="text1"/>
                <w:sz w:val="18"/>
                <w:szCs w:val="18"/>
              </w:rPr>
              <w:t>Book chapter (Springer)</w:t>
            </w:r>
          </w:p>
        </w:tc>
        <w:tc>
          <w:tcPr>
            <w:tcW w:w="761" w:type="dxa"/>
            <w:noWrap/>
          </w:tcPr>
          <w:p w14:paraId="4DC39D2A" w14:textId="4A21F936"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sidR="007225F9">
              <w:rPr>
                <w:rFonts w:ascii="Arial" w:hAnsi="Arial" w:cs="Arial"/>
                <w:color w:val="000000" w:themeColor="text1"/>
                <w:sz w:val="18"/>
                <w:szCs w:val="18"/>
              </w:rPr>
              <w:t xml:space="preserve"> </w:t>
            </w:r>
            <w:r>
              <w:rPr>
                <w:rFonts w:ascii="Arial" w:hAnsi="Arial" w:cs="Arial"/>
                <w:color w:val="000000" w:themeColor="text1"/>
                <w:sz w:val="18"/>
                <w:szCs w:val="18"/>
              </w:rPr>
              <w:t>(Elsevier)</w:t>
            </w:r>
          </w:p>
        </w:tc>
        <w:tc>
          <w:tcPr>
            <w:tcW w:w="711" w:type="dxa"/>
            <w:noWrap/>
          </w:tcPr>
          <w:p w14:paraId="647130A4" w14:textId="595B72B7"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sidR="006F7DE6">
              <w:rPr>
                <w:rFonts w:ascii="Arial" w:hAnsi="Arial" w:cs="Arial"/>
                <w:color w:val="000000" w:themeColor="text1"/>
                <w:sz w:val="18"/>
                <w:szCs w:val="18"/>
              </w:rPr>
              <w:t xml:space="preserve"> </w:t>
            </w:r>
            <w:r>
              <w:rPr>
                <w:rFonts w:ascii="Arial" w:hAnsi="Arial" w:cs="Arial"/>
                <w:color w:val="000000" w:themeColor="text1"/>
                <w:sz w:val="18"/>
                <w:szCs w:val="18"/>
              </w:rPr>
              <w:t>(Cell Press)</w:t>
            </w:r>
          </w:p>
        </w:tc>
        <w:tc>
          <w:tcPr>
            <w:tcW w:w="829" w:type="dxa"/>
            <w:noWrap/>
          </w:tcPr>
          <w:p w14:paraId="6564025B" w14:textId="6DDE4CFA"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 xml:space="preserve"> (Elsevier)</w:t>
            </w:r>
          </w:p>
        </w:tc>
        <w:tc>
          <w:tcPr>
            <w:tcW w:w="892" w:type="dxa"/>
            <w:noWrap/>
          </w:tcPr>
          <w:p w14:paraId="48BB43C9" w14:textId="110D07D2"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s (Elsevier)</w:t>
            </w:r>
          </w:p>
        </w:tc>
        <w:tc>
          <w:tcPr>
            <w:tcW w:w="829" w:type="dxa"/>
            <w:noWrap/>
          </w:tcPr>
          <w:p w14:paraId="532450FB" w14:textId="176587A4"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s (Elsevier)</w:t>
            </w:r>
          </w:p>
        </w:tc>
        <w:tc>
          <w:tcPr>
            <w:tcW w:w="842" w:type="dxa"/>
            <w:noWrap/>
          </w:tcPr>
          <w:p w14:paraId="33439AA8" w14:textId="135037D8" w:rsidR="003537A2" w:rsidRPr="00F52323" w:rsidRDefault="003537A2" w:rsidP="003537A2">
            <w:pPr>
              <w:rPr>
                <w:rFonts w:ascii="Arial" w:hAnsi="Arial" w:cs="Arial"/>
                <w:color w:val="000000" w:themeColor="text1"/>
                <w:sz w:val="18"/>
                <w:szCs w:val="18"/>
              </w:rPr>
            </w:pPr>
            <w:r>
              <w:rPr>
                <w:rFonts w:ascii="Arial" w:hAnsi="Arial" w:cs="Arial"/>
                <w:color w:val="000000" w:themeColor="text1"/>
                <w:sz w:val="18"/>
                <w:szCs w:val="18"/>
              </w:rPr>
              <w:t>Book chapter (Springer)</w:t>
            </w:r>
          </w:p>
        </w:tc>
        <w:tc>
          <w:tcPr>
            <w:tcW w:w="761" w:type="dxa"/>
            <w:noWrap/>
          </w:tcPr>
          <w:p w14:paraId="4390E0F8" w14:textId="584C58C1"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sidR="0047291F">
              <w:rPr>
                <w:rFonts w:ascii="Arial" w:hAnsi="Arial" w:cs="Arial"/>
                <w:color w:val="000000" w:themeColor="text1"/>
                <w:sz w:val="18"/>
                <w:szCs w:val="18"/>
              </w:rPr>
              <w:t xml:space="preserve"> </w:t>
            </w:r>
            <w:r>
              <w:rPr>
                <w:rFonts w:ascii="Arial" w:hAnsi="Arial" w:cs="Arial"/>
                <w:color w:val="000000" w:themeColor="text1"/>
                <w:sz w:val="18"/>
                <w:szCs w:val="18"/>
              </w:rPr>
              <w:t>(Elsevier)</w:t>
            </w:r>
          </w:p>
        </w:tc>
        <w:tc>
          <w:tcPr>
            <w:tcW w:w="698" w:type="dxa"/>
            <w:noWrap/>
          </w:tcPr>
          <w:p w14:paraId="28135DF1" w14:textId="5D02E7EF"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sidR="0047291F">
              <w:rPr>
                <w:rFonts w:ascii="Arial" w:hAnsi="Arial" w:cs="Arial"/>
                <w:color w:val="000000" w:themeColor="text1"/>
                <w:sz w:val="18"/>
                <w:szCs w:val="18"/>
              </w:rPr>
              <w:t xml:space="preserve"> </w:t>
            </w:r>
            <w:r>
              <w:rPr>
                <w:rFonts w:ascii="Arial" w:hAnsi="Arial" w:cs="Arial"/>
                <w:color w:val="000000" w:themeColor="text1"/>
                <w:sz w:val="18"/>
                <w:szCs w:val="18"/>
              </w:rPr>
              <w:t>(Cell Press)</w:t>
            </w:r>
          </w:p>
        </w:tc>
        <w:tc>
          <w:tcPr>
            <w:tcW w:w="829" w:type="dxa"/>
            <w:noWrap/>
          </w:tcPr>
          <w:p w14:paraId="0A07A3D9" w14:textId="7BF73FFF" w:rsidR="003537A2" w:rsidRPr="00F52323" w:rsidRDefault="003537A2" w:rsidP="003537A2">
            <w:pPr>
              <w:rPr>
                <w:rFonts w:ascii="Arial" w:hAnsi="Arial" w:cs="Arial"/>
                <w:color w:val="000000" w:themeColor="text1"/>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 xml:space="preserve"> (Elsevier)</w:t>
            </w:r>
          </w:p>
        </w:tc>
      </w:tr>
    </w:tbl>
    <w:p w14:paraId="22DDB461" w14:textId="11CE0BEA" w:rsidR="00423DD4" w:rsidRDefault="00423DD4" w:rsidP="006E66A0">
      <w:pPr>
        <w:rPr>
          <w:rFonts w:cs="Arial"/>
          <w:sz w:val="20"/>
          <w:szCs w:val="20"/>
        </w:rPr>
      </w:pPr>
    </w:p>
    <w:p w14:paraId="28ABBE04" w14:textId="77777777" w:rsidR="00423DD4" w:rsidRDefault="00423DD4">
      <w:pPr>
        <w:rPr>
          <w:rFonts w:cs="Arial"/>
          <w:sz w:val="20"/>
          <w:szCs w:val="20"/>
        </w:rPr>
      </w:pPr>
      <w:r>
        <w:rPr>
          <w:rFonts w:cs="Arial"/>
          <w:sz w:val="20"/>
          <w:szCs w:val="20"/>
        </w:rPr>
        <w:br w:type="page"/>
      </w:r>
    </w:p>
    <w:p w14:paraId="12FBDEDA" w14:textId="1464010C" w:rsidR="00966F59" w:rsidRDefault="00423DD4" w:rsidP="006E66A0">
      <w:pPr>
        <w:rPr>
          <w:rFonts w:ascii="Arial" w:hAnsi="Arial" w:cs="Arial"/>
          <w:b/>
          <w:bCs/>
          <w:sz w:val="24"/>
          <w:szCs w:val="24"/>
        </w:rPr>
      </w:pPr>
      <w:r w:rsidRPr="0010334F">
        <w:rPr>
          <w:rFonts w:ascii="Arial" w:hAnsi="Arial" w:cs="Arial"/>
          <w:b/>
          <w:bCs/>
          <w:sz w:val="24"/>
          <w:szCs w:val="24"/>
        </w:rPr>
        <w:t>Table S</w:t>
      </w:r>
      <w:proofErr w:type="gramStart"/>
      <w:r w:rsidR="007A0FAA">
        <w:rPr>
          <w:rFonts w:ascii="Arial" w:hAnsi="Arial" w:cs="Arial"/>
          <w:b/>
          <w:bCs/>
          <w:sz w:val="24"/>
          <w:szCs w:val="24"/>
        </w:rPr>
        <w:t>3</w:t>
      </w:r>
      <w:r w:rsidR="0061211F">
        <w:rPr>
          <w:rFonts w:ascii="Arial" w:hAnsi="Arial" w:cs="Arial"/>
          <w:b/>
          <w:bCs/>
          <w:sz w:val="24"/>
          <w:szCs w:val="24"/>
        </w:rPr>
        <w:t xml:space="preserve">  </w:t>
      </w:r>
      <w:r w:rsidR="0061211F" w:rsidRPr="0010334F">
        <w:rPr>
          <w:rFonts w:ascii="Arial" w:hAnsi="Arial" w:cs="Arial"/>
          <w:b/>
          <w:bCs/>
          <w:sz w:val="24"/>
          <w:szCs w:val="24"/>
        </w:rPr>
        <w:t>Estimates</w:t>
      </w:r>
      <w:proofErr w:type="gramEnd"/>
      <w:r w:rsidR="0061211F" w:rsidRPr="0010334F">
        <w:rPr>
          <w:rFonts w:ascii="Arial" w:hAnsi="Arial" w:cs="Arial"/>
          <w:b/>
          <w:bCs/>
          <w:sz w:val="24"/>
          <w:szCs w:val="24"/>
        </w:rPr>
        <w:t xml:space="preserve"> in the reviewed literature on</w:t>
      </w:r>
      <w:r w:rsidR="003D0AA0">
        <w:rPr>
          <w:rFonts w:ascii="Arial" w:hAnsi="Arial" w:cs="Arial"/>
          <w:b/>
          <w:bCs/>
          <w:sz w:val="24"/>
          <w:szCs w:val="24"/>
        </w:rPr>
        <w:t xml:space="preserve"> g</w:t>
      </w:r>
      <w:r w:rsidR="0061211F" w:rsidRPr="0061211F">
        <w:rPr>
          <w:rFonts w:ascii="Arial" w:hAnsi="Arial" w:cs="Arial"/>
          <w:b/>
          <w:bCs/>
          <w:sz w:val="24"/>
          <w:szCs w:val="24"/>
        </w:rPr>
        <w:t>ross jobs created per USD million invested</w:t>
      </w:r>
      <w:r w:rsidR="00610E56">
        <w:rPr>
          <w:rFonts w:ascii="Arial" w:hAnsi="Arial" w:cs="Arial"/>
          <w:b/>
          <w:bCs/>
          <w:sz w:val="24"/>
          <w:szCs w:val="24"/>
        </w:rPr>
        <w:t xml:space="preserve"> </w:t>
      </w:r>
      <w:r w:rsidR="00610E56" w:rsidRPr="00610E56">
        <w:rPr>
          <w:rFonts w:ascii="Arial" w:hAnsi="Arial" w:cs="Arial"/>
          <w:b/>
          <w:bCs/>
          <w:sz w:val="24"/>
          <w:szCs w:val="24"/>
        </w:rPr>
        <w:t>(in 2021 US dollars</w:t>
      </w:r>
      <w:r w:rsidR="00966F59">
        <w:rPr>
          <w:rFonts w:ascii="Arial" w:hAnsi="Arial" w:cs="Arial"/>
          <w:b/>
          <w:bCs/>
          <w:sz w:val="24"/>
          <w:szCs w:val="24"/>
        </w:rPr>
        <w:t xml:space="preserve"> or equivalent)</w:t>
      </w:r>
    </w:p>
    <w:tbl>
      <w:tblPr>
        <w:tblStyle w:val="TableGrid"/>
        <w:tblW w:w="13982" w:type="dxa"/>
        <w:tblLayout w:type="fixed"/>
        <w:tblLook w:val="04A0" w:firstRow="1" w:lastRow="0" w:firstColumn="1" w:lastColumn="0" w:noHBand="0" w:noVBand="1"/>
      </w:tblPr>
      <w:tblGrid>
        <w:gridCol w:w="1413"/>
        <w:gridCol w:w="895"/>
        <w:gridCol w:w="895"/>
        <w:gridCol w:w="895"/>
        <w:gridCol w:w="896"/>
        <w:gridCol w:w="895"/>
        <w:gridCol w:w="895"/>
        <w:gridCol w:w="896"/>
        <w:gridCol w:w="895"/>
        <w:gridCol w:w="895"/>
        <w:gridCol w:w="896"/>
        <w:gridCol w:w="895"/>
        <w:gridCol w:w="895"/>
        <w:gridCol w:w="896"/>
        <w:gridCol w:w="930"/>
      </w:tblGrid>
      <w:tr w:rsidR="007B66BD" w:rsidRPr="00B03D4D" w14:paraId="45161B8C" w14:textId="77777777" w:rsidTr="003C6543">
        <w:trPr>
          <w:trHeight w:val="1160"/>
        </w:trPr>
        <w:tc>
          <w:tcPr>
            <w:tcW w:w="1413" w:type="dxa"/>
          </w:tcPr>
          <w:p w14:paraId="77EC6557" w14:textId="209498E5" w:rsidR="007B66BD" w:rsidRPr="00F04D38" w:rsidRDefault="00E16D79" w:rsidP="007B66BD">
            <w:pPr>
              <w:rPr>
                <w:rFonts w:ascii="Arial" w:hAnsi="Arial" w:cs="Arial"/>
                <w:b/>
                <w:bCs/>
                <w:sz w:val="18"/>
                <w:szCs w:val="18"/>
              </w:rPr>
            </w:pPr>
            <w:r w:rsidRPr="00F04D38">
              <w:rPr>
                <w:rFonts w:ascii="Arial" w:hAnsi="Arial" w:cs="Arial"/>
                <w:b/>
                <w:bCs/>
                <w:sz w:val="18"/>
                <w:szCs w:val="18"/>
              </w:rPr>
              <w:t>Source</w:t>
            </w:r>
            <w:r w:rsidR="00F81EB4" w:rsidRPr="00F04D38">
              <w:rPr>
                <w:rFonts w:ascii="Arial" w:hAnsi="Arial" w:cs="Arial"/>
                <w:b/>
                <w:bCs/>
                <w:sz w:val="18"/>
                <w:szCs w:val="18"/>
              </w:rPr>
              <w:t xml:space="preserve"> </w:t>
            </w:r>
          </w:p>
        </w:tc>
        <w:tc>
          <w:tcPr>
            <w:tcW w:w="895" w:type="dxa"/>
          </w:tcPr>
          <w:p w14:paraId="42F8A3A8" w14:textId="462EE556" w:rsidR="007B66BD" w:rsidRPr="00F04D38" w:rsidRDefault="007B66BD" w:rsidP="007B66BD">
            <w:pPr>
              <w:rPr>
                <w:rFonts w:ascii="Arial" w:hAnsi="Arial" w:cs="Arial"/>
                <w:sz w:val="18"/>
                <w:szCs w:val="18"/>
              </w:rPr>
            </w:pPr>
            <w:r w:rsidRPr="00F04D38">
              <w:rPr>
                <w:rFonts w:ascii="Arial" w:hAnsi="Arial" w:cs="Arial"/>
                <w:sz w:val="18"/>
                <w:szCs w:val="18"/>
              </w:rPr>
              <w:fldChar w:fldCharType="begin" w:fldLock="1"/>
            </w:r>
            <w:r w:rsidRPr="00F04D38">
              <w:rPr>
                <w:rFonts w:ascii="Arial" w:hAnsi="Arial" w:cs="Arial"/>
                <w:sz w:val="18"/>
                <w:szCs w:val="18"/>
              </w:rPr>
              <w:instrText>ADDIN CSL_CITATION {"citationItems":[{"id":"ITEM-1","itemData":{"DOI":"10.1016/j.renene.2016.02.027","ISSN":"18790682","abstract":"The transition to a clean and green energy system is an economic and social transformation that is exciting as well as challenging. The world today faces a formidable challenge in transforming its economy from being driven primarily by fossil fuels, which are non-renewable and a major source of global pollution, to becoming an economy that can function effectively using renewable energy sources and by achieving high energy efficiency levels. In the present study, a green economy scenario is developed for India using a bottom-up approach. The results show that significant resource savings can be achieved by 2030 through the introduction of energy-efficient and green technologies. The building of a green energy economy can also serve another purpose: to develop new 'pathways out of poverty' by creating more than 10 million jobs and thus raise the standard of living of low-income people. The differences between the baseline and green energy scenarios are not so much the consequence of the diffusion of various technologies. It is the result of the active roles of different actors and the drivers that become dominant.","author":[{"dropping-particle":"","family":"Reddy","given":"B. Sudhakara","non-dropping-particle":"","parse-names":false,"suffix":""}],"container-title":"Renewable Energy","id":"ITEM-1","issued":{"date-parts":[["2016","7","1"]]},"page":"293-302","publisher":"Elsevier Ltd","title":"India's energy system transition - Survival of the greenest","type":"article-journal","volume":"92"},"uris":["http://www.mendeley.com/documents/?uuid=62bd57d7-a6cf-306b-8013-d3b359a728c4"]}],"mendeley":{"formattedCitation":"(Reddy, 2016)","manualFormatting":"Reddy (2016)","plainTextFormattedCitation":"(Reddy, 2016)","previouslyFormattedCitation":"(Reddy, 2016)"},"properties":{"noteIndex":0},"schema":"https://github.com/citation-style-language/schema/raw/master/csl-citation.json"}</w:instrText>
            </w:r>
            <w:r w:rsidRPr="00F04D38">
              <w:rPr>
                <w:rFonts w:ascii="Arial" w:hAnsi="Arial" w:cs="Arial"/>
                <w:sz w:val="18"/>
                <w:szCs w:val="18"/>
              </w:rPr>
              <w:fldChar w:fldCharType="separate"/>
            </w:r>
            <w:r w:rsidRPr="00F04D38">
              <w:rPr>
                <w:rFonts w:ascii="Arial" w:hAnsi="Arial" w:cs="Arial"/>
                <w:noProof/>
                <w:sz w:val="18"/>
                <w:szCs w:val="18"/>
              </w:rPr>
              <w:t>Reddy (2016)</w:t>
            </w:r>
            <w:r w:rsidRPr="00F04D38">
              <w:rPr>
                <w:rFonts w:ascii="Arial" w:hAnsi="Arial" w:cs="Arial"/>
                <w:sz w:val="18"/>
                <w:szCs w:val="18"/>
              </w:rPr>
              <w:fldChar w:fldCharType="end"/>
            </w:r>
          </w:p>
        </w:tc>
        <w:tc>
          <w:tcPr>
            <w:tcW w:w="895" w:type="dxa"/>
          </w:tcPr>
          <w:p w14:paraId="57AB30FB" w14:textId="3A2D31CE" w:rsidR="007B66BD" w:rsidRPr="00F04D38" w:rsidRDefault="007B66BD" w:rsidP="007B66BD">
            <w:pPr>
              <w:rPr>
                <w:rFonts w:ascii="Arial" w:hAnsi="Arial" w:cs="Arial"/>
                <w:sz w:val="18"/>
                <w:szCs w:val="18"/>
              </w:rPr>
            </w:pPr>
            <w:r w:rsidRPr="00F04D38">
              <w:rPr>
                <w:rFonts w:ascii="Arial" w:hAnsi="Arial" w:cs="Arial"/>
                <w:sz w:val="18"/>
                <w:szCs w:val="18"/>
              </w:rPr>
              <w:fldChar w:fldCharType="begin" w:fldLock="1"/>
            </w:r>
            <w:r w:rsidR="00051FF6">
              <w:rPr>
                <w:rFonts w:ascii="Arial" w:hAnsi="Arial" w:cs="Arial"/>
                <w:sz w:val="18"/>
                <w:szCs w:val="18"/>
              </w:rPr>
              <w:instrText>ADDIN CSL_CITATION {"citationItems":[{"id":"ITEM-1","itemData":{"DOI":"10.1016/j.rser.2014.10.060","ISSN":"13640321","abstract":"The paper provides a comprehensive empirical assessment of American stimulus policies aimed at renewable energy (RE) technologies. We use an indicator-based methodology to assess progress with respect to energy, environmental and socio-economic issues resulting from RE stimulus programs linked to the American Recovery and Reinvestment Act, and review and analyze the emerging but scattered literature. Overall, our results indicate that stimulus programs have had a positive effect on the RE sector. This is despite the fact that they were originally planned to work in combination with a greenhouse gas 'cap-and-trade' system, which has not been implemented. From the methodological perspective, our approach is resource-intensive and our analysis highlights numerous challenges, notably related to causality and additionality. Despite these limitations, this research improves our understanding of the broad effects and impacts of RE stimulus programs.","author":[{"dropping-particle":"","family":"Mundaca","given":"Luis","non-dropping-particle":"","parse-names":false,"suffix":""},{"dropping-particle":"","family":"Luth Richter","given":"Jessika","non-dropping-particle":"","parse-names":false,"suffix":""}],"container-title":"Renewable and Sustainable Energy Reviews","id":"ITEM-1","issued":{"date-parts":[["2015","2","1"]]},"page":"1174-1186","publisher":"Elsevier Ltd","title":"Assessing 'green energy economy' stimulus packages: Evidence from the U.S. programs targeting renewable energy","type":"article","volume":"42"},"uris":["http://www.mendeley.com/documents/?uuid=296b7ef5-3c9f-344c-b343-d79a472ee50b"]}],"mendeley":{"formattedCitation":"(Mundaca and Luth Richter, 2015)","manualFormatting":"Mundaca and Luth Richter (2015)","plainTextFormattedCitation":"(Mundaca and Luth Richter, 2015)","previouslyFormattedCitation":"(Mundaca and Luth Richter, 2015)"},"properties":{"noteIndex":0},"schema":"https://github.com/citation-style-language/schema/raw/master/csl-citation.json"}</w:instrText>
            </w:r>
            <w:r w:rsidRPr="00F04D38">
              <w:rPr>
                <w:rFonts w:ascii="Arial" w:hAnsi="Arial" w:cs="Arial"/>
                <w:sz w:val="18"/>
                <w:szCs w:val="18"/>
              </w:rPr>
              <w:fldChar w:fldCharType="separate"/>
            </w:r>
            <w:r w:rsidRPr="00F04D38">
              <w:rPr>
                <w:rFonts w:ascii="Arial" w:hAnsi="Arial" w:cs="Arial"/>
                <w:noProof/>
                <w:sz w:val="18"/>
                <w:szCs w:val="18"/>
              </w:rPr>
              <w:t>Mundaca and Luth Richter (2015)</w:t>
            </w:r>
            <w:r w:rsidRPr="00F04D38">
              <w:rPr>
                <w:rFonts w:ascii="Arial" w:hAnsi="Arial" w:cs="Arial"/>
                <w:sz w:val="18"/>
                <w:szCs w:val="18"/>
              </w:rPr>
              <w:fldChar w:fldCharType="end"/>
            </w:r>
          </w:p>
        </w:tc>
        <w:tc>
          <w:tcPr>
            <w:tcW w:w="895" w:type="dxa"/>
          </w:tcPr>
          <w:p w14:paraId="5D82FBED" w14:textId="1891A143" w:rsidR="007B66BD" w:rsidRPr="006B64C7" w:rsidRDefault="006B64C7" w:rsidP="007B66BD">
            <w:pPr>
              <w:rPr>
                <w:rFonts w:ascii="Arial" w:hAnsi="Arial" w:cs="Arial"/>
                <w:sz w:val="18"/>
                <w:szCs w:val="18"/>
              </w:rPr>
            </w:pPr>
            <w:r w:rsidRPr="006B64C7">
              <w:rPr>
                <w:rFonts w:ascii="Arial" w:hAnsi="Arial" w:cs="Arial"/>
                <w:sz w:val="18"/>
                <w:szCs w:val="18"/>
              </w:rPr>
              <w:fldChar w:fldCharType="begin" w:fldLock="1"/>
            </w:r>
            <w:r>
              <w:rPr>
                <w:rFonts w:ascii="Arial" w:hAnsi="Arial" w:cs="Arial"/>
                <w:sz w:val="18"/>
                <w:szCs w:val="18"/>
              </w:rPr>
              <w:instrText>ADDIN CSL_CITATION {"citationItems":[{"id":"ITEM-1","itemData":{"DOI":"10.1016/j.econmod.2016.11.012","ISSN":"02649993","abstract":"Global carbon emissions have reached unsustainable levels, and transforming the energy sector by increasing efficiency and use of renewables is one of the primary strategies to reduce emissions. Policy makers need to understand both the environmental and economic impacts of fiscal and regulatory policies regarding the energy sector. Transitioning to lower-carbon energy will entail a contraction of the fossil fuel sector, along with a loss of jobs. An important question is whether clean energy will create more jobs than will be lost in fossil fuels. This article presents a method of using Input-Output (I-O) tables to create “synthetic” industries – namely clean energy industries that do not currently exist in I-O tables. This approach allows researchers to evaluate public and private spending in clean energy and compare it to the effects of spending on fossil fuels. Here we focus on employment impacts in the short-to-medium term, and leave aside the long-term comparison of operations and maintenance employment. We find that on average, 2.65 full-time-equivalent (FTE) jobs are created from $1 million spending in fossil fuels, while that same amount of spending would create 7.49 or 7.72 FTE jobs in renewables or energy efficiency. Thus each $1 million shifted from brown to green energy will create a net increase of 5 jobs.","author":[{"dropping-particle":"","family":"Garrett-Peltier","given":"Heidi","non-dropping-particle":"","parse-names":false,"suffix":""}],"container-title":"Economic Modelling","id":"ITEM-1","issued":{"date-parts":[["2017","2","1"]]},"page":"439-447","publisher":"Elsevier B.V.","title":"Green versus brown: Comparing the employment impacts of energy efficiency, renewable energy, and fossil fuels using an input-output model","type":"article-journal","volume":"61"},"uris":["http://www.mendeley.com/documents/?uuid=aaa187a4-76f0-31c3-a064-d0713996539c"]}],"mendeley":{"formattedCitation":"(Garrett-Peltier, 2017)","plainTextFormattedCitation":"(Garrett-Peltier, 2017)","previouslyFormattedCitation":"(Garrett-Peltier, 2017)"},"properties":{"noteIndex":0},"schema":"https://github.com/citation-style-language/schema/raw/master/csl-citation.json"}</w:instrText>
            </w:r>
            <w:r w:rsidRPr="006B64C7">
              <w:rPr>
                <w:rFonts w:ascii="Arial" w:hAnsi="Arial" w:cs="Arial"/>
                <w:sz w:val="18"/>
                <w:szCs w:val="18"/>
              </w:rPr>
              <w:fldChar w:fldCharType="separate"/>
            </w:r>
            <w:r w:rsidRPr="006B64C7">
              <w:rPr>
                <w:rFonts w:ascii="Arial" w:hAnsi="Arial" w:cs="Arial"/>
                <w:noProof/>
                <w:sz w:val="18"/>
                <w:szCs w:val="18"/>
              </w:rPr>
              <w:t>Garrett-Peltier</w:t>
            </w:r>
            <w:r w:rsidR="005E76BB">
              <w:rPr>
                <w:rFonts w:ascii="Arial" w:hAnsi="Arial" w:cs="Arial"/>
                <w:noProof/>
                <w:sz w:val="18"/>
                <w:szCs w:val="18"/>
              </w:rPr>
              <w:t xml:space="preserve"> (</w:t>
            </w:r>
            <w:r w:rsidRPr="006B64C7">
              <w:rPr>
                <w:rFonts w:ascii="Arial" w:hAnsi="Arial" w:cs="Arial"/>
                <w:noProof/>
                <w:sz w:val="18"/>
                <w:szCs w:val="18"/>
              </w:rPr>
              <w:t>2017)</w:t>
            </w:r>
            <w:r w:rsidRPr="006B64C7">
              <w:rPr>
                <w:rFonts w:ascii="Arial" w:hAnsi="Arial" w:cs="Arial"/>
                <w:sz w:val="18"/>
                <w:szCs w:val="18"/>
              </w:rPr>
              <w:fldChar w:fldCharType="end"/>
            </w:r>
          </w:p>
        </w:tc>
        <w:tc>
          <w:tcPr>
            <w:tcW w:w="896" w:type="dxa"/>
          </w:tcPr>
          <w:p w14:paraId="05079EC6" w14:textId="72E74008" w:rsidR="007B66BD" w:rsidRPr="00C43303" w:rsidRDefault="007B66BD" w:rsidP="007B66BD">
            <w:pPr>
              <w:rPr>
                <w:rFonts w:ascii="Arial" w:hAnsi="Arial" w:cs="Arial"/>
                <w:sz w:val="18"/>
                <w:szCs w:val="18"/>
              </w:rPr>
            </w:pPr>
            <w:r w:rsidRPr="00C43303">
              <w:rPr>
                <w:rFonts w:ascii="Arial" w:hAnsi="Arial" w:cs="Arial"/>
                <w:sz w:val="18"/>
                <w:szCs w:val="18"/>
              </w:rPr>
              <w:fldChar w:fldCharType="begin" w:fldLock="1"/>
            </w:r>
            <w:r w:rsidR="00051FF6" w:rsidRPr="00C43303">
              <w:rPr>
                <w:rFonts w:ascii="Arial" w:hAnsi="Arial" w:cs="Arial"/>
                <w:sz w:val="18"/>
                <w:szCs w:val="18"/>
              </w:rPr>
              <w:instrText>ADDIN CSL_CITATION {"citationItems":[{"id":"ITEM-1","itemData":{"DOI":"10.1016/j.mex.2020.100955","ISSN":"22150161","abstract":"We develop a methodology for estimating the number and types of jobs that would result from investments in energy efficiency in homes, businesses, and industry. The methodology involves the development of input-output (I-O) bills of goods that characterize how energy-efficiency funds would be spent across sectors of the economy. The methodology builds on and adds greater articulation to the research conducted in prior studies of U.S. energy-efficiency policies. • The first two steps involve estimating the magnitude of investments in energy-efficient technologies and systems required to produce a unit of energy consumption reduction, and then identifying how these investments are expensed across the broad investment categories, which creates the preliminary “bills of goods” for investments in energy efficiency in homes, businesses, and industry. • The third step involves soliciting feedback on the preliminary bills of goods from experts in delivering and evaluating energy-efficiency programs, and then making necessary modifications. • In the final step we apply the input-output coefficients representing the bills of goods to estimate the direct, indirect and induced employment per million dollars of investment in energy efficiency.","author":[{"dropping-particle":"","family":"Brown","given":"Marilyn A.","non-dropping-particle":"","parse-names":false,"suffix":""},{"dropping-particle":"","family":"Soni","given":"Anmol","non-dropping-particle":"","parse-names":false,"suffix":""},{"dropping-particle":"","family":"Li","given":"Yufei","non-dropping-particle":"","parse-names":false,"suffix":""}],"container-title":"MethodsX","id":"ITEM-1","issued":{"date-parts":[["2020","1","1"]]},"page":"100955","publisher":"Elsevier B.V.","title":"Estimating employment from energy-efficiency investments","type":"article-journal","volume":"7"},"uris":["http://www.mendeley.com/documents/?uuid=d4fb19a9-493c-36bf-9ae5-d587db70fa6e"]}],"mendeley":{"formattedCitation":"(Brown, Soni and Li, 2020)","manualFormatting":"Brown, Soni and Li (2020)","plainTextFormattedCitation":"(Brown, Soni and Li, 2020)","previouslyFormattedCitation":"(Brown, Soni and Li, 2020)"},"properties":{"noteIndex":0},"schema":"https://github.com/citation-style-language/schema/raw/master/csl-citation.json"}</w:instrText>
            </w:r>
            <w:r w:rsidRPr="00C43303">
              <w:rPr>
                <w:rFonts w:ascii="Arial" w:hAnsi="Arial" w:cs="Arial"/>
                <w:sz w:val="18"/>
                <w:szCs w:val="18"/>
              </w:rPr>
              <w:fldChar w:fldCharType="separate"/>
            </w:r>
            <w:r w:rsidRPr="00C43303">
              <w:rPr>
                <w:rFonts w:ascii="Arial" w:hAnsi="Arial" w:cs="Arial"/>
                <w:noProof/>
                <w:sz w:val="18"/>
                <w:szCs w:val="18"/>
              </w:rPr>
              <w:t>Brown, Soni and Li (2020)</w:t>
            </w:r>
            <w:r w:rsidRPr="00C43303">
              <w:rPr>
                <w:rFonts w:ascii="Arial" w:hAnsi="Arial" w:cs="Arial"/>
                <w:sz w:val="18"/>
                <w:szCs w:val="18"/>
              </w:rPr>
              <w:fldChar w:fldCharType="end"/>
            </w:r>
          </w:p>
        </w:tc>
        <w:tc>
          <w:tcPr>
            <w:tcW w:w="895" w:type="dxa"/>
          </w:tcPr>
          <w:p w14:paraId="1062C615" w14:textId="40322EB3" w:rsidR="007B66BD" w:rsidRPr="00C43303" w:rsidRDefault="007B66BD" w:rsidP="007B66BD">
            <w:pPr>
              <w:rPr>
                <w:rFonts w:ascii="Arial" w:hAnsi="Arial" w:cs="Arial"/>
                <w:sz w:val="18"/>
                <w:szCs w:val="18"/>
              </w:rPr>
            </w:pPr>
            <w:r w:rsidRPr="00C43303">
              <w:rPr>
                <w:rFonts w:ascii="Arial" w:hAnsi="Arial" w:cs="Arial"/>
                <w:sz w:val="18"/>
                <w:szCs w:val="18"/>
              </w:rPr>
              <w:fldChar w:fldCharType="begin" w:fldLock="1"/>
            </w:r>
            <w:r w:rsidR="00051FF6" w:rsidRPr="00C43303">
              <w:rPr>
                <w:rFonts w:ascii="Arial" w:hAnsi="Arial" w:cs="Arial"/>
                <w:sz w:val="18"/>
                <w:szCs w:val="18"/>
              </w:rPr>
              <w:instrText>ADDIN CSL_CITATION {"citationItems":[{"id":"ITEM-1","itemData":{"DOI":"10.1016/J.ENPOL.2014.08.007","ISSN":"0301-4215","abstract":"Programmes supporting the installation of energy efficiency measures typically incur a cost in the form of subsidies as well as lost VAT income due to reduced energy consumption. Those costs are to some extent offset by the tax receipts and other revenue streams generated as a result of the activities promoted under the programme. In this paper we analyse the budgetary effects of energy efficiency programmes focusing on the example of solid wall insulation in the UK. Three distinct subsidy options have been defined and modelled for the purpose of this research including two policies with varying degrees of direct subsidy and a low interest loan scheme. Our analysis shows that a significant amount of the cost of a scheme funding solid wall insulation would be offset by increased revenues and savings. A loan scheme, due to the high leverage, achieves not only budget neutrality but generates additional revenue for the Exchequer.","author":[{"dropping-particle":"","family":"Rosenow","given":"Jan","non-dropping-particle":"","parse-names":false,"suffix":""},{"dropping-particle":"","family":"Platt","given":"Reg","non-dropping-particle":"","parse-names":false,"suffix":""},{"dropping-particle":"","family":"Demurtas","given":"Andrea","non-dropping-particle":"","parse-names":false,"suffix":""}],"container-title":"Energy Policy","id":"ITEM-1","issue":"C","issued":{"date-parts":[["2014","11","1"]]},"page":"610-620","publisher":"Elsevier","title":"Fiscal impacts of energy efficiency programmes - The example of solid wall insulation investment in the UK","type":"article-journal","volume":"74"},"uris":["http://www.mendeley.com/documents/?uuid=c9b5bbb0-23b0-3547-825f-cf10475b5391"]}],"mendeley":{"formattedCitation":"(Rosenow, Platt and Demurtas, 2014)","manualFormatting":"Rosenow, Platt and Demurtas (2014)","plainTextFormattedCitation":"(Rosenow, Platt and Demurtas, 2014)","previouslyFormattedCitation":"(Rosenow, Platt and Demurtas, 2014)"},"properties":{"noteIndex":0},"schema":"https://github.com/citation-style-language/schema/raw/master/csl-citation.json"}</w:instrText>
            </w:r>
            <w:r w:rsidRPr="00C43303">
              <w:rPr>
                <w:rFonts w:ascii="Arial" w:hAnsi="Arial" w:cs="Arial"/>
                <w:sz w:val="18"/>
                <w:szCs w:val="18"/>
              </w:rPr>
              <w:fldChar w:fldCharType="separate"/>
            </w:r>
            <w:r w:rsidRPr="00C43303">
              <w:rPr>
                <w:rFonts w:ascii="Arial" w:hAnsi="Arial" w:cs="Arial"/>
                <w:noProof/>
                <w:sz w:val="18"/>
                <w:szCs w:val="18"/>
              </w:rPr>
              <w:t>Rosenow, Platt and Demurtas (2014)</w:t>
            </w:r>
            <w:r w:rsidRPr="00C43303">
              <w:rPr>
                <w:rFonts w:ascii="Arial" w:hAnsi="Arial" w:cs="Arial"/>
                <w:sz w:val="18"/>
                <w:szCs w:val="18"/>
              </w:rPr>
              <w:fldChar w:fldCharType="end"/>
            </w:r>
            <w:r w:rsidR="00E16D79" w:rsidRPr="00C43303">
              <w:rPr>
                <w:rFonts w:ascii="Arial" w:hAnsi="Arial" w:cs="Arial"/>
                <w:sz w:val="18"/>
                <w:szCs w:val="18"/>
              </w:rPr>
              <w:t>; Costantini (2018)</w:t>
            </w:r>
          </w:p>
        </w:tc>
        <w:tc>
          <w:tcPr>
            <w:tcW w:w="895" w:type="dxa"/>
          </w:tcPr>
          <w:p w14:paraId="3855D74A" w14:textId="2BC32768" w:rsidR="007B66BD" w:rsidRPr="00C43303" w:rsidRDefault="007B66BD" w:rsidP="007B66BD">
            <w:pPr>
              <w:rPr>
                <w:rFonts w:ascii="Arial" w:hAnsi="Arial" w:cs="Arial"/>
                <w:sz w:val="18"/>
                <w:szCs w:val="18"/>
              </w:rPr>
            </w:pPr>
            <w:r w:rsidRPr="00C43303">
              <w:rPr>
                <w:rFonts w:ascii="Arial" w:hAnsi="Arial" w:cs="Arial"/>
                <w:sz w:val="18"/>
                <w:szCs w:val="18"/>
              </w:rPr>
              <w:fldChar w:fldCharType="begin" w:fldLock="1"/>
            </w:r>
            <w:r w:rsidR="00051FF6" w:rsidRPr="00C43303">
              <w:rPr>
                <w:rFonts w:ascii="Arial" w:hAnsi="Arial" w:cs="Arial"/>
                <w:sz w:val="18"/>
                <w:szCs w:val="18"/>
              </w:rPr>
              <w:instrText>ADDIN CSL_CITATION {"citationItems":[{"id":"ITEM-1","itemData":{"author":[{"dropping-particle":"","family":"Cambridge Econometrics","given":"","non-dropping-particle":"","parse-names":false,"suffix":""}],"id":"ITEM-1","issued":{"date-parts":[["2015"]]},"publisher-place":"Cambridge, UK","title":"Assessing the employment and social impact of energy efficiency. Final report, volume 1: Main report","type":"report"},"uris":["http://www.mendeley.com/documents/?uuid=1b185636-2acc-478c-a2d4-02b574895961"]}],"mendeley":{"formattedCitation":"(Cambridge Econometrics, 2015)","manualFormatting":"Cambridge Econometrics (2015)","plainTextFormattedCitation":"(Cambridge Econometrics, 2015)","previouslyFormattedCitation":"(Cambridge Econometrics, 2015)"},"properties":{"noteIndex":0},"schema":"https://github.com/citation-style-language/schema/raw/master/csl-citation.json"}</w:instrText>
            </w:r>
            <w:r w:rsidRPr="00C43303">
              <w:rPr>
                <w:rFonts w:ascii="Arial" w:hAnsi="Arial" w:cs="Arial"/>
                <w:sz w:val="18"/>
                <w:szCs w:val="18"/>
              </w:rPr>
              <w:fldChar w:fldCharType="separate"/>
            </w:r>
            <w:r w:rsidRPr="00C43303">
              <w:rPr>
                <w:rFonts w:ascii="Arial" w:hAnsi="Arial" w:cs="Arial"/>
                <w:noProof/>
                <w:sz w:val="18"/>
                <w:szCs w:val="18"/>
              </w:rPr>
              <w:t>Cambridge Econometrics (2015)</w:t>
            </w:r>
            <w:r w:rsidRPr="00C43303">
              <w:rPr>
                <w:rFonts w:ascii="Arial" w:hAnsi="Arial" w:cs="Arial"/>
                <w:sz w:val="18"/>
                <w:szCs w:val="18"/>
              </w:rPr>
              <w:fldChar w:fldCharType="end"/>
            </w:r>
          </w:p>
        </w:tc>
        <w:tc>
          <w:tcPr>
            <w:tcW w:w="896" w:type="dxa"/>
          </w:tcPr>
          <w:p w14:paraId="50310C8C" w14:textId="47459EBD" w:rsidR="007B66BD" w:rsidRPr="00C43303" w:rsidRDefault="007B66BD" w:rsidP="007B66BD">
            <w:pPr>
              <w:rPr>
                <w:rFonts w:ascii="Arial" w:hAnsi="Arial" w:cs="Arial"/>
                <w:sz w:val="18"/>
                <w:szCs w:val="18"/>
              </w:rPr>
            </w:pPr>
            <w:r w:rsidRPr="00C43303">
              <w:rPr>
                <w:rFonts w:ascii="Arial" w:hAnsi="Arial" w:cs="Arial"/>
                <w:sz w:val="18"/>
                <w:szCs w:val="18"/>
              </w:rPr>
              <w:fldChar w:fldCharType="begin" w:fldLock="1"/>
            </w:r>
            <w:r w:rsidR="00051FF6" w:rsidRPr="00C43303">
              <w:rPr>
                <w:rFonts w:ascii="Arial" w:hAnsi="Arial" w:cs="Arial"/>
                <w:sz w:val="18"/>
                <w:szCs w:val="18"/>
              </w:rPr>
              <w:instrText>ADDIN CSL_CITATION {"citationItems":[{"id":"ITEM-1","itemData":{"DOI":"10.1016/J.RSER.2012.03.072","ISSN":"1364-0321","abstract":"The benefits of promoting renewable energy are regularly claimed to be energy security, climate change mitigation and job creation. While the first two benefits are generally accepted, the impact of renewable energy on employment is still disputed. This paper presents a discussion of the various factors that influence the analysis of renewable energy and its impact on employment. The advantages and disadvantages of input-output methods and analysis methods are discussed as well as the issues surrounding the measurement of job creation. A critical evaluation of the literature reveals factors that should be considered when completing a study about renewable energy and employment: labour intensity of renewables; cost increases and availability of investments; counting job losses; job quality and skills, model assumptions and sources of information. Analytical studies using extensive surveys were found to be more appropriate for regional studies while input-output methods were better suited to national and international studies. © 2012 Elsevier Ltd. All rights reserved.","author":[{"dropping-particle":"","family":"Lambert","given":"Rosebud Jasmine","non-dropping-particle":"","parse-names":false,"suffix":""},{"dropping-particle":"","family":"Silva","given":"Patrícia Pereira","non-dropping-particle":"","parse-names":false,"suffix":""}],"container-title":"Renewable and Sustainable Energy Reviews","id":"ITEM-1","issue":"7","issued":{"date-parts":[["2012","9","1"]]},"page":"4667-4674","publisher":"Pergamon","title":"The challenges of determining the employment effects of renewable energy","type":"article-journal","volume":"16"},"uris":["http://www.mendeley.com/documents/?uuid=029db6d7-6137-331c-b5f1-411fde853558"]}],"mendeley":{"formattedCitation":"(Lambert and Silva, 2012)","manualFormatting":"Lambert and Silva (2012)","plainTextFormattedCitation":"(Lambert and Silva, 2012)","previouslyFormattedCitation":"(Lambert and Silva, 2012)"},"properties":{"noteIndex":0},"schema":"https://github.com/citation-style-language/schema/raw/master/csl-citation.json"}</w:instrText>
            </w:r>
            <w:r w:rsidRPr="00C43303">
              <w:rPr>
                <w:rFonts w:ascii="Arial" w:hAnsi="Arial" w:cs="Arial"/>
                <w:sz w:val="18"/>
                <w:szCs w:val="18"/>
              </w:rPr>
              <w:fldChar w:fldCharType="separate"/>
            </w:r>
            <w:r w:rsidRPr="00C43303">
              <w:rPr>
                <w:rFonts w:ascii="Arial" w:hAnsi="Arial" w:cs="Arial"/>
                <w:noProof/>
                <w:sz w:val="18"/>
                <w:szCs w:val="18"/>
              </w:rPr>
              <w:t>Lambert and Silva (2012)</w:t>
            </w:r>
            <w:r w:rsidRPr="00C43303">
              <w:rPr>
                <w:rFonts w:ascii="Arial" w:hAnsi="Arial" w:cs="Arial"/>
                <w:sz w:val="18"/>
                <w:szCs w:val="18"/>
              </w:rPr>
              <w:fldChar w:fldCharType="end"/>
            </w:r>
            <w:r w:rsidR="00E16D79" w:rsidRPr="00C43303">
              <w:rPr>
                <w:rFonts w:ascii="Arial" w:hAnsi="Arial" w:cs="Arial"/>
                <w:sz w:val="18"/>
                <w:szCs w:val="18"/>
              </w:rPr>
              <w:t>; Meyer (2016)</w:t>
            </w:r>
          </w:p>
        </w:tc>
        <w:tc>
          <w:tcPr>
            <w:tcW w:w="895" w:type="dxa"/>
          </w:tcPr>
          <w:p w14:paraId="04BB2876" w14:textId="03883B2B" w:rsidR="00F1624D" w:rsidRPr="00C43303" w:rsidRDefault="007B66BD" w:rsidP="007B66BD">
            <w:pPr>
              <w:rPr>
                <w:rFonts w:ascii="Arial" w:hAnsi="Arial" w:cs="Arial"/>
                <w:sz w:val="18"/>
                <w:szCs w:val="18"/>
              </w:rPr>
            </w:pPr>
            <w:r w:rsidRPr="00C43303">
              <w:rPr>
                <w:rFonts w:ascii="Arial" w:hAnsi="Arial" w:cs="Arial"/>
                <w:sz w:val="18"/>
                <w:szCs w:val="18"/>
              </w:rPr>
              <w:fldChar w:fldCharType="begin" w:fldLock="1"/>
            </w:r>
            <w:r w:rsidR="00051FF6" w:rsidRPr="00C43303">
              <w:rPr>
                <w:rFonts w:ascii="Arial" w:hAnsi="Arial" w:cs="Arial"/>
                <w:sz w:val="18"/>
                <w:szCs w:val="18"/>
              </w:rPr>
              <w:instrText>ADDIN CSL_CITATION {"citationItems":[{"id":"ITEM-1","itemData":{"DOI":"10.1016/J.ENPOL.2013.01.047","ISSN":"0301-4215","abstract":"The aim of this paper is twofold: first, to calculate the \"green\" energy investments, by industrial sector, that Greece would need in order to satisfy a number of energy and environmental targets adopted in the context of the European Commission's energy and climate change package; and second, to calculate the macro-economic impacts of these \"green\" investments on production and employment in the Greek economy. To this end, the input-output analysis has been exploited for estimating the direct, indirect and induced macroeconomic effects associated with the implementation of selected energy conservation measures, the promotion of renewable energy technologies, etc. Our findings show that the required investments would reach the amount of €47.9 billion, over the period 2010-2020. These investments will result in an average annual increase of the national product by €9.4 billion, creating simultaneously 108,000 full-time equivalent jobs for the entire period under consideration. The employment generated per €1 million investment is relatively higher in energy saving projects in buildings and transport in comparison with the development of RES in power generation sector. © 2013 Elsevier Ltd.","author":[{"dropping-particle":"","family":"Markaki","given":"M.","non-dropping-particle":"","parse-names":false,"suffix":""},{"dropping-particle":"","family":"Belegri-Roboli","given":"A.","non-dropping-particle":"","parse-names":false,"suffix":""},{"dropping-particle":"","family":"Michaelides","given":"P.","non-dropping-particle":"","parse-names":false,"suffix":""},{"dropping-particle":"","family":"Mirasgedis","given":"S.","non-dropping-particle":"","parse-names":false,"suffix":""},{"dropping-particle":"","family":"Lalas","given":"D. P.","non-dropping-particle":"","parse-names":false,"suffix":""}],"container-title":"Energy Policy","id":"ITEM-1","issued":{"date-parts":[["2013","6","1"]]},"page":"263-275","publisher":"Elsevier","title":"The impact of clean energy investments on the Greek economy: An input–output analysis (2010–2020)","type":"article-journal","volume":"57"},"uris":["http://www.mendeley.com/documents/?uuid=0f5459d8-ecbb-39c5-8f90-3a6c94b51399"]}],"mendeley":{"formattedCitation":"(Markaki &lt;i&gt;et al.&lt;/i&gt;, 2013)","manualFormatting":"Markaki et al. (2013)","plainTextFormattedCitation":"(Markaki et al., 2013)","previouslyFormattedCitation":"(Markaki &lt;i&gt;et al.&lt;/i&gt;, 2013)"},"properties":{"noteIndex":0},"schema":"https://github.com/citation-style-language/schema/raw/master/csl-citation.json"}</w:instrText>
            </w:r>
            <w:r w:rsidRPr="00C43303">
              <w:rPr>
                <w:rFonts w:ascii="Arial" w:hAnsi="Arial" w:cs="Arial"/>
                <w:sz w:val="18"/>
                <w:szCs w:val="18"/>
              </w:rPr>
              <w:fldChar w:fldCharType="separate"/>
            </w:r>
            <w:r w:rsidRPr="00C43303">
              <w:rPr>
                <w:rFonts w:ascii="Arial" w:hAnsi="Arial" w:cs="Arial"/>
                <w:noProof/>
                <w:sz w:val="18"/>
                <w:szCs w:val="18"/>
              </w:rPr>
              <w:t xml:space="preserve">Markaki </w:t>
            </w:r>
            <w:r w:rsidRPr="00C43303">
              <w:rPr>
                <w:rFonts w:ascii="Arial" w:hAnsi="Arial" w:cs="Arial"/>
                <w:i/>
                <w:noProof/>
                <w:sz w:val="18"/>
                <w:szCs w:val="18"/>
              </w:rPr>
              <w:t>et al.</w:t>
            </w:r>
            <w:r w:rsidRPr="00C43303">
              <w:rPr>
                <w:rFonts w:ascii="Arial" w:hAnsi="Arial" w:cs="Arial"/>
                <w:noProof/>
                <w:sz w:val="18"/>
                <w:szCs w:val="18"/>
              </w:rPr>
              <w:t xml:space="preserve"> (2013)</w:t>
            </w:r>
            <w:r w:rsidRPr="00C43303">
              <w:rPr>
                <w:rFonts w:ascii="Arial" w:hAnsi="Arial" w:cs="Arial"/>
                <w:sz w:val="18"/>
                <w:szCs w:val="18"/>
              </w:rPr>
              <w:fldChar w:fldCharType="end"/>
            </w:r>
          </w:p>
        </w:tc>
        <w:tc>
          <w:tcPr>
            <w:tcW w:w="895" w:type="dxa"/>
          </w:tcPr>
          <w:p w14:paraId="1B0BE2ED" w14:textId="31E6383D" w:rsidR="007B66BD" w:rsidRPr="00C43303" w:rsidRDefault="007B66BD" w:rsidP="007B66BD">
            <w:pPr>
              <w:rPr>
                <w:rFonts w:ascii="Arial" w:hAnsi="Arial" w:cs="Arial"/>
                <w:sz w:val="18"/>
                <w:szCs w:val="18"/>
              </w:rPr>
            </w:pPr>
            <w:r w:rsidRPr="00C43303">
              <w:rPr>
                <w:rFonts w:ascii="Arial" w:hAnsi="Arial" w:cs="Arial"/>
                <w:sz w:val="18"/>
                <w:szCs w:val="18"/>
              </w:rPr>
              <w:fldChar w:fldCharType="begin" w:fldLock="1"/>
            </w:r>
            <w:r w:rsidR="00051FF6" w:rsidRPr="00C43303">
              <w:rPr>
                <w:rFonts w:ascii="Arial" w:hAnsi="Arial" w:cs="Arial"/>
                <w:sz w:val="18"/>
                <w:szCs w:val="18"/>
              </w:rPr>
              <w:instrText>ADDIN CSL_CITATION {"citationItems":[{"id":"ITEM-1","itemData":{"DOI":"10.1016/J.ENPOL.2016.06.040","ISSN":"0301-4215","abstract":"The purpose of this paper is to estimunate the impact of energy saving investment in residential and public buildings in Croatia for the period 2015–2020. The aim is to assess the overall socio-economic impact of energy saving renovation measures defined in Croatian strategic documents in terms of the direct, indirect and induced growth of gross value added, employment and government revenues. An estimate of the avoided costs of air pollution is also included. The overall economic impact assessment is based on an input-output methodology. From the point of view of individual investors, the benefits in terms of reduced future expenses related to energy products are usually below energy efficient renovation investment costs, making an investment financially viable only if government support is provided. If the benefits for society as a whole are included, energy efficient renovation could be assessed as viable even in the short-run. Energy saving retrofits of residential and public buildings positively contribute to economic growth, employment and protection of the environment. Because of economic growth, the tax revenues induced by these investments could compensate for government expenditures, and the overall impact on the public deficit is expected to be neutral even in the short-run.","author":[{"dropping-particle":"","family":"Mikulić","given":"Davor","non-dropping-particle":"","parse-names":false,"suffix":""},{"dropping-particle":"","family":"Bakarić","given":"Ivana Rašić","non-dropping-particle":"","parse-names":false,"suffix":""},{"dropping-particle":"","family":"Slijepčević","given":"Sunčana","non-dropping-particle":"","parse-names":false,"suffix":""}],"container-title":"Energy Policy","id":"ITEM-1","issued":{"date-parts":[["2016","9","1"]]},"page":"630-644","publisher":"Elsevier","title":"The economic impact of energy saving retrofits of residential and public buildings in Croatia","type":"article-journal","volume":"96"},"uris":["http://www.mendeley.com/documents/?uuid=57e6de6c-0e65-34f8-8bc9-8c6547cef9b8"]}],"mendeley":{"formattedCitation":"(Mikulić, Bakarić and Slijepčević, 2016)","manualFormatting":"Mikulić, Bakarić and Slijepčević (2016)","plainTextFormattedCitation":"(Mikulić, Bakarić and Slijepčević, 2016)","previouslyFormattedCitation":"(Mikulić, Bakarić and Slijepčević, 2016)"},"properties":{"noteIndex":0},"schema":"https://github.com/citation-style-language/schema/raw/master/csl-citation.json"}</w:instrText>
            </w:r>
            <w:r w:rsidRPr="00C43303">
              <w:rPr>
                <w:rFonts w:ascii="Arial" w:hAnsi="Arial" w:cs="Arial"/>
                <w:sz w:val="18"/>
                <w:szCs w:val="18"/>
              </w:rPr>
              <w:fldChar w:fldCharType="separate"/>
            </w:r>
            <w:r w:rsidRPr="00C43303">
              <w:rPr>
                <w:rFonts w:ascii="Arial" w:hAnsi="Arial" w:cs="Arial"/>
                <w:noProof/>
                <w:sz w:val="18"/>
                <w:szCs w:val="18"/>
              </w:rPr>
              <w:t>Mikulić, Bakarić and Slijepčević</w:t>
            </w:r>
            <w:r w:rsidR="006A107C" w:rsidRPr="00C43303">
              <w:rPr>
                <w:rFonts w:ascii="Arial" w:hAnsi="Arial" w:cs="Arial"/>
                <w:noProof/>
                <w:sz w:val="18"/>
                <w:szCs w:val="18"/>
              </w:rPr>
              <w:t xml:space="preserve"> (</w:t>
            </w:r>
            <w:r w:rsidRPr="00C43303">
              <w:rPr>
                <w:rFonts w:ascii="Arial" w:hAnsi="Arial" w:cs="Arial"/>
                <w:noProof/>
                <w:sz w:val="18"/>
                <w:szCs w:val="18"/>
              </w:rPr>
              <w:t>2016)</w:t>
            </w:r>
            <w:r w:rsidRPr="00C43303">
              <w:rPr>
                <w:rFonts w:ascii="Arial" w:hAnsi="Arial" w:cs="Arial"/>
                <w:sz w:val="18"/>
                <w:szCs w:val="18"/>
              </w:rPr>
              <w:fldChar w:fldCharType="end"/>
            </w:r>
            <w:r w:rsidR="00E16D79" w:rsidRPr="00C43303">
              <w:rPr>
                <w:rFonts w:ascii="Arial" w:hAnsi="Arial" w:cs="Arial"/>
                <w:sz w:val="18"/>
                <w:szCs w:val="18"/>
              </w:rPr>
              <w:t>; Costantini (2018)</w:t>
            </w:r>
          </w:p>
        </w:tc>
        <w:tc>
          <w:tcPr>
            <w:tcW w:w="896" w:type="dxa"/>
          </w:tcPr>
          <w:p w14:paraId="320D7072" w14:textId="21DAB931" w:rsidR="007B66BD" w:rsidRPr="00C43303" w:rsidRDefault="007B66BD" w:rsidP="007B66BD">
            <w:pPr>
              <w:rPr>
                <w:rFonts w:ascii="Arial" w:hAnsi="Arial" w:cs="Arial"/>
                <w:sz w:val="18"/>
                <w:szCs w:val="18"/>
              </w:rPr>
            </w:pPr>
            <w:r w:rsidRPr="00C43303">
              <w:rPr>
                <w:rFonts w:ascii="Arial" w:hAnsi="Arial" w:cs="Arial"/>
                <w:sz w:val="18"/>
                <w:szCs w:val="18"/>
              </w:rPr>
              <w:fldChar w:fldCharType="begin" w:fldLock="1"/>
            </w:r>
            <w:r w:rsidR="00051FF6" w:rsidRPr="00C43303">
              <w:rPr>
                <w:rFonts w:ascii="Arial" w:hAnsi="Arial" w:cs="Arial"/>
                <w:sz w:val="18"/>
                <w:szCs w:val="18"/>
              </w:rPr>
              <w:instrText>ADDIN CSL_CITATION {"citationItems":[{"id":"ITEM-1","itemData":{"DOI":"10.1016/J.ENBUILD.2014.07.027","ISSN":"0378-7788","abstract":"The global trend toward a low carbon, sustainable economy is widely acknowledged to create a large number of jobs across many sectors of the economy. The deployment of renewable and energy efficiency projects represent a large share of the so called green jobs and help retain current levels of employment especially in countries facing the socio-economic threat of increasing unemployment rates. These effects should be taken into account during the process of energy planning, but due to difficulties in their quantification this is not always feasible. This paper utilizes the input-output analysis and the adjusted earnings gain approach for assessing the employment effects associated with the implementation of energy saving interventions in the building sector, with a view to produce results that can be easily incorporated into cost-benefit analyses. The proposed framework, which comprises four basic steps, namely identification of all the potential changes in employment due to energy efficiency interventions, quantification of these employment effects in physical terms, calculation of the net present value of the estimated employment effects and monetization, has been implemented for three energy efficiency interventions widely implemented in Greek buildings. The results of the analysis clearly show that the exploitation of energy saving technologies in the Greek building stock generates significant employment benefits, ranging between €0.11 and 0.23 million per €1 million of investment in the base case scenario and reaching the 10-24% of the energy costs savings attributed to the implementation of these interventions throughout their entire lifetime. © 2014 Elsevier B.V.","author":[{"dropping-particle":"","family":"Mirasgedis","given":"S.","non-dropping-particle":"","parse-names":false,"suffix":""},{"dropping-particle":"","family":"Tourkolias","given":"C.","non-dropping-particle":"","parse-names":false,"suffix":""},{"dropping-particle":"","family":"Pavlakis","given":"E.","non-dropping-particle":"","parse-names":false,"suffix":""},{"dropping-particle":"","family":"Diakoulaki","given":"D.","non-dropping-particle":"","parse-names":false,"suffix":""}],"container-title":"Energy and Buildings","id":"ITEM-1","issued":{"date-parts":[["2014","10","1"]]},"page":"275-286","publisher":"Elsevier","title":"A methodological framework for assessing the employment effects associated with energy efficiency interventions in buildings","type":"article-journal","volume":"82"},"uris":["http://www.mendeley.com/documents/?uuid=1cc83ad1-20a0-31f8-a0fb-cec625953bdd"]}],"mendeley":{"formattedCitation":"(Mirasgedis &lt;i&gt;et al.&lt;/i&gt;, 2014)","manualFormatting":"Mirasgedis et al. (2014)","plainTextFormattedCitation":"(Mirasgedis et al., 2014)","previouslyFormattedCitation":"(Mirasgedis &lt;i&gt;et al.&lt;/i&gt;, 2014)"},"properties":{"noteIndex":0},"schema":"https://github.com/citation-style-language/schema/raw/master/csl-citation.json"}</w:instrText>
            </w:r>
            <w:r w:rsidRPr="00C43303">
              <w:rPr>
                <w:rFonts w:ascii="Arial" w:hAnsi="Arial" w:cs="Arial"/>
                <w:sz w:val="18"/>
                <w:szCs w:val="18"/>
              </w:rPr>
              <w:fldChar w:fldCharType="separate"/>
            </w:r>
            <w:r w:rsidRPr="00C43303">
              <w:rPr>
                <w:rFonts w:ascii="Arial" w:hAnsi="Arial" w:cs="Arial"/>
                <w:noProof/>
                <w:sz w:val="18"/>
                <w:szCs w:val="18"/>
              </w:rPr>
              <w:t xml:space="preserve">Mirasgedis </w:t>
            </w:r>
            <w:r w:rsidRPr="00C43303">
              <w:rPr>
                <w:rFonts w:ascii="Arial" w:hAnsi="Arial" w:cs="Arial"/>
                <w:i/>
                <w:noProof/>
                <w:sz w:val="18"/>
                <w:szCs w:val="18"/>
              </w:rPr>
              <w:t>et al.</w:t>
            </w:r>
            <w:r w:rsidR="006A107C" w:rsidRPr="00C43303">
              <w:rPr>
                <w:rFonts w:ascii="Arial" w:hAnsi="Arial" w:cs="Arial"/>
                <w:noProof/>
                <w:sz w:val="18"/>
                <w:szCs w:val="18"/>
              </w:rPr>
              <w:t xml:space="preserve"> (</w:t>
            </w:r>
            <w:r w:rsidRPr="00C43303">
              <w:rPr>
                <w:rFonts w:ascii="Arial" w:hAnsi="Arial" w:cs="Arial"/>
                <w:noProof/>
                <w:sz w:val="18"/>
                <w:szCs w:val="18"/>
              </w:rPr>
              <w:t>2014)</w:t>
            </w:r>
            <w:r w:rsidRPr="00C43303">
              <w:rPr>
                <w:rFonts w:ascii="Arial" w:hAnsi="Arial" w:cs="Arial"/>
                <w:sz w:val="18"/>
                <w:szCs w:val="18"/>
              </w:rPr>
              <w:fldChar w:fldCharType="end"/>
            </w:r>
          </w:p>
        </w:tc>
        <w:tc>
          <w:tcPr>
            <w:tcW w:w="895" w:type="dxa"/>
          </w:tcPr>
          <w:p w14:paraId="489F90CB" w14:textId="57738788" w:rsidR="007B66BD" w:rsidRPr="00C43303" w:rsidRDefault="007B66BD" w:rsidP="007B66BD">
            <w:pPr>
              <w:rPr>
                <w:rFonts w:ascii="Arial" w:hAnsi="Arial" w:cs="Arial"/>
                <w:sz w:val="18"/>
                <w:szCs w:val="18"/>
              </w:rPr>
            </w:pPr>
            <w:r w:rsidRPr="00C43303">
              <w:rPr>
                <w:rFonts w:ascii="Arial" w:hAnsi="Arial" w:cs="Arial"/>
                <w:sz w:val="18"/>
                <w:szCs w:val="18"/>
              </w:rPr>
              <w:fldChar w:fldCharType="begin" w:fldLock="1"/>
            </w:r>
            <w:r w:rsidR="00051FF6" w:rsidRPr="00C43303">
              <w:rPr>
                <w:rFonts w:ascii="Arial" w:hAnsi="Arial" w:cs="Arial"/>
                <w:sz w:val="18"/>
                <w:szCs w:val="18"/>
              </w:rPr>
              <w:instrText>ADDIN CSL_CITATION {"citationItems":[{"id":"ITEM-1","itemData":{"author":[{"dropping-particle":"","family":"Zabin","given":"Carol","non-dropping-particle":"","parse-names":false,"suffix":""},{"dropping-particle":"","family":"Scott","given":"Megan Emiko","non-dropping-particle":"","parse-names":false,"suffix":""}],"id":"ITEM-1","issued":{"date-parts":[["2013"]]},"publisher-place":"Berkeley, CA, US","title":"Proposition 39: Jobs and training for California’s workforce","type":"report"},"uris":["http://www.mendeley.com/documents/?uuid=067dd418-703a-44c4-b961-103d0c426c18"]}],"mendeley":{"formattedCitation":"(Zabin and Scott, 2013)","manualFormatting":"Zabin and Scott (2013)","plainTextFormattedCitation":"(Zabin and Scott, 2013)","previouslyFormattedCitation":"(Zabin and Scott, 2013)"},"properties":{"noteIndex":0},"schema":"https://github.com/citation-style-language/schema/raw/master/csl-citation.json"}</w:instrText>
            </w:r>
            <w:r w:rsidRPr="00C43303">
              <w:rPr>
                <w:rFonts w:ascii="Arial" w:hAnsi="Arial" w:cs="Arial"/>
                <w:sz w:val="18"/>
                <w:szCs w:val="18"/>
              </w:rPr>
              <w:fldChar w:fldCharType="separate"/>
            </w:r>
            <w:r w:rsidRPr="00C43303">
              <w:rPr>
                <w:rFonts w:ascii="Arial" w:hAnsi="Arial" w:cs="Arial"/>
                <w:noProof/>
                <w:sz w:val="18"/>
                <w:szCs w:val="18"/>
              </w:rPr>
              <w:t>Zabin and Scott</w:t>
            </w:r>
            <w:r w:rsidR="006A107C" w:rsidRPr="00C43303">
              <w:rPr>
                <w:rFonts w:ascii="Arial" w:hAnsi="Arial" w:cs="Arial"/>
                <w:noProof/>
                <w:sz w:val="18"/>
                <w:szCs w:val="18"/>
              </w:rPr>
              <w:t xml:space="preserve"> (</w:t>
            </w:r>
            <w:r w:rsidRPr="00C43303">
              <w:rPr>
                <w:rFonts w:ascii="Arial" w:hAnsi="Arial" w:cs="Arial"/>
                <w:noProof/>
                <w:sz w:val="18"/>
                <w:szCs w:val="18"/>
              </w:rPr>
              <w:t>2013)</w:t>
            </w:r>
            <w:r w:rsidRPr="00C43303">
              <w:rPr>
                <w:rFonts w:ascii="Arial" w:hAnsi="Arial" w:cs="Arial"/>
                <w:sz w:val="18"/>
                <w:szCs w:val="18"/>
              </w:rPr>
              <w:fldChar w:fldCharType="end"/>
            </w:r>
            <w:r w:rsidR="006A107C" w:rsidRPr="00C43303">
              <w:rPr>
                <w:rFonts w:ascii="Arial" w:hAnsi="Arial" w:cs="Arial"/>
                <w:sz w:val="18"/>
                <w:szCs w:val="18"/>
              </w:rPr>
              <w:t xml:space="preserve">; </w:t>
            </w:r>
            <w:r w:rsidRPr="00C43303">
              <w:rPr>
                <w:rFonts w:ascii="Arial" w:hAnsi="Arial" w:cs="Arial"/>
                <w:sz w:val="18"/>
                <w:szCs w:val="18"/>
              </w:rPr>
              <w:fldChar w:fldCharType="begin" w:fldLock="1"/>
            </w:r>
            <w:r w:rsidR="00051FF6" w:rsidRPr="00C43303">
              <w:rPr>
                <w:rFonts w:ascii="Arial" w:hAnsi="Arial" w:cs="Arial"/>
                <w:sz w:val="18"/>
                <w:szCs w:val="18"/>
              </w:rPr>
              <w:instrText>ADDIN CSL_CITATION {"citationItems":[{"id":"ITEM-1","itemData":{"author":[{"dropping-particle":"","family":"Bell","given":"Casey","non-dropping-particle":"","parse-names":false,"suffix":""},{"dropping-particle":"","family":"Barrett","given":"James","non-dropping-particle":"","parse-names":false,"suffix":""},{"dropping-particle":"","family":"McNerney","given":"Matthew","non-dropping-particle":"","parse-names":false,"suffix":""}],"id":"ITEM-1","issued":{"date-parts":[["2015"]]},"publisher-place":"Washington, DC, US","title":"Verifying energy efficiency job creation: Current practices and recommendations","type":"report"},"uris":["http://www.mendeley.com/documents/?uuid=6424d29c-caf2-4a5d-8598-a2a6bd2d3bdc"]}],"mendeley":{"formattedCitation":"(Bell, Barrett and McNerney, 2015)","manualFormatting":"Bell, Barrett and McNerney (2015)","plainTextFormattedCitation":"(Bell, Barrett and McNerney, 2015)","previouslyFormattedCitation":"(Bell, Barrett and McNerney, 2015)"},"properties":{"noteIndex":0},"schema":"https://github.com/citation-style-language/schema/raw/master/csl-citation.json"}</w:instrText>
            </w:r>
            <w:r w:rsidRPr="00C43303">
              <w:rPr>
                <w:rFonts w:ascii="Arial" w:hAnsi="Arial" w:cs="Arial"/>
                <w:sz w:val="18"/>
                <w:szCs w:val="18"/>
              </w:rPr>
              <w:fldChar w:fldCharType="separate"/>
            </w:r>
            <w:r w:rsidRPr="00C43303">
              <w:rPr>
                <w:rFonts w:ascii="Arial" w:hAnsi="Arial" w:cs="Arial"/>
                <w:noProof/>
                <w:sz w:val="18"/>
                <w:szCs w:val="18"/>
              </w:rPr>
              <w:t>Bell, Barrett and McNerney</w:t>
            </w:r>
            <w:r w:rsidR="00E16D79" w:rsidRPr="00C43303">
              <w:rPr>
                <w:rFonts w:ascii="Arial" w:hAnsi="Arial" w:cs="Arial"/>
                <w:noProof/>
                <w:sz w:val="18"/>
                <w:szCs w:val="18"/>
              </w:rPr>
              <w:t xml:space="preserve"> </w:t>
            </w:r>
            <w:r w:rsidR="006A107C" w:rsidRPr="00C43303">
              <w:rPr>
                <w:rFonts w:ascii="Arial" w:hAnsi="Arial" w:cs="Arial"/>
                <w:noProof/>
                <w:sz w:val="18"/>
                <w:szCs w:val="18"/>
              </w:rPr>
              <w:t>(</w:t>
            </w:r>
            <w:r w:rsidRPr="00C43303">
              <w:rPr>
                <w:rFonts w:ascii="Arial" w:hAnsi="Arial" w:cs="Arial"/>
                <w:noProof/>
                <w:sz w:val="18"/>
                <w:szCs w:val="18"/>
              </w:rPr>
              <w:t>2015)</w:t>
            </w:r>
            <w:r w:rsidRPr="00C43303">
              <w:rPr>
                <w:rFonts w:ascii="Arial" w:hAnsi="Arial" w:cs="Arial"/>
                <w:sz w:val="18"/>
                <w:szCs w:val="18"/>
              </w:rPr>
              <w:fldChar w:fldCharType="end"/>
            </w:r>
          </w:p>
        </w:tc>
        <w:tc>
          <w:tcPr>
            <w:tcW w:w="895" w:type="dxa"/>
          </w:tcPr>
          <w:p w14:paraId="2C828B3F" w14:textId="7B8E2983" w:rsidR="007B66BD" w:rsidRPr="00C43303" w:rsidRDefault="007B66BD" w:rsidP="007B66BD">
            <w:pPr>
              <w:rPr>
                <w:rFonts w:ascii="Arial" w:hAnsi="Arial" w:cs="Arial"/>
                <w:sz w:val="18"/>
                <w:szCs w:val="18"/>
              </w:rPr>
            </w:pPr>
            <w:r w:rsidRPr="00C43303">
              <w:rPr>
                <w:rFonts w:ascii="Arial" w:hAnsi="Arial" w:cs="Arial"/>
                <w:sz w:val="18"/>
                <w:szCs w:val="18"/>
              </w:rPr>
              <w:fldChar w:fldCharType="begin" w:fldLock="1"/>
            </w:r>
            <w:r w:rsidR="00051FF6" w:rsidRPr="00C43303">
              <w:rPr>
                <w:rFonts w:ascii="Arial" w:hAnsi="Arial" w:cs="Arial"/>
                <w:sz w:val="18"/>
                <w:szCs w:val="18"/>
              </w:rPr>
              <w:instrText>ADDIN CSL_CITATION {"citationItems":[{"id":"ITEM-1","itemData":{"author":[{"dropping-particle":"","family":"Pollin","given":"R.","non-dropping-particle":"","parse-names":false,"suffix":""},{"dropping-particle":"","family":"Garrett-Peltier","given":"H.","non-dropping-particle":"","parse-names":false,"suffix":""}],"id":"ITEM-1","issued":{"date-parts":[["2009"]]},"publisher-place":"Amherst, MA, US","title":"Building the green economy: Employment effects of green energy investments for Ontario","type":"report"},"uris":["http://www.mendeley.com/documents/?uuid=4fcbaf8d-6bcd-4162-ace4-8cad7e9fe2ad"]}],"mendeley":{"formattedCitation":"(Pollin and Garrett-Peltier, 2009)","manualFormatting":"Pollin and Garrett-Peltier (2009)","plainTextFormattedCitation":"(Pollin and Garrett-Peltier, 2009)","previouslyFormattedCitation":"(Pollin and Garrett-Peltier, 2009)"},"properties":{"noteIndex":0},"schema":"https://github.com/citation-style-language/schema/raw/master/csl-citation.json"}</w:instrText>
            </w:r>
            <w:r w:rsidRPr="00C43303">
              <w:rPr>
                <w:rFonts w:ascii="Arial" w:hAnsi="Arial" w:cs="Arial"/>
                <w:sz w:val="18"/>
                <w:szCs w:val="18"/>
              </w:rPr>
              <w:fldChar w:fldCharType="separate"/>
            </w:r>
            <w:r w:rsidRPr="00C43303">
              <w:rPr>
                <w:rFonts w:ascii="Arial" w:hAnsi="Arial" w:cs="Arial"/>
                <w:noProof/>
                <w:sz w:val="18"/>
                <w:szCs w:val="18"/>
              </w:rPr>
              <w:t>Pollin and Garrett-Peltier</w:t>
            </w:r>
            <w:r w:rsidR="00E16D79" w:rsidRPr="00C43303">
              <w:rPr>
                <w:rFonts w:ascii="Arial" w:hAnsi="Arial" w:cs="Arial"/>
                <w:noProof/>
                <w:sz w:val="18"/>
                <w:szCs w:val="18"/>
              </w:rPr>
              <w:t xml:space="preserve"> (</w:t>
            </w:r>
            <w:r w:rsidRPr="00C43303">
              <w:rPr>
                <w:rFonts w:ascii="Arial" w:hAnsi="Arial" w:cs="Arial"/>
                <w:noProof/>
                <w:sz w:val="18"/>
                <w:szCs w:val="18"/>
              </w:rPr>
              <w:t>2009)</w:t>
            </w:r>
            <w:r w:rsidRPr="00C43303">
              <w:rPr>
                <w:rFonts w:ascii="Arial" w:hAnsi="Arial" w:cs="Arial"/>
                <w:sz w:val="18"/>
                <w:szCs w:val="18"/>
              </w:rPr>
              <w:fldChar w:fldCharType="end"/>
            </w:r>
            <w:r w:rsidR="00E16D79" w:rsidRPr="00C43303">
              <w:rPr>
                <w:rFonts w:ascii="Arial" w:hAnsi="Arial" w:cs="Arial"/>
                <w:sz w:val="18"/>
                <w:szCs w:val="18"/>
              </w:rPr>
              <w:t xml:space="preserve">; </w:t>
            </w:r>
            <w:proofErr w:type="spellStart"/>
            <w:r w:rsidR="00E16D79" w:rsidRPr="00C43303">
              <w:rPr>
                <w:rFonts w:ascii="Arial" w:hAnsi="Arial" w:cs="Arial"/>
                <w:sz w:val="18"/>
                <w:szCs w:val="18"/>
              </w:rPr>
              <w:t>Aldieri</w:t>
            </w:r>
            <w:proofErr w:type="spellEnd"/>
            <w:r w:rsidR="00E16D79" w:rsidRPr="00C43303">
              <w:rPr>
                <w:rFonts w:ascii="Arial" w:hAnsi="Arial" w:cs="Arial"/>
                <w:sz w:val="18"/>
                <w:szCs w:val="18"/>
              </w:rPr>
              <w:t xml:space="preserve"> et al. (2020)</w:t>
            </w:r>
          </w:p>
        </w:tc>
        <w:tc>
          <w:tcPr>
            <w:tcW w:w="896" w:type="dxa"/>
          </w:tcPr>
          <w:p w14:paraId="2724BF03" w14:textId="5B9C5605" w:rsidR="007B66BD" w:rsidRPr="00C43303" w:rsidRDefault="007B66BD" w:rsidP="007B66BD">
            <w:pPr>
              <w:rPr>
                <w:rFonts w:ascii="Arial" w:hAnsi="Arial" w:cs="Arial"/>
                <w:sz w:val="18"/>
                <w:szCs w:val="18"/>
              </w:rPr>
            </w:pPr>
            <w:r w:rsidRPr="00C43303">
              <w:rPr>
                <w:rFonts w:ascii="Arial" w:hAnsi="Arial" w:cs="Arial"/>
                <w:sz w:val="18"/>
                <w:szCs w:val="18"/>
              </w:rPr>
              <w:fldChar w:fldCharType="begin" w:fldLock="1"/>
            </w:r>
            <w:r w:rsidR="00051FF6" w:rsidRPr="00C43303">
              <w:rPr>
                <w:rFonts w:ascii="Arial" w:hAnsi="Arial" w:cs="Arial"/>
                <w:sz w:val="18"/>
                <w:szCs w:val="18"/>
              </w:rPr>
              <w:instrText>ADDIN CSL_CITATION {"citationItems":[{"id":"ITEM-1","itemData":{"author":[{"dropping-particle":"","family":"Pollin","given":"Robert","non-dropping-particle":"","parse-names":false,"suffix":""},{"dropping-particle":"","family":"Garrett-Peltier","given":"Heidi","non-dropping-particle":"","parse-names":false,"suffix":""},{"dropping-particle":"","family":"Heintz","given":"James","non-dropping-particle":"","parse-names":false,"suffix":""},{"dropping-particle":"","family":"Hendricks","given":"Bracken","non-dropping-particle":"","parse-names":false,"suffix":""}],"id":"ITEM-1","issued":{"date-parts":[["2014"]]},"publisher-place":"Washington, DC, US","title":"Green growth: A U.S. program for controlling climate change and expanding job opportunities","type":"report"},"uris":["http://www.mendeley.com/documents/?uuid=b559750c-0738-43a6-b623-67d19fc857cd"]}],"mendeley":{"formattedCitation":"(Pollin &lt;i&gt;et al.&lt;/i&gt;, 2014)","manualFormatting":"Pollin et al. (2014)","plainTextFormattedCitation":"(Pollin et al., 2014)","previouslyFormattedCitation":"(Pollin &lt;i&gt;et al.&lt;/i&gt;, 2014)"},"properties":{"noteIndex":0},"schema":"https://github.com/citation-style-language/schema/raw/master/csl-citation.json"}</w:instrText>
            </w:r>
            <w:r w:rsidRPr="00C43303">
              <w:rPr>
                <w:rFonts w:ascii="Arial" w:hAnsi="Arial" w:cs="Arial"/>
                <w:sz w:val="18"/>
                <w:szCs w:val="18"/>
              </w:rPr>
              <w:fldChar w:fldCharType="separate"/>
            </w:r>
            <w:r w:rsidRPr="00C43303">
              <w:rPr>
                <w:rFonts w:ascii="Arial" w:hAnsi="Arial" w:cs="Arial"/>
                <w:noProof/>
                <w:sz w:val="18"/>
                <w:szCs w:val="18"/>
              </w:rPr>
              <w:t xml:space="preserve">Pollin </w:t>
            </w:r>
            <w:r w:rsidRPr="00C43303">
              <w:rPr>
                <w:rFonts w:ascii="Arial" w:hAnsi="Arial" w:cs="Arial"/>
                <w:i/>
                <w:noProof/>
                <w:sz w:val="18"/>
                <w:szCs w:val="18"/>
              </w:rPr>
              <w:t>et al.</w:t>
            </w:r>
            <w:r w:rsidR="00E16D79" w:rsidRPr="00C43303">
              <w:rPr>
                <w:rFonts w:ascii="Arial" w:hAnsi="Arial" w:cs="Arial"/>
                <w:noProof/>
                <w:sz w:val="18"/>
                <w:szCs w:val="18"/>
              </w:rPr>
              <w:t xml:space="preserve"> (</w:t>
            </w:r>
            <w:r w:rsidRPr="00C43303">
              <w:rPr>
                <w:rFonts w:ascii="Arial" w:hAnsi="Arial" w:cs="Arial"/>
                <w:noProof/>
                <w:sz w:val="18"/>
                <w:szCs w:val="18"/>
              </w:rPr>
              <w:t>2014)</w:t>
            </w:r>
            <w:r w:rsidRPr="00C43303">
              <w:rPr>
                <w:rFonts w:ascii="Arial" w:hAnsi="Arial" w:cs="Arial"/>
                <w:sz w:val="18"/>
                <w:szCs w:val="18"/>
              </w:rPr>
              <w:fldChar w:fldCharType="end"/>
            </w:r>
            <w:r w:rsidR="00E16D79" w:rsidRPr="00C43303">
              <w:rPr>
                <w:rFonts w:ascii="Arial" w:hAnsi="Arial" w:cs="Arial"/>
                <w:sz w:val="18"/>
                <w:szCs w:val="18"/>
              </w:rPr>
              <w:t xml:space="preserve">; </w:t>
            </w:r>
            <w:proofErr w:type="spellStart"/>
            <w:r w:rsidR="00E16D79" w:rsidRPr="00C43303">
              <w:rPr>
                <w:rFonts w:ascii="Arial" w:hAnsi="Arial" w:cs="Arial"/>
                <w:sz w:val="18"/>
                <w:szCs w:val="18"/>
              </w:rPr>
              <w:t>Aldieri</w:t>
            </w:r>
            <w:proofErr w:type="spellEnd"/>
            <w:r w:rsidR="00E16D79" w:rsidRPr="00C43303">
              <w:rPr>
                <w:rFonts w:ascii="Arial" w:hAnsi="Arial" w:cs="Arial"/>
                <w:sz w:val="18"/>
                <w:szCs w:val="18"/>
              </w:rPr>
              <w:t xml:space="preserve"> et al. (2020)</w:t>
            </w:r>
          </w:p>
        </w:tc>
        <w:tc>
          <w:tcPr>
            <w:tcW w:w="930" w:type="dxa"/>
          </w:tcPr>
          <w:p w14:paraId="47C0A8BC" w14:textId="1CC51A00" w:rsidR="007B66BD" w:rsidRPr="00F04D38" w:rsidRDefault="007B66BD" w:rsidP="007B66BD">
            <w:pPr>
              <w:rPr>
                <w:rFonts w:ascii="Arial" w:hAnsi="Arial" w:cs="Arial"/>
                <w:sz w:val="18"/>
                <w:szCs w:val="18"/>
              </w:rPr>
            </w:pPr>
            <w:r w:rsidRPr="00F04D38">
              <w:rPr>
                <w:rFonts w:ascii="Arial" w:hAnsi="Arial" w:cs="Arial"/>
                <w:sz w:val="18"/>
                <w:szCs w:val="18"/>
              </w:rPr>
              <w:fldChar w:fldCharType="begin" w:fldLock="1"/>
            </w:r>
            <w:r w:rsidR="00051FF6">
              <w:rPr>
                <w:rFonts w:ascii="Arial" w:hAnsi="Arial" w:cs="Arial"/>
                <w:sz w:val="18"/>
                <w:szCs w:val="18"/>
              </w:rPr>
              <w:instrText>ADDIN CSL_CITATION {"citationItems":[{"id":"ITEM-1","itemData":{"abstract":"“Desert Power 2050” is probably the world’s most ambitious strategy report towards the decarbonization of the power sector in Europe, the Middle East and North Africa (EUMENA). The report inspired by the Desertec vision aims at providing clean energy from MENA’s desert regions to the entire MENA region as well as exporting electricity to Europe. By 2050, the Desertec Industrial Initiative report “Desert Power 2050” aims at establishing a power system in MENA based on 97 percent renewables, dominated by wind power that accounts for 53 percent of all electricity produced. Solar technologies are expected to contribute by around 44 percent. This implies to install around 1 terawatt (TW) of renewable power capacity, which is equivalent to today’s installed capacity in Europe. Most of the electricity produced will cover the growing energy demand in MENA countries and up to 20 percent will be exported to Europe.\n\nA transition of this magnitude will definitively have a great economic impact on the MENA region. Hundreds of wind and solar power plants need to be constructed requiring to mobilize huge economic resources which may compete with uses in other sectors of the MENA economies. Job opportunities will be created during the construction, operation and maintenance phase of power plants. Moreover, the development of wind and solar power in MENA will also contribute to the mitigation of climate change by significantly reducing the carbon dioxide (CO2) emissions from the electricity sector. Thus, electricity trade between MENA and Europe will also help to achieve Europe’s commitments on energy-climate targets set out in the National Renewable Energy Action Plans.\n\nClearly, such an ambitious transition requires substantial economic resources. The yearly investment in renewable power capacity in the whole MENA region reaches gradually up to 10 percent (around 2030) of the total investment in the region. In addition, even if solar and wind potentials are ideal in the ...","author":[{"dropping-particle":"","family":"Calzadilla","given":"Alvaro","non-dropping-particle":"","parse-names":false,"suffix":""},{"dropping-particle":"","family":"Wiebelt","given":"Manfred","non-dropping-particle":"","parse-names":false,"suffix":""},{"dropping-particle":"","family":"Blohmke","given":"Julian","non-dropping-particle":"","parse-names":false,"suffix":""},{"dropping-particle":"","family":"Klepper","given":"Gernot","non-dropping-particle":"","parse-names":false,"suffix":""}],"id":"ITEM-1","issued":{"date-parts":[["2014"]]},"publisher":"Global Trade Analysis Project (GTAP)","publisher-place":"Department of Agricultural Economics, Purdue University, West Lafayette, IN","title":"Desert Power 2050: Regional and sectoral impacts of renewable electricity production in Europe, the Middle East and North Africa","type":"report"},"uris":["http://www.mendeley.com/documents/?uuid=d6210d17-a5bd-4909-9e9d-ba9061a0127c"]}],"mendeley":{"formattedCitation":"(Calzadilla &lt;i&gt;et al.&lt;/i&gt;, 2014)","manualFormatting":"Calzadilla et al. (2014)","plainTextFormattedCitation":"(Calzadilla et al., 2014)","previouslyFormattedCitation":"(Calzadilla &lt;i&gt;et al.&lt;/i&gt;, 2014)"},"properties":{"noteIndex":0},"schema":"https://github.com/citation-style-language/schema/raw/master/csl-citation.json"}</w:instrText>
            </w:r>
            <w:r w:rsidRPr="00F04D38">
              <w:rPr>
                <w:rFonts w:ascii="Arial" w:hAnsi="Arial" w:cs="Arial"/>
                <w:sz w:val="18"/>
                <w:szCs w:val="18"/>
              </w:rPr>
              <w:fldChar w:fldCharType="separate"/>
            </w:r>
            <w:r w:rsidRPr="00F04D38">
              <w:rPr>
                <w:rFonts w:ascii="Arial" w:hAnsi="Arial" w:cs="Arial"/>
                <w:noProof/>
                <w:sz w:val="18"/>
                <w:szCs w:val="18"/>
              </w:rPr>
              <w:t xml:space="preserve">Calzadilla </w:t>
            </w:r>
            <w:r w:rsidRPr="00F04D38">
              <w:rPr>
                <w:rFonts w:ascii="Arial" w:hAnsi="Arial" w:cs="Arial"/>
                <w:i/>
                <w:noProof/>
                <w:sz w:val="18"/>
                <w:szCs w:val="18"/>
              </w:rPr>
              <w:t>et al.</w:t>
            </w:r>
            <w:r w:rsidR="00E16D79" w:rsidRPr="00F04D38">
              <w:rPr>
                <w:rFonts w:ascii="Arial" w:hAnsi="Arial" w:cs="Arial"/>
                <w:noProof/>
                <w:sz w:val="18"/>
                <w:szCs w:val="18"/>
              </w:rPr>
              <w:t xml:space="preserve"> (</w:t>
            </w:r>
            <w:r w:rsidRPr="00F04D38">
              <w:rPr>
                <w:rFonts w:ascii="Arial" w:hAnsi="Arial" w:cs="Arial"/>
                <w:noProof/>
                <w:sz w:val="18"/>
                <w:szCs w:val="18"/>
              </w:rPr>
              <w:t>2014)</w:t>
            </w:r>
            <w:r w:rsidRPr="00F04D38">
              <w:rPr>
                <w:rFonts w:ascii="Arial" w:hAnsi="Arial" w:cs="Arial"/>
                <w:sz w:val="18"/>
                <w:szCs w:val="18"/>
              </w:rPr>
              <w:fldChar w:fldCharType="end"/>
            </w:r>
          </w:p>
        </w:tc>
      </w:tr>
      <w:tr w:rsidR="007B66BD" w:rsidRPr="00B03D4D" w14:paraId="23BA5F43" w14:textId="77777777" w:rsidTr="003C6543">
        <w:trPr>
          <w:trHeight w:val="1160"/>
        </w:trPr>
        <w:tc>
          <w:tcPr>
            <w:tcW w:w="1413" w:type="dxa"/>
            <w:hideMark/>
          </w:tcPr>
          <w:p w14:paraId="083CE2CF" w14:textId="7342EAFD" w:rsidR="007B66BD" w:rsidRPr="00F04D38" w:rsidRDefault="007B66BD" w:rsidP="007B66BD">
            <w:pPr>
              <w:rPr>
                <w:rFonts w:ascii="Arial" w:hAnsi="Arial" w:cs="Arial"/>
                <w:b/>
                <w:bCs/>
                <w:sz w:val="18"/>
                <w:szCs w:val="18"/>
              </w:rPr>
            </w:pPr>
            <w:r w:rsidRPr="00F04D38">
              <w:rPr>
                <w:rFonts w:ascii="Arial" w:hAnsi="Arial" w:cs="Arial"/>
                <w:b/>
                <w:bCs/>
                <w:sz w:val="18"/>
                <w:szCs w:val="18"/>
              </w:rPr>
              <w:t>Geography (timescale)</w:t>
            </w:r>
          </w:p>
        </w:tc>
        <w:tc>
          <w:tcPr>
            <w:tcW w:w="895" w:type="dxa"/>
            <w:hideMark/>
          </w:tcPr>
          <w:p w14:paraId="22D5E27D" w14:textId="77777777" w:rsidR="007B66BD" w:rsidRPr="00F04D38" w:rsidRDefault="007B66BD" w:rsidP="007B66BD">
            <w:pPr>
              <w:rPr>
                <w:rFonts w:ascii="Arial" w:hAnsi="Arial" w:cs="Arial"/>
                <w:sz w:val="18"/>
                <w:szCs w:val="18"/>
              </w:rPr>
            </w:pPr>
            <w:r w:rsidRPr="00F04D38">
              <w:rPr>
                <w:rFonts w:ascii="Arial" w:hAnsi="Arial" w:cs="Arial"/>
                <w:sz w:val="18"/>
                <w:szCs w:val="18"/>
              </w:rPr>
              <w:t>India (2010-2030)</w:t>
            </w:r>
          </w:p>
        </w:tc>
        <w:tc>
          <w:tcPr>
            <w:tcW w:w="895" w:type="dxa"/>
            <w:hideMark/>
          </w:tcPr>
          <w:p w14:paraId="025E8D3C" w14:textId="77777777" w:rsidR="007B66BD" w:rsidRPr="00F04D38" w:rsidRDefault="007B66BD" w:rsidP="007B66BD">
            <w:pPr>
              <w:rPr>
                <w:rFonts w:ascii="Arial" w:hAnsi="Arial" w:cs="Arial"/>
                <w:sz w:val="18"/>
                <w:szCs w:val="18"/>
              </w:rPr>
            </w:pPr>
            <w:r w:rsidRPr="00F04D38">
              <w:rPr>
                <w:rFonts w:ascii="Arial" w:hAnsi="Arial" w:cs="Arial"/>
                <w:sz w:val="18"/>
                <w:szCs w:val="18"/>
              </w:rPr>
              <w:t>US (2009-2012)</w:t>
            </w:r>
          </w:p>
        </w:tc>
        <w:tc>
          <w:tcPr>
            <w:tcW w:w="895" w:type="dxa"/>
            <w:hideMark/>
          </w:tcPr>
          <w:p w14:paraId="005CF6A4" w14:textId="77777777" w:rsidR="007B66BD" w:rsidRPr="00F04D38" w:rsidRDefault="007B66BD" w:rsidP="007B66BD">
            <w:pPr>
              <w:rPr>
                <w:rFonts w:ascii="Arial" w:hAnsi="Arial" w:cs="Arial"/>
                <w:sz w:val="18"/>
                <w:szCs w:val="18"/>
              </w:rPr>
            </w:pPr>
            <w:r w:rsidRPr="00F04D38">
              <w:rPr>
                <w:rFonts w:ascii="Arial" w:hAnsi="Arial" w:cs="Arial"/>
                <w:sz w:val="18"/>
                <w:szCs w:val="18"/>
              </w:rPr>
              <w:t>US (2013)</w:t>
            </w:r>
          </w:p>
        </w:tc>
        <w:tc>
          <w:tcPr>
            <w:tcW w:w="896" w:type="dxa"/>
            <w:hideMark/>
          </w:tcPr>
          <w:p w14:paraId="096E9BC5" w14:textId="77777777" w:rsidR="007B66BD" w:rsidRPr="00F04D38" w:rsidRDefault="007B66BD" w:rsidP="007B66BD">
            <w:pPr>
              <w:rPr>
                <w:rFonts w:ascii="Arial" w:hAnsi="Arial" w:cs="Arial"/>
                <w:sz w:val="18"/>
                <w:szCs w:val="18"/>
              </w:rPr>
            </w:pPr>
            <w:r w:rsidRPr="00F04D38">
              <w:rPr>
                <w:rFonts w:ascii="Arial" w:hAnsi="Arial" w:cs="Arial"/>
                <w:sz w:val="18"/>
                <w:szCs w:val="18"/>
              </w:rPr>
              <w:t>US (2015)</w:t>
            </w:r>
          </w:p>
        </w:tc>
        <w:tc>
          <w:tcPr>
            <w:tcW w:w="895" w:type="dxa"/>
            <w:hideMark/>
          </w:tcPr>
          <w:p w14:paraId="735A82CA" w14:textId="77777777" w:rsidR="007B66BD" w:rsidRPr="00F04D38" w:rsidRDefault="007B66BD" w:rsidP="007B66BD">
            <w:pPr>
              <w:rPr>
                <w:rFonts w:ascii="Arial" w:hAnsi="Arial" w:cs="Arial"/>
                <w:sz w:val="18"/>
                <w:szCs w:val="18"/>
              </w:rPr>
            </w:pPr>
            <w:r w:rsidRPr="00F04D38">
              <w:rPr>
                <w:rFonts w:ascii="Arial" w:hAnsi="Arial" w:cs="Arial"/>
                <w:sz w:val="18"/>
                <w:szCs w:val="18"/>
              </w:rPr>
              <w:t>UK (2012)</w:t>
            </w:r>
          </w:p>
        </w:tc>
        <w:tc>
          <w:tcPr>
            <w:tcW w:w="895" w:type="dxa"/>
            <w:hideMark/>
          </w:tcPr>
          <w:p w14:paraId="7258721B" w14:textId="77777777" w:rsidR="007B66BD" w:rsidRPr="00F04D38" w:rsidRDefault="007B66BD" w:rsidP="007B66BD">
            <w:pPr>
              <w:rPr>
                <w:rFonts w:ascii="Arial" w:hAnsi="Arial" w:cs="Arial"/>
                <w:sz w:val="18"/>
                <w:szCs w:val="18"/>
              </w:rPr>
            </w:pPr>
            <w:r w:rsidRPr="00F04D38">
              <w:rPr>
                <w:rFonts w:ascii="Arial" w:hAnsi="Arial" w:cs="Arial"/>
                <w:sz w:val="18"/>
                <w:szCs w:val="18"/>
              </w:rPr>
              <w:t>Europe / US (2013)</w:t>
            </w:r>
          </w:p>
        </w:tc>
        <w:tc>
          <w:tcPr>
            <w:tcW w:w="896" w:type="dxa"/>
            <w:hideMark/>
          </w:tcPr>
          <w:p w14:paraId="461E6288" w14:textId="77777777" w:rsidR="007B66BD" w:rsidRPr="00F04D38" w:rsidRDefault="007B66BD" w:rsidP="007B66BD">
            <w:pPr>
              <w:rPr>
                <w:rFonts w:ascii="Arial" w:hAnsi="Arial" w:cs="Arial"/>
                <w:sz w:val="18"/>
                <w:szCs w:val="18"/>
              </w:rPr>
            </w:pPr>
            <w:r w:rsidRPr="00F04D38">
              <w:rPr>
                <w:rFonts w:ascii="Arial" w:hAnsi="Arial" w:cs="Arial"/>
                <w:sz w:val="18"/>
                <w:szCs w:val="18"/>
              </w:rPr>
              <w:t>US and Europe (2009)</w:t>
            </w:r>
          </w:p>
        </w:tc>
        <w:tc>
          <w:tcPr>
            <w:tcW w:w="895" w:type="dxa"/>
            <w:hideMark/>
          </w:tcPr>
          <w:p w14:paraId="16B6C477" w14:textId="77777777" w:rsidR="007B66BD" w:rsidRPr="00F04D38" w:rsidRDefault="007B66BD" w:rsidP="007B66BD">
            <w:pPr>
              <w:rPr>
                <w:rFonts w:ascii="Arial" w:hAnsi="Arial" w:cs="Arial"/>
                <w:sz w:val="18"/>
                <w:szCs w:val="18"/>
              </w:rPr>
            </w:pPr>
            <w:r w:rsidRPr="00F04D38">
              <w:rPr>
                <w:rFonts w:ascii="Arial" w:hAnsi="Arial" w:cs="Arial"/>
                <w:sz w:val="18"/>
                <w:szCs w:val="18"/>
              </w:rPr>
              <w:t>Greece (2010-2020)</w:t>
            </w:r>
          </w:p>
        </w:tc>
        <w:tc>
          <w:tcPr>
            <w:tcW w:w="895" w:type="dxa"/>
            <w:hideMark/>
          </w:tcPr>
          <w:p w14:paraId="7C9BC086" w14:textId="77777777" w:rsidR="007B66BD" w:rsidRPr="00F04D38" w:rsidRDefault="007B66BD" w:rsidP="007B66BD">
            <w:pPr>
              <w:rPr>
                <w:rFonts w:ascii="Arial" w:hAnsi="Arial" w:cs="Arial"/>
                <w:sz w:val="18"/>
                <w:szCs w:val="18"/>
              </w:rPr>
            </w:pPr>
            <w:r w:rsidRPr="00F04D38">
              <w:rPr>
                <w:rFonts w:ascii="Arial" w:hAnsi="Arial" w:cs="Arial"/>
                <w:sz w:val="18"/>
                <w:szCs w:val="18"/>
              </w:rPr>
              <w:t>Croatia (2014–2020)</w:t>
            </w:r>
          </w:p>
        </w:tc>
        <w:tc>
          <w:tcPr>
            <w:tcW w:w="896" w:type="dxa"/>
            <w:hideMark/>
          </w:tcPr>
          <w:p w14:paraId="7E35D6D4" w14:textId="77777777" w:rsidR="007B66BD" w:rsidRPr="00F04D38" w:rsidRDefault="007B66BD" w:rsidP="007B66BD">
            <w:pPr>
              <w:rPr>
                <w:rFonts w:ascii="Arial" w:hAnsi="Arial" w:cs="Arial"/>
                <w:sz w:val="18"/>
                <w:szCs w:val="18"/>
              </w:rPr>
            </w:pPr>
            <w:r w:rsidRPr="00F04D38">
              <w:rPr>
                <w:rFonts w:ascii="Arial" w:hAnsi="Arial" w:cs="Arial"/>
                <w:sz w:val="18"/>
                <w:szCs w:val="18"/>
              </w:rPr>
              <w:t>Greece (2010)</w:t>
            </w:r>
          </w:p>
        </w:tc>
        <w:tc>
          <w:tcPr>
            <w:tcW w:w="895" w:type="dxa"/>
            <w:hideMark/>
          </w:tcPr>
          <w:p w14:paraId="727F707C" w14:textId="77777777" w:rsidR="007B66BD" w:rsidRPr="00F04D38" w:rsidRDefault="007B66BD" w:rsidP="007B66BD">
            <w:pPr>
              <w:rPr>
                <w:rFonts w:ascii="Arial" w:hAnsi="Arial" w:cs="Arial"/>
                <w:sz w:val="18"/>
                <w:szCs w:val="18"/>
              </w:rPr>
            </w:pPr>
            <w:r w:rsidRPr="00F04D38">
              <w:rPr>
                <w:rFonts w:ascii="Arial" w:hAnsi="Arial" w:cs="Arial"/>
                <w:sz w:val="18"/>
                <w:szCs w:val="18"/>
              </w:rPr>
              <w:t>California, US (2013)</w:t>
            </w:r>
          </w:p>
        </w:tc>
        <w:tc>
          <w:tcPr>
            <w:tcW w:w="895" w:type="dxa"/>
            <w:hideMark/>
          </w:tcPr>
          <w:p w14:paraId="1E0B2D6D" w14:textId="77777777" w:rsidR="007B66BD" w:rsidRPr="00F04D38" w:rsidRDefault="007B66BD" w:rsidP="007B66BD">
            <w:pPr>
              <w:rPr>
                <w:rFonts w:ascii="Arial" w:hAnsi="Arial" w:cs="Arial"/>
                <w:sz w:val="18"/>
                <w:szCs w:val="18"/>
              </w:rPr>
            </w:pPr>
            <w:r w:rsidRPr="00F04D38">
              <w:rPr>
                <w:rFonts w:ascii="Arial" w:hAnsi="Arial" w:cs="Arial"/>
                <w:sz w:val="18"/>
                <w:szCs w:val="18"/>
              </w:rPr>
              <w:t>Ontario, US (2008–2017)</w:t>
            </w:r>
          </w:p>
        </w:tc>
        <w:tc>
          <w:tcPr>
            <w:tcW w:w="896" w:type="dxa"/>
            <w:hideMark/>
          </w:tcPr>
          <w:p w14:paraId="2DDA6320" w14:textId="77777777" w:rsidR="007B66BD" w:rsidRPr="00F04D38" w:rsidRDefault="007B66BD" w:rsidP="007B66BD">
            <w:pPr>
              <w:rPr>
                <w:rFonts w:ascii="Arial" w:hAnsi="Arial" w:cs="Arial"/>
                <w:sz w:val="18"/>
                <w:szCs w:val="18"/>
              </w:rPr>
            </w:pPr>
            <w:r w:rsidRPr="00F04D38">
              <w:rPr>
                <w:rFonts w:ascii="Arial" w:hAnsi="Arial" w:cs="Arial"/>
                <w:sz w:val="18"/>
                <w:szCs w:val="18"/>
              </w:rPr>
              <w:t>US (2010-2035)</w:t>
            </w:r>
          </w:p>
        </w:tc>
        <w:tc>
          <w:tcPr>
            <w:tcW w:w="930" w:type="dxa"/>
            <w:hideMark/>
          </w:tcPr>
          <w:p w14:paraId="2E1982C4" w14:textId="77777777" w:rsidR="007B66BD" w:rsidRPr="00F04D38" w:rsidRDefault="007B66BD" w:rsidP="007B66BD">
            <w:pPr>
              <w:rPr>
                <w:rFonts w:ascii="Arial" w:hAnsi="Arial" w:cs="Arial"/>
                <w:sz w:val="18"/>
                <w:szCs w:val="18"/>
              </w:rPr>
            </w:pPr>
            <w:r w:rsidRPr="00F04D38">
              <w:rPr>
                <w:rFonts w:ascii="Arial" w:hAnsi="Arial" w:cs="Arial"/>
                <w:sz w:val="18"/>
                <w:szCs w:val="18"/>
              </w:rPr>
              <w:t xml:space="preserve">Spain / </w:t>
            </w:r>
            <w:proofErr w:type="gramStart"/>
            <w:r w:rsidRPr="00F04D38">
              <w:rPr>
                <w:rFonts w:ascii="Arial" w:hAnsi="Arial" w:cs="Arial"/>
                <w:sz w:val="18"/>
                <w:szCs w:val="18"/>
              </w:rPr>
              <w:t>Germany  (</w:t>
            </w:r>
            <w:proofErr w:type="gramEnd"/>
            <w:r w:rsidRPr="00F04D38">
              <w:rPr>
                <w:rFonts w:ascii="Arial" w:hAnsi="Arial" w:cs="Arial"/>
                <w:sz w:val="18"/>
                <w:szCs w:val="18"/>
              </w:rPr>
              <w:t>2010 - 2050)</w:t>
            </w:r>
          </w:p>
        </w:tc>
      </w:tr>
      <w:tr w:rsidR="007B66BD" w:rsidRPr="00B03D4D" w14:paraId="38828BF4" w14:textId="77777777" w:rsidTr="003C6543">
        <w:trPr>
          <w:trHeight w:val="290"/>
        </w:trPr>
        <w:tc>
          <w:tcPr>
            <w:tcW w:w="1413" w:type="dxa"/>
          </w:tcPr>
          <w:p w14:paraId="5A25C2D4" w14:textId="31D7B363" w:rsidR="007B66BD" w:rsidRPr="00F04D38" w:rsidRDefault="007B66BD" w:rsidP="007B66BD">
            <w:pPr>
              <w:rPr>
                <w:rFonts w:ascii="Arial" w:hAnsi="Arial" w:cs="Arial"/>
                <w:b/>
                <w:bCs/>
                <w:sz w:val="18"/>
                <w:szCs w:val="18"/>
              </w:rPr>
            </w:pPr>
            <w:r w:rsidRPr="00F04D38">
              <w:rPr>
                <w:rFonts w:ascii="Arial" w:hAnsi="Arial" w:cs="Arial"/>
                <w:b/>
                <w:bCs/>
                <w:sz w:val="18"/>
                <w:szCs w:val="18"/>
              </w:rPr>
              <w:t>Original units</w:t>
            </w:r>
          </w:p>
        </w:tc>
        <w:tc>
          <w:tcPr>
            <w:tcW w:w="895" w:type="dxa"/>
            <w:noWrap/>
          </w:tcPr>
          <w:p w14:paraId="75B037CC" w14:textId="3B09BBC0" w:rsidR="007B66BD" w:rsidRPr="00F04D38" w:rsidRDefault="007B66BD" w:rsidP="007B66BD">
            <w:pPr>
              <w:rPr>
                <w:rFonts w:ascii="Arial" w:hAnsi="Arial" w:cs="Arial"/>
                <w:sz w:val="18"/>
                <w:szCs w:val="18"/>
              </w:rPr>
            </w:pPr>
            <w:r w:rsidRPr="00F04D38">
              <w:rPr>
                <w:rFonts w:ascii="Arial" w:hAnsi="Arial" w:cs="Arial"/>
                <w:sz w:val="18"/>
                <w:szCs w:val="18"/>
              </w:rPr>
              <w:t xml:space="preserve">Jobs per $ million </w:t>
            </w:r>
          </w:p>
        </w:tc>
        <w:tc>
          <w:tcPr>
            <w:tcW w:w="895" w:type="dxa"/>
            <w:noWrap/>
          </w:tcPr>
          <w:p w14:paraId="045985D3" w14:textId="7F7485F8" w:rsidR="007B66BD" w:rsidRPr="00F04D38" w:rsidRDefault="007B66BD" w:rsidP="007B66BD">
            <w:pPr>
              <w:rPr>
                <w:rFonts w:ascii="Arial" w:hAnsi="Arial" w:cs="Arial"/>
                <w:sz w:val="18"/>
                <w:szCs w:val="18"/>
              </w:rPr>
            </w:pPr>
            <w:r w:rsidRPr="00F04D38">
              <w:rPr>
                <w:rFonts w:ascii="Arial" w:hAnsi="Arial" w:cs="Arial"/>
                <w:sz w:val="18"/>
                <w:szCs w:val="18"/>
              </w:rPr>
              <w:t xml:space="preserve">Jobs per $ million </w:t>
            </w:r>
          </w:p>
        </w:tc>
        <w:tc>
          <w:tcPr>
            <w:tcW w:w="895" w:type="dxa"/>
            <w:noWrap/>
          </w:tcPr>
          <w:p w14:paraId="796F94BD" w14:textId="34447767" w:rsidR="007B66BD" w:rsidRPr="00F04D38" w:rsidRDefault="007B66BD" w:rsidP="007B66BD">
            <w:pPr>
              <w:rPr>
                <w:rFonts w:ascii="Arial" w:hAnsi="Arial" w:cs="Arial"/>
                <w:sz w:val="18"/>
                <w:szCs w:val="18"/>
              </w:rPr>
            </w:pPr>
            <w:r w:rsidRPr="00F04D38">
              <w:rPr>
                <w:rFonts w:ascii="Arial" w:hAnsi="Arial" w:cs="Arial"/>
                <w:sz w:val="18"/>
                <w:szCs w:val="18"/>
              </w:rPr>
              <w:t xml:space="preserve">Jobs per $ million </w:t>
            </w:r>
          </w:p>
        </w:tc>
        <w:tc>
          <w:tcPr>
            <w:tcW w:w="896" w:type="dxa"/>
            <w:noWrap/>
          </w:tcPr>
          <w:p w14:paraId="48AA137E" w14:textId="41A56B15" w:rsidR="007B66BD" w:rsidRPr="00F04D38" w:rsidRDefault="007B66BD" w:rsidP="007B66BD">
            <w:pPr>
              <w:rPr>
                <w:rFonts w:ascii="Arial" w:hAnsi="Arial" w:cs="Arial"/>
                <w:sz w:val="18"/>
                <w:szCs w:val="18"/>
              </w:rPr>
            </w:pPr>
            <w:r w:rsidRPr="00F04D38">
              <w:rPr>
                <w:rFonts w:ascii="Arial" w:hAnsi="Arial" w:cs="Arial"/>
                <w:sz w:val="18"/>
                <w:szCs w:val="18"/>
              </w:rPr>
              <w:t xml:space="preserve">Jobs per $ million </w:t>
            </w:r>
          </w:p>
        </w:tc>
        <w:tc>
          <w:tcPr>
            <w:tcW w:w="895" w:type="dxa"/>
            <w:noWrap/>
          </w:tcPr>
          <w:p w14:paraId="3FBA93ED" w14:textId="0209D51B" w:rsidR="007B66BD" w:rsidRPr="00F04D38" w:rsidRDefault="007B66BD" w:rsidP="007B66BD">
            <w:pPr>
              <w:rPr>
                <w:rFonts w:ascii="Arial" w:hAnsi="Arial" w:cs="Arial"/>
                <w:sz w:val="18"/>
                <w:szCs w:val="18"/>
              </w:rPr>
            </w:pPr>
            <w:r w:rsidRPr="00F04D38">
              <w:rPr>
                <w:rFonts w:ascii="Arial" w:hAnsi="Arial" w:cs="Arial"/>
                <w:sz w:val="18"/>
                <w:szCs w:val="18"/>
              </w:rPr>
              <w:t xml:space="preserve">Jobs per £ million </w:t>
            </w:r>
          </w:p>
        </w:tc>
        <w:tc>
          <w:tcPr>
            <w:tcW w:w="895" w:type="dxa"/>
            <w:noWrap/>
          </w:tcPr>
          <w:p w14:paraId="73C9CC0D" w14:textId="4E41236E" w:rsidR="007B66BD" w:rsidRPr="00F04D38" w:rsidRDefault="007B66BD" w:rsidP="007B66BD">
            <w:pPr>
              <w:rPr>
                <w:rFonts w:ascii="Arial" w:hAnsi="Arial" w:cs="Arial"/>
                <w:sz w:val="18"/>
                <w:szCs w:val="18"/>
              </w:rPr>
            </w:pPr>
            <w:r w:rsidRPr="00F04D38">
              <w:rPr>
                <w:rFonts w:ascii="Arial" w:hAnsi="Arial" w:cs="Arial"/>
                <w:sz w:val="18"/>
                <w:szCs w:val="18"/>
              </w:rPr>
              <w:t>Jobs per € million</w:t>
            </w:r>
          </w:p>
        </w:tc>
        <w:tc>
          <w:tcPr>
            <w:tcW w:w="896" w:type="dxa"/>
            <w:noWrap/>
          </w:tcPr>
          <w:p w14:paraId="1FA61093" w14:textId="33F91CC3" w:rsidR="007B66BD" w:rsidRPr="00F04D38" w:rsidRDefault="007B66BD" w:rsidP="007B66BD">
            <w:pPr>
              <w:rPr>
                <w:rFonts w:ascii="Arial" w:hAnsi="Arial" w:cs="Arial"/>
                <w:sz w:val="18"/>
                <w:szCs w:val="18"/>
              </w:rPr>
            </w:pPr>
            <w:r w:rsidRPr="00F04D38">
              <w:rPr>
                <w:rFonts w:ascii="Arial" w:hAnsi="Arial" w:cs="Arial"/>
                <w:sz w:val="18"/>
                <w:szCs w:val="18"/>
              </w:rPr>
              <w:t xml:space="preserve">Jobs per $ million </w:t>
            </w:r>
          </w:p>
        </w:tc>
        <w:tc>
          <w:tcPr>
            <w:tcW w:w="895" w:type="dxa"/>
            <w:noWrap/>
          </w:tcPr>
          <w:p w14:paraId="40D6A900" w14:textId="76D14199" w:rsidR="007B66BD" w:rsidRPr="00F04D38" w:rsidRDefault="007B66BD" w:rsidP="007B66BD">
            <w:pPr>
              <w:rPr>
                <w:rFonts w:ascii="Arial" w:hAnsi="Arial" w:cs="Arial"/>
                <w:sz w:val="18"/>
                <w:szCs w:val="18"/>
              </w:rPr>
            </w:pPr>
            <w:r w:rsidRPr="00F04D38">
              <w:rPr>
                <w:rFonts w:ascii="Arial" w:hAnsi="Arial" w:cs="Arial"/>
                <w:sz w:val="18"/>
                <w:szCs w:val="18"/>
              </w:rPr>
              <w:t>Jobs per € million</w:t>
            </w:r>
          </w:p>
        </w:tc>
        <w:tc>
          <w:tcPr>
            <w:tcW w:w="895" w:type="dxa"/>
            <w:noWrap/>
          </w:tcPr>
          <w:p w14:paraId="061E376D" w14:textId="54CE85D7" w:rsidR="007B66BD" w:rsidRPr="00F04D38" w:rsidRDefault="007B66BD" w:rsidP="007B66BD">
            <w:pPr>
              <w:rPr>
                <w:rFonts w:ascii="Arial" w:hAnsi="Arial" w:cs="Arial"/>
                <w:sz w:val="18"/>
                <w:szCs w:val="18"/>
              </w:rPr>
            </w:pPr>
            <w:r w:rsidRPr="00F04D38">
              <w:rPr>
                <w:rFonts w:ascii="Arial" w:hAnsi="Arial" w:cs="Arial"/>
                <w:sz w:val="18"/>
                <w:szCs w:val="18"/>
              </w:rPr>
              <w:t>Jobs per € million</w:t>
            </w:r>
          </w:p>
        </w:tc>
        <w:tc>
          <w:tcPr>
            <w:tcW w:w="896" w:type="dxa"/>
            <w:noWrap/>
          </w:tcPr>
          <w:p w14:paraId="5040FC94" w14:textId="11F15B4E" w:rsidR="007B66BD" w:rsidRPr="00F04D38" w:rsidRDefault="007B66BD" w:rsidP="007B66BD">
            <w:pPr>
              <w:rPr>
                <w:rFonts w:ascii="Arial" w:hAnsi="Arial" w:cs="Arial"/>
                <w:sz w:val="18"/>
                <w:szCs w:val="18"/>
              </w:rPr>
            </w:pPr>
            <w:r w:rsidRPr="00F04D38">
              <w:rPr>
                <w:rFonts w:ascii="Arial" w:hAnsi="Arial" w:cs="Arial"/>
                <w:sz w:val="18"/>
                <w:szCs w:val="18"/>
              </w:rPr>
              <w:t>Jobs per € million</w:t>
            </w:r>
          </w:p>
        </w:tc>
        <w:tc>
          <w:tcPr>
            <w:tcW w:w="895" w:type="dxa"/>
            <w:noWrap/>
          </w:tcPr>
          <w:p w14:paraId="6826AB81" w14:textId="73487CC6" w:rsidR="007B66BD" w:rsidRPr="00F04D38" w:rsidRDefault="007B66BD" w:rsidP="007B66BD">
            <w:pPr>
              <w:rPr>
                <w:rFonts w:ascii="Arial" w:hAnsi="Arial" w:cs="Arial"/>
                <w:sz w:val="18"/>
                <w:szCs w:val="18"/>
              </w:rPr>
            </w:pPr>
            <w:r w:rsidRPr="00F04D38">
              <w:rPr>
                <w:rFonts w:ascii="Arial" w:hAnsi="Arial" w:cs="Arial"/>
                <w:sz w:val="18"/>
                <w:szCs w:val="18"/>
              </w:rPr>
              <w:t xml:space="preserve">Jobs per $ million </w:t>
            </w:r>
          </w:p>
        </w:tc>
        <w:tc>
          <w:tcPr>
            <w:tcW w:w="895" w:type="dxa"/>
            <w:noWrap/>
          </w:tcPr>
          <w:p w14:paraId="2E8E69BA" w14:textId="3EE7B609" w:rsidR="007B66BD" w:rsidRPr="00F04D38" w:rsidRDefault="007B66BD" w:rsidP="007B66BD">
            <w:pPr>
              <w:rPr>
                <w:rFonts w:ascii="Arial" w:hAnsi="Arial" w:cs="Arial"/>
                <w:sz w:val="18"/>
                <w:szCs w:val="18"/>
              </w:rPr>
            </w:pPr>
            <w:r w:rsidRPr="00F04D38">
              <w:rPr>
                <w:rFonts w:ascii="Arial" w:hAnsi="Arial" w:cs="Arial"/>
                <w:sz w:val="18"/>
                <w:szCs w:val="18"/>
              </w:rPr>
              <w:t xml:space="preserve">Jobs per $ million </w:t>
            </w:r>
          </w:p>
        </w:tc>
        <w:tc>
          <w:tcPr>
            <w:tcW w:w="896" w:type="dxa"/>
            <w:noWrap/>
          </w:tcPr>
          <w:p w14:paraId="287AD3B2" w14:textId="5A3F45B8" w:rsidR="007B66BD" w:rsidRPr="00F04D38" w:rsidRDefault="007B66BD" w:rsidP="007B66BD">
            <w:pPr>
              <w:rPr>
                <w:rFonts w:ascii="Arial" w:hAnsi="Arial" w:cs="Arial"/>
                <w:sz w:val="18"/>
                <w:szCs w:val="18"/>
              </w:rPr>
            </w:pPr>
            <w:r w:rsidRPr="00F04D38">
              <w:rPr>
                <w:rFonts w:ascii="Arial" w:hAnsi="Arial" w:cs="Arial"/>
                <w:sz w:val="18"/>
                <w:szCs w:val="18"/>
              </w:rPr>
              <w:t xml:space="preserve">Jobs per $ million </w:t>
            </w:r>
          </w:p>
        </w:tc>
        <w:tc>
          <w:tcPr>
            <w:tcW w:w="930" w:type="dxa"/>
            <w:noWrap/>
          </w:tcPr>
          <w:p w14:paraId="0B182650" w14:textId="48628480" w:rsidR="007B66BD" w:rsidRPr="00F04D38" w:rsidRDefault="007B66BD" w:rsidP="007B66BD">
            <w:pPr>
              <w:rPr>
                <w:rFonts w:ascii="Arial" w:hAnsi="Arial" w:cs="Arial"/>
                <w:sz w:val="18"/>
                <w:szCs w:val="18"/>
              </w:rPr>
            </w:pPr>
            <w:r w:rsidRPr="00F04D38">
              <w:rPr>
                <w:rFonts w:ascii="Arial" w:hAnsi="Arial" w:cs="Arial"/>
                <w:sz w:val="18"/>
                <w:szCs w:val="18"/>
              </w:rPr>
              <w:t>Jobs per € million</w:t>
            </w:r>
          </w:p>
        </w:tc>
      </w:tr>
      <w:tr w:rsidR="007B66BD" w:rsidRPr="00B03D4D" w14:paraId="1E691E8F" w14:textId="77777777" w:rsidTr="003C6543">
        <w:trPr>
          <w:trHeight w:val="290"/>
        </w:trPr>
        <w:tc>
          <w:tcPr>
            <w:tcW w:w="1413" w:type="dxa"/>
          </w:tcPr>
          <w:p w14:paraId="7B0BEFA5" w14:textId="1853A88D" w:rsidR="007B66BD" w:rsidRPr="00F04D38" w:rsidRDefault="007B66BD" w:rsidP="007B66BD">
            <w:pPr>
              <w:rPr>
                <w:rFonts w:ascii="Arial" w:hAnsi="Arial" w:cs="Arial"/>
                <w:b/>
                <w:bCs/>
                <w:sz w:val="18"/>
                <w:szCs w:val="18"/>
              </w:rPr>
            </w:pPr>
            <w:r w:rsidRPr="00F04D38">
              <w:rPr>
                <w:rFonts w:ascii="Arial" w:hAnsi="Arial" w:cs="Arial"/>
                <w:b/>
                <w:bCs/>
                <w:sz w:val="18"/>
                <w:szCs w:val="18"/>
              </w:rPr>
              <w:t xml:space="preserve">Year of original currency and/or conversion to $ based </w:t>
            </w:r>
            <w:proofErr w:type="spellStart"/>
            <w:r w:rsidRPr="00F04D38">
              <w:rPr>
                <w:rFonts w:ascii="Arial" w:hAnsi="Arial" w:cs="Arial"/>
                <w:b/>
                <w:bCs/>
                <w:sz w:val="18"/>
                <w:szCs w:val="18"/>
              </w:rPr>
              <w:t>on</w:t>
            </w:r>
            <w:r w:rsidR="00F04D38" w:rsidRPr="00F04D38">
              <w:rPr>
                <w:rFonts w:ascii="Arial" w:hAnsi="Arial" w:cs="Arial"/>
                <w:b/>
                <w:bCs/>
                <w:sz w:val="18"/>
                <w:szCs w:val="18"/>
                <w:vertAlign w:val="superscript"/>
              </w:rPr>
              <w:t>a</w:t>
            </w:r>
            <w:proofErr w:type="spellEnd"/>
          </w:p>
        </w:tc>
        <w:tc>
          <w:tcPr>
            <w:tcW w:w="895" w:type="dxa"/>
            <w:noWrap/>
          </w:tcPr>
          <w:p w14:paraId="13F58488" w14:textId="458C1254" w:rsidR="007B66BD" w:rsidRPr="00F04D38" w:rsidRDefault="007B66BD" w:rsidP="007B66BD">
            <w:pPr>
              <w:rPr>
                <w:rFonts w:ascii="Arial" w:hAnsi="Arial" w:cs="Arial"/>
                <w:sz w:val="18"/>
                <w:szCs w:val="18"/>
              </w:rPr>
            </w:pPr>
            <w:r w:rsidRPr="00F04D38">
              <w:rPr>
                <w:rFonts w:ascii="Arial" w:hAnsi="Arial" w:cs="Arial"/>
                <w:sz w:val="18"/>
                <w:szCs w:val="18"/>
              </w:rPr>
              <w:t>2010 $</w:t>
            </w:r>
          </w:p>
        </w:tc>
        <w:tc>
          <w:tcPr>
            <w:tcW w:w="895" w:type="dxa"/>
            <w:noWrap/>
          </w:tcPr>
          <w:p w14:paraId="4CEA04FC" w14:textId="29A7EA79" w:rsidR="007B66BD" w:rsidRPr="00F04D38" w:rsidRDefault="007B66BD" w:rsidP="007B66BD">
            <w:pPr>
              <w:rPr>
                <w:rFonts w:ascii="Arial" w:hAnsi="Arial" w:cs="Arial"/>
                <w:sz w:val="18"/>
                <w:szCs w:val="18"/>
              </w:rPr>
            </w:pPr>
            <w:r w:rsidRPr="00F04D38">
              <w:rPr>
                <w:rFonts w:ascii="Arial" w:hAnsi="Arial" w:cs="Arial"/>
                <w:sz w:val="18"/>
                <w:szCs w:val="18"/>
              </w:rPr>
              <w:t>2010 $</w:t>
            </w:r>
          </w:p>
        </w:tc>
        <w:tc>
          <w:tcPr>
            <w:tcW w:w="895" w:type="dxa"/>
            <w:noWrap/>
          </w:tcPr>
          <w:p w14:paraId="48CE1E80" w14:textId="29DAE226" w:rsidR="007B66BD" w:rsidRPr="00F04D38" w:rsidRDefault="007B66BD" w:rsidP="007B66BD">
            <w:pPr>
              <w:rPr>
                <w:rFonts w:ascii="Arial" w:hAnsi="Arial" w:cs="Arial"/>
                <w:sz w:val="18"/>
                <w:szCs w:val="18"/>
              </w:rPr>
            </w:pPr>
            <w:r w:rsidRPr="00F04D38">
              <w:rPr>
                <w:rFonts w:ascii="Arial" w:hAnsi="Arial" w:cs="Arial"/>
                <w:sz w:val="18"/>
                <w:szCs w:val="18"/>
              </w:rPr>
              <w:t>2013 $</w:t>
            </w:r>
          </w:p>
        </w:tc>
        <w:tc>
          <w:tcPr>
            <w:tcW w:w="896" w:type="dxa"/>
            <w:noWrap/>
          </w:tcPr>
          <w:p w14:paraId="2674DE02" w14:textId="4D229C81" w:rsidR="007B66BD" w:rsidRPr="00F04D38" w:rsidRDefault="007B66BD" w:rsidP="007B66BD">
            <w:pPr>
              <w:rPr>
                <w:rFonts w:ascii="Arial" w:hAnsi="Arial" w:cs="Arial"/>
                <w:sz w:val="18"/>
                <w:szCs w:val="18"/>
              </w:rPr>
            </w:pPr>
            <w:r w:rsidRPr="00F04D38">
              <w:rPr>
                <w:rFonts w:ascii="Arial" w:hAnsi="Arial" w:cs="Arial"/>
                <w:sz w:val="18"/>
                <w:szCs w:val="18"/>
              </w:rPr>
              <w:t>2015 $</w:t>
            </w:r>
          </w:p>
        </w:tc>
        <w:tc>
          <w:tcPr>
            <w:tcW w:w="895" w:type="dxa"/>
            <w:noWrap/>
          </w:tcPr>
          <w:p w14:paraId="6C75AD78" w14:textId="43DACC64" w:rsidR="007B66BD" w:rsidRPr="00F04D38" w:rsidRDefault="007B66BD" w:rsidP="007B66BD">
            <w:pPr>
              <w:rPr>
                <w:rFonts w:ascii="Arial" w:hAnsi="Arial" w:cs="Arial"/>
                <w:sz w:val="18"/>
                <w:szCs w:val="18"/>
              </w:rPr>
            </w:pPr>
            <w:r w:rsidRPr="00F04D38">
              <w:rPr>
                <w:rFonts w:ascii="Arial" w:hAnsi="Arial" w:cs="Arial"/>
                <w:sz w:val="18"/>
                <w:szCs w:val="18"/>
              </w:rPr>
              <w:t>2012 £ to $</w:t>
            </w:r>
          </w:p>
        </w:tc>
        <w:tc>
          <w:tcPr>
            <w:tcW w:w="895" w:type="dxa"/>
            <w:noWrap/>
          </w:tcPr>
          <w:p w14:paraId="798CBE04" w14:textId="3BDFF5C4" w:rsidR="007B66BD" w:rsidRPr="00F04D38" w:rsidRDefault="007B66BD" w:rsidP="007B66BD">
            <w:pPr>
              <w:rPr>
                <w:rFonts w:ascii="Arial" w:hAnsi="Arial" w:cs="Arial"/>
                <w:sz w:val="18"/>
                <w:szCs w:val="18"/>
              </w:rPr>
            </w:pPr>
            <w:r w:rsidRPr="00F04D38">
              <w:rPr>
                <w:rFonts w:ascii="Arial" w:hAnsi="Arial" w:cs="Arial"/>
                <w:sz w:val="18"/>
                <w:szCs w:val="18"/>
              </w:rPr>
              <w:t>2013 € to $</w:t>
            </w:r>
          </w:p>
        </w:tc>
        <w:tc>
          <w:tcPr>
            <w:tcW w:w="896" w:type="dxa"/>
            <w:noWrap/>
          </w:tcPr>
          <w:p w14:paraId="27628F2C" w14:textId="19E42717" w:rsidR="007B66BD" w:rsidRPr="00F04D38" w:rsidRDefault="007B66BD" w:rsidP="007B66BD">
            <w:pPr>
              <w:rPr>
                <w:rFonts w:ascii="Arial" w:hAnsi="Arial" w:cs="Arial"/>
                <w:sz w:val="18"/>
                <w:szCs w:val="18"/>
              </w:rPr>
            </w:pPr>
            <w:r w:rsidRPr="00F04D38">
              <w:rPr>
                <w:rFonts w:ascii="Arial" w:hAnsi="Arial" w:cs="Arial"/>
                <w:sz w:val="18"/>
                <w:szCs w:val="18"/>
              </w:rPr>
              <w:t>2009 $</w:t>
            </w:r>
          </w:p>
        </w:tc>
        <w:tc>
          <w:tcPr>
            <w:tcW w:w="895" w:type="dxa"/>
            <w:noWrap/>
          </w:tcPr>
          <w:p w14:paraId="0B1B5E3C" w14:textId="60BC4A63" w:rsidR="007B66BD" w:rsidRPr="00F04D38" w:rsidRDefault="007B66BD" w:rsidP="007B66BD">
            <w:pPr>
              <w:rPr>
                <w:rFonts w:ascii="Arial" w:hAnsi="Arial" w:cs="Arial"/>
                <w:sz w:val="18"/>
                <w:szCs w:val="18"/>
              </w:rPr>
            </w:pPr>
            <w:r w:rsidRPr="00F04D38">
              <w:rPr>
                <w:rFonts w:ascii="Arial" w:hAnsi="Arial" w:cs="Arial"/>
                <w:sz w:val="18"/>
                <w:szCs w:val="18"/>
              </w:rPr>
              <w:t>2010 € to $</w:t>
            </w:r>
          </w:p>
        </w:tc>
        <w:tc>
          <w:tcPr>
            <w:tcW w:w="895" w:type="dxa"/>
            <w:noWrap/>
          </w:tcPr>
          <w:p w14:paraId="33FACFB5" w14:textId="327E982D" w:rsidR="007B66BD" w:rsidRPr="00F04D38" w:rsidRDefault="007B66BD" w:rsidP="007B66BD">
            <w:pPr>
              <w:rPr>
                <w:rFonts w:ascii="Arial" w:hAnsi="Arial" w:cs="Arial"/>
                <w:sz w:val="18"/>
                <w:szCs w:val="18"/>
              </w:rPr>
            </w:pPr>
            <w:r w:rsidRPr="00F04D38">
              <w:rPr>
                <w:rFonts w:ascii="Arial" w:hAnsi="Arial" w:cs="Arial"/>
                <w:sz w:val="18"/>
                <w:szCs w:val="18"/>
              </w:rPr>
              <w:t>2014 to € to $</w:t>
            </w:r>
          </w:p>
        </w:tc>
        <w:tc>
          <w:tcPr>
            <w:tcW w:w="896" w:type="dxa"/>
            <w:noWrap/>
          </w:tcPr>
          <w:p w14:paraId="37FF172A" w14:textId="3DA0B284" w:rsidR="007B66BD" w:rsidRPr="00F04D38" w:rsidRDefault="007B66BD" w:rsidP="007B66BD">
            <w:pPr>
              <w:rPr>
                <w:rFonts w:ascii="Arial" w:hAnsi="Arial" w:cs="Arial"/>
                <w:sz w:val="18"/>
                <w:szCs w:val="18"/>
              </w:rPr>
            </w:pPr>
            <w:r w:rsidRPr="00F04D38">
              <w:rPr>
                <w:rFonts w:ascii="Arial" w:hAnsi="Arial" w:cs="Arial"/>
                <w:sz w:val="18"/>
                <w:szCs w:val="18"/>
              </w:rPr>
              <w:t>2010 € to $</w:t>
            </w:r>
          </w:p>
        </w:tc>
        <w:tc>
          <w:tcPr>
            <w:tcW w:w="895" w:type="dxa"/>
            <w:noWrap/>
          </w:tcPr>
          <w:p w14:paraId="502879E1" w14:textId="58ED4652" w:rsidR="007B66BD" w:rsidRPr="00F04D38" w:rsidRDefault="007B66BD" w:rsidP="007B66BD">
            <w:pPr>
              <w:rPr>
                <w:rFonts w:ascii="Arial" w:hAnsi="Arial" w:cs="Arial"/>
                <w:sz w:val="18"/>
                <w:szCs w:val="18"/>
              </w:rPr>
            </w:pPr>
            <w:r w:rsidRPr="00F04D38">
              <w:rPr>
                <w:rFonts w:ascii="Arial" w:hAnsi="Arial" w:cs="Arial"/>
                <w:sz w:val="18"/>
                <w:szCs w:val="18"/>
              </w:rPr>
              <w:t>2013 $</w:t>
            </w:r>
          </w:p>
        </w:tc>
        <w:tc>
          <w:tcPr>
            <w:tcW w:w="895" w:type="dxa"/>
            <w:noWrap/>
          </w:tcPr>
          <w:p w14:paraId="3BD87B7D" w14:textId="21AFA5DC" w:rsidR="007B66BD" w:rsidRPr="00F04D38" w:rsidRDefault="007B66BD" w:rsidP="007B66BD">
            <w:pPr>
              <w:rPr>
                <w:rFonts w:ascii="Arial" w:hAnsi="Arial" w:cs="Arial"/>
                <w:sz w:val="18"/>
                <w:szCs w:val="18"/>
              </w:rPr>
            </w:pPr>
            <w:r w:rsidRPr="00F04D38">
              <w:rPr>
                <w:rFonts w:ascii="Arial" w:hAnsi="Arial" w:cs="Arial"/>
                <w:sz w:val="18"/>
                <w:szCs w:val="18"/>
              </w:rPr>
              <w:t>2008 $</w:t>
            </w:r>
          </w:p>
        </w:tc>
        <w:tc>
          <w:tcPr>
            <w:tcW w:w="896" w:type="dxa"/>
            <w:noWrap/>
          </w:tcPr>
          <w:p w14:paraId="7B064093" w14:textId="6A7ABC3D" w:rsidR="007B66BD" w:rsidRPr="00F04D38" w:rsidRDefault="007B66BD" w:rsidP="007B66BD">
            <w:pPr>
              <w:rPr>
                <w:rFonts w:ascii="Arial" w:hAnsi="Arial" w:cs="Arial"/>
                <w:sz w:val="18"/>
                <w:szCs w:val="18"/>
              </w:rPr>
            </w:pPr>
            <w:r w:rsidRPr="00F04D38">
              <w:rPr>
                <w:rFonts w:ascii="Arial" w:hAnsi="Arial" w:cs="Arial"/>
                <w:sz w:val="18"/>
                <w:szCs w:val="18"/>
              </w:rPr>
              <w:t>2010 $</w:t>
            </w:r>
          </w:p>
        </w:tc>
        <w:tc>
          <w:tcPr>
            <w:tcW w:w="930" w:type="dxa"/>
            <w:noWrap/>
          </w:tcPr>
          <w:p w14:paraId="39E84342" w14:textId="01946FC4" w:rsidR="007B66BD" w:rsidRPr="00F04D38" w:rsidRDefault="007B66BD" w:rsidP="007B66BD">
            <w:pPr>
              <w:rPr>
                <w:rFonts w:ascii="Arial" w:hAnsi="Arial" w:cs="Arial"/>
                <w:sz w:val="18"/>
                <w:szCs w:val="18"/>
              </w:rPr>
            </w:pPr>
            <w:r w:rsidRPr="00F04D38">
              <w:rPr>
                <w:rFonts w:ascii="Arial" w:hAnsi="Arial" w:cs="Arial"/>
                <w:sz w:val="18"/>
                <w:szCs w:val="18"/>
              </w:rPr>
              <w:t>2010 € to $</w:t>
            </w:r>
          </w:p>
        </w:tc>
      </w:tr>
      <w:tr w:rsidR="007B66BD" w:rsidRPr="00B03D4D" w14:paraId="13EB6C44" w14:textId="77777777" w:rsidTr="003C6543">
        <w:trPr>
          <w:trHeight w:val="290"/>
        </w:trPr>
        <w:tc>
          <w:tcPr>
            <w:tcW w:w="1413" w:type="dxa"/>
            <w:hideMark/>
          </w:tcPr>
          <w:p w14:paraId="3FE560CF" w14:textId="77777777" w:rsidR="007B66BD" w:rsidRPr="00C76651" w:rsidRDefault="007B66BD" w:rsidP="007B66BD">
            <w:pPr>
              <w:rPr>
                <w:rFonts w:ascii="Arial" w:hAnsi="Arial" w:cs="Arial"/>
                <w:b/>
                <w:bCs/>
                <w:sz w:val="18"/>
                <w:szCs w:val="18"/>
              </w:rPr>
            </w:pPr>
            <w:r w:rsidRPr="00C76651">
              <w:rPr>
                <w:rFonts w:ascii="Arial" w:hAnsi="Arial" w:cs="Arial"/>
                <w:b/>
                <w:bCs/>
                <w:sz w:val="18"/>
                <w:szCs w:val="18"/>
              </w:rPr>
              <w:t>Coal</w:t>
            </w:r>
          </w:p>
        </w:tc>
        <w:tc>
          <w:tcPr>
            <w:tcW w:w="895" w:type="dxa"/>
            <w:noWrap/>
            <w:hideMark/>
          </w:tcPr>
          <w:p w14:paraId="5DBFCC60" w14:textId="77777777" w:rsidR="007B66BD" w:rsidRPr="00B03D4D" w:rsidRDefault="007B66BD" w:rsidP="007B66BD">
            <w:pPr>
              <w:rPr>
                <w:rFonts w:ascii="Arial" w:hAnsi="Arial" w:cs="Arial"/>
                <w:sz w:val="18"/>
                <w:szCs w:val="18"/>
              </w:rPr>
            </w:pPr>
            <w:r w:rsidRPr="00B03D4D">
              <w:rPr>
                <w:rFonts w:ascii="Arial" w:hAnsi="Arial" w:cs="Arial"/>
                <w:sz w:val="18"/>
                <w:szCs w:val="18"/>
              </w:rPr>
              <w:t>1.6</w:t>
            </w:r>
          </w:p>
        </w:tc>
        <w:tc>
          <w:tcPr>
            <w:tcW w:w="895" w:type="dxa"/>
            <w:noWrap/>
            <w:hideMark/>
          </w:tcPr>
          <w:p w14:paraId="22105D49"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68D78E43" w14:textId="77777777" w:rsidR="007B66BD" w:rsidRPr="00B03D4D" w:rsidRDefault="007B66BD" w:rsidP="007B66BD">
            <w:pPr>
              <w:rPr>
                <w:rFonts w:ascii="Arial" w:hAnsi="Arial" w:cs="Arial"/>
                <w:sz w:val="18"/>
                <w:szCs w:val="18"/>
              </w:rPr>
            </w:pPr>
            <w:r w:rsidRPr="00B03D4D">
              <w:rPr>
                <w:rFonts w:ascii="Arial" w:hAnsi="Arial" w:cs="Arial"/>
                <w:sz w:val="18"/>
                <w:szCs w:val="18"/>
              </w:rPr>
              <w:t>3.5</w:t>
            </w:r>
          </w:p>
        </w:tc>
        <w:tc>
          <w:tcPr>
            <w:tcW w:w="896" w:type="dxa"/>
            <w:noWrap/>
            <w:hideMark/>
          </w:tcPr>
          <w:p w14:paraId="30798AE4"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41D20B8B"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3211AE9C"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6B646BB7" w14:textId="77777777" w:rsidR="007B66BD" w:rsidRPr="00B03D4D" w:rsidRDefault="007B66BD" w:rsidP="007B66BD">
            <w:pPr>
              <w:rPr>
                <w:rFonts w:ascii="Arial" w:hAnsi="Arial" w:cs="Arial"/>
                <w:sz w:val="18"/>
                <w:szCs w:val="18"/>
              </w:rPr>
            </w:pPr>
            <w:r w:rsidRPr="00B03D4D">
              <w:rPr>
                <w:rFonts w:ascii="Arial" w:hAnsi="Arial" w:cs="Arial"/>
                <w:sz w:val="18"/>
                <w:szCs w:val="18"/>
              </w:rPr>
              <w:t>2.8</w:t>
            </w:r>
          </w:p>
        </w:tc>
        <w:tc>
          <w:tcPr>
            <w:tcW w:w="895" w:type="dxa"/>
            <w:noWrap/>
            <w:hideMark/>
          </w:tcPr>
          <w:p w14:paraId="06852B8B"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3DE421E1"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73F478EC"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4CFDAD1"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350A38C0"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642FF9C3" w14:textId="77777777" w:rsidR="007B66BD" w:rsidRPr="00B03D4D" w:rsidRDefault="007B66BD" w:rsidP="007B66BD">
            <w:pPr>
              <w:rPr>
                <w:rFonts w:ascii="Arial" w:hAnsi="Arial" w:cs="Arial"/>
                <w:sz w:val="18"/>
                <w:szCs w:val="18"/>
              </w:rPr>
            </w:pPr>
            <w:r w:rsidRPr="00B03D4D">
              <w:rPr>
                <w:rFonts w:ascii="Arial" w:hAnsi="Arial" w:cs="Arial"/>
                <w:sz w:val="18"/>
                <w:szCs w:val="18"/>
              </w:rPr>
              <w:t>12.8</w:t>
            </w:r>
          </w:p>
        </w:tc>
        <w:tc>
          <w:tcPr>
            <w:tcW w:w="930" w:type="dxa"/>
            <w:noWrap/>
            <w:hideMark/>
          </w:tcPr>
          <w:p w14:paraId="1F8D89C7"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r>
      <w:tr w:rsidR="007B66BD" w:rsidRPr="00B03D4D" w14:paraId="0FF816DE" w14:textId="77777777" w:rsidTr="003C6543">
        <w:trPr>
          <w:trHeight w:val="580"/>
        </w:trPr>
        <w:tc>
          <w:tcPr>
            <w:tcW w:w="1413" w:type="dxa"/>
            <w:hideMark/>
          </w:tcPr>
          <w:p w14:paraId="49A51F6E" w14:textId="77777777" w:rsidR="007B66BD" w:rsidRPr="00C76651" w:rsidRDefault="007B66BD" w:rsidP="007B66BD">
            <w:pPr>
              <w:rPr>
                <w:rFonts w:ascii="Arial" w:hAnsi="Arial" w:cs="Arial"/>
                <w:b/>
                <w:bCs/>
                <w:sz w:val="18"/>
                <w:szCs w:val="18"/>
              </w:rPr>
            </w:pPr>
            <w:r w:rsidRPr="00C76651">
              <w:rPr>
                <w:rFonts w:ascii="Arial" w:hAnsi="Arial" w:cs="Arial"/>
                <w:b/>
                <w:bCs/>
                <w:sz w:val="18"/>
                <w:szCs w:val="18"/>
              </w:rPr>
              <w:t>Gas and / or oil</w:t>
            </w:r>
          </w:p>
        </w:tc>
        <w:tc>
          <w:tcPr>
            <w:tcW w:w="895" w:type="dxa"/>
            <w:noWrap/>
            <w:hideMark/>
          </w:tcPr>
          <w:p w14:paraId="5EB397AD" w14:textId="77777777" w:rsidR="007B66BD" w:rsidRPr="00B03D4D" w:rsidRDefault="007B66BD" w:rsidP="007B66BD">
            <w:pPr>
              <w:rPr>
                <w:rFonts w:ascii="Arial" w:hAnsi="Arial" w:cs="Arial"/>
                <w:sz w:val="18"/>
                <w:szCs w:val="18"/>
              </w:rPr>
            </w:pPr>
            <w:r w:rsidRPr="00B03D4D">
              <w:rPr>
                <w:rFonts w:ascii="Arial" w:hAnsi="Arial" w:cs="Arial"/>
                <w:sz w:val="18"/>
                <w:szCs w:val="18"/>
              </w:rPr>
              <w:t>0.8</w:t>
            </w:r>
          </w:p>
        </w:tc>
        <w:tc>
          <w:tcPr>
            <w:tcW w:w="895" w:type="dxa"/>
            <w:noWrap/>
            <w:hideMark/>
          </w:tcPr>
          <w:p w14:paraId="2ACEA416"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5479AA78" w14:textId="77777777" w:rsidR="007B66BD" w:rsidRPr="00B03D4D" w:rsidRDefault="007B66BD" w:rsidP="007B66BD">
            <w:pPr>
              <w:rPr>
                <w:rFonts w:ascii="Arial" w:hAnsi="Arial" w:cs="Arial"/>
                <w:sz w:val="18"/>
                <w:szCs w:val="18"/>
              </w:rPr>
            </w:pPr>
            <w:r w:rsidRPr="00B03D4D">
              <w:rPr>
                <w:rFonts w:ascii="Arial" w:hAnsi="Arial" w:cs="Arial"/>
                <w:sz w:val="18"/>
                <w:szCs w:val="18"/>
              </w:rPr>
              <w:t>2.5</w:t>
            </w:r>
          </w:p>
        </w:tc>
        <w:tc>
          <w:tcPr>
            <w:tcW w:w="896" w:type="dxa"/>
            <w:noWrap/>
            <w:hideMark/>
          </w:tcPr>
          <w:p w14:paraId="5A8DAC90"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821EA88"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182F0B32"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5FCD41F2" w14:textId="77777777" w:rsidR="007B66BD" w:rsidRPr="00B03D4D" w:rsidRDefault="007B66BD" w:rsidP="007B66BD">
            <w:pPr>
              <w:rPr>
                <w:rFonts w:ascii="Arial" w:hAnsi="Arial" w:cs="Arial"/>
                <w:sz w:val="18"/>
                <w:szCs w:val="18"/>
              </w:rPr>
            </w:pPr>
            <w:r w:rsidRPr="00B03D4D">
              <w:rPr>
                <w:rFonts w:ascii="Arial" w:hAnsi="Arial" w:cs="Arial"/>
                <w:sz w:val="18"/>
                <w:szCs w:val="18"/>
              </w:rPr>
              <w:t>2.1</w:t>
            </w:r>
          </w:p>
        </w:tc>
        <w:tc>
          <w:tcPr>
            <w:tcW w:w="895" w:type="dxa"/>
            <w:noWrap/>
            <w:hideMark/>
          </w:tcPr>
          <w:p w14:paraId="6067D760"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ABE5E63"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4437ADA4"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270D56D4"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45C8CC38"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434F6BF1" w14:textId="77777777" w:rsidR="007B66BD" w:rsidRPr="00B03D4D" w:rsidRDefault="007B66BD" w:rsidP="007B66BD">
            <w:pPr>
              <w:rPr>
                <w:rFonts w:ascii="Arial" w:hAnsi="Arial" w:cs="Arial"/>
                <w:sz w:val="18"/>
                <w:szCs w:val="18"/>
              </w:rPr>
            </w:pPr>
            <w:r w:rsidRPr="00B03D4D">
              <w:rPr>
                <w:rFonts w:ascii="Arial" w:hAnsi="Arial" w:cs="Arial"/>
                <w:sz w:val="18"/>
                <w:szCs w:val="18"/>
              </w:rPr>
              <w:t>12.7</w:t>
            </w:r>
          </w:p>
        </w:tc>
        <w:tc>
          <w:tcPr>
            <w:tcW w:w="930" w:type="dxa"/>
            <w:noWrap/>
            <w:hideMark/>
          </w:tcPr>
          <w:p w14:paraId="58ECD018"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r>
      <w:tr w:rsidR="007B66BD" w:rsidRPr="00B03D4D" w14:paraId="560AF351" w14:textId="77777777" w:rsidTr="003C6543">
        <w:trPr>
          <w:trHeight w:val="290"/>
        </w:trPr>
        <w:tc>
          <w:tcPr>
            <w:tcW w:w="1413" w:type="dxa"/>
            <w:hideMark/>
          </w:tcPr>
          <w:p w14:paraId="3B91F693" w14:textId="77777777" w:rsidR="007B66BD" w:rsidRPr="00C76651" w:rsidRDefault="007B66BD" w:rsidP="007B66BD">
            <w:pPr>
              <w:rPr>
                <w:rFonts w:ascii="Arial" w:hAnsi="Arial" w:cs="Arial"/>
                <w:b/>
                <w:bCs/>
                <w:sz w:val="18"/>
                <w:szCs w:val="18"/>
              </w:rPr>
            </w:pPr>
            <w:r w:rsidRPr="00C76651">
              <w:rPr>
                <w:rFonts w:ascii="Arial" w:hAnsi="Arial" w:cs="Arial"/>
                <w:b/>
                <w:bCs/>
                <w:sz w:val="18"/>
                <w:szCs w:val="18"/>
              </w:rPr>
              <w:t>Nuclear</w:t>
            </w:r>
          </w:p>
        </w:tc>
        <w:tc>
          <w:tcPr>
            <w:tcW w:w="895" w:type="dxa"/>
            <w:noWrap/>
            <w:hideMark/>
          </w:tcPr>
          <w:p w14:paraId="69AD3A85" w14:textId="77777777" w:rsidR="007B66BD" w:rsidRPr="00B03D4D" w:rsidRDefault="007B66BD" w:rsidP="007B66BD">
            <w:pPr>
              <w:rPr>
                <w:rFonts w:ascii="Arial" w:hAnsi="Arial" w:cs="Arial"/>
                <w:sz w:val="18"/>
                <w:szCs w:val="18"/>
              </w:rPr>
            </w:pPr>
            <w:r w:rsidRPr="00B03D4D">
              <w:rPr>
                <w:rFonts w:ascii="Arial" w:hAnsi="Arial" w:cs="Arial"/>
                <w:sz w:val="18"/>
                <w:szCs w:val="18"/>
              </w:rPr>
              <w:t>2.4</w:t>
            </w:r>
          </w:p>
        </w:tc>
        <w:tc>
          <w:tcPr>
            <w:tcW w:w="895" w:type="dxa"/>
            <w:noWrap/>
            <w:hideMark/>
          </w:tcPr>
          <w:p w14:paraId="35AAE758"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7879EB70"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784A2B09" w14:textId="77777777" w:rsidR="007B66BD" w:rsidRPr="00B03D4D" w:rsidRDefault="007B66BD" w:rsidP="007B66BD">
            <w:pPr>
              <w:rPr>
                <w:rFonts w:ascii="Arial" w:hAnsi="Arial" w:cs="Arial"/>
                <w:sz w:val="18"/>
                <w:szCs w:val="18"/>
              </w:rPr>
            </w:pPr>
            <w:r w:rsidRPr="00B03D4D">
              <w:rPr>
                <w:rFonts w:ascii="Arial" w:hAnsi="Arial" w:cs="Arial"/>
                <w:sz w:val="18"/>
                <w:szCs w:val="18"/>
              </w:rPr>
              <w:t>7.9</w:t>
            </w:r>
          </w:p>
        </w:tc>
        <w:tc>
          <w:tcPr>
            <w:tcW w:w="895" w:type="dxa"/>
            <w:noWrap/>
            <w:hideMark/>
          </w:tcPr>
          <w:p w14:paraId="5061E224"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562D723E"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28849555"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161AB6F"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1AFA74BA"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155CCE47"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24623C72"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67B5978C"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3C83CBE9" w14:textId="77777777" w:rsidR="007B66BD" w:rsidRPr="00B03D4D" w:rsidRDefault="007B66BD" w:rsidP="007B66BD">
            <w:pPr>
              <w:rPr>
                <w:rFonts w:ascii="Arial" w:hAnsi="Arial" w:cs="Arial"/>
                <w:sz w:val="18"/>
                <w:szCs w:val="18"/>
              </w:rPr>
            </w:pPr>
            <w:r w:rsidRPr="00B03D4D">
              <w:rPr>
                <w:rFonts w:ascii="Arial" w:hAnsi="Arial" w:cs="Arial"/>
                <w:sz w:val="18"/>
                <w:szCs w:val="18"/>
              </w:rPr>
              <w:t>13.4</w:t>
            </w:r>
          </w:p>
        </w:tc>
        <w:tc>
          <w:tcPr>
            <w:tcW w:w="930" w:type="dxa"/>
            <w:noWrap/>
            <w:hideMark/>
          </w:tcPr>
          <w:p w14:paraId="273276F9"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r>
      <w:tr w:rsidR="007B66BD" w:rsidRPr="00B03D4D" w14:paraId="54BEF9BD" w14:textId="77777777" w:rsidTr="003C6543">
        <w:trPr>
          <w:trHeight w:val="290"/>
        </w:trPr>
        <w:tc>
          <w:tcPr>
            <w:tcW w:w="1413" w:type="dxa"/>
            <w:noWrap/>
            <w:hideMark/>
          </w:tcPr>
          <w:p w14:paraId="7D25417D" w14:textId="77777777" w:rsidR="007B66BD" w:rsidRPr="00C76651" w:rsidRDefault="007B66BD" w:rsidP="007B66BD">
            <w:pPr>
              <w:rPr>
                <w:rFonts w:ascii="Arial" w:hAnsi="Arial" w:cs="Arial"/>
                <w:b/>
                <w:bCs/>
                <w:sz w:val="18"/>
                <w:szCs w:val="18"/>
              </w:rPr>
            </w:pPr>
            <w:r w:rsidRPr="00C76651">
              <w:rPr>
                <w:rFonts w:ascii="Arial" w:hAnsi="Arial" w:cs="Arial"/>
                <w:b/>
                <w:bCs/>
                <w:sz w:val="18"/>
                <w:szCs w:val="18"/>
              </w:rPr>
              <w:t>Biomass / bioenergy</w:t>
            </w:r>
          </w:p>
        </w:tc>
        <w:tc>
          <w:tcPr>
            <w:tcW w:w="895" w:type="dxa"/>
            <w:noWrap/>
            <w:hideMark/>
          </w:tcPr>
          <w:p w14:paraId="194E5B2A" w14:textId="77777777" w:rsidR="007B66BD" w:rsidRPr="00B03D4D" w:rsidRDefault="007B66BD" w:rsidP="007B66BD">
            <w:pPr>
              <w:rPr>
                <w:rFonts w:ascii="Arial" w:hAnsi="Arial" w:cs="Arial"/>
                <w:sz w:val="18"/>
                <w:szCs w:val="18"/>
              </w:rPr>
            </w:pPr>
            <w:r w:rsidRPr="00B03D4D">
              <w:rPr>
                <w:rFonts w:ascii="Arial" w:hAnsi="Arial" w:cs="Arial"/>
                <w:sz w:val="18"/>
                <w:szCs w:val="18"/>
              </w:rPr>
              <w:t>8.7</w:t>
            </w:r>
          </w:p>
        </w:tc>
        <w:tc>
          <w:tcPr>
            <w:tcW w:w="895" w:type="dxa"/>
            <w:noWrap/>
            <w:hideMark/>
          </w:tcPr>
          <w:p w14:paraId="6E0C0C62"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5F43F94C" w14:textId="77777777" w:rsidR="007B66BD" w:rsidRPr="00B03D4D" w:rsidRDefault="007B66BD" w:rsidP="007B66BD">
            <w:pPr>
              <w:rPr>
                <w:rFonts w:ascii="Arial" w:hAnsi="Arial" w:cs="Arial"/>
                <w:sz w:val="18"/>
                <w:szCs w:val="18"/>
              </w:rPr>
            </w:pPr>
            <w:r w:rsidRPr="00B03D4D">
              <w:rPr>
                <w:rFonts w:ascii="Arial" w:hAnsi="Arial" w:cs="Arial"/>
                <w:sz w:val="18"/>
                <w:szCs w:val="18"/>
              </w:rPr>
              <w:t>8.7</w:t>
            </w:r>
          </w:p>
        </w:tc>
        <w:tc>
          <w:tcPr>
            <w:tcW w:w="896" w:type="dxa"/>
            <w:noWrap/>
            <w:hideMark/>
          </w:tcPr>
          <w:p w14:paraId="4DBFAF73" w14:textId="77777777" w:rsidR="007B66BD" w:rsidRPr="00B03D4D" w:rsidRDefault="007B66BD" w:rsidP="007B66BD">
            <w:pPr>
              <w:rPr>
                <w:rFonts w:ascii="Arial" w:hAnsi="Arial" w:cs="Arial"/>
                <w:sz w:val="18"/>
                <w:szCs w:val="18"/>
              </w:rPr>
            </w:pPr>
            <w:r w:rsidRPr="00B03D4D">
              <w:rPr>
                <w:rFonts w:ascii="Arial" w:hAnsi="Arial" w:cs="Arial"/>
                <w:sz w:val="18"/>
                <w:szCs w:val="18"/>
              </w:rPr>
              <w:t>12.2</w:t>
            </w:r>
          </w:p>
        </w:tc>
        <w:tc>
          <w:tcPr>
            <w:tcW w:w="895" w:type="dxa"/>
            <w:noWrap/>
            <w:hideMark/>
          </w:tcPr>
          <w:p w14:paraId="4DBABC9F"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FE3048B"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133207BD" w14:textId="77777777" w:rsidR="007B66BD" w:rsidRPr="00B03D4D" w:rsidRDefault="007B66BD" w:rsidP="007B66BD">
            <w:pPr>
              <w:rPr>
                <w:rFonts w:ascii="Arial" w:hAnsi="Arial" w:cs="Arial"/>
                <w:sz w:val="18"/>
                <w:szCs w:val="18"/>
              </w:rPr>
            </w:pPr>
            <w:r w:rsidRPr="00B03D4D">
              <w:rPr>
                <w:rFonts w:ascii="Arial" w:hAnsi="Arial" w:cs="Arial"/>
                <w:sz w:val="18"/>
                <w:szCs w:val="18"/>
              </w:rPr>
              <w:t>3.4</w:t>
            </w:r>
          </w:p>
        </w:tc>
        <w:tc>
          <w:tcPr>
            <w:tcW w:w="895" w:type="dxa"/>
            <w:noWrap/>
            <w:hideMark/>
          </w:tcPr>
          <w:p w14:paraId="015F9CD4" w14:textId="77777777" w:rsidR="007B66BD" w:rsidRPr="00B03D4D" w:rsidRDefault="007B66BD" w:rsidP="007B66BD">
            <w:pPr>
              <w:rPr>
                <w:rFonts w:ascii="Arial" w:hAnsi="Arial" w:cs="Arial"/>
                <w:sz w:val="18"/>
                <w:szCs w:val="18"/>
              </w:rPr>
            </w:pPr>
            <w:r w:rsidRPr="00B03D4D">
              <w:rPr>
                <w:rFonts w:ascii="Arial" w:hAnsi="Arial" w:cs="Arial"/>
                <w:sz w:val="18"/>
                <w:szCs w:val="18"/>
              </w:rPr>
              <w:t>37.4</w:t>
            </w:r>
          </w:p>
        </w:tc>
        <w:tc>
          <w:tcPr>
            <w:tcW w:w="895" w:type="dxa"/>
            <w:noWrap/>
            <w:hideMark/>
          </w:tcPr>
          <w:p w14:paraId="4C102936"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2309DF4D"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4CC85461"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3C59EB0D"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609B1515" w14:textId="77777777" w:rsidR="007B66BD" w:rsidRPr="00B03D4D" w:rsidRDefault="007B66BD" w:rsidP="007B66BD">
            <w:pPr>
              <w:rPr>
                <w:rFonts w:ascii="Arial" w:hAnsi="Arial" w:cs="Arial"/>
                <w:sz w:val="18"/>
                <w:szCs w:val="18"/>
              </w:rPr>
            </w:pPr>
            <w:r w:rsidRPr="00B03D4D">
              <w:rPr>
                <w:rFonts w:ascii="Arial" w:hAnsi="Arial" w:cs="Arial"/>
                <w:sz w:val="18"/>
                <w:szCs w:val="18"/>
              </w:rPr>
              <w:t>15.6</w:t>
            </w:r>
          </w:p>
        </w:tc>
        <w:tc>
          <w:tcPr>
            <w:tcW w:w="930" w:type="dxa"/>
            <w:noWrap/>
            <w:hideMark/>
          </w:tcPr>
          <w:p w14:paraId="3884ABC8"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r>
      <w:tr w:rsidR="007B66BD" w:rsidRPr="00B03D4D" w14:paraId="6589EB9C" w14:textId="77777777" w:rsidTr="003C6543">
        <w:trPr>
          <w:trHeight w:val="290"/>
        </w:trPr>
        <w:tc>
          <w:tcPr>
            <w:tcW w:w="1413" w:type="dxa"/>
            <w:noWrap/>
            <w:hideMark/>
          </w:tcPr>
          <w:p w14:paraId="3D7F9895" w14:textId="77777777" w:rsidR="007B66BD" w:rsidRPr="00C76651" w:rsidRDefault="007B66BD" w:rsidP="007B66BD">
            <w:pPr>
              <w:rPr>
                <w:rFonts w:ascii="Arial" w:hAnsi="Arial" w:cs="Arial"/>
                <w:b/>
                <w:bCs/>
                <w:sz w:val="18"/>
                <w:szCs w:val="18"/>
              </w:rPr>
            </w:pPr>
            <w:r w:rsidRPr="00C76651">
              <w:rPr>
                <w:rFonts w:ascii="Arial" w:hAnsi="Arial" w:cs="Arial"/>
                <w:b/>
                <w:bCs/>
                <w:sz w:val="18"/>
                <w:szCs w:val="18"/>
              </w:rPr>
              <w:t>Geothermal</w:t>
            </w:r>
          </w:p>
        </w:tc>
        <w:tc>
          <w:tcPr>
            <w:tcW w:w="895" w:type="dxa"/>
            <w:noWrap/>
            <w:hideMark/>
          </w:tcPr>
          <w:p w14:paraId="630D6C8F" w14:textId="77777777" w:rsidR="007B66BD" w:rsidRPr="00B03D4D" w:rsidRDefault="007B66BD" w:rsidP="007B66BD">
            <w:pPr>
              <w:rPr>
                <w:rFonts w:ascii="Arial" w:hAnsi="Arial" w:cs="Arial"/>
                <w:sz w:val="18"/>
                <w:szCs w:val="18"/>
              </w:rPr>
            </w:pPr>
            <w:r w:rsidRPr="00B03D4D">
              <w:rPr>
                <w:rFonts w:ascii="Arial" w:hAnsi="Arial" w:cs="Arial"/>
                <w:sz w:val="18"/>
                <w:szCs w:val="18"/>
              </w:rPr>
              <w:t xml:space="preserve"> </w:t>
            </w:r>
          </w:p>
        </w:tc>
        <w:tc>
          <w:tcPr>
            <w:tcW w:w="895" w:type="dxa"/>
            <w:noWrap/>
            <w:hideMark/>
          </w:tcPr>
          <w:p w14:paraId="150AA163"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53DE1AF8" w14:textId="77777777" w:rsidR="007B66BD" w:rsidRPr="00B03D4D" w:rsidRDefault="007B66BD" w:rsidP="007B66BD">
            <w:pPr>
              <w:rPr>
                <w:rFonts w:ascii="Arial" w:hAnsi="Arial" w:cs="Arial"/>
                <w:sz w:val="18"/>
                <w:szCs w:val="18"/>
              </w:rPr>
            </w:pPr>
            <w:r w:rsidRPr="00B03D4D">
              <w:rPr>
                <w:rFonts w:ascii="Arial" w:hAnsi="Arial" w:cs="Arial"/>
                <w:sz w:val="18"/>
                <w:szCs w:val="18"/>
              </w:rPr>
              <w:t>8.4</w:t>
            </w:r>
          </w:p>
        </w:tc>
        <w:tc>
          <w:tcPr>
            <w:tcW w:w="896" w:type="dxa"/>
            <w:noWrap/>
            <w:hideMark/>
          </w:tcPr>
          <w:p w14:paraId="0ABD8B4A" w14:textId="77777777" w:rsidR="007B66BD" w:rsidRPr="00B03D4D" w:rsidRDefault="007B66BD" w:rsidP="007B66BD">
            <w:pPr>
              <w:rPr>
                <w:rFonts w:ascii="Arial" w:hAnsi="Arial" w:cs="Arial"/>
                <w:sz w:val="18"/>
                <w:szCs w:val="18"/>
              </w:rPr>
            </w:pPr>
            <w:r w:rsidRPr="00B03D4D">
              <w:rPr>
                <w:rFonts w:ascii="Arial" w:hAnsi="Arial" w:cs="Arial"/>
                <w:sz w:val="18"/>
                <w:szCs w:val="18"/>
              </w:rPr>
              <w:t>9.5</w:t>
            </w:r>
          </w:p>
        </w:tc>
        <w:tc>
          <w:tcPr>
            <w:tcW w:w="895" w:type="dxa"/>
            <w:noWrap/>
            <w:hideMark/>
          </w:tcPr>
          <w:p w14:paraId="24955EA4"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115C7B5E"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23F58B0F"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1DE483FC" w14:textId="77777777" w:rsidR="007B66BD" w:rsidRPr="00B03D4D" w:rsidRDefault="007B66BD" w:rsidP="007B66BD">
            <w:pPr>
              <w:rPr>
                <w:rFonts w:ascii="Arial" w:hAnsi="Arial" w:cs="Arial"/>
                <w:sz w:val="18"/>
                <w:szCs w:val="18"/>
              </w:rPr>
            </w:pPr>
            <w:r w:rsidRPr="00B03D4D">
              <w:rPr>
                <w:rFonts w:ascii="Arial" w:hAnsi="Arial" w:cs="Arial"/>
                <w:sz w:val="18"/>
                <w:szCs w:val="18"/>
              </w:rPr>
              <w:t>32.1</w:t>
            </w:r>
          </w:p>
        </w:tc>
        <w:tc>
          <w:tcPr>
            <w:tcW w:w="895" w:type="dxa"/>
            <w:noWrap/>
            <w:hideMark/>
          </w:tcPr>
          <w:p w14:paraId="62A8239A"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676AA89B"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1D31E1A"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1B366C1E"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11DE75DF" w14:textId="77777777" w:rsidR="007B66BD" w:rsidRPr="00B03D4D" w:rsidRDefault="007B66BD" w:rsidP="007B66BD">
            <w:pPr>
              <w:rPr>
                <w:rFonts w:ascii="Arial" w:hAnsi="Arial" w:cs="Arial"/>
                <w:sz w:val="18"/>
                <w:szCs w:val="18"/>
              </w:rPr>
            </w:pPr>
            <w:r w:rsidRPr="00B03D4D">
              <w:rPr>
                <w:rFonts w:ascii="Arial" w:hAnsi="Arial" w:cs="Arial"/>
                <w:sz w:val="18"/>
                <w:szCs w:val="18"/>
              </w:rPr>
              <w:t>12.5</w:t>
            </w:r>
          </w:p>
        </w:tc>
        <w:tc>
          <w:tcPr>
            <w:tcW w:w="930" w:type="dxa"/>
            <w:noWrap/>
            <w:hideMark/>
          </w:tcPr>
          <w:p w14:paraId="1E5CB49F"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r>
      <w:tr w:rsidR="007B66BD" w:rsidRPr="00B03D4D" w14:paraId="13BACE84" w14:textId="77777777" w:rsidTr="003C6543">
        <w:trPr>
          <w:trHeight w:val="290"/>
        </w:trPr>
        <w:tc>
          <w:tcPr>
            <w:tcW w:w="1413" w:type="dxa"/>
            <w:hideMark/>
          </w:tcPr>
          <w:p w14:paraId="7720B42F" w14:textId="77777777" w:rsidR="007B66BD" w:rsidRPr="00C76651" w:rsidRDefault="007B66BD" w:rsidP="007B66BD">
            <w:pPr>
              <w:rPr>
                <w:rFonts w:ascii="Arial" w:hAnsi="Arial" w:cs="Arial"/>
                <w:b/>
                <w:bCs/>
                <w:sz w:val="18"/>
                <w:szCs w:val="18"/>
              </w:rPr>
            </w:pPr>
            <w:r w:rsidRPr="00C76651">
              <w:rPr>
                <w:rFonts w:ascii="Arial" w:hAnsi="Arial" w:cs="Arial"/>
                <w:b/>
                <w:bCs/>
                <w:sz w:val="18"/>
                <w:szCs w:val="18"/>
              </w:rPr>
              <w:t>Hydro</w:t>
            </w:r>
          </w:p>
        </w:tc>
        <w:tc>
          <w:tcPr>
            <w:tcW w:w="895" w:type="dxa"/>
            <w:noWrap/>
            <w:hideMark/>
          </w:tcPr>
          <w:p w14:paraId="3CAD5A39" w14:textId="77777777" w:rsidR="007B66BD" w:rsidRPr="00B03D4D" w:rsidRDefault="007B66BD" w:rsidP="007B66BD">
            <w:pPr>
              <w:rPr>
                <w:rFonts w:ascii="Arial" w:hAnsi="Arial" w:cs="Arial"/>
                <w:sz w:val="18"/>
                <w:szCs w:val="18"/>
              </w:rPr>
            </w:pPr>
            <w:r w:rsidRPr="00B03D4D">
              <w:rPr>
                <w:rFonts w:ascii="Arial" w:hAnsi="Arial" w:cs="Arial"/>
                <w:sz w:val="18"/>
                <w:szCs w:val="18"/>
              </w:rPr>
              <w:t>2.8</w:t>
            </w:r>
          </w:p>
        </w:tc>
        <w:tc>
          <w:tcPr>
            <w:tcW w:w="895" w:type="dxa"/>
            <w:noWrap/>
            <w:hideMark/>
          </w:tcPr>
          <w:p w14:paraId="616B0CF4"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62DCDB15" w14:textId="77777777" w:rsidR="007B66BD" w:rsidRPr="00B03D4D" w:rsidRDefault="007B66BD" w:rsidP="007B66BD">
            <w:pPr>
              <w:rPr>
                <w:rFonts w:ascii="Arial" w:hAnsi="Arial" w:cs="Arial"/>
                <w:sz w:val="18"/>
                <w:szCs w:val="18"/>
              </w:rPr>
            </w:pPr>
            <w:r w:rsidRPr="00B03D4D">
              <w:rPr>
                <w:rFonts w:ascii="Arial" w:hAnsi="Arial" w:cs="Arial"/>
                <w:sz w:val="18"/>
                <w:szCs w:val="18"/>
              </w:rPr>
              <w:t>8.6</w:t>
            </w:r>
          </w:p>
        </w:tc>
        <w:tc>
          <w:tcPr>
            <w:tcW w:w="896" w:type="dxa"/>
            <w:noWrap/>
            <w:hideMark/>
          </w:tcPr>
          <w:p w14:paraId="4DCDAACA" w14:textId="77777777" w:rsidR="007B66BD" w:rsidRPr="00B03D4D" w:rsidRDefault="007B66BD" w:rsidP="007B66BD">
            <w:pPr>
              <w:rPr>
                <w:rFonts w:ascii="Arial" w:hAnsi="Arial" w:cs="Arial"/>
                <w:sz w:val="18"/>
                <w:szCs w:val="18"/>
              </w:rPr>
            </w:pPr>
            <w:r w:rsidRPr="00B03D4D">
              <w:rPr>
                <w:rFonts w:ascii="Arial" w:hAnsi="Arial" w:cs="Arial"/>
                <w:sz w:val="18"/>
                <w:szCs w:val="18"/>
              </w:rPr>
              <w:t>10.0</w:t>
            </w:r>
          </w:p>
        </w:tc>
        <w:tc>
          <w:tcPr>
            <w:tcW w:w="895" w:type="dxa"/>
            <w:noWrap/>
            <w:hideMark/>
          </w:tcPr>
          <w:p w14:paraId="661DF261"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25E85BC4"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5E153097"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6DF5E825" w14:textId="77777777" w:rsidR="007B66BD" w:rsidRPr="00B03D4D" w:rsidRDefault="007B66BD" w:rsidP="007B66BD">
            <w:pPr>
              <w:rPr>
                <w:rFonts w:ascii="Arial" w:hAnsi="Arial" w:cs="Arial"/>
                <w:sz w:val="18"/>
                <w:szCs w:val="18"/>
              </w:rPr>
            </w:pPr>
            <w:r w:rsidRPr="00B03D4D">
              <w:rPr>
                <w:rFonts w:ascii="Arial" w:hAnsi="Arial" w:cs="Arial"/>
                <w:sz w:val="18"/>
                <w:szCs w:val="18"/>
              </w:rPr>
              <w:t>36.4</w:t>
            </w:r>
          </w:p>
        </w:tc>
        <w:tc>
          <w:tcPr>
            <w:tcW w:w="895" w:type="dxa"/>
            <w:noWrap/>
            <w:hideMark/>
          </w:tcPr>
          <w:p w14:paraId="0DD7C4BD"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29A32C5A"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73E93A2E"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5569ED79"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5BC8110C" w14:textId="77777777" w:rsidR="007B66BD" w:rsidRPr="00B03D4D" w:rsidRDefault="007B66BD" w:rsidP="007B66BD">
            <w:pPr>
              <w:rPr>
                <w:rFonts w:ascii="Arial" w:hAnsi="Arial" w:cs="Arial"/>
                <w:sz w:val="18"/>
                <w:szCs w:val="18"/>
              </w:rPr>
            </w:pPr>
            <w:r w:rsidRPr="00B03D4D">
              <w:rPr>
                <w:rFonts w:ascii="Arial" w:hAnsi="Arial" w:cs="Arial"/>
                <w:sz w:val="18"/>
                <w:szCs w:val="18"/>
              </w:rPr>
              <w:t>16.0</w:t>
            </w:r>
          </w:p>
        </w:tc>
        <w:tc>
          <w:tcPr>
            <w:tcW w:w="930" w:type="dxa"/>
            <w:noWrap/>
            <w:hideMark/>
          </w:tcPr>
          <w:p w14:paraId="2542EE40"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r>
      <w:tr w:rsidR="007B66BD" w:rsidRPr="00B03D4D" w14:paraId="7C70095C" w14:textId="77777777" w:rsidTr="003C6543">
        <w:trPr>
          <w:trHeight w:val="290"/>
        </w:trPr>
        <w:tc>
          <w:tcPr>
            <w:tcW w:w="1413" w:type="dxa"/>
            <w:hideMark/>
          </w:tcPr>
          <w:p w14:paraId="00915973" w14:textId="77777777" w:rsidR="007B66BD" w:rsidRPr="00C76651" w:rsidRDefault="007B66BD" w:rsidP="007B66BD">
            <w:pPr>
              <w:rPr>
                <w:rFonts w:ascii="Arial" w:hAnsi="Arial" w:cs="Arial"/>
                <w:b/>
                <w:bCs/>
                <w:sz w:val="18"/>
                <w:szCs w:val="18"/>
              </w:rPr>
            </w:pPr>
            <w:r w:rsidRPr="00C76651">
              <w:rPr>
                <w:rFonts w:ascii="Arial" w:hAnsi="Arial" w:cs="Arial"/>
                <w:b/>
                <w:bCs/>
                <w:sz w:val="18"/>
                <w:szCs w:val="18"/>
              </w:rPr>
              <w:t>Solar PV</w:t>
            </w:r>
          </w:p>
        </w:tc>
        <w:tc>
          <w:tcPr>
            <w:tcW w:w="895" w:type="dxa"/>
            <w:noWrap/>
            <w:hideMark/>
          </w:tcPr>
          <w:p w14:paraId="63214CCB" w14:textId="77777777" w:rsidR="007B66BD" w:rsidRPr="00B03D4D" w:rsidRDefault="007B66BD" w:rsidP="007B66BD">
            <w:pPr>
              <w:rPr>
                <w:rFonts w:ascii="Arial" w:hAnsi="Arial" w:cs="Arial"/>
                <w:sz w:val="18"/>
                <w:szCs w:val="18"/>
              </w:rPr>
            </w:pPr>
            <w:r w:rsidRPr="00B03D4D">
              <w:rPr>
                <w:rFonts w:ascii="Arial" w:hAnsi="Arial" w:cs="Arial"/>
                <w:sz w:val="18"/>
                <w:szCs w:val="18"/>
              </w:rPr>
              <w:t>7.9</w:t>
            </w:r>
          </w:p>
        </w:tc>
        <w:tc>
          <w:tcPr>
            <w:tcW w:w="895" w:type="dxa"/>
            <w:noWrap/>
            <w:hideMark/>
          </w:tcPr>
          <w:p w14:paraId="0F8BF48C" w14:textId="77777777" w:rsidR="007B66BD" w:rsidRPr="00B03D4D" w:rsidRDefault="007B66BD" w:rsidP="007B66BD">
            <w:pPr>
              <w:rPr>
                <w:rFonts w:ascii="Arial" w:hAnsi="Arial" w:cs="Arial"/>
                <w:sz w:val="18"/>
                <w:szCs w:val="18"/>
              </w:rPr>
            </w:pPr>
            <w:r w:rsidRPr="00B03D4D">
              <w:rPr>
                <w:rFonts w:ascii="Arial" w:hAnsi="Arial" w:cs="Arial"/>
                <w:sz w:val="18"/>
                <w:szCs w:val="18"/>
              </w:rPr>
              <w:t>8.7</w:t>
            </w:r>
          </w:p>
        </w:tc>
        <w:tc>
          <w:tcPr>
            <w:tcW w:w="895" w:type="dxa"/>
            <w:noWrap/>
            <w:hideMark/>
          </w:tcPr>
          <w:p w14:paraId="073153EA" w14:textId="77777777" w:rsidR="007B66BD" w:rsidRPr="00B03D4D" w:rsidRDefault="007B66BD" w:rsidP="007B66BD">
            <w:pPr>
              <w:rPr>
                <w:rFonts w:ascii="Arial" w:hAnsi="Arial" w:cs="Arial"/>
                <w:sz w:val="18"/>
                <w:szCs w:val="18"/>
              </w:rPr>
            </w:pPr>
            <w:r w:rsidRPr="00B03D4D">
              <w:rPr>
                <w:rFonts w:ascii="Arial" w:hAnsi="Arial" w:cs="Arial"/>
                <w:sz w:val="18"/>
                <w:szCs w:val="18"/>
              </w:rPr>
              <w:t>8.7</w:t>
            </w:r>
          </w:p>
        </w:tc>
        <w:tc>
          <w:tcPr>
            <w:tcW w:w="896" w:type="dxa"/>
            <w:noWrap/>
            <w:hideMark/>
          </w:tcPr>
          <w:p w14:paraId="0A6CDC34"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D48601B"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2C9B9B8A"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68AACBA8" w14:textId="77777777" w:rsidR="007B66BD" w:rsidRPr="00B03D4D" w:rsidRDefault="007B66BD" w:rsidP="007B66BD">
            <w:pPr>
              <w:rPr>
                <w:rFonts w:ascii="Arial" w:hAnsi="Arial" w:cs="Arial"/>
                <w:sz w:val="18"/>
                <w:szCs w:val="18"/>
              </w:rPr>
            </w:pPr>
            <w:r w:rsidRPr="00B03D4D">
              <w:rPr>
                <w:rFonts w:ascii="Arial" w:hAnsi="Arial" w:cs="Arial"/>
                <w:sz w:val="18"/>
                <w:szCs w:val="18"/>
              </w:rPr>
              <w:t>5.1</w:t>
            </w:r>
          </w:p>
        </w:tc>
        <w:tc>
          <w:tcPr>
            <w:tcW w:w="895" w:type="dxa"/>
            <w:noWrap/>
            <w:hideMark/>
          </w:tcPr>
          <w:p w14:paraId="7B53D3A7"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59EBB5E3"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42ADA7FF"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1B12B602"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37DD326F"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3BE49FA5" w14:textId="77777777" w:rsidR="007B66BD" w:rsidRPr="00B03D4D" w:rsidRDefault="007B66BD" w:rsidP="007B66BD">
            <w:pPr>
              <w:rPr>
                <w:rFonts w:ascii="Arial" w:hAnsi="Arial" w:cs="Arial"/>
                <w:sz w:val="18"/>
                <w:szCs w:val="18"/>
              </w:rPr>
            </w:pPr>
            <w:r w:rsidRPr="00B03D4D">
              <w:rPr>
                <w:rFonts w:ascii="Arial" w:hAnsi="Arial" w:cs="Arial"/>
                <w:sz w:val="18"/>
                <w:szCs w:val="18"/>
              </w:rPr>
              <w:t>16.2</w:t>
            </w:r>
          </w:p>
        </w:tc>
        <w:tc>
          <w:tcPr>
            <w:tcW w:w="930" w:type="dxa"/>
            <w:noWrap/>
            <w:hideMark/>
          </w:tcPr>
          <w:p w14:paraId="4CCD562E" w14:textId="77777777" w:rsidR="007B66BD" w:rsidRPr="00B03D4D" w:rsidRDefault="007B66BD" w:rsidP="007B66BD">
            <w:pPr>
              <w:rPr>
                <w:rFonts w:ascii="Arial" w:hAnsi="Arial" w:cs="Arial"/>
                <w:sz w:val="18"/>
                <w:szCs w:val="18"/>
              </w:rPr>
            </w:pPr>
            <w:r w:rsidRPr="00B03D4D">
              <w:rPr>
                <w:rFonts w:ascii="Arial" w:hAnsi="Arial" w:cs="Arial"/>
                <w:sz w:val="18"/>
                <w:szCs w:val="18"/>
              </w:rPr>
              <w:t>13.6</w:t>
            </w:r>
          </w:p>
        </w:tc>
      </w:tr>
      <w:tr w:rsidR="007B66BD" w:rsidRPr="00B03D4D" w14:paraId="0494A899" w14:textId="77777777" w:rsidTr="003C6543">
        <w:trPr>
          <w:trHeight w:val="315"/>
        </w:trPr>
        <w:tc>
          <w:tcPr>
            <w:tcW w:w="1413" w:type="dxa"/>
            <w:hideMark/>
          </w:tcPr>
          <w:p w14:paraId="712408C7" w14:textId="77777777" w:rsidR="007B66BD" w:rsidRPr="00C76651" w:rsidRDefault="007B66BD" w:rsidP="007B66BD">
            <w:pPr>
              <w:rPr>
                <w:rFonts w:ascii="Arial" w:hAnsi="Arial" w:cs="Arial"/>
                <w:b/>
                <w:bCs/>
                <w:sz w:val="18"/>
                <w:szCs w:val="18"/>
              </w:rPr>
            </w:pPr>
            <w:r w:rsidRPr="00C76651">
              <w:rPr>
                <w:rFonts w:ascii="Arial" w:hAnsi="Arial" w:cs="Arial"/>
                <w:b/>
                <w:bCs/>
                <w:sz w:val="18"/>
                <w:szCs w:val="18"/>
              </w:rPr>
              <w:t>Solar thermal / CSP</w:t>
            </w:r>
          </w:p>
        </w:tc>
        <w:tc>
          <w:tcPr>
            <w:tcW w:w="895" w:type="dxa"/>
            <w:noWrap/>
            <w:hideMark/>
          </w:tcPr>
          <w:p w14:paraId="0E71ABF6" w14:textId="77777777" w:rsidR="007B66BD" w:rsidRPr="00B03D4D" w:rsidRDefault="007B66BD" w:rsidP="007B66BD">
            <w:pPr>
              <w:rPr>
                <w:rFonts w:ascii="Arial" w:hAnsi="Arial" w:cs="Arial"/>
                <w:sz w:val="18"/>
                <w:szCs w:val="18"/>
              </w:rPr>
            </w:pPr>
            <w:r w:rsidRPr="00B03D4D">
              <w:rPr>
                <w:rFonts w:ascii="Arial" w:hAnsi="Arial" w:cs="Arial"/>
                <w:sz w:val="18"/>
                <w:szCs w:val="18"/>
              </w:rPr>
              <w:t>6.3</w:t>
            </w:r>
          </w:p>
        </w:tc>
        <w:tc>
          <w:tcPr>
            <w:tcW w:w="895" w:type="dxa"/>
            <w:noWrap/>
            <w:hideMark/>
          </w:tcPr>
          <w:p w14:paraId="39DEC4F9"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32375EAC"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1137BAA3"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21FFC400"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6C0F0419"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171D1398"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51855FE5"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4BCBE72"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57E2BE41"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30A9AF36"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78B37E29"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18FBD90B" w14:textId="77777777" w:rsidR="007B66BD" w:rsidRPr="00B03D4D" w:rsidRDefault="007B66BD" w:rsidP="007B66BD">
            <w:pPr>
              <w:rPr>
                <w:rFonts w:ascii="Arial" w:hAnsi="Arial" w:cs="Arial"/>
                <w:sz w:val="18"/>
                <w:szCs w:val="18"/>
              </w:rPr>
            </w:pPr>
            <w:r w:rsidRPr="00B03D4D">
              <w:rPr>
                <w:rFonts w:ascii="Arial" w:hAnsi="Arial" w:cs="Arial"/>
                <w:sz w:val="18"/>
                <w:szCs w:val="18"/>
              </w:rPr>
              <w:t>15.7</w:t>
            </w:r>
          </w:p>
        </w:tc>
        <w:tc>
          <w:tcPr>
            <w:tcW w:w="930" w:type="dxa"/>
            <w:noWrap/>
            <w:hideMark/>
          </w:tcPr>
          <w:p w14:paraId="10C22F13" w14:textId="77777777" w:rsidR="007B66BD" w:rsidRPr="00B03D4D" w:rsidRDefault="007B66BD" w:rsidP="007B66BD">
            <w:pPr>
              <w:rPr>
                <w:rFonts w:ascii="Arial" w:hAnsi="Arial" w:cs="Arial"/>
                <w:sz w:val="18"/>
                <w:szCs w:val="18"/>
              </w:rPr>
            </w:pPr>
            <w:r w:rsidRPr="00B03D4D">
              <w:rPr>
                <w:rFonts w:ascii="Arial" w:hAnsi="Arial" w:cs="Arial"/>
                <w:sz w:val="18"/>
                <w:szCs w:val="18"/>
              </w:rPr>
              <w:t>16.0</w:t>
            </w:r>
          </w:p>
        </w:tc>
      </w:tr>
      <w:tr w:rsidR="007B66BD" w:rsidRPr="00B03D4D" w14:paraId="0660D5F9" w14:textId="77777777" w:rsidTr="003C6543">
        <w:trPr>
          <w:trHeight w:val="290"/>
        </w:trPr>
        <w:tc>
          <w:tcPr>
            <w:tcW w:w="1413" w:type="dxa"/>
            <w:noWrap/>
            <w:hideMark/>
          </w:tcPr>
          <w:p w14:paraId="5614AE01" w14:textId="77777777" w:rsidR="007B66BD" w:rsidRPr="00C76651" w:rsidRDefault="007B66BD" w:rsidP="007B66BD">
            <w:pPr>
              <w:rPr>
                <w:rFonts w:ascii="Arial" w:hAnsi="Arial" w:cs="Arial"/>
                <w:b/>
                <w:bCs/>
                <w:sz w:val="18"/>
                <w:szCs w:val="18"/>
              </w:rPr>
            </w:pPr>
            <w:r w:rsidRPr="00C76651">
              <w:rPr>
                <w:rFonts w:ascii="Arial" w:hAnsi="Arial" w:cs="Arial"/>
                <w:b/>
                <w:bCs/>
                <w:sz w:val="18"/>
                <w:szCs w:val="18"/>
              </w:rPr>
              <w:t>Solar energy (All)</w:t>
            </w:r>
          </w:p>
        </w:tc>
        <w:tc>
          <w:tcPr>
            <w:tcW w:w="895" w:type="dxa"/>
            <w:noWrap/>
            <w:hideMark/>
          </w:tcPr>
          <w:p w14:paraId="72642D95" w14:textId="77777777" w:rsidR="007B66BD" w:rsidRPr="00B03D4D" w:rsidRDefault="007B66BD" w:rsidP="007B66BD">
            <w:pPr>
              <w:rPr>
                <w:rFonts w:ascii="Arial" w:hAnsi="Arial" w:cs="Arial"/>
                <w:sz w:val="18"/>
                <w:szCs w:val="18"/>
              </w:rPr>
            </w:pPr>
            <w:r w:rsidRPr="00B03D4D">
              <w:rPr>
                <w:rFonts w:ascii="Arial" w:hAnsi="Arial" w:cs="Arial"/>
                <w:sz w:val="18"/>
                <w:szCs w:val="18"/>
              </w:rPr>
              <w:t>7.1</w:t>
            </w:r>
          </w:p>
        </w:tc>
        <w:tc>
          <w:tcPr>
            <w:tcW w:w="895" w:type="dxa"/>
            <w:noWrap/>
            <w:hideMark/>
          </w:tcPr>
          <w:p w14:paraId="0835A970"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DB1EE5B" w14:textId="77777777" w:rsidR="007B66BD" w:rsidRPr="00B03D4D" w:rsidRDefault="007B66BD" w:rsidP="007B66BD">
            <w:pPr>
              <w:rPr>
                <w:rFonts w:ascii="Arial" w:hAnsi="Arial" w:cs="Arial"/>
                <w:sz w:val="18"/>
                <w:szCs w:val="18"/>
              </w:rPr>
            </w:pPr>
            <w:r w:rsidRPr="00B03D4D">
              <w:rPr>
                <w:rFonts w:ascii="Arial" w:hAnsi="Arial" w:cs="Arial"/>
                <w:sz w:val="18"/>
                <w:szCs w:val="18"/>
              </w:rPr>
              <w:t>8.3</w:t>
            </w:r>
          </w:p>
        </w:tc>
        <w:tc>
          <w:tcPr>
            <w:tcW w:w="896" w:type="dxa"/>
            <w:noWrap/>
            <w:hideMark/>
          </w:tcPr>
          <w:p w14:paraId="7E11C32A" w14:textId="77777777" w:rsidR="007B66BD" w:rsidRPr="00B03D4D" w:rsidRDefault="007B66BD" w:rsidP="007B66BD">
            <w:pPr>
              <w:rPr>
                <w:rFonts w:ascii="Arial" w:hAnsi="Arial" w:cs="Arial"/>
                <w:sz w:val="18"/>
                <w:szCs w:val="18"/>
              </w:rPr>
            </w:pPr>
            <w:r w:rsidRPr="00B03D4D">
              <w:rPr>
                <w:rFonts w:ascii="Arial" w:hAnsi="Arial" w:cs="Arial"/>
                <w:sz w:val="18"/>
                <w:szCs w:val="18"/>
              </w:rPr>
              <w:t>7.1</w:t>
            </w:r>
          </w:p>
        </w:tc>
        <w:tc>
          <w:tcPr>
            <w:tcW w:w="895" w:type="dxa"/>
            <w:noWrap/>
            <w:hideMark/>
          </w:tcPr>
          <w:p w14:paraId="0A79259C"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64A4952E"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18FBF8CE"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1584AA51" w14:textId="77777777" w:rsidR="007B66BD" w:rsidRPr="00B03D4D" w:rsidRDefault="007B66BD" w:rsidP="007B66BD">
            <w:pPr>
              <w:rPr>
                <w:rFonts w:ascii="Arial" w:hAnsi="Arial" w:cs="Arial"/>
                <w:sz w:val="18"/>
                <w:szCs w:val="18"/>
              </w:rPr>
            </w:pPr>
            <w:r w:rsidRPr="00B03D4D">
              <w:rPr>
                <w:rFonts w:ascii="Arial" w:hAnsi="Arial" w:cs="Arial"/>
                <w:sz w:val="18"/>
                <w:szCs w:val="18"/>
              </w:rPr>
              <w:t>33.2</w:t>
            </w:r>
          </w:p>
        </w:tc>
        <w:tc>
          <w:tcPr>
            <w:tcW w:w="895" w:type="dxa"/>
            <w:noWrap/>
            <w:hideMark/>
          </w:tcPr>
          <w:p w14:paraId="1D8690BD"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4E6B55B0"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6C30F2B"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4298A04"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48A06111" w14:textId="77777777" w:rsidR="007B66BD" w:rsidRPr="00B03D4D" w:rsidRDefault="007B66BD" w:rsidP="007B66BD">
            <w:pPr>
              <w:rPr>
                <w:rFonts w:ascii="Arial" w:hAnsi="Arial" w:cs="Arial"/>
                <w:sz w:val="18"/>
                <w:szCs w:val="18"/>
              </w:rPr>
            </w:pPr>
            <w:r w:rsidRPr="00B03D4D">
              <w:rPr>
                <w:rFonts w:ascii="Arial" w:hAnsi="Arial" w:cs="Arial"/>
                <w:sz w:val="18"/>
                <w:szCs w:val="18"/>
              </w:rPr>
              <w:t>16.0</w:t>
            </w:r>
          </w:p>
        </w:tc>
        <w:tc>
          <w:tcPr>
            <w:tcW w:w="930" w:type="dxa"/>
            <w:noWrap/>
            <w:hideMark/>
          </w:tcPr>
          <w:p w14:paraId="4BB8AA0F" w14:textId="77777777" w:rsidR="007B66BD" w:rsidRPr="00B03D4D" w:rsidRDefault="007B66BD" w:rsidP="007B66BD">
            <w:pPr>
              <w:rPr>
                <w:rFonts w:ascii="Arial" w:hAnsi="Arial" w:cs="Arial"/>
                <w:sz w:val="18"/>
                <w:szCs w:val="18"/>
              </w:rPr>
            </w:pPr>
            <w:r w:rsidRPr="00B03D4D">
              <w:rPr>
                <w:rFonts w:ascii="Arial" w:hAnsi="Arial" w:cs="Arial"/>
                <w:sz w:val="18"/>
                <w:szCs w:val="18"/>
              </w:rPr>
              <w:t>14.8</w:t>
            </w:r>
          </w:p>
        </w:tc>
      </w:tr>
      <w:tr w:rsidR="007B66BD" w:rsidRPr="00B03D4D" w14:paraId="2F507D52" w14:textId="77777777" w:rsidTr="003C6543">
        <w:trPr>
          <w:trHeight w:val="290"/>
        </w:trPr>
        <w:tc>
          <w:tcPr>
            <w:tcW w:w="1413" w:type="dxa"/>
            <w:hideMark/>
          </w:tcPr>
          <w:p w14:paraId="4BFD60BD" w14:textId="77777777" w:rsidR="007B66BD" w:rsidRPr="00C76651" w:rsidRDefault="007B66BD" w:rsidP="007B66BD">
            <w:pPr>
              <w:rPr>
                <w:rFonts w:ascii="Arial" w:hAnsi="Arial" w:cs="Arial"/>
                <w:b/>
                <w:bCs/>
                <w:sz w:val="18"/>
                <w:szCs w:val="18"/>
              </w:rPr>
            </w:pPr>
            <w:r w:rsidRPr="00C76651">
              <w:rPr>
                <w:rFonts w:ascii="Arial" w:hAnsi="Arial" w:cs="Arial"/>
                <w:b/>
                <w:bCs/>
                <w:sz w:val="18"/>
                <w:szCs w:val="18"/>
              </w:rPr>
              <w:t>Wind onshore</w:t>
            </w:r>
          </w:p>
        </w:tc>
        <w:tc>
          <w:tcPr>
            <w:tcW w:w="895" w:type="dxa"/>
            <w:noWrap/>
            <w:hideMark/>
          </w:tcPr>
          <w:p w14:paraId="5274FDBD"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6D3715A6"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754660E9" w14:textId="77777777" w:rsidR="007B66BD" w:rsidRPr="00B03D4D" w:rsidRDefault="007B66BD" w:rsidP="007B66BD">
            <w:pPr>
              <w:rPr>
                <w:rFonts w:ascii="Arial" w:hAnsi="Arial" w:cs="Arial"/>
                <w:sz w:val="18"/>
                <w:szCs w:val="18"/>
              </w:rPr>
            </w:pPr>
            <w:r w:rsidRPr="00B03D4D">
              <w:rPr>
                <w:rFonts w:ascii="Arial" w:hAnsi="Arial" w:cs="Arial"/>
                <w:sz w:val="18"/>
                <w:szCs w:val="18"/>
              </w:rPr>
              <w:t>8.7</w:t>
            </w:r>
          </w:p>
        </w:tc>
        <w:tc>
          <w:tcPr>
            <w:tcW w:w="896" w:type="dxa"/>
            <w:noWrap/>
            <w:hideMark/>
          </w:tcPr>
          <w:p w14:paraId="2800C228"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40254795"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7137EACE"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0937CC36"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3CA1F255" w14:textId="77777777" w:rsidR="007B66BD" w:rsidRPr="00B03D4D" w:rsidRDefault="007B66BD" w:rsidP="007B66BD">
            <w:pPr>
              <w:rPr>
                <w:rFonts w:ascii="Arial" w:hAnsi="Arial" w:cs="Arial"/>
                <w:sz w:val="18"/>
                <w:szCs w:val="18"/>
              </w:rPr>
            </w:pPr>
            <w:r w:rsidRPr="00B03D4D">
              <w:rPr>
                <w:rFonts w:ascii="Arial" w:hAnsi="Arial" w:cs="Arial"/>
                <w:sz w:val="18"/>
                <w:szCs w:val="18"/>
              </w:rPr>
              <w:t>31.8</w:t>
            </w:r>
          </w:p>
        </w:tc>
        <w:tc>
          <w:tcPr>
            <w:tcW w:w="895" w:type="dxa"/>
            <w:noWrap/>
            <w:hideMark/>
          </w:tcPr>
          <w:p w14:paraId="2BDA81FE"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78B9C250"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9607D7D"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55BAD2CA" w14:textId="77777777" w:rsidR="007B66BD" w:rsidRPr="00B03D4D" w:rsidRDefault="007B66BD" w:rsidP="007B66BD">
            <w:pPr>
              <w:rPr>
                <w:rFonts w:ascii="Arial" w:hAnsi="Arial" w:cs="Arial"/>
                <w:sz w:val="18"/>
                <w:szCs w:val="18"/>
              </w:rPr>
            </w:pPr>
            <w:r w:rsidRPr="00B03D4D">
              <w:rPr>
                <w:rFonts w:ascii="Arial" w:hAnsi="Arial" w:cs="Arial"/>
                <w:sz w:val="18"/>
                <w:szCs w:val="18"/>
              </w:rPr>
              <w:t>18.2</w:t>
            </w:r>
          </w:p>
        </w:tc>
        <w:tc>
          <w:tcPr>
            <w:tcW w:w="896" w:type="dxa"/>
            <w:noWrap/>
            <w:hideMark/>
          </w:tcPr>
          <w:p w14:paraId="7B3579ED" w14:textId="77777777" w:rsidR="007B66BD" w:rsidRPr="00B03D4D" w:rsidRDefault="007B66BD" w:rsidP="007B66BD">
            <w:pPr>
              <w:rPr>
                <w:rFonts w:ascii="Arial" w:hAnsi="Arial" w:cs="Arial"/>
                <w:sz w:val="18"/>
                <w:szCs w:val="18"/>
              </w:rPr>
            </w:pPr>
            <w:r w:rsidRPr="00B03D4D">
              <w:rPr>
                <w:rFonts w:ascii="Arial" w:hAnsi="Arial" w:cs="Arial"/>
                <w:sz w:val="18"/>
                <w:szCs w:val="18"/>
              </w:rPr>
              <w:t>15.4</w:t>
            </w:r>
          </w:p>
        </w:tc>
        <w:tc>
          <w:tcPr>
            <w:tcW w:w="930" w:type="dxa"/>
            <w:noWrap/>
            <w:hideMark/>
          </w:tcPr>
          <w:p w14:paraId="4D93848A"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r>
      <w:tr w:rsidR="007B66BD" w:rsidRPr="00B03D4D" w14:paraId="3CE4464B" w14:textId="77777777" w:rsidTr="003C6543">
        <w:trPr>
          <w:trHeight w:val="290"/>
        </w:trPr>
        <w:tc>
          <w:tcPr>
            <w:tcW w:w="1413" w:type="dxa"/>
            <w:hideMark/>
          </w:tcPr>
          <w:p w14:paraId="3DE48ECD" w14:textId="0A33CCD4" w:rsidR="007B66BD" w:rsidRPr="00C76651" w:rsidRDefault="007B66BD" w:rsidP="007B66BD">
            <w:pPr>
              <w:rPr>
                <w:rFonts w:ascii="Arial" w:hAnsi="Arial" w:cs="Arial"/>
                <w:b/>
                <w:bCs/>
                <w:sz w:val="18"/>
                <w:szCs w:val="18"/>
              </w:rPr>
            </w:pPr>
            <w:r w:rsidRPr="00C76651">
              <w:rPr>
                <w:rFonts w:ascii="Arial" w:hAnsi="Arial" w:cs="Arial"/>
                <w:b/>
                <w:bCs/>
                <w:sz w:val="18"/>
                <w:szCs w:val="18"/>
              </w:rPr>
              <w:t xml:space="preserve">Wind </w:t>
            </w:r>
            <w:r>
              <w:rPr>
                <w:rFonts w:ascii="Arial" w:hAnsi="Arial" w:cs="Arial"/>
                <w:b/>
                <w:bCs/>
                <w:sz w:val="18"/>
                <w:szCs w:val="18"/>
              </w:rPr>
              <w:t>offshore</w:t>
            </w:r>
          </w:p>
        </w:tc>
        <w:tc>
          <w:tcPr>
            <w:tcW w:w="895" w:type="dxa"/>
            <w:noWrap/>
            <w:hideMark/>
          </w:tcPr>
          <w:p w14:paraId="04472A6A"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3932D31D"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6DD9D89F"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59584AD7"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2B3BF658"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36665873"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0F5BFC63"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56EE15D0" w14:textId="77777777" w:rsidR="007B66BD" w:rsidRPr="00B03D4D" w:rsidRDefault="007B66BD" w:rsidP="007B66BD">
            <w:pPr>
              <w:rPr>
                <w:rFonts w:ascii="Arial" w:hAnsi="Arial" w:cs="Arial"/>
                <w:sz w:val="18"/>
                <w:szCs w:val="18"/>
              </w:rPr>
            </w:pPr>
            <w:r w:rsidRPr="00B03D4D">
              <w:rPr>
                <w:rFonts w:ascii="Arial" w:hAnsi="Arial" w:cs="Arial"/>
                <w:sz w:val="18"/>
                <w:szCs w:val="18"/>
              </w:rPr>
              <w:t>34.1</w:t>
            </w:r>
          </w:p>
        </w:tc>
        <w:tc>
          <w:tcPr>
            <w:tcW w:w="895" w:type="dxa"/>
            <w:noWrap/>
            <w:hideMark/>
          </w:tcPr>
          <w:p w14:paraId="06C7C114"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3846E10D"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12347FD3"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03187BCD" w14:textId="77777777" w:rsidR="007B66BD" w:rsidRPr="00B03D4D" w:rsidRDefault="007B66BD" w:rsidP="007B66BD">
            <w:pPr>
              <w:rPr>
                <w:rFonts w:ascii="Arial" w:hAnsi="Arial" w:cs="Arial"/>
                <w:sz w:val="18"/>
                <w:szCs w:val="18"/>
              </w:rPr>
            </w:pPr>
            <w:r w:rsidRPr="00B03D4D">
              <w:rPr>
                <w:rFonts w:ascii="Arial" w:hAnsi="Arial" w:cs="Arial"/>
                <w:sz w:val="18"/>
                <w:szCs w:val="18"/>
              </w:rPr>
              <w:t>19.6</w:t>
            </w:r>
          </w:p>
        </w:tc>
        <w:tc>
          <w:tcPr>
            <w:tcW w:w="896" w:type="dxa"/>
            <w:noWrap/>
            <w:hideMark/>
          </w:tcPr>
          <w:p w14:paraId="5D521926"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930" w:type="dxa"/>
            <w:noWrap/>
            <w:hideMark/>
          </w:tcPr>
          <w:p w14:paraId="319BB10E"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r>
      <w:tr w:rsidR="007B66BD" w:rsidRPr="00B03D4D" w14:paraId="702E0DB8" w14:textId="77777777" w:rsidTr="003C6543">
        <w:trPr>
          <w:trHeight w:val="290"/>
        </w:trPr>
        <w:tc>
          <w:tcPr>
            <w:tcW w:w="1413" w:type="dxa"/>
            <w:hideMark/>
          </w:tcPr>
          <w:p w14:paraId="1C698DC7" w14:textId="77777777" w:rsidR="007B66BD" w:rsidRPr="00C76651" w:rsidRDefault="007B66BD" w:rsidP="007B66BD">
            <w:pPr>
              <w:rPr>
                <w:rFonts w:ascii="Arial" w:hAnsi="Arial" w:cs="Arial"/>
                <w:b/>
                <w:bCs/>
                <w:sz w:val="18"/>
                <w:szCs w:val="18"/>
              </w:rPr>
            </w:pPr>
            <w:r w:rsidRPr="00C76651">
              <w:rPr>
                <w:rFonts w:ascii="Arial" w:hAnsi="Arial" w:cs="Arial"/>
                <w:b/>
                <w:bCs/>
                <w:sz w:val="18"/>
                <w:szCs w:val="18"/>
              </w:rPr>
              <w:t>Wind (All)</w:t>
            </w:r>
          </w:p>
        </w:tc>
        <w:tc>
          <w:tcPr>
            <w:tcW w:w="895" w:type="dxa"/>
            <w:noWrap/>
            <w:hideMark/>
          </w:tcPr>
          <w:p w14:paraId="1870DFAA" w14:textId="77777777" w:rsidR="007B66BD" w:rsidRPr="00B03D4D" w:rsidRDefault="007B66BD" w:rsidP="007B66BD">
            <w:pPr>
              <w:rPr>
                <w:rFonts w:ascii="Arial" w:hAnsi="Arial" w:cs="Arial"/>
                <w:sz w:val="18"/>
                <w:szCs w:val="18"/>
              </w:rPr>
            </w:pPr>
            <w:r w:rsidRPr="00B03D4D">
              <w:rPr>
                <w:rFonts w:ascii="Arial" w:hAnsi="Arial" w:cs="Arial"/>
                <w:sz w:val="18"/>
                <w:szCs w:val="18"/>
              </w:rPr>
              <w:t>6.3</w:t>
            </w:r>
          </w:p>
        </w:tc>
        <w:tc>
          <w:tcPr>
            <w:tcW w:w="895" w:type="dxa"/>
            <w:noWrap/>
            <w:hideMark/>
          </w:tcPr>
          <w:p w14:paraId="3D414477" w14:textId="77777777" w:rsidR="007B66BD" w:rsidRPr="00B03D4D" w:rsidRDefault="007B66BD" w:rsidP="007B66BD">
            <w:pPr>
              <w:rPr>
                <w:rFonts w:ascii="Arial" w:hAnsi="Arial" w:cs="Arial"/>
                <w:sz w:val="18"/>
                <w:szCs w:val="18"/>
              </w:rPr>
            </w:pPr>
            <w:r w:rsidRPr="00B03D4D">
              <w:rPr>
                <w:rFonts w:ascii="Arial" w:hAnsi="Arial" w:cs="Arial"/>
                <w:sz w:val="18"/>
                <w:szCs w:val="18"/>
              </w:rPr>
              <w:t>20.5</w:t>
            </w:r>
          </w:p>
        </w:tc>
        <w:tc>
          <w:tcPr>
            <w:tcW w:w="895" w:type="dxa"/>
            <w:noWrap/>
            <w:hideMark/>
          </w:tcPr>
          <w:p w14:paraId="0BEC5C8E" w14:textId="77777777" w:rsidR="007B66BD" w:rsidRPr="00B03D4D" w:rsidRDefault="007B66BD" w:rsidP="007B66BD">
            <w:pPr>
              <w:rPr>
                <w:rFonts w:ascii="Arial" w:hAnsi="Arial" w:cs="Arial"/>
                <w:sz w:val="18"/>
                <w:szCs w:val="18"/>
              </w:rPr>
            </w:pPr>
            <w:r w:rsidRPr="00B03D4D">
              <w:rPr>
                <w:rFonts w:ascii="Arial" w:hAnsi="Arial" w:cs="Arial"/>
                <w:sz w:val="18"/>
                <w:szCs w:val="18"/>
              </w:rPr>
              <w:t>8.6</w:t>
            </w:r>
          </w:p>
        </w:tc>
        <w:tc>
          <w:tcPr>
            <w:tcW w:w="896" w:type="dxa"/>
            <w:noWrap/>
            <w:hideMark/>
          </w:tcPr>
          <w:p w14:paraId="05A76677" w14:textId="77777777" w:rsidR="007B66BD" w:rsidRPr="00B03D4D" w:rsidRDefault="007B66BD" w:rsidP="007B66BD">
            <w:pPr>
              <w:rPr>
                <w:rFonts w:ascii="Arial" w:hAnsi="Arial" w:cs="Arial"/>
                <w:sz w:val="18"/>
                <w:szCs w:val="18"/>
              </w:rPr>
            </w:pPr>
            <w:r w:rsidRPr="00B03D4D">
              <w:rPr>
                <w:rFonts w:ascii="Arial" w:hAnsi="Arial" w:cs="Arial"/>
                <w:sz w:val="18"/>
                <w:szCs w:val="18"/>
              </w:rPr>
              <w:t>4.0</w:t>
            </w:r>
          </w:p>
        </w:tc>
        <w:tc>
          <w:tcPr>
            <w:tcW w:w="895" w:type="dxa"/>
            <w:noWrap/>
            <w:hideMark/>
          </w:tcPr>
          <w:p w14:paraId="0212A386"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2017F950"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52C43D4B" w14:textId="77777777" w:rsidR="007B66BD" w:rsidRPr="00B03D4D" w:rsidRDefault="007B66BD" w:rsidP="007B66BD">
            <w:pPr>
              <w:rPr>
                <w:rFonts w:ascii="Arial" w:hAnsi="Arial" w:cs="Arial"/>
                <w:sz w:val="18"/>
                <w:szCs w:val="18"/>
              </w:rPr>
            </w:pPr>
            <w:r w:rsidRPr="00B03D4D">
              <w:rPr>
                <w:rFonts w:ascii="Arial" w:hAnsi="Arial" w:cs="Arial"/>
                <w:sz w:val="18"/>
                <w:szCs w:val="18"/>
              </w:rPr>
              <w:t>3.5</w:t>
            </w:r>
          </w:p>
        </w:tc>
        <w:tc>
          <w:tcPr>
            <w:tcW w:w="895" w:type="dxa"/>
            <w:noWrap/>
            <w:hideMark/>
          </w:tcPr>
          <w:p w14:paraId="4D703ED0" w14:textId="77777777" w:rsidR="007B66BD" w:rsidRPr="00B03D4D" w:rsidRDefault="007B66BD" w:rsidP="007B66BD">
            <w:pPr>
              <w:rPr>
                <w:rFonts w:ascii="Arial" w:hAnsi="Arial" w:cs="Arial"/>
                <w:sz w:val="18"/>
                <w:szCs w:val="18"/>
              </w:rPr>
            </w:pPr>
            <w:r w:rsidRPr="00B03D4D">
              <w:rPr>
                <w:rFonts w:ascii="Arial" w:hAnsi="Arial" w:cs="Arial"/>
                <w:sz w:val="18"/>
                <w:szCs w:val="18"/>
              </w:rPr>
              <w:t>32.9</w:t>
            </w:r>
          </w:p>
        </w:tc>
        <w:tc>
          <w:tcPr>
            <w:tcW w:w="895" w:type="dxa"/>
            <w:noWrap/>
            <w:hideMark/>
          </w:tcPr>
          <w:p w14:paraId="66267FDC"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6E041401"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2D805896"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2FD32D76" w14:textId="77777777" w:rsidR="007B66BD" w:rsidRPr="00B03D4D" w:rsidRDefault="007B66BD" w:rsidP="007B66BD">
            <w:pPr>
              <w:rPr>
                <w:rFonts w:ascii="Arial" w:hAnsi="Arial" w:cs="Arial"/>
                <w:sz w:val="18"/>
                <w:szCs w:val="18"/>
              </w:rPr>
            </w:pPr>
            <w:r w:rsidRPr="00B03D4D">
              <w:rPr>
                <w:rFonts w:ascii="Arial" w:hAnsi="Arial" w:cs="Arial"/>
                <w:sz w:val="18"/>
                <w:szCs w:val="18"/>
              </w:rPr>
              <w:t>18.9</w:t>
            </w:r>
          </w:p>
        </w:tc>
        <w:tc>
          <w:tcPr>
            <w:tcW w:w="896" w:type="dxa"/>
            <w:noWrap/>
            <w:hideMark/>
          </w:tcPr>
          <w:p w14:paraId="5383DFD5"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930" w:type="dxa"/>
            <w:noWrap/>
            <w:hideMark/>
          </w:tcPr>
          <w:p w14:paraId="052ED1AA" w14:textId="77777777" w:rsidR="007B66BD" w:rsidRPr="00B03D4D" w:rsidRDefault="007B66BD" w:rsidP="007B66BD">
            <w:pPr>
              <w:rPr>
                <w:rFonts w:ascii="Arial" w:hAnsi="Arial" w:cs="Arial"/>
                <w:sz w:val="18"/>
                <w:szCs w:val="18"/>
              </w:rPr>
            </w:pPr>
            <w:r w:rsidRPr="00B03D4D">
              <w:rPr>
                <w:rFonts w:ascii="Arial" w:hAnsi="Arial" w:cs="Arial"/>
                <w:sz w:val="18"/>
                <w:szCs w:val="18"/>
              </w:rPr>
              <w:t>16.8</w:t>
            </w:r>
          </w:p>
        </w:tc>
      </w:tr>
      <w:tr w:rsidR="007B66BD" w:rsidRPr="00B03D4D" w14:paraId="3BBF33BA" w14:textId="77777777" w:rsidTr="003C6543">
        <w:trPr>
          <w:trHeight w:val="580"/>
        </w:trPr>
        <w:tc>
          <w:tcPr>
            <w:tcW w:w="1413" w:type="dxa"/>
            <w:hideMark/>
          </w:tcPr>
          <w:p w14:paraId="31D13711" w14:textId="77777777" w:rsidR="007B66BD" w:rsidRPr="00C76651" w:rsidRDefault="007B66BD" w:rsidP="007B66BD">
            <w:pPr>
              <w:rPr>
                <w:rFonts w:ascii="Arial" w:hAnsi="Arial" w:cs="Arial"/>
                <w:b/>
                <w:bCs/>
                <w:sz w:val="18"/>
                <w:szCs w:val="18"/>
              </w:rPr>
            </w:pPr>
            <w:r w:rsidRPr="00C76651">
              <w:rPr>
                <w:rFonts w:ascii="Arial" w:hAnsi="Arial" w:cs="Arial"/>
                <w:b/>
                <w:bCs/>
                <w:sz w:val="18"/>
                <w:szCs w:val="18"/>
              </w:rPr>
              <w:t>Energy efficiency (Buildings)</w:t>
            </w:r>
          </w:p>
        </w:tc>
        <w:tc>
          <w:tcPr>
            <w:tcW w:w="895" w:type="dxa"/>
            <w:noWrap/>
            <w:hideMark/>
          </w:tcPr>
          <w:p w14:paraId="423A5E51" w14:textId="77777777" w:rsidR="007B66BD" w:rsidRPr="00B03D4D" w:rsidRDefault="007B66BD" w:rsidP="007B66BD">
            <w:pPr>
              <w:rPr>
                <w:rFonts w:ascii="Arial" w:hAnsi="Arial" w:cs="Arial"/>
                <w:sz w:val="18"/>
                <w:szCs w:val="18"/>
              </w:rPr>
            </w:pPr>
            <w:r w:rsidRPr="00B03D4D">
              <w:rPr>
                <w:rFonts w:ascii="Arial" w:hAnsi="Arial" w:cs="Arial"/>
                <w:sz w:val="18"/>
                <w:szCs w:val="18"/>
              </w:rPr>
              <w:t>7.9</w:t>
            </w:r>
          </w:p>
        </w:tc>
        <w:tc>
          <w:tcPr>
            <w:tcW w:w="895" w:type="dxa"/>
            <w:noWrap/>
            <w:hideMark/>
          </w:tcPr>
          <w:p w14:paraId="54412CC8"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635FC8F3" w14:textId="77777777" w:rsidR="007B66BD" w:rsidRPr="00B03D4D" w:rsidRDefault="007B66BD" w:rsidP="007B66BD">
            <w:pPr>
              <w:rPr>
                <w:rFonts w:ascii="Arial" w:hAnsi="Arial" w:cs="Arial"/>
                <w:sz w:val="18"/>
                <w:szCs w:val="18"/>
              </w:rPr>
            </w:pPr>
            <w:r w:rsidRPr="00B03D4D">
              <w:rPr>
                <w:rFonts w:ascii="Arial" w:hAnsi="Arial" w:cs="Arial"/>
                <w:sz w:val="18"/>
                <w:szCs w:val="18"/>
              </w:rPr>
              <w:t>8.9</w:t>
            </w:r>
          </w:p>
        </w:tc>
        <w:tc>
          <w:tcPr>
            <w:tcW w:w="896" w:type="dxa"/>
            <w:noWrap/>
            <w:hideMark/>
          </w:tcPr>
          <w:p w14:paraId="6CACF960" w14:textId="77777777" w:rsidR="007B66BD" w:rsidRPr="00B03D4D" w:rsidRDefault="007B66BD" w:rsidP="007B66BD">
            <w:pPr>
              <w:rPr>
                <w:rFonts w:ascii="Arial" w:hAnsi="Arial" w:cs="Arial"/>
                <w:sz w:val="18"/>
                <w:szCs w:val="18"/>
              </w:rPr>
            </w:pPr>
            <w:r w:rsidRPr="00B03D4D">
              <w:rPr>
                <w:rFonts w:ascii="Arial" w:hAnsi="Arial" w:cs="Arial"/>
                <w:sz w:val="18"/>
                <w:szCs w:val="18"/>
              </w:rPr>
              <w:t>14.1</w:t>
            </w:r>
          </w:p>
        </w:tc>
        <w:tc>
          <w:tcPr>
            <w:tcW w:w="895" w:type="dxa"/>
            <w:noWrap/>
            <w:hideMark/>
          </w:tcPr>
          <w:p w14:paraId="42E7D5AE" w14:textId="77777777" w:rsidR="007B66BD" w:rsidRPr="00B03D4D" w:rsidRDefault="007B66BD" w:rsidP="007B66BD">
            <w:pPr>
              <w:rPr>
                <w:rFonts w:ascii="Arial" w:hAnsi="Arial" w:cs="Arial"/>
                <w:sz w:val="18"/>
                <w:szCs w:val="18"/>
              </w:rPr>
            </w:pPr>
            <w:r w:rsidRPr="00B03D4D">
              <w:rPr>
                <w:rFonts w:ascii="Arial" w:hAnsi="Arial" w:cs="Arial"/>
                <w:sz w:val="18"/>
                <w:szCs w:val="18"/>
              </w:rPr>
              <w:t>23.7</w:t>
            </w:r>
          </w:p>
        </w:tc>
        <w:tc>
          <w:tcPr>
            <w:tcW w:w="895" w:type="dxa"/>
            <w:noWrap/>
            <w:hideMark/>
          </w:tcPr>
          <w:p w14:paraId="52FD4D26" w14:textId="77777777" w:rsidR="007B66BD" w:rsidRPr="00B03D4D" w:rsidRDefault="007B66BD" w:rsidP="007B66BD">
            <w:pPr>
              <w:rPr>
                <w:rFonts w:ascii="Arial" w:hAnsi="Arial" w:cs="Arial"/>
                <w:sz w:val="18"/>
                <w:szCs w:val="18"/>
              </w:rPr>
            </w:pPr>
            <w:r w:rsidRPr="00B03D4D">
              <w:rPr>
                <w:rFonts w:ascii="Arial" w:hAnsi="Arial" w:cs="Arial"/>
                <w:sz w:val="18"/>
                <w:szCs w:val="18"/>
              </w:rPr>
              <w:t>15.5</w:t>
            </w:r>
          </w:p>
        </w:tc>
        <w:tc>
          <w:tcPr>
            <w:tcW w:w="896" w:type="dxa"/>
            <w:noWrap/>
            <w:hideMark/>
          </w:tcPr>
          <w:p w14:paraId="5A859BF2"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5" w:type="dxa"/>
            <w:noWrap/>
            <w:hideMark/>
          </w:tcPr>
          <w:p w14:paraId="52BC7764" w14:textId="77777777" w:rsidR="007B66BD" w:rsidRPr="00B03D4D" w:rsidRDefault="007B66BD" w:rsidP="007B66BD">
            <w:pPr>
              <w:rPr>
                <w:rFonts w:ascii="Arial" w:hAnsi="Arial" w:cs="Arial"/>
                <w:sz w:val="18"/>
                <w:szCs w:val="18"/>
              </w:rPr>
            </w:pPr>
            <w:r w:rsidRPr="00B03D4D">
              <w:rPr>
                <w:rFonts w:ascii="Arial" w:hAnsi="Arial" w:cs="Arial"/>
                <w:sz w:val="18"/>
                <w:szCs w:val="18"/>
              </w:rPr>
              <w:t>41.5</w:t>
            </w:r>
          </w:p>
        </w:tc>
        <w:tc>
          <w:tcPr>
            <w:tcW w:w="895" w:type="dxa"/>
            <w:noWrap/>
            <w:hideMark/>
          </w:tcPr>
          <w:p w14:paraId="233D276C" w14:textId="77777777" w:rsidR="007B66BD" w:rsidRPr="00B03D4D" w:rsidRDefault="007B66BD" w:rsidP="007B66BD">
            <w:pPr>
              <w:rPr>
                <w:rFonts w:ascii="Arial" w:hAnsi="Arial" w:cs="Arial"/>
                <w:sz w:val="18"/>
                <w:szCs w:val="18"/>
              </w:rPr>
            </w:pPr>
            <w:r w:rsidRPr="00B03D4D">
              <w:rPr>
                <w:rFonts w:ascii="Arial" w:hAnsi="Arial" w:cs="Arial"/>
                <w:sz w:val="18"/>
                <w:szCs w:val="18"/>
              </w:rPr>
              <w:t>43.1</w:t>
            </w:r>
          </w:p>
        </w:tc>
        <w:tc>
          <w:tcPr>
            <w:tcW w:w="896" w:type="dxa"/>
            <w:noWrap/>
            <w:hideMark/>
          </w:tcPr>
          <w:p w14:paraId="7C1E29E1" w14:textId="77777777" w:rsidR="007B66BD" w:rsidRPr="00B03D4D" w:rsidRDefault="007B66BD" w:rsidP="007B66BD">
            <w:pPr>
              <w:rPr>
                <w:rFonts w:ascii="Arial" w:hAnsi="Arial" w:cs="Arial"/>
                <w:sz w:val="18"/>
                <w:szCs w:val="18"/>
              </w:rPr>
            </w:pPr>
            <w:r w:rsidRPr="00B03D4D">
              <w:rPr>
                <w:rFonts w:ascii="Arial" w:hAnsi="Arial" w:cs="Arial"/>
                <w:sz w:val="18"/>
                <w:szCs w:val="18"/>
              </w:rPr>
              <w:t>31.5</w:t>
            </w:r>
          </w:p>
        </w:tc>
        <w:tc>
          <w:tcPr>
            <w:tcW w:w="895" w:type="dxa"/>
            <w:noWrap/>
            <w:hideMark/>
          </w:tcPr>
          <w:p w14:paraId="2C39A02A" w14:textId="77777777" w:rsidR="007B66BD" w:rsidRPr="00B03D4D" w:rsidRDefault="007B66BD" w:rsidP="007B66BD">
            <w:pPr>
              <w:rPr>
                <w:rFonts w:ascii="Arial" w:hAnsi="Arial" w:cs="Arial"/>
                <w:sz w:val="18"/>
                <w:szCs w:val="18"/>
              </w:rPr>
            </w:pPr>
            <w:r w:rsidRPr="00B03D4D">
              <w:rPr>
                <w:rFonts w:ascii="Arial" w:hAnsi="Arial" w:cs="Arial"/>
                <w:sz w:val="18"/>
                <w:szCs w:val="18"/>
              </w:rPr>
              <w:t>16.3</w:t>
            </w:r>
          </w:p>
        </w:tc>
        <w:tc>
          <w:tcPr>
            <w:tcW w:w="895" w:type="dxa"/>
            <w:noWrap/>
            <w:hideMark/>
          </w:tcPr>
          <w:p w14:paraId="39C235D0"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c>
          <w:tcPr>
            <w:tcW w:w="896" w:type="dxa"/>
            <w:noWrap/>
            <w:hideMark/>
          </w:tcPr>
          <w:p w14:paraId="6A973C22" w14:textId="77777777" w:rsidR="007B66BD" w:rsidRPr="00B03D4D" w:rsidRDefault="007B66BD" w:rsidP="007B66BD">
            <w:pPr>
              <w:rPr>
                <w:rFonts w:ascii="Arial" w:hAnsi="Arial" w:cs="Arial"/>
                <w:sz w:val="18"/>
                <w:szCs w:val="18"/>
              </w:rPr>
            </w:pPr>
            <w:r w:rsidRPr="00B03D4D">
              <w:rPr>
                <w:rFonts w:ascii="Arial" w:hAnsi="Arial" w:cs="Arial"/>
                <w:sz w:val="18"/>
                <w:szCs w:val="18"/>
              </w:rPr>
              <w:t>17.7</w:t>
            </w:r>
          </w:p>
        </w:tc>
        <w:tc>
          <w:tcPr>
            <w:tcW w:w="930" w:type="dxa"/>
            <w:noWrap/>
            <w:hideMark/>
          </w:tcPr>
          <w:p w14:paraId="46EAE0CF" w14:textId="77777777" w:rsidR="007B66BD" w:rsidRPr="00B03D4D" w:rsidRDefault="007B66BD" w:rsidP="007B66BD">
            <w:pPr>
              <w:rPr>
                <w:rFonts w:ascii="Arial" w:hAnsi="Arial" w:cs="Arial"/>
                <w:sz w:val="18"/>
                <w:szCs w:val="18"/>
              </w:rPr>
            </w:pPr>
            <w:r w:rsidRPr="00B03D4D">
              <w:rPr>
                <w:rFonts w:ascii="Arial" w:hAnsi="Arial" w:cs="Arial"/>
                <w:sz w:val="18"/>
                <w:szCs w:val="18"/>
              </w:rPr>
              <w:t> </w:t>
            </w:r>
          </w:p>
        </w:tc>
      </w:tr>
      <w:tr w:rsidR="007B66BD" w:rsidRPr="00B03D4D" w14:paraId="22A0F9B1" w14:textId="77777777" w:rsidTr="003C6543">
        <w:trPr>
          <w:trHeight w:val="580"/>
        </w:trPr>
        <w:tc>
          <w:tcPr>
            <w:tcW w:w="1413" w:type="dxa"/>
          </w:tcPr>
          <w:p w14:paraId="313027D6" w14:textId="49246CAD" w:rsidR="007B66BD" w:rsidRPr="00F04D38" w:rsidRDefault="007B66BD" w:rsidP="007B66BD">
            <w:pPr>
              <w:rPr>
                <w:rFonts w:ascii="Arial" w:hAnsi="Arial" w:cs="Arial"/>
                <w:b/>
                <w:bCs/>
                <w:sz w:val="18"/>
                <w:szCs w:val="18"/>
              </w:rPr>
            </w:pPr>
            <w:r w:rsidRPr="00F04D38">
              <w:rPr>
                <w:rFonts w:ascii="Arial" w:hAnsi="Arial" w:cs="Arial"/>
                <w:b/>
                <w:bCs/>
                <w:sz w:val="18"/>
                <w:szCs w:val="18"/>
              </w:rPr>
              <w:t>Method for quantifying jobs per investment</w:t>
            </w:r>
          </w:p>
        </w:tc>
        <w:tc>
          <w:tcPr>
            <w:tcW w:w="895" w:type="dxa"/>
          </w:tcPr>
          <w:p w14:paraId="1F74F83D" w14:textId="1569F521" w:rsidR="007B66BD" w:rsidRPr="00F04D38" w:rsidRDefault="007B66BD" w:rsidP="007B66BD">
            <w:pPr>
              <w:rPr>
                <w:rFonts w:ascii="Arial" w:hAnsi="Arial" w:cs="Arial"/>
                <w:sz w:val="18"/>
                <w:szCs w:val="18"/>
              </w:rPr>
            </w:pPr>
            <w:r w:rsidRPr="00F04D38">
              <w:rPr>
                <w:rFonts w:ascii="Arial" w:hAnsi="Arial" w:cs="Arial"/>
                <w:sz w:val="18"/>
                <w:szCs w:val="18"/>
              </w:rPr>
              <w:t>Integrated energy engineering environmental economic system model</w:t>
            </w:r>
          </w:p>
        </w:tc>
        <w:tc>
          <w:tcPr>
            <w:tcW w:w="895" w:type="dxa"/>
          </w:tcPr>
          <w:p w14:paraId="6563F82D" w14:textId="1CEDBA06" w:rsidR="007B66BD" w:rsidRPr="00F04D38" w:rsidRDefault="007B66BD" w:rsidP="007B66BD">
            <w:pPr>
              <w:rPr>
                <w:rFonts w:ascii="Arial" w:hAnsi="Arial" w:cs="Arial"/>
                <w:sz w:val="18"/>
                <w:szCs w:val="18"/>
              </w:rPr>
            </w:pPr>
            <w:r w:rsidRPr="00F04D38">
              <w:rPr>
                <w:rFonts w:ascii="Arial" w:hAnsi="Arial" w:cs="Arial"/>
                <w:sz w:val="18"/>
                <w:szCs w:val="18"/>
              </w:rPr>
              <w:t>Data collation / literature review / interviews. Based on stimulus programmes and funding for renewable energy provided as part of the American Recovery and Reinvestment Act (ARRA).</w:t>
            </w:r>
          </w:p>
        </w:tc>
        <w:tc>
          <w:tcPr>
            <w:tcW w:w="895" w:type="dxa"/>
          </w:tcPr>
          <w:p w14:paraId="4734C325" w14:textId="67063325" w:rsidR="007B66BD" w:rsidRPr="00F04D38" w:rsidRDefault="007B66BD" w:rsidP="007B66BD">
            <w:pPr>
              <w:rPr>
                <w:rFonts w:ascii="Arial" w:hAnsi="Arial" w:cs="Arial"/>
                <w:sz w:val="18"/>
                <w:szCs w:val="18"/>
              </w:rPr>
            </w:pPr>
            <w:r w:rsidRPr="00F04D38">
              <w:rPr>
                <w:rFonts w:ascii="Arial" w:hAnsi="Arial" w:cs="Arial"/>
                <w:sz w:val="18"/>
                <w:szCs w:val="18"/>
              </w:rPr>
              <w:t>Input-output model</w:t>
            </w:r>
          </w:p>
        </w:tc>
        <w:tc>
          <w:tcPr>
            <w:tcW w:w="896" w:type="dxa"/>
          </w:tcPr>
          <w:p w14:paraId="4E2F3264" w14:textId="73E510C5" w:rsidR="007B66BD" w:rsidRPr="00F04D38" w:rsidRDefault="007B66BD" w:rsidP="007B66BD">
            <w:pPr>
              <w:rPr>
                <w:rFonts w:ascii="Arial" w:hAnsi="Arial" w:cs="Arial"/>
                <w:sz w:val="18"/>
                <w:szCs w:val="18"/>
              </w:rPr>
            </w:pPr>
            <w:r w:rsidRPr="00F04D38">
              <w:rPr>
                <w:rFonts w:ascii="Arial" w:hAnsi="Arial" w:cs="Arial"/>
                <w:sz w:val="18"/>
                <w:szCs w:val="18"/>
              </w:rPr>
              <w:t>Input-output model analysis</w:t>
            </w:r>
          </w:p>
        </w:tc>
        <w:tc>
          <w:tcPr>
            <w:tcW w:w="895" w:type="dxa"/>
          </w:tcPr>
          <w:p w14:paraId="03ACF8E7" w14:textId="35C138D9" w:rsidR="007B66BD" w:rsidRPr="00F04D38" w:rsidRDefault="007B66BD" w:rsidP="007B66BD">
            <w:pPr>
              <w:rPr>
                <w:rFonts w:ascii="Arial" w:hAnsi="Arial" w:cs="Arial"/>
                <w:sz w:val="18"/>
                <w:szCs w:val="18"/>
              </w:rPr>
            </w:pPr>
            <w:r w:rsidRPr="00F04D38">
              <w:rPr>
                <w:rFonts w:ascii="Arial" w:hAnsi="Arial" w:cs="Arial"/>
                <w:sz w:val="18"/>
                <w:szCs w:val="18"/>
              </w:rPr>
              <w:t>Customised economic model</w:t>
            </w:r>
          </w:p>
        </w:tc>
        <w:tc>
          <w:tcPr>
            <w:tcW w:w="895" w:type="dxa"/>
            <w:noWrap/>
          </w:tcPr>
          <w:p w14:paraId="1DD56FD7" w14:textId="50AEAA3B" w:rsidR="007B66BD" w:rsidRPr="00F04D38" w:rsidRDefault="007B66BD" w:rsidP="007B66BD">
            <w:pPr>
              <w:rPr>
                <w:rFonts w:ascii="Arial" w:hAnsi="Arial" w:cs="Arial"/>
                <w:sz w:val="18"/>
                <w:szCs w:val="18"/>
              </w:rPr>
            </w:pPr>
            <w:r w:rsidRPr="00F04D38">
              <w:rPr>
                <w:rFonts w:ascii="Arial" w:hAnsi="Arial" w:cs="Arial"/>
                <w:sz w:val="18"/>
                <w:szCs w:val="18"/>
              </w:rPr>
              <w:t xml:space="preserve">Collation of data from different literature sources. Data shows total government and private investment. </w:t>
            </w:r>
          </w:p>
        </w:tc>
        <w:tc>
          <w:tcPr>
            <w:tcW w:w="896" w:type="dxa"/>
            <w:noWrap/>
          </w:tcPr>
          <w:p w14:paraId="20304E3E" w14:textId="57C58BA0" w:rsidR="007B66BD" w:rsidRPr="00F04D38" w:rsidRDefault="007B66BD" w:rsidP="007B66BD">
            <w:pPr>
              <w:rPr>
                <w:rFonts w:ascii="Arial" w:hAnsi="Arial" w:cs="Arial"/>
                <w:sz w:val="18"/>
                <w:szCs w:val="18"/>
              </w:rPr>
            </w:pPr>
            <w:r w:rsidRPr="00F04D38">
              <w:rPr>
                <w:rFonts w:ascii="Arial" w:hAnsi="Arial" w:cs="Arial"/>
                <w:sz w:val="18"/>
                <w:szCs w:val="18"/>
              </w:rPr>
              <w:t xml:space="preserve">Collation of data from different literature sources. </w:t>
            </w:r>
          </w:p>
        </w:tc>
        <w:tc>
          <w:tcPr>
            <w:tcW w:w="895" w:type="dxa"/>
            <w:noWrap/>
          </w:tcPr>
          <w:p w14:paraId="783670C5" w14:textId="508A4C12" w:rsidR="007B66BD" w:rsidRPr="00F04D38" w:rsidRDefault="007B66BD" w:rsidP="007B66BD">
            <w:pPr>
              <w:rPr>
                <w:rFonts w:ascii="Arial" w:hAnsi="Arial" w:cs="Arial"/>
                <w:sz w:val="18"/>
                <w:szCs w:val="18"/>
              </w:rPr>
            </w:pPr>
            <w:r w:rsidRPr="00F04D38">
              <w:rPr>
                <w:rFonts w:ascii="Arial" w:hAnsi="Arial" w:cs="Arial"/>
                <w:sz w:val="18"/>
                <w:szCs w:val="18"/>
              </w:rPr>
              <w:t>Input-output analysis</w:t>
            </w:r>
          </w:p>
        </w:tc>
        <w:tc>
          <w:tcPr>
            <w:tcW w:w="895" w:type="dxa"/>
            <w:noWrap/>
          </w:tcPr>
          <w:p w14:paraId="5B912402" w14:textId="64952B4C" w:rsidR="007B66BD" w:rsidRPr="00F04D38" w:rsidRDefault="007B66BD" w:rsidP="007B66BD">
            <w:pPr>
              <w:rPr>
                <w:rFonts w:ascii="Arial" w:hAnsi="Arial" w:cs="Arial"/>
                <w:sz w:val="18"/>
                <w:szCs w:val="18"/>
              </w:rPr>
            </w:pPr>
            <w:r w:rsidRPr="00F04D38">
              <w:rPr>
                <w:rFonts w:ascii="Arial" w:hAnsi="Arial" w:cs="Arial"/>
                <w:sz w:val="18"/>
                <w:szCs w:val="18"/>
              </w:rPr>
              <w:t>Analytical method and input-output model</w:t>
            </w:r>
          </w:p>
        </w:tc>
        <w:tc>
          <w:tcPr>
            <w:tcW w:w="896" w:type="dxa"/>
            <w:noWrap/>
          </w:tcPr>
          <w:p w14:paraId="6A1F5709" w14:textId="49AAFDDE" w:rsidR="007B66BD" w:rsidRPr="00F04D38" w:rsidRDefault="007B66BD" w:rsidP="007B66BD">
            <w:pPr>
              <w:rPr>
                <w:rFonts w:ascii="Arial" w:hAnsi="Arial" w:cs="Arial"/>
                <w:sz w:val="18"/>
                <w:szCs w:val="18"/>
              </w:rPr>
            </w:pPr>
            <w:r w:rsidRPr="00F04D38">
              <w:rPr>
                <w:rFonts w:ascii="Arial" w:hAnsi="Arial" w:cs="Arial"/>
                <w:sz w:val="18"/>
                <w:szCs w:val="18"/>
              </w:rPr>
              <w:t>Analytical method and input-output model</w:t>
            </w:r>
          </w:p>
        </w:tc>
        <w:tc>
          <w:tcPr>
            <w:tcW w:w="895" w:type="dxa"/>
          </w:tcPr>
          <w:p w14:paraId="4F5AED34" w14:textId="3FD9FFC5" w:rsidR="007B66BD" w:rsidRPr="00F04D38" w:rsidRDefault="007B66BD" w:rsidP="007B66BD">
            <w:pPr>
              <w:rPr>
                <w:rFonts w:ascii="Arial" w:hAnsi="Arial" w:cs="Arial"/>
                <w:sz w:val="18"/>
                <w:szCs w:val="18"/>
              </w:rPr>
            </w:pPr>
            <w:r w:rsidRPr="00F04D38">
              <w:rPr>
                <w:rFonts w:ascii="Arial" w:hAnsi="Arial" w:cs="Arial"/>
                <w:sz w:val="18"/>
                <w:szCs w:val="18"/>
              </w:rPr>
              <w:t>Job forecast for a grant programme for energy efficiency retrofitting using job estimates from previous studies and an input-output model</w:t>
            </w:r>
          </w:p>
        </w:tc>
        <w:tc>
          <w:tcPr>
            <w:tcW w:w="895" w:type="dxa"/>
          </w:tcPr>
          <w:p w14:paraId="6E4AC42C" w14:textId="29360567" w:rsidR="007B66BD" w:rsidRPr="00F04D38" w:rsidRDefault="007B66BD" w:rsidP="007B66BD">
            <w:pPr>
              <w:rPr>
                <w:rFonts w:ascii="Arial" w:hAnsi="Arial" w:cs="Arial"/>
                <w:sz w:val="18"/>
                <w:szCs w:val="18"/>
              </w:rPr>
            </w:pPr>
            <w:r w:rsidRPr="00F04D38">
              <w:rPr>
                <w:rFonts w:ascii="Arial" w:hAnsi="Arial" w:cs="Arial"/>
                <w:sz w:val="18"/>
                <w:szCs w:val="18"/>
              </w:rPr>
              <w:t>Input-output analysis to estimate employment impacts of Green Energy Act investment programme for Ontario over 10 years.</w:t>
            </w:r>
          </w:p>
        </w:tc>
        <w:tc>
          <w:tcPr>
            <w:tcW w:w="896" w:type="dxa"/>
          </w:tcPr>
          <w:p w14:paraId="4554B57C" w14:textId="187A1C48" w:rsidR="007B66BD" w:rsidRPr="00F04D38" w:rsidRDefault="007B66BD" w:rsidP="007B66BD">
            <w:pPr>
              <w:rPr>
                <w:rFonts w:ascii="Arial" w:hAnsi="Arial" w:cs="Arial"/>
                <w:sz w:val="18"/>
                <w:szCs w:val="18"/>
              </w:rPr>
            </w:pPr>
            <w:r w:rsidRPr="00F04D38">
              <w:rPr>
                <w:rFonts w:ascii="Arial" w:hAnsi="Arial" w:cs="Arial"/>
                <w:sz w:val="18"/>
                <w:szCs w:val="18"/>
              </w:rPr>
              <w:t>Input-output model analysis</w:t>
            </w:r>
          </w:p>
        </w:tc>
        <w:tc>
          <w:tcPr>
            <w:tcW w:w="930" w:type="dxa"/>
            <w:noWrap/>
          </w:tcPr>
          <w:p w14:paraId="5DC3264B" w14:textId="1F9BC429" w:rsidR="007B66BD" w:rsidRPr="00F04D38" w:rsidRDefault="007B66BD" w:rsidP="007B66BD">
            <w:pPr>
              <w:rPr>
                <w:rFonts w:ascii="Arial" w:hAnsi="Arial" w:cs="Arial"/>
                <w:sz w:val="18"/>
                <w:szCs w:val="18"/>
              </w:rPr>
            </w:pPr>
            <w:r w:rsidRPr="00F04D38">
              <w:rPr>
                <w:rFonts w:ascii="Arial" w:hAnsi="Arial" w:cs="Arial"/>
                <w:sz w:val="18"/>
                <w:szCs w:val="18"/>
              </w:rPr>
              <w:t>Global CGE + Input-output model</w:t>
            </w:r>
          </w:p>
        </w:tc>
      </w:tr>
      <w:tr w:rsidR="007B66BD" w:rsidRPr="00B03D4D" w14:paraId="6D3AE926" w14:textId="77777777" w:rsidTr="003C6543">
        <w:trPr>
          <w:trHeight w:val="2551"/>
        </w:trPr>
        <w:tc>
          <w:tcPr>
            <w:tcW w:w="1413" w:type="dxa"/>
            <w:hideMark/>
          </w:tcPr>
          <w:p w14:paraId="797EB19F" w14:textId="42EFBD7A" w:rsidR="007B66BD" w:rsidRPr="00F04D38" w:rsidRDefault="007B66BD" w:rsidP="007B66BD">
            <w:pPr>
              <w:rPr>
                <w:rFonts w:ascii="Arial" w:hAnsi="Arial" w:cs="Arial"/>
                <w:b/>
                <w:bCs/>
                <w:sz w:val="18"/>
                <w:szCs w:val="18"/>
              </w:rPr>
            </w:pPr>
            <w:r w:rsidRPr="00F04D38">
              <w:rPr>
                <w:rFonts w:ascii="Arial" w:hAnsi="Arial" w:cs="Arial"/>
                <w:b/>
                <w:bCs/>
                <w:sz w:val="18"/>
                <w:szCs w:val="18"/>
              </w:rPr>
              <w:t>Are direct, indirect and/or induced jobs included?</w:t>
            </w:r>
          </w:p>
        </w:tc>
        <w:tc>
          <w:tcPr>
            <w:tcW w:w="895" w:type="dxa"/>
            <w:hideMark/>
          </w:tcPr>
          <w:p w14:paraId="0C7120D1" w14:textId="77777777" w:rsidR="007B66BD" w:rsidRPr="00F04D38" w:rsidRDefault="007B66BD" w:rsidP="007B66BD">
            <w:pPr>
              <w:rPr>
                <w:rFonts w:ascii="Arial" w:hAnsi="Arial" w:cs="Arial"/>
                <w:sz w:val="18"/>
                <w:szCs w:val="18"/>
              </w:rPr>
            </w:pPr>
            <w:r w:rsidRPr="00F04D38">
              <w:rPr>
                <w:rFonts w:ascii="Arial" w:hAnsi="Arial" w:cs="Arial"/>
                <w:sz w:val="18"/>
                <w:szCs w:val="18"/>
              </w:rPr>
              <w:t xml:space="preserve">Includes direct, </w:t>
            </w:r>
            <w:proofErr w:type="gramStart"/>
            <w:r w:rsidRPr="00F04D38">
              <w:rPr>
                <w:rFonts w:ascii="Arial" w:hAnsi="Arial" w:cs="Arial"/>
                <w:sz w:val="18"/>
                <w:szCs w:val="18"/>
              </w:rPr>
              <w:t>indirect</w:t>
            </w:r>
            <w:proofErr w:type="gramEnd"/>
            <w:r w:rsidRPr="00F04D38">
              <w:rPr>
                <w:rFonts w:ascii="Arial" w:hAnsi="Arial" w:cs="Arial"/>
                <w:sz w:val="18"/>
                <w:szCs w:val="18"/>
              </w:rPr>
              <w:t xml:space="preserve"> and induced jobs</w:t>
            </w:r>
          </w:p>
        </w:tc>
        <w:tc>
          <w:tcPr>
            <w:tcW w:w="895" w:type="dxa"/>
            <w:hideMark/>
          </w:tcPr>
          <w:p w14:paraId="6B04B5BC" w14:textId="13B177F8" w:rsidR="007B66BD" w:rsidRPr="00F04D38" w:rsidRDefault="007B66BD" w:rsidP="007B66BD">
            <w:pPr>
              <w:rPr>
                <w:rFonts w:ascii="Arial" w:hAnsi="Arial" w:cs="Arial"/>
                <w:sz w:val="18"/>
                <w:szCs w:val="18"/>
              </w:rPr>
            </w:pPr>
            <w:r w:rsidRPr="00F04D38">
              <w:rPr>
                <w:rFonts w:ascii="Arial" w:hAnsi="Arial" w:cs="Arial"/>
                <w:sz w:val="18"/>
                <w:szCs w:val="18"/>
              </w:rPr>
              <w:t xml:space="preserve">Includes direct and indirect jobs </w:t>
            </w:r>
          </w:p>
        </w:tc>
        <w:tc>
          <w:tcPr>
            <w:tcW w:w="895" w:type="dxa"/>
            <w:noWrap/>
            <w:hideMark/>
          </w:tcPr>
          <w:p w14:paraId="3968AF2B" w14:textId="77777777" w:rsidR="007B66BD" w:rsidRDefault="007B66BD" w:rsidP="007B66BD">
            <w:pPr>
              <w:rPr>
                <w:rFonts w:ascii="Arial" w:hAnsi="Arial" w:cs="Arial"/>
                <w:sz w:val="18"/>
                <w:szCs w:val="18"/>
              </w:rPr>
            </w:pPr>
            <w:proofErr w:type="spellStart"/>
            <w:r w:rsidRPr="00F04D38">
              <w:rPr>
                <w:rFonts w:ascii="Arial" w:hAnsi="Arial" w:cs="Arial"/>
                <w:sz w:val="18"/>
                <w:szCs w:val="18"/>
              </w:rPr>
              <w:t>Includesdirect</w:t>
            </w:r>
            <w:proofErr w:type="spellEnd"/>
            <w:r w:rsidRPr="00F04D38">
              <w:rPr>
                <w:rFonts w:ascii="Arial" w:hAnsi="Arial" w:cs="Arial"/>
                <w:sz w:val="18"/>
                <w:szCs w:val="18"/>
              </w:rPr>
              <w:t xml:space="preserve"> and indirect jobs</w:t>
            </w:r>
          </w:p>
          <w:p w14:paraId="386E2BA8" w14:textId="77777777" w:rsidR="00AD4923" w:rsidRPr="00AD4923" w:rsidRDefault="00AD4923" w:rsidP="00AD4923">
            <w:pPr>
              <w:rPr>
                <w:rFonts w:ascii="Arial" w:hAnsi="Arial" w:cs="Arial"/>
                <w:sz w:val="18"/>
                <w:szCs w:val="18"/>
              </w:rPr>
            </w:pPr>
          </w:p>
          <w:p w14:paraId="5515E759" w14:textId="77777777" w:rsidR="00AD4923" w:rsidRDefault="00AD4923" w:rsidP="00AD4923">
            <w:pPr>
              <w:rPr>
                <w:rFonts w:ascii="Arial" w:hAnsi="Arial" w:cs="Arial"/>
                <w:sz w:val="18"/>
                <w:szCs w:val="18"/>
              </w:rPr>
            </w:pPr>
          </w:p>
          <w:p w14:paraId="29ADB612" w14:textId="77777777" w:rsidR="00AD4923" w:rsidRPr="00AD4923" w:rsidRDefault="00AD4923" w:rsidP="00AD4923">
            <w:pPr>
              <w:rPr>
                <w:rFonts w:ascii="Arial" w:hAnsi="Arial" w:cs="Arial"/>
                <w:sz w:val="18"/>
                <w:szCs w:val="18"/>
              </w:rPr>
            </w:pPr>
          </w:p>
          <w:p w14:paraId="005F6785" w14:textId="77777777" w:rsidR="00AD4923" w:rsidRDefault="00AD4923" w:rsidP="00AD4923">
            <w:pPr>
              <w:rPr>
                <w:rFonts w:ascii="Arial" w:hAnsi="Arial" w:cs="Arial"/>
                <w:sz w:val="18"/>
                <w:szCs w:val="18"/>
              </w:rPr>
            </w:pPr>
          </w:p>
          <w:p w14:paraId="5FB3A6DE" w14:textId="77777777" w:rsidR="00AD4923" w:rsidRDefault="00AD4923" w:rsidP="00AD4923">
            <w:pPr>
              <w:rPr>
                <w:rFonts w:ascii="Arial" w:hAnsi="Arial" w:cs="Arial"/>
                <w:sz w:val="18"/>
                <w:szCs w:val="18"/>
              </w:rPr>
            </w:pPr>
          </w:p>
          <w:p w14:paraId="2EBCD5E6" w14:textId="6ADE593D" w:rsidR="00AD4923" w:rsidRPr="00AD4923" w:rsidRDefault="00AD4923" w:rsidP="00AD4923">
            <w:pPr>
              <w:rPr>
                <w:rFonts w:ascii="Arial" w:hAnsi="Arial" w:cs="Arial"/>
                <w:sz w:val="18"/>
                <w:szCs w:val="18"/>
              </w:rPr>
            </w:pPr>
          </w:p>
        </w:tc>
        <w:tc>
          <w:tcPr>
            <w:tcW w:w="896" w:type="dxa"/>
            <w:hideMark/>
          </w:tcPr>
          <w:p w14:paraId="1D66A1E9" w14:textId="50DA10FF" w:rsidR="007B66BD" w:rsidRPr="00F04D38" w:rsidRDefault="007B66BD" w:rsidP="007B66BD">
            <w:pPr>
              <w:rPr>
                <w:rFonts w:ascii="Arial" w:hAnsi="Arial" w:cs="Arial"/>
                <w:sz w:val="18"/>
                <w:szCs w:val="18"/>
              </w:rPr>
            </w:pPr>
            <w:proofErr w:type="spellStart"/>
            <w:r w:rsidRPr="00F04D38">
              <w:rPr>
                <w:rFonts w:ascii="Arial" w:hAnsi="Arial" w:cs="Arial"/>
                <w:sz w:val="18"/>
                <w:szCs w:val="18"/>
              </w:rPr>
              <w:t>Includesdirect</w:t>
            </w:r>
            <w:proofErr w:type="spellEnd"/>
            <w:r w:rsidRPr="00F04D38">
              <w:rPr>
                <w:rFonts w:ascii="Arial" w:hAnsi="Arial" w:cs="Arial"/>
                <w:sz w:val="18"/>
                <w:szCs w:val="18"/>
              </w:rPr>
              <w:t>, indirect and induced jobs</w:t>
            </w:r>
          </w:p>
        </w:tc>
        <w:tc>
          <w:tcPr>
            <w:tcW w:w="895" w:type="dxa"/>
            <w:hideMark/>
          </w:tcPr>
          <w:p w14:paraId="055E3AD2" w14:textId="77777777" w:rsidR="007B66BD" w:rsidRPr="00F04D38" w:rsidRDefault="007B66BD" w:rsidP="007B66BD">
            <w:pPr>
              <w:rPr>
                <w:rFonts w:ascii="Arial" w:hAnsi="Arial" w:cs="Arial"/>
                <w:sz w:val="18"/>
                <w:szCs w:val="18"/>
              </w:rPr>
            </w:pPr>
            <w:r w:rsidRPr="00F04D38">
              <w:rPr>
                <w:rFonts w:ascii="Arial" w:hAnsi="Arial" w:cs="Arial"/>
                <w:sz w:val="18"/>
                <w:szCs w:val="18"/>
              </w:rPr>
              <w:t>Includes direct and indirect jobs</w:t>
            </w:r>
          </w:p>
        </w:tc>
        <w:tc>
          <w:tcPr>
            <w:tcW w:w="895" w:type="dxa"/>
            <w:hideMark/>
          </w:tcPr>
          <w:p w14:paraId="0B032F3B" w14:textId="528DC33A" w:rsidR="007B66BD" w:rsidRPr="00F04D38" w:rsidRDefault="007B66BD" w:rsidP="007B66BD">
            <w:pPr>
              <w:rPr>
                <w:rFonts w:ascii="Arial" w:hAnsi="Arial" w:cs="Arial"/>
                <w:sz w:val="18"/>
                <w:szCs w:val="18"/>
              </w:rPr>
            </w:pPr>
            <w:r w:rsidRPr="00F04D38">
              <w:rPr>
                <w:rFonts w:ascii="Arial" w:hAnsi="Arial" w:cs="Arial"/>
                <w:sz w:val="18"/>
                <w:szCs w:val="18"/>
              </w:rPr>
              <w:t>Direct and indirect jobs included in one set of estimates presented</w:t>
            </w:r>
          </w:p>
        </w:tc>
        <w:tc>
          <w:tcPr>
            <w:tcW w:w="896" w:type="dxa"/>
            <w:hideMark/>
          </w:tcPr>
          <w:p w14:paraId="1437B2F8" w14:textId="238768BB" w:rsidR="007B66BD" w:rsidRPr="00F04D38" w:rsidRDefault="007B66BD" w:rsidP="007B66BD">
            <w:pPr>
              <w:rPr>
                <w:rFonts w:ascii="Arial" w:hAnsi="Arial" w:cs="Arial"/>
                <w:sz w:val="18"/>
                <w:szCs w:val="18"/>
              </w:rPr>
            </w:pPr>
            <w:r w:rsidRPr="00F04D38">
              <w:rPr>
                <w:rFonts w:ascii="Arial" w:hAnsi="Arial" w:cs="Arial"/>
                <w:sz w:val="18"/>
                <w:szCs w:val="18"/>
              </w:rPr>
              <w:t>Direct and indirect jobs included</w:t>
            </w:r>
          </w:p>
        </w:tc>
        <w:tc>
          <w:tcPr>
            <w:tcW w:w="895" w:type="dxa"/>
            <w:hideMark/>
          </w:tcPr>
          <w:p w14:paraId="37D980FA" w14:textId="177BAF9B" w:rsidR="007B66BD" w:rsidRPr="00F04D38" w:rsidRDefault="007B66BD" w:rsidP="007B66BD">
            <w:pPr>
              <w:rPr>
                <w:rFonts w:ascii="Arial" w:hAnsi="Arial" w:cs="Arial"/>
                <w:sz w:val="18"/>
                <w:szCs w:val="18"/>
              </w:rPr>
            </w:pPr>
            <w:r w:rsidRPr="00F04D38">
              <w:rPr>
                <w:rFonts w:ascii="Arial" w:hAnsi="Arial" w:cs="Arial"/>
                <w:sz w:val="18"/>
                <w:szCs w:val="18"/>
              </w:rPr>
              <w:t xml:space="preserve">Direct, </w:t>
            </w:r>
            <w:proofErr w:type="gramStart"/>
            <w:r w:rsidRPr="00F04D38">
              <w:rPr>
                <w:rFonts w:ascii="Arial" w:hAnsi="Arial" w:cs="Arial"/>
                <w:sz w:val="18"/>
                <w:szCs w:val="18"/>
              </w:rPr>
              <w:t>indirect</w:t>
            </w:r>
            <w:proofErr w:type="gramEnd"/>
            <w:r w:rsidRPr="00F04D38">
              <w:rPr>
                <w:rFonts w:ascii="Arial" w:hAnsi="Arial" w:cs="Arial"/>
                <w:sz w:val="18"/>
                <w:szCs w:val="18"/>
              </w:rPr>
              <w:t xml:space="preserve"> and induced jobs included</w:t>
            </w:r>
          </w:p>
        </w:tc>
        <w:tc>
          <w:tcPr>
            <w:tcW w:w="895" w:type="dxa"/>
            <w:hideMark/>
          </w:tcPr>
          <w:p w14:paraId="2E35C918" w14:textId="77777777" w:rsidR="007B66BD" w:rsidRPr="00F04D38" w:rsidRDefault="007B66BD" w:rsidP="007B66BD">
            <w:pPr>
              <w:rPr>
                <w:rFonts w:ascii="Arial" w:hAnsi="Arial" w:cs="Arial"/>
                <w:sz w:val="18"/>
                <w:szCs w:val="18"/>
              </w:rPr>
            </w:pPr>
            <w:r w:rsidRPr="00F04D38">
              <w:rPr>
                <w:rFonts w:ascii="Arial" w:hAnsi="Arial" w:cs="Arial"/>
                <w:sz w:val="18"/>
                <w:szCs w:val="18"/>
              </w:rPr>
              <w:t>Includes direct, indirect, induced jobs</w:t>
            </w:r>
          </w:p>
        </w:tc>
        <w:tc>
          <w:tcPr>
            <w:tcW w:w="896" w:type="dxa"/>
            <w:hideMark/>
          </w:tcPr>
          <w:p w14:paraId="60706220" w14:textId="77777777" w:rsidR="007B66BD" w:rsidRPr="00F04D38" w:rsidRDefault="007B66BD" w:rsidP="007B66BD">
            <w:pPr>
              <w:rPr>
                <w:rFonts w:ascii="Arial" w:hAnsi="Arial" w:cs="Arial"/>
                <w:sz w:val="18"/>
                <w:szCs w:val="18"/>
              </w:rPr>
            </w:pPr>
            <w:r w:rsidRPr="00F04D38">
              <w:rPr>
                <w:rFonts w:ascii="Arial" w:hAnsi="Arial" w:cs="Arial"/>
                <w:sz w:val="18"/>
                <w:szCs w:val="18"/>
              </w:rPr>
              <w:t>Includes direct, indirect, induced jobs</w:t>
            </w:r>
          </w:p>
        </w:tc>
        <w:tc>
          <w:tcPr>
            <w:tcW w:w="895" w:type="dxa"/>
            <w:hideMark/>
          </w:tcPr>
          <w:p w14:paraId="52715F9C" w14:textId="77777777" w:rsidR="007B66BD" w:rsidRPr="00F04D38" w:rsidRDefault="007B66BD" w:rsidP="007B66BD">
            <w:pPr>
              <w:rPr>
                <w:rFonts w:ascii="Arial" w:hAnsi="Arial" w:cs="Arial"/>
                <w:sz w:val="18"/>
                <w:szCs w:val="18"/>
              </w:rPr>
            </w:pPr>
            <w:r w:rsidRPr="00F04D38">
              <w:rPr>
                <w:rFonts w:ascii="Arial" w:hAnsi="Arial" w:cs="Arial"/>
                <w:sz w:val="18"/>
                <w:szCs w:val="18"/>
              </w:rPr>
              <w:t>Includes direct, indirect, induced jobs</w:t>
            </w:r>
          </w:p>
        </w:tc>
        <w:tc>
          <w:tcPr>
            <w:tcW w:w="895" w:type="dxa"/>
            <w:hideMark/>
          </w:tcPr>
          <w:p w14:paraId="626DB26B" w14:textId="77777777" w:rsidR="007B66BD" w:rsidRPr="00F04D38" w:rsidRDefault="007B66BD" w:rsidP="007B66BD">
            <w:pPr>
              <w:rPr>
                <w:rFonts w:ascii="Arial" w:hAnsi="Arial" w:cs="Arial"/>
                <w:sz w:val="18"/>
                <w:szCs w:val="18"/>
              </w:rPr>
            </w:pPr>
            <w:r w:rsidRPr="00F04D38">
              <w:rPr>
                <w:rFonts w:ascii="Arial" w:hAnsi="Arial" w:cs="Arial"/>
                <w:sz w:val="18"/>
                <w:szCs w:val="18"/>
              </w:rPr>
              <w:t>Includes direct and indirect jobs</w:t>
            </w:r>
          </w:p>
        </w:tc>
        <w:tc>
          <w:tcPr>
            <w:tcW w:w="896" w:type="dxa"/>
            <w:hideMark/>
          </w:tcPr>
          <w:p w14:paraId="2562AF67" w14:textId="77777777" w:rsidR="007B66BD" w:rsidRPr="00F04D38" w:rsidRDefault="007B66BD" w:rsidP="007B66BD">
            <w:pPr>
              <w:rPr>
                <w:rFonts w:ascii="Arial" w:hAnsi="Arial" w:cs="Arial"/>
                <w:sz w:val="18"/>
                <w:szCs w:val="18"/>
              </w:rPr>
            </w:pPr>
            <w:r w:rsidRPr="00F04D38">
              <w:rPr>
                <w:rFonts w:ascii="Arial" w:hAnsi="Arial" w:cs="Arial"/>
                <w:sz w:val="18"/>
                <w:szCs w:val="18"/>
              </w:rPr>
              <w:t xml:space="preserve">Includes direct, </w:t>
            </w:r>
            <w:proofErr w:type="gramStart"/>
            <w:r w:rsidRPr="00F04D38">
              <w:rPr>
                <w:rFonts w:ascii="Arial" w:hAnsi="Arial" w:cs="Arial"/>
                <w:sz w:val="18"/>
                <w:szCs w:val="18"/>
              </w:rPr>
              <w:t>indirect</w:t>
            </w:r>
            <w:proofErr w:type="gramEnd"/>
            <w:r w:rsidRPr="00F04D38">
              <w:rPr>
                <w:rFonts w:ascii="Arial" w:hAnsi="Arial" w:cs="Arial"/>
                <w:sz w:val="18"/>
                <w:szCs w:val="18"/>
              </w:rPr>
              <w:t xml:space="preserve"> and induced jobs</w:t>
            </w:r>
          </w:p>
        </w:tc>
        <w:tc>
          <w:tcPr>
            <w:tcW w:w="930" w:type="dxa"/>
            <w:hideMark/>
          </w:tcPr>
          <w:p w14:paraId="55EFD7E9" w14:textId="460C2981" w:rsidR="007B66BD" w:rsidRPr="00F04D38" w:rsidRDefault="007B66BD" w:rsidP="007B66BD">
            <w:pPr>
              <w:rPr>
                <w:rFonts w:ascii="Arial" w:hAnsi="Arial" w:cs="Arial"/>
                <w:sz w:val="18"/>
                <w:szCs w:val="18"/>
              </w:rPr>
            </w:pPr>
            <w:r w:rsidRPr="00F04D38">
              <w:rPr>
                <w:rFonts w:ascii="Arial" w:hAnsi="Arial" w:cs="Arial"/>
                <w:sz w:val="18"/>
                <w:szCs w:val="18"/>
              </w:rPr>
              <w:t>Estimates include direct and indirect jobs</w:t>
            </w:r>
          </w:p>
        </w:tc>
      </w:tr>
      <w:tr w:rsidR="007B66BD" w:rsidRPr="00B03D4D" w14:paraId="15CEFD5D" w14:textId="77777777" w:rsidTr="003C6543">
        <w:trPr>
          <w:trHeight w:val="3480"/>
        </w:trPr>
        <w:tc>
          <w:tcPr>
            <w:tcW w:w="1413" w:type="dxa"/>
            <w:noWrap/>
            <w:hideMark/>
          </w:tcPr>
          <w:p w14:paraId="3E5A13E4" w14:textId="4F16DBE5" w:rsidR="007B66BD" w:rsidRPr="00F04D38" w:rsidRDefault="007B66BD" w:rsidP="007B66BD">
            <w:pPr>
              <w:rPr>
                <w:rFonts w:ascii="Arial" w:hAnsi="Arial" w:cs="Arial"/>
                <w:b/>
                <w:bCs/>
                <w:sz w:val="18"/>
                <w:szCs w:val="18"/>
              </w:rPr>
            </w:pPr>
            <w:r w:rsidRPr="00F04D38">
              <w:rPr>
                <w:rFonts w:ascii="Arial" w:hAnsi="Arial" w:cs="Arial"/>
                <w:b/>
                <w:bCs/>
                <w:sz w:val="18"/>
                <w:szCs w:val="18"/>
              </w:rPr>
              <w:t>Technology life stages or activities included</w:t>
            </w:r>
          </w:p>
        </w:tc>
        <w:tc>
          <w:tcPr>
            <w:tcW w:w="895" w:type="dxa"/>
            <w:hideMark/>
          </w:tcPr>
          <w:p w14:paraId="20B9E6F4" w14:textId="77777777" w:rsidR="007B66BD" w:rsidRPr="00F04D38" w:rsidRDefault="007B66BD" w:rsidP="007B66BD">
            <w:pPr>
              <w:rPr>
                <w:rFonts w:ascii="Arial" w:hAnsi="Arial" w:cs="Arial"/>
                <w:sz w:val="18"/>
                <w:szCs w:val="18"/>
              </w:rPr>
            </w:pPr>
            <w:r w:rsidRPr="00F04D38">
              <w:rPr>
                <w:rFonts w:ascii="Arial" w:hAnsi="Arial" w:cs="Arial"/>
                <w:sz w:val="18"/>
                <w:szCs w:val="18"/>
              </w:rPr>
              <w:t>Includes CIM &amp; O&amp;M over lifetime</w:t>
            </w:r>
          </w:p>
        </w:tc>
        <w:tc>
          <w:tcPr>
            <w:tcW w:w="895" w:type="dxa"/>
            <w:hideMark/>
          </w:tcPr>
          <w:p w14:paraId="16DDCFF2" w14:textId="77777777" w:rsidR="007B66BD" w:rsidRPr="00F04D38" w:rsidRDefault="007B66BD" w:rsidP="007B66BD">
            <w:pPr>
              <w:rPr>
                <w:rFonts w:ascii="Arial" w:hAnsi="Arial" w:cs="Arial"/>
                <w:sz w:val="18"/>
                <w:szCs w:val="18"/>
              </w:rPr>
            </w:pPr>
            <w:r w:rsidRPr="00F04D38">
              <w:rPr>
                <w:rFonts w:ascii="Arial" w:hAnsi="Arial" w:cs="Arial"/>
                <w:sz w:val="18"/>
                <w:szCs w:val="18"/>
              </w:rPr>
              <w:t>Average annual construction jobs divided by annual expenditure. O&amp;M jobs excluded.</w:t>
            </w:r>
          </w:p>
        </w:tc>
        <w:tc>
          <w:tcPr>
            <w:tcW w:w="895" w:type="dxa"/>
            <w:noWrap/>
            <w:hideMark/>
          </w:tcPr>
          <w:p w14:paraId="567F3E52" w14:textId="75D82165" w:rsidR="007B66BD" w:rsidRPr="00F04D38" w:rsidRDefault="007B66BD" w:rsidP="007B66BD">
            <w:pPr>
              <w:rPr>
                <w:rFonts w:ascii="Arial" w:hAnsi="Arial" w:cs="Arial"/>
                <w:sz w:val="18"/>
                <w:szCs w:val="18"/>
              </w:rPr>
            </w:pPr>
            <w:r w:rsidRPr="00F04D38">
              <w:rPr>
                <w:rFonts w:ascii="Arial" w:hAnsi="Arial" w:cs="Arial"/>
                <w:sz w:val="18"/>
                <w:szCs w:val="18"/>
              </w:rPr>
              <w:t>CIM mainly for RE and EE</w:t>
            </w:r>
          </w:p>
        </w:tc>
        <w:tc>
          <w:tcPr>
            <w:tcW w:w="896" w:type="dxa"/>
            <w:noWrap/>
            <w:hideMark/>
          </w:tcPr>
          <w:p w14:paraId="6A86AD99" w14:textId="77777777" w:rsidR="007B66BD" w:rsidRPr="00F04D38" w:rsidRDefault="007B66BD" w:rsidP="007B66BD">
            <w:pPr>
              <w:rPr>
                <w:rFonts w:ascii="Arial" w:hAnsi="Arial" w:cs="Arial"/>
                <w:sz w:val="18"/>
                <w:szCs w:val="18"/>
              </w:rPr>
            </w:pPr>
            <w:r w:rsidRPr="00F04D38">
              <w:rPr>
                <w:rFonts w:ascii="Arial" w:hAnsi="Arial" w:cs="Arial"/>
                <w:sz w:val="18"/>
                <w:szCs w:val="18"/>
              </w:rPr>
              <w:t>Not stated</w:t>
            </w:r>
          </w:p>
        </w:tc>
        <w:tc>
          <w:tcPr>
            <w:tcW w:w="895" w:type="dxa"/>
            <w:hideMark/>
          </w:tcPr>
          <w:p w14:paraId="4BBEB04E" w14:textId="77777777" w:rsidR="007B66BD" w:rsidRPr="00F04D38" w:rsidRDefault="007B66BD" w:rsidP="007B66BD">
            <w:pPr>
              <w:rPr>
                <w:rFonts w:ascii="Arial" w:hAnsi="Arial" w:cs="Arial"/>
                <w:sz w:val="18"/>
                <w:szCs w:val="18"/>
              </w:rPr>
            </w:pPr>
            <w:r w:rsidRPr="00F04D38">
              <w:rPr>
                <w:rFonts w:ascii="Arial" w:hAnsi="Arial" w:cs="Arial"/>
                <w:sz w:val="18"/>
                <w:szCs w:val="18"/>
              </w:rPr>
              <w:t>Installers, housing repair and maintenance, wider supply chain</w:t>
            </w:r>
          </w:p>
        </w:tc>
        <w:tc>
          <w:tcPr>
            <w:tcW w:w="895" w:type="dxa"/>
            <w:noWrap/>
            <w:hideMark/>
          </w:tcPr>
          <w:p w14:paraId="6D7E857D" w14:textId="77777777" w:rsidR="007B66BD" w:rsidRPr="00F04D38" w:rsidRDefault="007B66BD" w:rsidP="007B66BD">
            <w:pPr>
              <w:rPr>
                <w:rFonts w:ascii="Arial" w:hAnsi="Arial" w:cs="Arial"/>
                <w:sz w:val="18"/>
                <w:szCs w:val="18"/>
              </w:rPr>
            </w:pPr>
            <w:r w:rsidRPr="00F04D38">
              <w:rPr>
                <w:rFonts w:ascii="Arial" w:hAnsi="Arial" w:cs="Arial"/>
                <w:sz w:val="18"/>
                <w:szCs w:val="18"/>
              </w:rPr>
              <w:t>Not stated / clear</w:t>
            </w:r>
          </w:p>
        </w:tc>
        <w:tc>
          <w:tcPr>
            <w:tcW w:w="896" w:type="dxa"/>
            <w:hideMark/>
          </w:tcPr>
          <w:p w14:paraId="29D3EE7E" w14:textId="77777777" w:rsidR="007B66BD" w:rsidRPr="00F04D38" w:rsidRDefault="007B66BD" w:rsidP="007B66BD">
            <w:pPr>
              <w:rPr>
                <w:rFonts w:ascii="Arial" w:hAnsi="Arial" w:cs="Arial"/>
                <w:sz w:val="18"/>
                <w:szCs w:val="18"/>
              </w:rPr>
            </w:pPr>
            <w:r w:rsidRPr="00F04D38">
              <w:rPr>
                <w:rFonts w:ascii="Arial" w:hAnsi="Arial" w:cs="Arial"/>
                <w:sz w:val="18"/>
                <w:szCs w:val="18"/>
              </w:rPr>
              <w:t>Includes CIM &amp; O&amp;M over technology lifetimes</w:t>
            </w:r>
          </w:p>
        </w:tc>
        <w:tc>
          <w:tcPr>
            <w:tcW w:w="895" w:type="dxa"/>
            <w:hideMark/>
          </w:tcPr>
          <w:p w14:paraId="427128C5" w14:textId="39CD092C" w:rsidR="007B66BD" w:rsidRPr="00F04D38" w:rsidRDefault="007B66BD" w:rsidP="007B66BD">
            <w:pPr>
              <w:rPr>
                <w:rFonts w:ascii="Arial" w:hAnsi="Arial" w:cs="Arial"/>
                <w:sz w:val="18"/>
                <w:szCs w:val="18"/>
              </w:rPr>
            </w:pPr>
            <w:r w:rsidRPr="00F04D38">
              <w:rPr>
                <w:rFonts w:ascii="Arial" w:hAnsi="Arial" w:cs="Arial"/>
                <w:sz w:val="18"/>
                <w:szCs w:val="18"/>
              </w:rPr>
              <w:t>Assume includes CIM &amp; O&amp;M</w:t>
            </w:r>
          </w:p>
        </w:tc>
        <w:tc>
          <w:tcPr>
            <w:tcW w:w="895" w:type="dxa"/>
            <w:hideMark/>
          </w:tcPr>
          <w:p w14:paraId="0A35F4F9" w14:textId="77777777" w:rsidR="007B66BD" w:rsidRPr="00F04D38" w:rsidRDefault="007B66BD" w:rsidP="007B66BD">
            <w:pPr>
              <w:rPr>
                <w:rFonts w:ascii="Arial" w:hAnsi="Arial" w:cs="Arial"/>
                <w:sz w:val="18"/>
                <w:szCs w:val="18"/>
              </w:rPr>
            </w:pPr>
            <w:r w:rsidRPr="00F04D38">
              <w:rPr>
                <w:rFonts w:ascii="Arial" w:hAnsi="Arial" w:cs="Arial"/>
                <w:sz w:val="18"/>
                <w:szCs w:val="18"/>
              </w:rPr>
              <w:t>Energy efficient renovation of residential and public buildings</w:t>
            </w:r>
          </w:p>
        </w:tc>
        <w:tc>
          <w:tcPr>
            <w:tcW w:w="896" w:type="dxa"/>
            <w:hideMark/>
          </w:tcPr>
          <w:p w14:paraId="53039B0B" w14:textId="09E5BA6C" w:rsidR="007B66BD" w:rsidRPr="00F04D38" w:rsidRDefault="007B66BD" w:rsidP="007B66BD">
            <w:pPr>
              <w:rPr>
                <w:rFonts w:ascii="Arial" w:hAnsi="Arial" w:cs="Arial"/>
                <w:sz w:val="18"/>
                <w:szCs w:val="18"/>
              </w:rPr>
            </w:pPr>
            <w:r w:rsidRPr="00F04D38">
              <w:rPr>
                <w:rFonts w:ascii="Arial" w:hAnsi="Arial" w:cs="Arial"/>
                <w:sz w:val="18"/>
                <w:szCs w:val="18"/>
              </w:rPr>
              <w:t>Building sector energy efficiency interventions. CIM and O&amp;M included</w:t>
            </w:r>
          </w:p>
        </w:tc>
        <w:tc>
          <w:tcPr>
            <w:tcW w:w="895" w:type="dxa"/>
            <w:hideMark/>
          </w:tcPr>
          <w:p w14:paraId="4C5FE3BD" w14:textId="77777777" w:rsidR="007B66BD" w:rsidRPr="00F04D38" w:rsidRDefault="007B66BD" w:rsidP="007B66BD">
            <w:pPr>
              <w:rPr>
                <w:rFonts w:ascii="Arial" w:hAnsi="Arial" w:cs="Arial"/>
                <w:sz w:val="18"/>
                <w:szCs w:val="18"/>
              </w:rPr>
            </w:pPr>
            <w:r w:rsidRPr="00F04D38">
              <w:rPr>
                <w:rFonts w:ascii="Arial" w:hAnsi="Arial" w:cs="Arial"/>
                <w:sz w:val="18"/>
                <w:szCs w:val="18"/>
              </w:rPr>
              <w:t>Energy efficiency retrofitting in public buildings</w:t>
            </w:r>
          </w:p>
        </w:tc>
        <w:tc>
          <w:tcPr>
            <w:tcW w:w="895" w:type="dxa"/>
            <w:hideMark/>
          </w:tcPr>
          <w:p w14:paraId="15B0B556" w14:textId="77777777" w:rsidR="007B66BD" w:rsidRPr="00F04D38" w:rsidRDefault="007B66BD" w:rsidP="007B66BD">
            <w:pPr>
              <w:rPr>
                <w:rFonts w:ascii="Arial" w:hAnsi="Arial" w:cs="Arial"/>
                <w:sz w:val="18"/>
                <w:szCs w:val="18"/>
              </w:rPr>
            </w:pPr>
            <w:r w:rsidRPr="00F04D38">
              <w:rPr>
                <w:rFonts w:ascii="Arial" w:hAnsi="Arial" w:cs="Arial"/>
                <w:sz w:val="18"/>
                <w:szCs w:val="18"/>
              </w:rPr>
              <w:t>Mainly CIM</w:t>
            </w:r>
          </w:p>
        </w:tc>
        <w:tc>
          <w:tcPr>
            <w:tcW w:w="896" w:type="dxa"/>
            <w:hideMark/>
          </w:tcPr>
          <w:p w14:paraId="37295865" w14:textId="77777777" w:rsidR="007B66BD" w:rsidRPr="00F04D38" w:rsidRDefault="007B66BD" w:rsidP="007B66BD">
            <w:pPr>
              <w:rPr>
                <w:rFonts w:ascii="Arial" w:hAnsi="Arial" w:cs="Arial"/>
                <w:sz w:val="18"/>
                <w:szCs w:val="18"/>
              </w:rPr>
            </w:pPr>
            <w:r w:rsidRPr="00F04D38">
              <w:rPr>
                <w:rFonts w:ascii="Arial" w:hAnsi="Arial" w:cs="Arial"/>
                <w:sz w:val="18"/>
                <w:szCs w:val="18"/>
              </w:rPr>
              <w:t>CIM only</w:t>
            </w:r>
          </w:p>
        </w:tc>
        <w:tc>
          <w:tcPr>
            <w:tcW w:w="930" w:type="dxa"/>
            <w:hideMark/>
          </w:tcPr>
          <w:p w14:paraId="4830DE5A" w14:textId="2171D729" w:rsidR="007B66BD" w:rsidRPr="00F04D38" w:rsidRDefault="007B66BD" w:rsidP="007B66BD">
            <w:pPr>
              <w:rPr>
                <w:rFonts w:ascii="Arial" w:hAnsi="Arial" w:cs="Arial"/>
                <w:sz w:val="18"/>
                <w:szCs w:val="18"/>
              </w:rPr>
            </w:pPr>
            <w:r w:rsidRPr="00F04D38">
              <w:rPr>
                <w:rFonts w:ascii="Arial" w:hAnsi="Arial" w:cs="Arial"/>
                <w:sz w:val="18"/>
                <w:szCs w:val="18"/>
              </w:rPr>
              <w:t>CIM included</w:t>
            </w:r>
          </w:p>
        </w:tc>
      </w:tr>
      <w:tr w:rsidR="00D47F12" w:rsidRPr="00B03D4D" w14:paraId="5F8DB40B" w14:textId="77777777" w:rsidTr="00325511">
        <w:trPr>
          <w:trHeight w:val="60"/>
        </w:trPr>
        <w:tc>
          <w:tcPr>
            <w:tcW w:w="1413" w:type="dxa"/>
            <w:noWrap/>
          </w:tcPr>
          <w:p w14:paraId="0DF3270D" w14:textId="2E554AB5" w:rsidR="00D47F12" w:rsidRPr="008B6FB4" w:rsidRDefault="00D47F12" w:rsidP="00325511">
            <w:pPr>
              <w:rPr>
                <w:b/>
                <w:bCs/>
                <w:color w:val="000000" w:themeColor="text1"/>
                <w:sz w:val="20"/>
                <w:szCs w:val="20"/>
              </w:rPr>
            </w:pPr>
            <w:r>
              <w:rPr>
                <w:b/>
                <w:bCs/>
                <w:color w:val="000000" w:themeColor="text1"/>
                <w:sz w:val="20"/>
                <w:szCs w:val="20"/>
              </w:rPr>
              <w:t>Document type</w:t>
            </w:r>
            <w:r w:rsidR="00F842E2">
              <w:rPr>
                <w:b/>
                <w:bCs/>
                <w:color w:val="000000" w:themeColor="text1"/>
                <w:sz w:val="20"/>
                <w:szCs w:val="20"/>
              </w:rPr>
              <w:t xml:space="preserve">(s) </w:t>
            </w:r>
            <w:r>
              <w:rPr>
                <w:b/>
                <w:bCs/>
                <w:color w:val="000000" w:themeColor="text1"/>
                <w:sz w:val="20"/>
                <w:szCs w:val="20"/>
              </w:rPr>
              <w:t>(Publisher)</w:t>
            </w:r>
          </w:p>
        </w:tc>
        <w:tc>
          <w:tcPr>
            <w:tcW w:w="895" w:type="dxa"/>
          </w:tcPr>
          <w:p w14:paraId="442DCB21" w14:textId="19E28850" w:rsidR="00D47F12" w:rsidRPr="00F04D38" w:rsidRDefault="00D47F12" w:rsidP="00D47F12">
            <w:pPr>
              <w:rPr>
                <w:rFonts w:ascii="Arial" w:hAnsi="Arial" w:cs="Arial"/>
                <w:sz w:val="18"/>
                <w:szCs w:val="18"/>
              </w:rPr>
            </w:pPr>
            <w:r w:rsidRPr="00D70F28">
              <w:rPr>
                <w:rFonts w:ascii="Arial" w:hAnsi="Arial" w:cs="Arial"/>
                <w:color w:val="000000" w:themeColor="text1"/>
                <w:sz w:val="18"/>
                <w:szCs w:val="18"/>
              </w:rPr>
              <w:t>Academic peer-reviewed journal article</w:t>
            </w:r>
            <w:r w:rsidR="00423D6A">
              <w:rPr>
                <w:rFonts w:ascii="Arial" w:hAnsi="Arial" w:cs="Arial"/>
                <w:color w:val="000000" w:themeColor="text1"/>
                <w:sz w:val="18"/>
                <w:szCs w:val="18"/>
              </w:rPr>
              <w:t xml:space="preserve"> </w:t>
            </w:r>
            <w:r>
              <w:rPr>
                <w:rFonts w:ascii="Arial" w:hAnsi="Arial" w:cs="Arial"/>
                <w:color w:val="000000" w:themeColor="text1"/>
                <w:sz w:val="18"/>
                <w:szCs w:val="18"/>
              </w:rPr>
              <w:t>(Elsevier)</w:t>
            </w:r>
          </w:p>
        </w:tc>
        <w:tc>
          <w:tcPr>
            <w:tcW w:w="895" w:type="dxa"/>
          </w:tcPr>
          <w:p w14:paraId="2BD68DAD" w14:textId="736903BF" w:rsidR="00D47F12" w:rsidRPr="00F04D38" w:rsidRDefault="00D47F12" w:rsidP="00D47F12">
            <w:pPr>
              <w:rPr>
                <w:rFonts w:ascii="Arial" w:hAnsi="Arial" w:cs="Arial"/>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 xml:space="preserve"> (Elsevier)</w:t>
            </w:r>
          </w:p>
        </w:tc>
        <w:tc>
          <w:tcPr>
            <w:tcW w:w="895" w:type="dxa"/>
            <w:noWrap/>
          </w:tcPr>
          <w:p w14:paraId="6105F3C5" w14:textId="2E4984C0" w:rsidR="00D47F12" w:rsidRPr="00F04D38" w:rsidRDefault="00D47F12" w:rsidP="00D47F12">
            <w:pPr>
              <w:rPr>
                <w:rFonts w:ascii="Arial" w:hAnsi="Arial" w:cs="Arial"/>
                <w:sz w:val="18"/>
                <w:szCs w:val="18"/>
              </w:rPr>
            </w:pPr>
            <w:r w:rsidRPr="00D70F28">
              <w:rPr>
                <w:rFonts w:ascii="Arial" w:hAnsi="Arial" w:cs="Arial"/>
                <w:color w:val="000000" w:themeColor="text1"/>
                <w:sz w:val="18"/>
                <w:szCs w:val="18"/>
              </w:rPr>
              <w:t>Academic peer-reviewed journal article</w:t>
            </w:r>
            <w:r w:rsidR="00423D6A">
              <w:rPr>
                <w:rFonts w:ascii="Arial" w:hAnsi="Arial" w:cs="Arial"/>
                <w:color w:val="000000" w:themeColor="text1"/>
                <w:sz w:val="18"/>
                <w:szCs w:val="18"/>
              </w:rPr>
              <w:t xml:space="preserve"> </w:t>
            </w:r>
            <w:r>
              <w:rPr>
                <w:rFonts w:ascii="Arial" w:hAnsi="Arial" w:cs="Arial"/>
                <w:color w:val="000000" w:themeColor="text1"/>
                <w:sz w:val="18"/>
                <w:szCs w:val="18"/>
              </w:rPr>
              <w:t>(Elsevier)</w:t>
            </w:r>
          </w:p>
        </w:tc>
        <w:tc>
          <w:tcPr>
            <w:tcW w:w="896" w:type="dxa"/>
            <w:noWrap/>
          </w:tcPr>
          <w:p w14:paraId="3C65C92C" w14:textId="1BF1F4F9" w:rsidR="00D47F12" w:rsidRPr="00F04D38" w:rsidRDefault="00D47F12" w:rsidP="00D47F12">
            <w:pPr>
              <w:rPr>
                <w:rFonts w:ascii="Arial" w:hAnsi="Arial" w:cs="Arial"/>
                <w:sz w:val="18"/>
                <w:szCs w:val="18"/>
              </w:rPr>
            </w:pPr>
            <w:r w:rsidRPr="00D70F28">
              <w:rPr>
                <w:rFonts w:ascii="Arial" w:hAnsi="Arial" w:cs="Arial"/>
                <w:color w:val="000000" w:themeColor="text1"/>
                <w:sz w:val="18"/>
                <w:szCs w:val="18"/>
              </w:rPr>
              <w:t>Academic peer-reviewed journal article</w:t>
            </w:r>
            <w:r w:rsidR="00423D6A">
              <w:rPr>
                <w:rFonts w:ascii="Arial" w:hAnsi="Arial" w:cs="Arial"/>
                <w:color w:val="000000" w:themeColor="text1"/>
                <w:sz w:val="18"/>
                <w:szCs w:val="18"/>
              </w:rPr>
              <w:t xml:space="preserve"> </w:t>
            </w:r>
            <w:r>
              <w:rPr>
                <w:rFonts w:ascii="Arial" w:hAnsi="Arial" w:cs="Arial"/>
                <w:color w:val="000000" w:themeColor="text1"/>
                <w:sz w:val="18"/>
                <w:szCs w:val="18"/>
              </w:rPr>
              <w:t>(Elsevier)</w:t>
            </w:r>
          </w:p>
        </w:tc>
        <w:tc>
          <w:tcPr>
            <w:tcW w:w="895" w:type="dxa"/>
          </w:tcPr>
          <w:p w14:paraId="27E37973" w14:textId="5B404CC5" w:rsidR="00D47F12" w:rsidRPr="00F04D38" w:rsidRDefault="00D47F12" w:rsidP="00D47F12">
            <w:pPr>
              <w:rPr>
                <w:rFonts w:ascii="Arial" w:hAnsi="Arial" w:cs="Arial"/>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s (Elsevier)</w:t>
            </w:r>
          </w:p>
        </w:tc>
        <w:tc>
          <w:tcPr>
            <w:tcW w:w="895" w:type="dxa"/>
            <w:noWrap/>
          </w:tcPr>
          <w:p w14:paraId="5CB6E9CC" w14:textId="739438DC" w:rsidR="00D47F12" w:rsidRPr="00F04D38" w:rsidRDefault="00CF79BC" w:rsidP="00D47F12">
            <w:pPr>
              <w:rPr>
                <w:rFonts w:ascii="Arial" w:hAnsi="Arial" w:cs="Arial"/>
                <w:sz w:val="18"/>
                <w:szCs w:val="18"/>
              </w:rPr>
            </w:pPr>
            <w:r>
              <w:rPr>
                <w:rFonts w:ascii="Arial" w:hAnsi="Arial" w:cs="Arial"/>
                <w:sz w:val="18"/>
                <w:szCs w:val="18"/>
              </w:rPr>
              <w:t>Grey literature</w:t>
            </w:r>
            <w:r w:rsidR="00325717">
              <w:rPr>
                <w:rFonts w:ascii="Arial" w:hAnsi="Arial" w:cs="Arial"/>
                <w:sz w:val="18"/>
                <w:szCs w:val="18"/>
              </w:rPr>
              <w:t xml:space="preserve"> report (</w:t>
            </w:r>
            <w:r w:rsidR="00F56E04" w:rsidRPr="00F56E04">
              <w:rPr>
                <w:rFonts w:ascii="Arial" w:hAnsi="Arial" w:cs="Arial"/>
                <w:sz w:val="18"/>
                <w:szCs w:val="18"/>
              </w:rPr>
              <w:t>Cambridge Econometrics</w:t>
            </w:r>
            <w:r w:rsidR="00E4411B">
              <w:rPr>
                <w:rFonts w:ascii="Arial" w:hAnsi="Arial" w:cs="Arial"/>
                <w:sz w:val="18"/>
                <w:szCs w:val="18"/>
              </w:rPr>
              <w:t>, UK</w:t>
            </w:r>
            <w:r w:rsidR="00F56E04">
              <w:rPr>
                <w:rFonts w:ascii="Arial" w:hAnsi="Arial" w:cs="Arial"/>
                <w:sz w:val="18"/>
                <w:szCs w:val="18"/>
              </w:rPr>
              <w:t>)</w:t>
            </w:r>
          </w:p>
        </w:tc>
        <w:tc>
          <w:tcPr>
            <w:tcW w:w="896" w:type="dxa"/>
          </w:tcPr>
          <w:p w14:paraId="703419B6" w14:textId="36746D9F" w:rsidR="00D47F12" w:rsidRPr="00F04D38" w:rsidRDefault="00554CCE" w:rsidP="00D47F12">
            <w:pPr>
              <w:rPr>
                <w:rFonts w:ascii="Arial" w:hAnsi="Arial" w:cs="Arial"/>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s (</w:t>
            </w:r>
            <w:r w:rsidR="008F67DE">
              <w:rPr>
                <w:rFonts w:ascii="Arial" w:hAnsi="Arial" w:cs="Arial"/>
                <w:color w:val="000000" w:themeColor="text1"/>
                <w:sz w:val="18"/>
                <w:szCs w:val="18"/>
              </w:rPr>
              <w:t>Elsevier</w:t>
            </w:r>
            <w:r w:rsidR="00F842E2">
              <w:rPr>
                <w:rFonts w:ascii="Arial" w:hAnsi="Arial" w:cs="Arial"/>
                <w:color w:val="000000" w:themeColor="text1"/>
                <w:sz w:val="18"/>
                <w:szCs w:val="18"/>
              </w:rPr>
              <w:t xml:space="preserve">; </w:t>
            </w:r>
            <w:proofErr w:type="spellStart"/>
            <w:r w:rsidR="008F67DE" w:rsidRPr="008F67DE">
              <w:rPr>
                <w:rFonts w:ascii="Arial" w:hAnsi="Arial" w:cs="Arial"/>
                <w:color w:val="000000" w:themeColor="text1"/>
                <w:sz w:val="18"/>
                <w:szCs w:val="18"/>
              </w:rPr>
              <w:t>Inderscience</w:t>
            </w:r>
            <w:proofErr w:type="spellEnd"/>
            <w:r>
              <w:rPr>
                <w:rFonts w:ascii="Arial" w:hAnsi="Arial" w:cs="Arial"/>
                <w:color w:val="000000" w:themeColor="text1"/>
                <w:sz w:val="18"/>
                <w:szCs w:val="18"/>
              </w:rPr>
              <w:t>)</w:t>
            </w:r>
          </w:p>
        </w:tc>
        <w:tc>
          <w:tcPr>
            <w:tcW w:w="895" w:type="dxa"/>
          </w:tcPr>
          <w:p w14:paraId="19CB5CD2" w14:textId="203F9D09" w:rsidR="00D47F12" w:rsidRPr="00F04D38" w:rsidRDefault="00637A8B" w:rsidP="00D47F12">
            <w:pPr>
              <w:rPr>
                <w:rFonts w:ascii="Arial" w:hAnsi="Arial" w:cs="Arial"/>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 xml:space="preserve"> (Elsevier)</w:t>
            </w:r>
          </w:p>
        </w:tc>
        <w:tc>
          <w:tcPr>
            <w:tcW w:w="895" w:type="dxa"/>
          </w:tcPr>
          <w:p w14:paraId="29B4A7F3" w14:textId="65666210" w:rsidR="00D47F12" w:rsidRPr="00F04D38" w:rsidRDefault="004D3798" w:rsidP="00D47F12">
            <w:pPr>
              <w:rPr>
                <w:rFonts w:ascii="Arial" w:hAnsi="Arial" w:cs="Arial"/>
                <w:sz w:val="18"/>
                <w:szCs w:val="18"/>
              </w:rPr>
            </w:pPr>
            <w:r w:rsidRPr="00D70F28">
              <w:rPr>
                <w:rFonts w:ascii="Arial" w:hAnsi="Arial" w:cs="Arial"/>
                <w:color w:val="000000" w:themeColor="text1"/>
                <w:sz w:val="18"/>
                <w:szCs w:val="18"/>
              </w:rPr>
              <w:t>Academic peer-reviewed journal article</w:t>
            </w:r>
            <w:r w:rsidR="006704AA">
              <w:rPr>
                <w:rFonts w:ascii="Arial" w:hAnsi="Arial" w:cs="Arial"/>
                <w:color w:val="000000" w:themeColor="text1"/>
                <w:sz w:val="18"/>
                <w:szCs w:val="18"/>
              </w:rPr>
              <w:t>s</w:t>
            </w:r>
            <w:r>
              <w:rPr>
                <w:rFonts w:ascii="Arial" w:hAnsi="Arial" w:cs="Arial"/>
                <w:color w:val="000000" w:themeColor="text1"/>
                <w:sz w:val="18"/>
                <w:szCs w:val="18"/>
              </w:rPr>
              <w:t xml:space="preserve"> (Elsevier)</w:t>
            </w:r>
          </w:p>
        </w:tc>
        <w:tc>
          <w:tcPr>
            <w:tcW w:w="896" w:type="dxa"/>
          </w:tcPr>
          <w:p w14:paraId="129BEFF2" w14:textId="4DDF4A83" w:rsidR="00D47F12" w:rsidRPr="00F04D38" w:rsidRDefault="006704AA" w:rsidP="00D47F12">
            <w:pPr>
              <w:rPr>
                <w:rFonts w:ascii="Arial" w:hAnsi="Arial" w:cs="Arial"/>
                <w:sz w:val="18"/>
                <w:szCs w:val="18"/>
              </w:rPr>
            </w:pPr>
            <w:r w:rsidRPr="00D70F28">
              <w:rPr>
                <w:rFonts w:ascii="Arial" w:hAnsi="Arial" w:cs="Arial"/>
                <w:color w:val="000000" w:themeColor="text1"/>
                <w:sz w:val="18"/>
                <w:szCs w:val="18"/>
              </w:rPr>
              <w:t>Academic peer-reviewed journal article</w:t>
            </w:r>
            <w:r>
              <w:rPr>
                <w:rFonts w:ascii="Arial" w:hAnsi="Arial" w:cs="Arial"/>
                <w:color w:val="000000" w:themeColor="text1"/>
                <w:sz w:val="18"/>
                <w:szCs w:val="18"/>
              </w:rPr>
              <w:t xml:space="preserve"> (Elsevier)</w:t>
            </w:r>
          </w:p>
        </w:tc>
        <w:tc>
          <w:tcPr>
            <w:tcW w:w="895" w:type="dxa"/>
          </w:tcPr>
          <w:p w14:paraId="0350C227" w14:textId="1313979B" w:rsidR="00D47F12" w:rsidRPr="00F04D38" w:rsidRDefault="002F6AF7" w:rsidP="00D47F12">
            <w:pPr>
              <w:rPr>
                <w:rFonts w:ascii="Arial" w:hAnsi="Arial" w:cs="Arial"/>
                <w:sz w:val="18"/>
                <w:szCs w:val="18"/>
              </w:rPr>
            </w:pPr>
            <w:r>
              <w:rPr>
                <w:rFonts w:ascii="Arial" w:hAnsi="Arial" w:cs="Arial"/>
                <w:sz w:val="18"/>
                <w:szCs w:val="18"/>
              </w:rPr>
              <w:t>Grey literature report</w:t>
            </w:r>
            <w:r w:rsidR="00325717">
              <w:rPr>
                <w:rFonts w:ascii="Arial" w:hAnsi="Arial" w:cs="Arial"/>
                <w:sz w:val="18"/>
                <w:szCs w:val="18"/>
              </w:rPr>
              <w:t>s</w:t>
            </w:r>
            <w:r>
              <w:rPr>
                <w:rFonts w:ascii="Arial" w:hAnsi="Arial" w:cs="Arial"/>
                <w:sz w:val="18"/>
                <w:szCs w:val="18"/>
              </w:rPr>
              <w:t xml:space="preserve"> (</w:t>
            </w:r>
            <w:r w:rsidR="00F842E2">
              <w:rPr>
                <w:rFonts w:ascii="Arial" w:hAnsi="Arial" w:cs="Arial"/>
                <w:sz w:val="18"/>
                <w:szCs w:val="18"/>
              </w:rPr>
              <w:t>University of California</w:t>
            </w:r>
            <w:r w:rsidR="00E4411B">
              <w:rPr>
                <w:rFonts w:ascii="Arial" w:hAnsi="Arial" w:cs="Arial"/>
                <w:sz w:val="18"/>
                <w:szCs w:val="18"/>
              </w:rPr>
              <w:t>, US</w:t>
            </w:r>
            <w:r w:rsidR="00325717">
              <w:rPr>
                <w:rFonts w:ascii="Arial" w:hAnsi="Arial" w:cs="Arial"/>
                <w:sz w:val="18"/>
                <w:szCs w:val="18"/>
              </w:rPr>
              <w:t xml:space="preserve">; </w:t>
            </w:r>
            <w:r w:rsidR="00325717" w:rsidRPr="00325717">
              <w:rPr>
                <w:rFonts w:ascii="Arial" w:hAnsi="Arial" w:cs="Arial"/>
                <w:sz w:val="18"/>
                <w:szCs w:val="18"/>
              </w:rPr>
              <w:t>American Council for an Energy-Efficient Economy</w:t>
            </w:r>
            <w:r w:rsidR="00325717">
              <w:rPr>
                <w:rFonts w:ascii="Arial" w:hAnsi="Arial" w:cs="Arial"/>
                <w:sz w:val="18"/>
                <w:szCs w:val="18"/>
              </w:rPr>
              <w:t>)</w:t>
            </w:r>
          </w:p>
        </w:tc>
        <w:tc>
          <w:tcPr>
            <w:tcW w:w="895" w:type="dxa"/>
          </w:tcPr>
          <w:p w14:paraId="4C34FE3A" w14:textId="716DD6DE" w:rsidR="00D47F12" w:rsidRPr="00F04D38" w:rsidRDefault="00E4411B" w:rsidP="00D47F12">
            <w:pPr>
              <w:rPr>
                <w:rFonts w:ascii="Arial" w:hAnsi="Arial" w:cs="Arial"/>
                <w:sz w:val="18"/>
                <w:szCs w:val="18"/>
              </w:rPr>
            </w:pPr>
            <w:r>
              <w:rPr>
                <w:rFonts w:ascii="Arial" w:hAnsi="Arial" w:cs="Arial"/>
                <w:sz w:val="18"/>
                <w:szCs w:val="18"/>
              </w:rPr>
              <w:t>Grey literature report (</w:t>
            </w:r>
            <w:r w:rsidRPr="00E4411B">
              <w:rPr>
                <w:rFonts w:ascii="Arial" w:hAnsi="Arial" w:cs="Arial"/>
                <w:sz w:val="18"/>
                <w:szCs w:val="18"/>
              </w:rPr>
              <w:t>University of Massachusetts</w:t>
            </w:r>
            <w:r>
              <w:rPr>
                <w:rFonts w:ascii="Arial" w:hAnsi="Arial" w:cs="Arial"/>
                <w:sz w:val="18"/>
                <w:szCs w:val="18"/>
              </w:rPr>
              <w:t>, US)</w:t>
            </w:r>
            <w:r w:rsidR="005A3B3A">
              <w:rPr>
                <w:rFonts w:ascii="Arial" w:hAnsi="Arial" w:cs="Arial"/>
                <w:sz w:val="18"/>
                <w:szCs w:val="18"/>
              </w:rPr>
              <w:t xml:space="preserve">; </w:t>
            </w:r>
            <w:r w:rsidR="0051484F">
              <w:rPr>
                <w:rFonts w:ascii="Arial" w:hAnsi="Arial" w:cs="Arial"/>
                <w:sz w:val="18"/>
                <w:szCs w:val="18"/>
              </w:rPr>
              <w:t>A</w:t>
            </w:r>
            <w:r w:rsidR="005A3B3A" w:rsidRPr="005A3B3A">
              <w:rPr>
                <w:rFonts w:ascii="Arial" w:hAnsi="Arial" w:cs="Arial"/>
                <w:sz w:val="18"/>
                <w:szCs w:val="18"/>
              </w:rPr>
              <w:t>cademic peer-reviewed journal article (</w:t>
            </w:r>
            <w:r w:rsidR="005A3B3A">
              <w:rPr>
                <w:rFonts w:ascii="Arial" w:hAnsi="Arial" w:cs="Arial"/>
                <w:sz w:val="18"/>
                <w:szCs w:val="18"/>
              </w:rPr>
              <w:t>MDPI</w:t>
            </w:r>
            <w:r w:rsidR="005A3B3A" w:rsidRPr="005A3B3A">
              <w:rPr>
                <w:rFonts w:ascii="Arial" w:hAnsi="Arial" w:cs="Arial"/>
                <w:sz w:val="18"/>
                <w:szCs w:val="18"/>
              </w:rPr>
              <w:t>)</w:t>
            </w:r>
          </w:p>
        </w:tc>
        <w:tc>
          <w:tcPr>
            <w:tcW w:w="896" w:type="dxa"/>
          </w:tcPr>
          <w:p w14:paraId="2809C96C" w14:textId="0C1A6FCD" w:rsidR="00D47F12" w:rsidRPr="00F04D38" w:rsidRDefault="007F58E9" w:rsidP="00D47F12">
            <w:pPr>
              <w:rPr>
                <w:rFonts w:ascii="Arial" w:hAnsi="Arial" w:cs="Arial"/>
                <w:sz w:val="18"/>
                <w:szCs w:val="18"/>
              </w:rPr>
            </w:pPr>
            <w:r>
              <w:rPr>
                <w:rFonts w:ascii="Arial" w:hAnsi="Arial" w:cs="Arial"/>
                <w:sz w:val="18"/>
                <w:szCs w:val="18"/>
              </w:rPr>
              <w:t>Grey literature report (</w:t>
            </w:r>
            <w:proofErr w:type="spellStart"/>
            <w:r w:rsidR="002564BE" w:rsidRPr="002564BE">
              <w:rPr>
                <w:rFonts w:ascii="Arial" w:hAnsi="Arial" w:cs="Arial"/>
                <w:sz w:val="18"/>
                <w:szCs w:val="18"/>
              </w:rPr>
              <w:t>Center</w:t>
            </w:r>
            <w:proofErr w:type="spellEnd"/>
            <w:r w:rsidR="002564BE" w:rsidRPr="002564BE">
              <w:rPr>
                <w:rFonts w:ascii="Arial" w:hAnsi="Arial" w:cs="Arial"/>
                <w:sz w:val="18"/>
                <w:szCs w:val="18"/>
              </w:rPr>
              <w:t xml:space="preserve"> for American Progress</w:t>
            </w:r>
            <w:r w:rsidR="002564BE">
              <w:rPr>
                <w:rFonts w:ascii="Arial" w:hAnsi="Arial" w:cs="Arial"/>
                <w:sz w:val="18"/>
                <w:szCs w:val="18"/>
              </w:rPr>
              <w:t xml:space="preserve"> / </w:t>
            </w:r>
            <w:r w:rsidRPr="00E4411B">
              <w:rPr>
                <w:rFonts w:ascii="Arial" w:hAnsi="Arial" w:cs="Arial"/>
                <w:sz w:val="18"/>
                <w:szCs w:val="18"/>
              </w:rPr>
              <w:t>University of Massachusetts</w:t>
            </w:r>
            <w:r>
              <w:rPr>
                <w:rFonts w:ascii="Arial" w:hAnsi="Arial" w:cs="Arial"/>
                <w:sz w:val="18"/>
                <w:szCs w:val="18"/>
              </w:rPr>
              <w:t xml:space="preserve">, US); </w:t>
            </w:r>
            <w:r w:rsidR="00A36572">
              <w:rPr>
                <w:rFonts w:ascii="Arial" w:hAnsi="Arial" w:cs="Arial"/>
                <w:sz w:val="18"/>
                <w:szCs w:val="18"/>
              </w:rPr>
              <w:t>A</w:t>
            </w:r>
            <w:r w:rsidR="00A36572" w:rsidRPr="005A3B3A">
              <w:rPr>
                <w:rFonts w:ascii="Arial" w:hAnsi="Arial" w:cs="Arial"/>
                <w:sz w:val="18"/>
                <w:szCs w:val="18"/>
              </w:rPr>
              <w:t>cademic peer-reviewed journal article (</w:t>
            </w:r>
            <w:r w:rsidR="00A36572">
              <w:rPr>
                <w:rFonts w:ascii="Arial" w:hAnsi="Arial" w:cs="Arial"/>
                <w:sz w:val="18"/>
                <w:szCs w:val="18"/>
              </w:rPr>
              <w:t>MDPI</w:t>
            </w:r>
            <w:r w:rsidR="00A36572" w:rsidRPr="005A3B3A">
              <w:rPr>
                <w:rFonts w:ascii="Arial" w:hAnsi="Arial" w:cs="Arial"/>
                <w:sz w:val="18"/>
                <w:szCs w:val="18"/>
              </w:rPr>
              <w:t>)</w:t>
            </w:r>
          </w:p>
        </w:tc>
        <w:tc>
          <w:tcPr>
            <w:tcW w:w="930" w:type="dxa"/>
          </w:tcPr>
          <w:p w14:paraId="1A80F041" w14:textId="162EBFB3" w:rsidR="00D47F12" w:rsidRPr="00AD4923" w:rsidRDefault="007426D6" w:rsidP="00D47F12">
            <w:pPr>
              <w:rPr>
                <w:rFonts w:ascii="Arial" w:hAnsi="Arial" w:cs="Arial"/>
                <w:sz w:val="18"/>
                <w:szCs w:val="18"/>
              </w:rPr>
            </w:pPr>
            <w:r w:rsidRPr="00AD4923">
              <w:rPr>
                <w:rFonts w:ascii="Arial" w:hAnsi="Arial" w:cs="Arial"/>
                <w:sz w:val="18"/>
                <w:szCs w:val="18"/>
              </w:rPr>
              <w:t>Grey literatur</w:t>
            </w:r>
            <w:r w:rsidR="00EF4D37" w:rsidRPr="00AD4923">
              <w:rPr>
                <w:rFonts w:ascii="Arial" w:hAnsi="Arial" w:cs="Arial"/>
                <w:sz w:val="18"/>
                <w:szCs w:val="18"/>
              </w:rPr>
              <w:t xml:space="preserve">e - </w:t>
            </w:r>
            <w:r w:rsidRPr="00AD4923">
              <w:rPr>
                <w:rFonts w:ascii="Arial" w:hAnsi="Arial" w:cs="Arial"/>
                <w:sz w:val="18"/>
                <w:szCs w:val="18"/>
              </w:rPr>
              <w:t>conference paper</w:t>
            </w:r>
            <w:r w:rsidR="00037A3D" w:rsidRPr="00AD4923">
              <w:rPr>
                <w:rFonts w:ascii="Arial" w:hAnsi="Arial" w:cs="Arial"/>
                <w:sz w:val="18"/>
                <w:szCs w:val="18"/>
              </w:rPr>
              <w:t xml:space="preserve"> (</w:t>
            </w:r>
            <w:hyperlink r:id="rId8" w:tgtFrame="_blank" w:history="1">
              <w:r w:rsidR="00037A3D" w:rsidRPr="00325511">
                <w:rPr>
                  <w:rStyle w:val="Hyperlink"/>
                  <w:rFonts w:ascii="Arial" w:hAnsi="Arial" w:cs="Arial"/>
                  <w:color w:val="000000"/>
                  <w:sz w:val="18"/>
                  <w:szCs w:val="18"/>
                </w:rPr>
                <w:t>Purdue University</w:t>
              </w:r>
            </w:hyperlink>
            <w:r w:rsidR="00037A3D" w:rsidRPr="00325511">
              <w:rPr>
                <w:rFonts w:ascii="Arial" w:hAnsi="Arial" w:cs="Arial"/>
                <w:sz w:val="18"/>
                <w:szCs w:val="18"/>
              </w:rPr>
              <w:t>, US)</w:t>
            </w:r>
          </w:p>
        </w:tc>
      </w:tr>
    </w:tbl>
    <w:p w14:paraId="4670A4AA" w14:textId="77777777" w:rsidR="00EE3CF1" w:rsidRDefault="00EE3CF1" w:rsidP="006E66A0">
      <w:pPr>
        <w:rPr>
          <w:rFonts w:ascii="Arial" w:hAnsi="Arial" w:cs="Arial"/>
          <w:b/>
          <w:bCs/>
          <w:sz w:val="24"/>
          <w:szCs w:val="24"/>
        </w:rPr>
      </w:pPr>
    </w:p>
    <w:p w14:paraId="1B653F4F" w14:textId="1B01448A" w:rsidR="007A0FAA" w:rsidRPr="006E66A0" w:rsidRDefault="007A0FAA" w:rsidP="007A0FAA">
      <w:pPr>
        <w:rPr>
          <w:rFonts w:ascii="Arial" w:hAnsi="Arial" w:cs="Arial"/>
          <w:b/>
          <w:bCs/>
          <w:sz w:val="20"/>
          <w:szCs w:val="20"/>
          <w:u w:val="single"/>
        </w:rPr>
      </w:pPr>
      <w:r w:rsidRPr="006E66A0">
        <w:rPr>
          <w:rFonts w:ascii="Arial" w:hAnsi="Arial" w:cs="Arial"/>
          <w:b/>
          <w:bCs/>
          <w:sz w:val="20"/>
          <w:szCs w:val="20"/>
          <w:u w:val="single"/>
        </w:rPr>
        <w:t>Notes to Table S</w:t>
      </w:r>
      <w:r w:rsidR="00F9307F">
        <w:rPr>
          <w:rFonts w:ascii="Arial" w:hAnsi="Arial" w:cs="Arial"/>
          <w:b/>
          <w:bCs/>
          <w:sz w:val="20"/>
          <w:szCs w:val="20"/>
          <w:u w:val="single"/>
        </w:rPr>
        <w:t>3</w:t>
      </w:r>
    </w:p>
    <w:p w14:paraId="186FC747" w14:textId="336AD819" w:rsidR="00CE36D4" w:rsidRPr="005F23BE" w:rsidRDefault="003C6543" w:rsidP="00CE36D4">
      <w:pPr>
        <w:pStyle w:val="ListParagraph"/>
        <w:numPr>
          <w:ilvl w:val="0"/>
          <w:numId w:val="3"/>
        </w:numPr>
        <w:spacing w:after="120" w:line="360" w:lineRule="auto"/>
        <w:rPr>
          <w:i/>
          <w:iCs/>
          <w:color w:val="000000" w:themeColor="text1"/>
          <w:sz w:val="20"/>
          <w:szCs w:val="20"/>
        </w:rPr>
      </w:pPr>
      <w:r>
        <w:rPr>
          <w:i/>
          <w:iCs/>
          <w:color w:val="000000" w:themeColor="text1"/>
          <w:sz w:val="20"/>
          <w:szCs w:val="20"/>
        </w:rPr>
        <w:t>Where t</w:t>
      </w:r>
      <w:r w:rsidR="00CE36D4" w:rsidRPr="005F23BE">
        <w:rPr>
          <w:i/>
          <w:iCs/>
          <w:color w:val="000000" w:themeColor="text1"/>
          <w:sz w:val="20"/>
          <w:szCs w:val="20"/>
        </w:rPr>
        <w:t xml:space="preserve">he investment currency in the original datasets </w:t>
      </w:r>
      <w:r>
        <w:rPr>
          <w:i/>
          <w:iCs/>
          <w:color w:val="000000" w:themeColor="text1"/>
          <w:sz w:val="20"/>
          <w:szCs w:val="20"/>
        </w:rPr>
        <w:t xml:space="preserve">was not US dollars (USD), it </w:t>
      </w:r>
      <w:r w:rsidR="00CE36D4" w:rsidRPr="005F23BE">
        <w:rPr>
          <w:i/>
          <w:iCs/>
          <w:color w:val="000000" w:themeColor="text1"/>
          <w:sz w:val="20"/>
          <w:szCs w:val="20"/>
        </w:rPr>
        <w:t>has been converted from EUR or pound sterling to USD</w:t>
      </w:r>
      <w:r w:rsidR="0027654F">
        <w:rPr>
          <w:i/>
          <w:iCs/>
          <w:color w:val="000000" w:themeColor="text1"/>
          <w:sz w:val="20"/>
          <w:szCs w:val="20"/>
        </w:rPr>
        <w:t xml:space="preserve"> based on the year of the original currency</w:t>
      </w:r>
      <w:r w:rsidR="00CE36D4" w:rsidRPr="005F23BE">
        <w:rPr>
          <w:rFonts w:eastAsia="Calibri" w:cs="Arial"/>
          <w:i/>
          <w:iCs/>
          <w:color w:val="000000" w:themeColor="text1"/>
          <w:sz w:val="20"/>
          <w:szCs w:val="20"/>
        </w:rPr>
        <w:t xml:space="preserve">, </w:t>
      </w:r>
      <w:r w:rsidR="0027654F">
        <w:rPr>
          <w:rFonts w:eastAsia="Calibri" w:cs="Arial"/>
          <w:i/>
          <w:iCs/>
          <w:color w:val="000000" w:themeColor="text1"/>
          <w:sz w:val="20"/>
          <w:szCs w:val="20"/>
        </w:rPr>
        <w:t>using</w:t>
      </w:r>
      <w:r w:rsidR="00CE36D4" w:rsidRPr="005F23BE">
        <w:rPr>
          <w:rFonts w:eastAsia="Calibri" w:cs="Arial"/>
          <w:i/>
          <w:iCs/>
          <w:color w:val="000000" w:themeColor="text1"/>
          <w:sz w:val="20"/>
          <w:szCs w:val="20"/>
        </w:rPr>
        <w:t xml:space="preserve"> </w:t>
      </w:r>
      <w:r w:rsidR="00CE36D4" w:rsidRPr="005F23BE">
        <w:rPr>
          <w:rFonts w:eastAsia="Calibri" w:cs="Arial"/>
          <w:i/>
          <w:iCs/>
          <w:color w:val="000000" w:themeColor="text1"/>
          <w:sz w:val="20"/>
          <w:szCs w:val="20"/>
        </w:rPr>
        <w:fldChar w:fldCharType="begin" w:fldLock="1"/>
      </w:r>
      <w:r w:rsidR="00CE36D4" w:rsidRPr="005F23BE">
        <w:rPr>
          <w:rFonts w:eastAsia="Calibri" w:cs="Arial"/>
          <w:i/>
          <w:iCs/>
          <w:color w:val="000000" w:themeColor="text1"/>
          <w:sz w:val="20"/>
          <w:szCs w:val="20"/>
        </w:rPr>
        <w:instrText>ADDIN CSL_CITATION {"citationItems":[{"id":"ITEM-1","itemData":{"URL":"https://ec.europa.eu/eurostat/databrowser/product/page/TEC00033","accessed":{"date-parts":[["2023","1","2"]]},"author":[{"dropping-particle":"","family":"Eurostat","given":"","non-dropping-particle":"","parse-names":false,"suffix":""}],"id":"ITEM-1","issued":{"date-parts":[["2023"]]},"title":"ECU/EUR exchange rates versus national currencies","type":"webpage"},"uris":["http://www.mendeley.com/documents/?uuid=6f367042-60c9-4981-a594-c0ac4bccf090"]},{"id":"ITEM-2","itemData":{"URL":"https://data.oecd.org/conversion/exchange-rates.htm","accessed":{"date-parts":[["2023","1","2"]]},"author":[{"dropping-particle":"","family":"OECD","given":"","non-dropping-particle":"","parse-names":false,"suffix":""}],"id":"ITEM-2","issued":{"date-parts":[["2023"]]},"title":"OECD Data: Exchange rates","type":"webpage"},"uris":["http://www.mendeley.com/documents/?uuid=d55f1475-fbd9-4636-bcdc-2498ebf0a8ef"]}],"mendeley":{"formattedCitation":"(Eurostat, 2023; OECD, 2023)","manualFormatting":"Eurostat (2023) and OECD (2023)","plainTextFormattedCitation":"(Eurostat, 2023; OECD, 2023)","previouslyFormattedCitation":"(Eurostat, 2023; OECD, 2023)"},"properties":{"noteIndex":0},"schema":"https://github.com/citation-style-language/schema/raw/master/csl-citation.json"}</w:instrText>
      </w:r>
      <w:r w:rsidR="00CE36D4" w:rsidRPr="005F23BE">
        <w:rPr>
          <w:rFonts w:eastAsia="Calibri" w:cs="Arial"/>
          <w:i/>
          <w:iCs/>
          <w:color w:val="000000" w:themeColor="text1"/>
          <w:sz w:val="20"/>
          <w:szCs w:val="20"/>
        </w:rPr>
        <w:fldChar w:fldCharType="separate"/>
      </w:r>
      <w:r w:rsidR="00CE36D4" w:rsidRPr="005F23BE">
        <w:rPr>
          <w:rFonts w:eastAsia="Calibri" w:cs="Arial"/>
          <w:i/>
          <w:iCs/>
          <w:noProof/>
          <w:color w:val="000000" w:themeColor="text1"/>
          <w:sz w:val="20"/>
          <w:szCs w:val="20"/>
        </w:rPr>
        <w:t>Eurostat (2023) and OECD (2023)</w:t>
      </w:r>
      <w:r w:rsidR="00CE36D4" w:rsidRPr="005F23BE">
        <w:rPr>
          <w:rFonts w:eastAsia="Calibri" w:cs="Arial"/>
          <w:i/>
          <w:iCs/>
          <w:color w:val="000000" w:themeColor="text1"/>
          <w:sz w:val="20"/>
          <w:szCs w:val="20"/>
        </w:rPr>
        <w:fldChar w:fldCharType="end"/>
      </w:r>
      <w:r w:rsidR="00CE36D4" w:rsidRPr="005F23BE">
        <w:rPr>
          <w:i/>
          <w:iCs/>
          <w:color w:val="000000" w:themeColor="text1"/>
          <w:sz w:val="20"/>
          <w:szCs w:val="20"/>
        </w:rPr>
        <w:t xml:space="preserve">, and then adjusted for inflation to 2021 USD using an inflation calculator </w:t>
      </w:r>
      <w:r w:rsidR="00CE36D4" w:rsidRPr="005F23BE">
        <w:rPr>
          <w:i/>
          <w:iCs/>
          <w:color w:val="000000" w:themeColor="text1"/>
          <w:sz w:val="20"/>
          <w:szCs w:val="20"/>
        </w:rPr>
        <w:fldChar w:fldCharType="begin" w:fldLock="1"/>
      </w:r>
      <w:r w:rsidR="00CE36D4">
        <w:rPr>
          <w:i/>
          <w:iCs/>
          <w:color w:val="000000" w:themeColor="text1"/>
          <w:sz w:val="20"/>
          <w:szCs w:val="20"/>
        </w:rPr>
        <w:instrText>ADDIN CSL_CITATION {"citationItems":[{"id":"ITEM-1","itemData":{"URL":"https://www.bls.gov/data/inflation_calculator.htm","accessed":{"date-parts":[["2023","1","2"]]},"author":[{"dropping-particle":"","family":"U.S. Bureau of Labor Statistics","given":"","non-dropping-particle":"","parse-names":false,"suffix":""}],"id":"ITEM-1","issued":{"date-parts":[["2023"]]},"title":"CPI inflation calculator","type":"webpage"},"uris":["http://www.mendeley.com/documents/?uuid=3988213f-de6a-4d9c-b2b3-bc7d764549fe"]}],"mendeley":{"formattedCitation":"(U.S. Bureau of Labor Statistics, 2023)","plainTextFormattedCitation":"(U.S. Bureau of Labor Statistics, 2023)","previouslyFormattedCitation":"(U.S. Bureau of Labor Statistics, 2023)"},"properties":{"noteIndex":0},"schema":"https://github.com/citation-style-language/schema/raw/master/csl-citation.json"}</w:instrText>
      </w:r>
      <w:r w:rsidR="00CE36D4" w:rsidRPr="005F23BE">
        <w:rPr>
          <w:i/>
          <w:iCs/>
          <w:color w:val="000000" w:themeColor="text1"/>
          <w:sz w:val="20"/>
          <w:szCs w:val="20"/>
        </w:rPr>
        <w:fldChar w:fldCharType="separate"/>
      </w:r>
      <w:r w:rsidR="00CE36D4" w:rsidRPr="005F23BE">
        <w:rPr>
          <w:i/>
          <w:iCs/>
          <w:noProof/>
          <w:color w:val="000000" w:themeColor="text1"/>
          <w:sz w:val="20"/>
          <w:szCs w:val="20"/>
        </w:rPr>
        <w:t>(U.S. Bureau of Labor Statistics, 2023)</w:t>
      </w:r>
      <w:r w:rsidR="00CE36D4" w:rsidRPr="005F23BE">
        <w:rPr>
          <w:i/>
          <w:iCs/>
          <w:color w:val="000000" w:themeColor="text1"/>
          <w:sz w:val="20"/>
          <w:szCs w:val="20"/>
        </w:rPr>
        <w:fldChar w:fldCharType="end"/>
      </w:r>
      <w:r w:rsidR="00CE36D4" w:rsidRPr="005F23BE">
        <w:rPr>
          <w:i/>
          <w:iCs/>
          <w:color w:val="000000" w:themeColor="text1"/>
          <w:sz w:val="20"/>
          <w:szCs w:val="20"/>
        </w:rPr>
        <w:t>.</w:t>
      </w:r>
    </w:p>
    <w:p w14:paraId="3DECE9F2" w14:textId="77777777" w:rsidR="007A0FAA" w:rsidRDefault="007A0FAA" w:rsidP="006E66A0">
      <w:pPr>
        <w:rPr>
          <w:rFonts w:ascii="Arial" w:hAnsi="Arial" w:cs="Arial"/>
          <w:b/>
          <w:bCs/>
          <w:sz w:val="24"/>
          <w:szCs w:val="24"/>
        </w:rPr>
      </w:pPr>
    </w:p>
    <w:p w14:paraId="23B91EE6" w14:textId="77777777" w:rsidR="00F37087" w:rsidRDefault="00F37087" w:rsidP="006E66A0">
      <w:pPr>
        <w:rPr>
          <w:rFonts w:ascii="Arial" w:hAnsi="Arial" w:cs="Arial"/>
          <w:b/>
          <w:bCs/>
          <w:sz w:val="24"/>
          <w:szCs w:val="24"/>
        </w:rPr>
      </w:pPr>
    </w:p>
    <w:p w14:paraId="50B20E38" w14:textId="577103E3" w:rsidR="00F37087" w:rsidRPr="00423DD4" w:rsidRDefault="00F37087" w:rsidP="006E66A0">
      <w:pPr>
        <w:rPr>
          <w:rFonts w:ascii="Arial" w:hAnsi="Arial" w:cs="Arial"/>
          <w:b/>
          <w:bCs/>
          <w:sz w:val="24"/>
          <w:szCs w:val="24"/>
        </w:rPr>
        <w:sectPr w:rsidR="00F37087" w:rsidRPr="00423DD4" w:rsidSect="00E272BE">
          <w:pgSz w:w="16838" w:h="11906" w:orient="landscape"/>
          <w:pgMar w:top="1440" w:right="1440" w:bottom="1440" w:left="1440" w:header="709" w:footer="709" w:gutter="0"/>
          <w:cols w:space="708"/>
          <w:docGrid w:linePitch="360"/>
        </w:sectPr>
      </w:pPr>
    </w:p>
    <w:p w14:paraId="70FEF02E" w14:textId="143B9120" w:rsidR="00F21627" w:rsidRPr="003D3941" w:rsidRDefault="00F37087" w:rsidP="00F37087">
      <w:pPr>
        <w:rPr>
          <w:rFonts w:ascii="Arial" w:hAnsi="Arial" w:cs="Arial"/>
          <w:b/>
          <w:bCs/>
          <w:sz w:val="24"/>
          <w:szCs w:val="24"/>
        </w:rPr>
      </w:pPr>
      <w:r w:rsidRPr="0010334F">
        <w:rPr>
          <w:rFonts w:ascii="Arial" w:hAnsi="Arial" w:cs="Arial"/>
          <w:b/>
          <w:bCs/>
          <w:sz w:val="24"/>
          <w:szCs w:val="24"/>
        </w:rPr>
        <w:t>Table S</w:t>
      </w:r>
      <w:r>
        <w:rPr>
          <w:rFonts w:ascii="Arial" w:hAnsi="Arial" w:cs="Arial"/>
          <w:b/>
          <w:bCs/>
          <w:sz w:val="24"/>
          <w:szCs w:val="24"/>
        </w:rPr>
        <w:t xml:space="preserve">4 Full list of relevance rating 1 documents included in the systematic </w:t>
      </w:r>
      <w:proofErr w:type="gramStart"/>
      <w:r>
        <w:rPr>
          <w:rFonts w:ascii="Arial" w:hAnsi="Arial" w:cs="Arial"/>
          <w:b/>
          <w:bCs/>
          <w:sz w:val="24"/>
          <w:szCs w:val="24"/>
        </w:rPr>
        <w:t>review</w:t>
      </w:r>
      <w:proofErr w:type="gramEnd"/>
    </w:p>
    <w:tbl>
      <w:tblPr>
        <w:tblStyle w:val="GridTable1Light"/>
        <w:tblW w:w="8926" w:type="dxa"/>
        <w:tblLayout w:type="fixed"/>
        <w:tblLook w:val="04A0" w:firstRow="1" w:lastRow="0" w:firstColumn="1" w:lastColumn="0" w:noHBand="0" w:noVBand="1"/>
      </w:tblPr>
      <w:tblGrid>
        <w:gridCol w:w="1794"/>
        <w:gridCol w:w="1794"/>
        <w:gridCol w:w="1794"/>
        <w:gridCol w:w="3544"/>
      </w:tblGrid>
      <w:tr w:rsidR="001A1445" w:rsidRPr="00F47DE9" w14:paraId="5497AC03" w14:textId="77777777" w:rsidTr="001A1445">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1794" w:type="dxa"/>
          </w:tcPr>
          <w:p w14:paraId="752A3F5F" w14:textId="23C8BA18" w:rsidR="001A1445" w:rsidRPr="00F47DE9" w:rsidRDefault="001A1445">
            <w:pPr>
              <w:rPr>
                <w:rFonts w:ascii="Arial" w:hAnsi="Arial" w:cs="Arial"/>
                <w:sz w:val="24"/>
                <w:szCs w:val="24"/>
              </w:rPr>
            </w:pPr>
            <w:r>
              <w:rPr>
                <w:rFonts w:ascii="Arial" w:hAnsi="Arial" w:cs="Arial"/>
                <w:sz w:val="24"/>
                <w:szCs w:val="24"/>
              </w:rPr>
              <w:t>Author/s (Year)</w:t>
            </w:r>
          </w:p>
        </w:tc>
        <w:tc>
          <w:tcPr>
            <w:tcW w:w="1794" w:type="dxa"/>
            <w:hideMark/>
          </w:tcPr>
          <w:p w14:paraId="2C2E6FF4" w14:textId="77777777" w:rsidR="001A1445" w:rsidRPr="00F47DE9" w:rsidRDefault="001A1445">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47DE9">
              <w:rPr>
                <w:rFonts w:ascii="Arial" w:hAnsi="Arial" w:cs="Arial"/>
                <w:sz w:val="24"/>
                <w:szCs w:val="24"/>
              </w:rPr>
              <w:t>Country/ Region Focus</w:t>
            </w:r>
          </w:p>
        </w:tc>
        <w:tc>
          <w:tcPr>
            <w:tcW w:w="1794" w:type="dxa"/>
            <w:hideMark/>
          </w:tcPr>
          <w:p w14:paraId="0C89A1AF" w14:textId="77777777" w:rsidR="001A1445" w:rsidRPr="00F47DE9" w:rsidRDefault="001A1445">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47DE9">
              <w:rPr>
                <w:rFonts w:ascii="Arial" w:hAnsi="Arial" w:cs="Arial"/>
                <w:sz w:val="24"/>
                <w:szCs w:val="24"/>
              </w:rPr>
              <w:t>Country/ Region Focus: Categories</w:t>
            </w:r>
          </w:p>
        </w:tc>
        <w:tc>
          <w:tcPr>
            <w:tcW w:w="3544" w:type="dxa"/>
            <w:hideMark/>
          </w:tcPr>
          <w:p w14:paraId="170C7957" w14:textId="77777777" w:rsidR="001A1445" w:rsidRPr="00F47DE9" w:rsidRDefault="001A1445">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47DE9">
              <w:rPr>
                <w:rFonts w:ascii="Arial" w:hAnsi="Arial" w:cs="Arial"/>
                <w:sz w:val="24"/>
                <w:szCs w:val="24"/>
              </w:rPr>
              <w:t>Technology / Sectoral Focus</w:t>
            </w:r>
          </w:p>
        </w:tc>
      </w:tr>
      <w:tr w:rsidR="001A1445" w:rsidRPr="00F47DE9" w14:paraId="41E08D5B" w14:textId="77777777" w:rsidTr="001A1445">
        <w:trPr>
          <w:trHeight w:val="370"/>
        </w:trPr>
        <w:tc>
          <w:tcPr>
            <w:cnfStyle w:val="001000000000" w:firstRow="0" w:lastRow="0" w:firstColumn="1" w:lastColumn="0" w:oddVBand="0" w:evenVBand="0" w:oddHBand="0" w:evenHBand="0" w:firstRowFirstColumn="0" w:firstRowLastColumn="0" w:lastRowFirstColumn="0" w:lastRowLastColumn="0"/>
            <w:tcW w:w="1794" w:type="dxa"/>
          </w:tcPr>
          <w:p w14:paraId="2D7EBC45" w14:textId="101F283F" w:rsidR="001A1445" w:rsidRPr="00F47DE9" w:rsidRDefault="001A1445">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{"citationItems":[{"id":"ITEM-1","itemData":{"DOI":"10.1016/J.CLES.2023.100064","ISSN":"2772-7831","abstract":"Türkiye has the long-term goal of transforming its power system to one that is cleaner, more secure and more affordable. According to this paper's scenario analyses, low-cost renewables can supply 55% of Türkiye's total electricity demand. Coupled with the electrification of end-use sectors, energy efficiency can reduce total power demand by 10% compared to a business as usual scenario by 2030. The paper assesses the social, economic, and environmental impacts of this transformation by soft linking a power system model with an applied computable general equilibrium model, using an updated input and output dataset, and employing a novel analysis of job creation and fossil fuel externalities. The power system transformation significantly improves social welfare with net socioeconomic benefits estimated at 1% of GDP by 2030. Positive impacts include a reduction in human health and climate change externalities by a third, which are further enhanced by wage income growth that is driven by higher skilled and better paid jobs. A carbon tax emerges as a critical instrument to realize these benefits whilst reducing the power sector's emissions to 2030. The assessment should be expanded with more ambitious clean energy technology deployment for the entire energy system to operationalize Türkiye's Paris-aligned 2053 net-zero emission target and just transition policies.","author":[{"dropping-particle":"","family":"Acar","given":"Sevil","non-dropping-particle":"","parse-names":false,"suffix":""},{"dropping-particle":"","family":"Kat","given":"Bora","non-dropping-particle":"","parse-names":false,"suffix":""},{"dropping-particle":"","family":"Rogner","given":"Mathis","non-dropping-particle":"","parse-names":false,"suffix":""},{"dropping-particle":"","family":"Saygin","given":"Deger","non-dropping-particle":"","parse-names":false,"suffix":""},{"dropping-particle":"","family":"Taranto","given":"Yael","non-dropping-particle":"","parse-names":false,"suffix":""},{"dropping-particle":"","family":"Yeldan","given":"A. Erinc","non-dropping-particle":"","parse-names":false,"suffix":""}],"container-title":"Cleaner Energy Systems","id":"ITEM-1","issued":{"date-parts":[["2023","4","1"]]},"page":"100064","publisher":"Elsevier","title":"Transforming Türkiye's power system: An assessment of economic, social, and external impacts of an energy transition by 2030","type":"article-journal","volume":"4"},"uris":["http://www.mendeley.com/documents/?uuid=78442553-98d8-31a4-9249-fafb00b16103"]}],"mendeley":{"formattedCitation":"(Acar &lt;i&gt;et al.&lt;/i&gt;, 2023)","manualFormatting":"Acar et al. (2023)","plainTextFormattedCitation":"(Acar et al., 2023)","previouslyFormattedCitation":"(Acar &lt;i&gt;et al.&lt;/i&gt;, 2023)"},"properties":{"noteIndex":0},"schema":"https://github.com/citation-style-language/schema/raw/master/csl-citation.json"}</w:instrText>
            </w:r>
            <w:r>
              <w:rPr>
                <w:rFonts w:ascii="Arial" w:hAnsi="Arial" w:cs="Arial"/>
                <w:sz w:val="20"/>
                <w:szCs w:val="20"/>
              </w:rPr>
              <w:fldChar w:fldCharType="separate"/>
            </w:r>
            <w:r w:rsidRPr="00051FF6">
              <w:rPr>
                <w:rFonts w:ascii="Arial" w:hAnsi="Arial" w:cs="Arial"/>
                <w:b w:val="0"/>
                <w:noProof/>
                <w:sz w:val="20"/>
                <w:szCs w:val="20"/>
              </w:rPr>
              <w:t xml:space="preserve">Acar </w:t>
            </w:r>
            <w:r w:rsidRPr="00051FF6">
              <w:rPr>
                <w:rFonts w:ascii="Arial" w:hAnsi="Arial" w:cs="Arial"/>
                <w:b w:val="0"/>
                <w:i/>
                <w:noProof/>
                <w:sz w:val="20"/>
                <w:szCs w:val="20"/>
              </w:rPr>
              <w:t>et al.</w:t>
            </w:r>
            <w:r>
              <w:rPr>
                <w:rFonts w:ascii="Arial" w:hAnsi="Arial" w:cs="Arial"/>
                <w:b w:val="0"/>
                <w:noProof/>
                <w:sz w:val="20"/>
                <w:szCs w:val="20"/>
              </w:rPr>
              <w:t xml:space="preserve"> (</w:t>
            </w:r>
            <w:r w:rsidRPr="00051FF6">
              <w:rPr>
                <w:rFonts w:ascii="Arial" w:hAnsi="Arial" w:cs="Arial"/>
                <w:b w:val="0"/>
                <w:noProof/>
                <w:sz w:val="20"/>
                <w:szCs w:val="20"/>
              </w:rPr>
              <w:t>2023)</w:t>
            </w:r>
            <w:r>
              <w:rPr>
                <w:rFonts w:ascii="Arial" w:hAnsi="Arial" w:cs="Arial"/>
                <w:sz w:val="20"/>
                <w:szCs w:val="20"/>
              </w:rPr>
              <w:fldChar w:fldCharType="end"/>
            </w:r>
          </w:p>
        </w:tc>
        <w:tc>
          <w:tcPr>
            <w:tcW w:w="1794" w:type="dxa"/>
            <w:noWrap/>
            <w:hideMark/>
          </w:tcPr>
          <w:p w14:paraId="650EFFF4" w14:textId="77777777" w:rsidR="001A1445" w:rsidRPr="00F47DE9" w:rsidRDefault="001A144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Turkey</w:t>
            </w:r>
          </w:p>
        </w:tc>
        <w:tc>
          <w:tcPr>
            <w:tcW w:w="1794" w:type="dxa"/>
            <w:hideMark/>
          </w:tcPr>
          <w:p w14:paraId="0B7E1307" w14:textId="77777777" w:rsidR="001A1445" w:rsidRPr="00F47DE9" w:rsidRDefault="001A144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 / Asia</w:t>
            </w:r>
          </w:p>
        </w:tc>
        <w:tc>
          <w:tcPr>
            <w:tcW w:w="3544" w:type="dxa"/>
            <w:noWrap/>
            <w:hideMark/>
          </w:tcPr>
          <w:p w14:paraId="7EACAFC8" w14:textId="77777777" w:rsidR="001A1445" w:rsidRPr="00F47DE9" w:rsidRDefault="001A144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Power system decarbonisation with renewable energy and energy efficiency</w:t>
            </w:r>
          </w:p>
        </w:tc>
      </w:tr>
      <w:tr w:rsidR="001A1445" w:rsidRPr="00F47DE9" w14:paraId="0ED2CD13"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368E971" w14:textId="047ADE6A" w:rsidR="001A1445" w:rsidRPr="00F47DE9" w:rsidRDefault="001A1445">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{"citationItems":[{"id":"ITEM-1","itemData":{"DOI":"10.3390/su12010045","ISBN":"2071-1050","abstract":"The purpose of this paper is to provide a global overview of job effects per MW of wind power installations, which will enable improved decision-making and modeling of future wind-power projects. We found indications that job creation connected to wind-power installations is rather limited. In total, 17 peer-reviewed articles and 10 reports/non-peer-reviewed papers between 2001 and 2019 were assessed. Our three major policy conclusions are as follows: (a) job creation seems to be limited; (b) each new project should consider a unique assessment, since all projects have been undertaken within different institutional frameworks, labor markets, and during separate years, meaning that the technology is not comparable; and (c) the number of jobs depends on the labor intensity of the country.","author":[{"dropping-particle":"","family":"Aldieri","given":"Luigi","non-dropping-particle":"","parse-names":false,"suffix":""},{"dropping-particle":"","family":"Grafström","given":"Jonas","non-dropping-particle":"","parse-names":false,"suffix":""},{"dropping-particle":"","family":"Sundström","given":"Kristoffer","non-dropping-particle":"","parse-names":false,"suffix":""},{"dropping-particle":"","family":"Vinci","given":"Concetto P","non-dropping-particle":"","parse-names":false,"suffix":""}],"container-title":"Sustainability","id":"ITEM-1","issue":"1","issued":{"date-parts":[["2020"]]},"title":"Wind Power and Job Creation","type":"article","volume":"12"},"uris":["http://www.mendeley.com/documents/?uuid=22bb5590-bdd4-479a-aa6e-01f52c51ca4c"]}],"mendeley":{"formattedCitation":"(Aldieri &lt;i&gt;et al.&lt;/i&gt;, 2020)","plainTextFormattedCitation":"(Aldieri et al., 2020)","previouslyFormattedCitation":"(Aldieri &lt;i&gt;et al.&lt;/i&gt;, 2020)"},"properties":{"noteIndex":0},"schema":"https://github.com/citation-style-language/schema/raw/master/csl-citation.json"}</w:instrText>
            </w:r>
            <w:r>
              <w:rPr>
                <w:rFonts w:ascii="Arial" w:hAnsi="Arial" w:cs="Arial"/>
                <w:sz w:val="20"/>
                <w:szCs w:val="20"/>
              </w:rPr>
              <w:fldChar w:fldCharType="separate"/>
            </w:r>
            <w:r w:rsidRPr="00DB0AC1">
              <w:rPr>
                <w:rFonts w:ascii="Arial" w:hAnsi="Arial" w:cs="Arial"/>
                <w:b w:val="0"/>
                <w:noProof/>
                <w:sz w:val="20"/>
                <w:szCs w:val="20"/>
              </w:rPr>
              <w:t xml:space="preserve">Aldieri </w:t>
            </w:r>
            <w:r w:rsidRPr="00DB0AC1">
              <w:rPr>
                <w:rFonts w:ascii="Arial" w:hAnsi="Arial" w:cs="Arial"/>
                <w:b w:val="0"/>
                <w:i/>
                <w:noProof/>
                <w:sz w:val="20"/>
                <w:szCs w:val="20"/>
              </w:rPr>
              <w:t>et al.</w:t>
            </w:r>
            <w:r w:rsidR="00834801">
              <w:rPr>
                <w:rFonts w:ascii="Arial" w:hAnsi="Arial" w:cs="Arial"/>
                <w:b w:val="0"/>
                <w:noProof/>
                <w:sz w:val="20"/>
                <w:szCs w:val="20"/>
              </w:rPr>
              <w:t xml:space="preserve"> (</w:t>
            </w:r>
            <w:r w:rsidRPr="00DB0AC1">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noWrap/>
            <w:hideMark/>
          </w:tcPr>
          <w:p w14:paraId="524924E4" w14:textId="77777777" w:rsidR="001A1445" w:rsidRPr="00F47DE9" w:rsidRDefault="001A144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1794" w:type="dxa"/>
            <w:shd w:val="clear" w:color="auto" w:fill="auto"/>
            <w:hideMark/>
          </w:tcPr>
          <w:p w14:paraId="5B19112C" w14:textId="25DA8DD5" w:rsidR="001A1445" w:rsidRPr="00F47DE9" w:rsidRDefault="001A144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International </w:t>
            </w:r>
            <w:r>
              <w:rPr>
                <w:rFonts w:ascii="Arial" w:hAnsi="Arial" w:cs="Arial"/>
                <w:sz w:val="20"/>
                <w:szCs w:val="20"/>
              </w:rPr>
              <w:t>–</w:t>
            </w:r>
            <w:r w:rsidRPr="00F47DE9">
              <w:rPr>
                <w:rFonts w:ascii="Arial" w:hAnsi="Arial" w:cs="Arial"/>
                <w:sz w:val="20"/>
                <w:szCs w:val="20"/>
              </w:rPr>
              <w:t xml:space="preserve"> various</w:t>
            </w:r>
          </w:p>
        </w:tc>
        <w:tc>
          <w:tcPr>
            <w:tcW w:w="3544" w:type="dxa"/>
            <w:shd w:val="clear" w:color="auto" w:fill="auto"/>
            <w:noWrap/>
            <w:hideMark/>
          </w:tcPr>
          <w:p w14:paraId="6BB4B6B9" w14:textId="77777777" w:rsidR="001A1445" w:rsidRPr="00F47DE9" w:rsidRDefault="001A144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Wind power</w:t>
            </w:r>
          </w:p>
        </w:tc>
      </w:tr>
      <w:tr w:rsidR="001A1445" w:rsidRPr="00F47DE9" w14:paraId="1D6C62D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99AD2D8" w14:textId="5924E6E9" w:rsidR="001A1445" w:rsidRPr="00F47DE9" w:rsidRDefault="001A1445">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Allan","given":"J","non-dropping-particle":"","parse-names":false,"suffix":""},{"dropping-particle":"","family":"Donovan","given":"C","non-dropping-particle":"","parse-names":false,"suffix":""},{"dropping-particle":"","family":"Ekins","given":"P","non-dropping-particle":"","parse-names":false,"suffix":""},{"dropping-particle":"","family":"Gambhir","given":"A","non-dropping-particle":"","parse-names":false,"suffix":""},{"dropping-particle":"","family":"Hepburn","given":"C","non-dropping-particle":"","parse-names":false,"suffix":""},{"dropping-particle":"","family":"Reay","given":"D","non-dropping-particle":"","parse-names":false,"suffix":""},{"dropping-particle":"","family":"Robins","given":"N","non-dropping-particle":"","parse-names":false,"suffix":""},{"dropping-particle":"","family":"Shuckburgh","given":"E","non-dropping-particle":"","parse-names":false,"suffix":""},{"dropping-particle":"","family":"Zenghelis","given":"D","non-dropping-particle":"","parse-names":false,"suffix":""}],"id":"ITEM-1","issued":{"date-parts":[["2020"]]},"publisher":"COP26 Universities Network Briefing, May 2020","title":"A net-zero emissions economic recovery from COVID-19","type":"report"},"uris":["http://www.mendeley.com/documents/?uuid=2ecdc2f5-bc7b-4c0d-b948-c71e82543f56"]}],"mendeley":{"formattedCitation":"(Allan &lt;i&gt;et al.&lt;/i&gt;, 2020)","manualFormatting":"Allan et al. (2020)","plainTextFormattedCitation":"(Allan et al., 2020)","previouslyFormattedCitation":"(Allan &lt;i&gt;et al.&lt;/i&gt;, 2020)"},"properties":{"noteIndex":0},"schema":"https://github.com/citation-style-language/schema/raw/master/csl-citation.json"}</w:instrText>
            </w:r>
            <w:r>
              <w:rPr>
                <w:rFonts w:ascii="Arial" w:hAnsi="Arial" w:cs="Arial"/>
                <w:sz w:val="20"/>
                <w:szCs w:val="20"/>
              </w:rPr>
              <w:fldChar w:fldCharType="separate"/>
            </w:r>
            <w:r w:rsidRPr="00F40BD7">
              <w:rPr>
                <w:rFonts w:ascii="Arial" w:hAnsi="Arial" w:cs="Arial"/>
                <w:b w:val="0"/>
                <w:noProof/>
                <w:sz w:val="20"/>
                <w:szCs w:val="20"/>
              </w:rPr>
              <w:t xml:space="preserve">Allan </w:t>
            </w:r>
            <w:r w:rsidRPr="00F40BD7">
              <w:rPr>
                <w:rFonts w:ascii="Arial" w:hAnsi="Arial" w:cs="Arial"/>
                <w:b w:val="0"/>
                <w:i/>
                <w:noProof/>
                <w:sz w:val="20"/>
                <w:szCs w:val="20"/>
              </w:rPr>
              <w:t>et al.</w:t>
            </w:r>
            <w:r>
              <w:rPr>
                <w:rFonts w:ascii="Arial" w:hAnsi="Arial" w:cs="Arial"/>
                <w:b w:val="0"/>
                <w:noProof/>
                <w:sz w:val="20"/>
                <w:szCs w:val="20"/>
              </w:rPr>
              <w:t xml:space="preserve"> (</w:t>
            </w:r>
            <w:r w:rsidRPr="00F40BD7">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noWrap/>
            <w:hideMark/>
          </w:tcPr>
          <w:p w14:paraId="7959A1C6" w14:textId="77777777" w:rsidR="001A1445" w:rsidRPr="00F47DE9" w:rsidRDefault="001A144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UK</w:t>
            </w:r>
          </w:p>
        </w:tc>
        <w:tc>
          <w:tcPr>
            <w:tcW w:w="1794" w:type="dxa"/>
            <w:shd w:val="clear" w:color="auto" w:fill="auto"/>
            <w:noWrap/>
            <w:hideMark/>
          </w:tcPr>
          <w:p w14:paraId="7EA0236F" w14:textId="77777777" w:rsidR="001A1445" w:rsidRPr="00F47DE9" w:rsidRDefault="001A144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607C58ED" w14:textId="77777777" w:rsidR="001A1445" w:rsidRPr="00F47DE9" w:rsidRDefault="001A144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Net-zero economic recovery from COVID-19</w:t>
            </w:r>
          </w:p>
        </w:tc>
      </w:tr>
      <w:tr w:rsidR="001A1445" w:rsidRPr="00F47DE9" w14:paraId="08E078DF"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1E37E1C" w14:textId="5E5A41CC" w:rsidR="001A1445" w:rsidRPr="00F47DE9" w:rsidRDefault="001A1445">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{"citationItems":[{"id":"ITEM-1","itemData":{"DOI":"10.1016/j.rser.2020.110322","ISSN":"18790690","abstract":"Assessment of the employment impact of renewable electricity technologies is generally implemented through either complex and data-intensive methods (such as Computable General Equilibrium models) or simplistic approaches, normally focused on specific energy generation technologies, such as employment factors. In contrast, this article proposes a transparent and easily reproducible econometric methodology based on the Vector Error Correction model that uses aggregated and widely available data. The model is applied to the power generation sector in the United Kingdom using annual data from 1990 onwards and provides evidence that the long-term employment impact of renewable technologies is much higher than the impact arising from deploying nuclear or natural gas technologies. The impulse response function analysis indicates that a permanent 1 Gigawatt-hours increase in annual electricity supply generated by renewable technologies creates 3.5 jobs in the long-term period. Finally, this study derives the implications of the findings in the context of decarbonisation scenarios for the power sector in the United Kingdom and assesses the extent to which decarbonisation pathways based on renewable electricity contribute to stimulating employment in the generation sector.","author":[{"dropping-particle":"","family":"Arvanitopoulos","given":"T.","non-dropping-particle":"","parse-names":false,"suffix":""},{"dropping-particle":"","family":"Agnolucci","given":"P.","non-dropping-particle":"","parse-names":false,"suffix":""}],"container-title":"Renewable and Sustainable Energy Reviews","id":"ITEM-1","issued":{"date-parts":[["2020","12","1"]]},"page":"110322","publisher":"Elsevier Ltd","title":"The long-term effect of renewable electricity on employment in the United Kingdom","type":"article-journal","volume":"134"},"uris":["http://www.mendeley.com/documents/?uuid=0c81ed89-62d4-3dac-8b08-a6cc51dc944c"]}],"mendeley":{"formattedCitation":"(Arvanitopoulos and Agnolucci, 2020)","manualFormatting":"Arvanitopoulos and Agnolucci (2020)","plainTextFormattedCitation":"(Arvanitopoulos and Agnolucci, 2020)","previouslyFormattedCitation":"(Arvanitopoulos and Agnolucci, 2020)"},"properties":{"noteIndex":0},"schema":"https://github.com/citation-style-language/schema/raw/master/csl-citation.json"}</w:instrText>
            </w:r>
            <w:r>
              <w:rPr>
                <w:rFonts w:ascii="Arial" w:hAnsi="Arial" w:cs="Arial"/>
                <w:sz w:val="20"/>
                <w:szCs w:val="20"/>
              </w:rPr>
              <w:fldChar w:fldCharType="separate"/>
            </w:r>
            <w:r w:rsidRPr="00F40BD7">
              <w:rPr>
                <w:rFonts w:ascii="Arial" w:hAnsi="Arial" w:cs="Arial"/>
                <w:b w:val="0"/>
                <w:noProof/>
                <w:sz w:val="20"/>
                <w:szCs w:val="20"/>
              </w:rPr>
              <w:t>Arvanitopoulos and Agnolucci</w:t>
            </w:r>
            <w:r>
              <w:rPr>
                <w:rFonts w:ascii="Arial" w:hAnsi="Arial" w:cs="Arial"/>
                <w:b w:val="0"/>
                <w:noProof/>
                <w:sz w:val="20"/>
                <w:szCs w:val="20"/>
              </w:rPr>
              <w:t xml:space="preserve"> (</w:t>
            </w:r>
            <w:r w:rsidRPr="00F40BD7">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noWrap/>
            <w:hideMark/>
          </w:tcPr>
          <w:p w14:paraId="666ABB1A" w14:textId="77777777" w:rsidR="001A1445" w:rsidRPr="00F47DE9" w:rsidRDefault="001A144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UK</w:t>
            </w:r>
          </w:p>
        </w:tc>
        <w:tc>
          <w:tcPr>
            <w:tcW w:w="1794" w:type="dxa"/>
            <w:shd w:val="clear" w:color="auto" w:fill="auto"/>
            <w:noWrap/>
            <w:hideMark/>
          </w:tcPr>
          <w:p w14:paraId="2798B81A" w14:textId="77777777" w:rsidR="001A1445" w:rsidRPr="00F47DE9" w:rsidRDefault="001A144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noWrap/>
            <w:hideMark/>
          </w:tcPr>
          <w:p w14:paraId="28DB8740" w14:textId="77777777" w:rsidR="001A1445" w:rsidRPr="00F47DE9" w:rsidRDefault="001A144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and nuclear</w:t>
            </w:r>
          </w:p>
        </w:tc>
      </w:tr>
      <w:tr w:rsidR="001A1445" w:rsidRPr="00F47DE9" w14:paraId="798368BF"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546E2E73" w14:textId="2F6B5836" w:rsidR="001A1445" w:rsidRPr="00F332A6" w:rsidRDefault="001A1445" w:rsidP="00F332A6">
            <w:pPr>
              <w:rPr>
                <w:rFonts w:ascii="Arial" w:hAnsi="Arial" w:cs="Arial"/>
                <w:b w:val="0"/>
                <w:bCs w:val="0"/>
                <w:sz w:val="20"/>
                <w:szCs w:val="20"/>
              </w:rPr>
            </w:pPr>
            <w:r w:rsidRPr="00F332A6">
              <w:rPr>
                <w:rFonts w:ascii="Arial" w:hAnsi="Arial" w:cs="Arial"/>
                <w:color w:val="000000" w:themeColor="text1"/>
                <w:sz w:val="20"/>
                <w:szCs w:val="20"/>
              </w:rPr>
              <w:fldChar w:fldCharType="begin" w:fldLock="1"/>
            </w:r>
            <w:r w:rsidRPr="00F332A6">
              <w:rPr>
                <w:rFonts w:ascii="Arial" w:hAnsi="Arial" w:cs="Arial"/>
                <w:b w:val="0"/>
                <w:bCs w:val="0"/>
                <w:color w:val="000000" w:themeColor="text1"/>
                <w:sz w:val="20"/>
                <w:szCs w:val="20"/>
              </w:rPr>
              <w:instrText>ADDIN CSL_CITATION {"citationItems":[{"id":"ITEM-1","itemData":{"DOI":"10.1016/J.ENPOL.2016.02.055","ISSN":"0301-4215","abstract":"This paper presents for the first time an integrated life cycle sustainability assessment of the electricity sector in Turkey, considering environmental, economic and social aspects. Twenty life cycle sustainability indicators (11 environmental, three economic and six social) are used to evaluate the current electricity options. Geothermal power is the best option for six environmental impacts but it has the highest capital costs. Small reservoir and run-of-river power has the lowest global warming potential while large reservoir is best for the depletion of elements and fossil resources, and acidification. It also has the lowest levelised costs, worker injuries and fatalities but provides the lowest life cycle employment opportunities. Gas power has the lowest capital costs but it provides the lowest direct employment and has the highest levelised costs and ozone layer depletion. Given these trade-offs, a multi-criteria decision analysis has been carried out to identify the most sustainable options assuming different stakeholder preferences. For all the preferences considered, hydropower is the most sustainable option for Turkey, followed by geothermal and wind electricity. This work demonstrates the importance for energy policy of an integrated life cycle sustainability assessment and how tensions between different aspects can be reconciled to identify win-win solutions.","author":[{"dropping-particle":"","family":"Atilgan","given":"Burcin","non-dropping-particle":"","parse-names":false,"suffix":""},{"dropping-particle":"","family":"Azapagic","given":"Adisa","non-dropping-particle":"","parse-names":false,"suffix":""}],"container-title":"Energy Policy","id":"ITEM-1","issued":{"date-parts":[["2016","6","1"]]},"page":"168-186","publisher":"Elsevier","title":"An integrated life cycle sustainability assessment of electricity generation in Turkey","type":"article-journal","volume":"93"},"uris":["http://www.mendeley.com/documents/?uuid=4417b803-c431-3fd2-bc1c-86984429681d"]}],"mendeley":{"formattedCitation":"(Atilgan and Azapagic, 2016)","manualFormatting":"Atilgan and Azapagic (2016)","plainTextFormattedCitation":"(Atilgan and Azapagic, 2016)","previouslyFormattedCitation":"(Atilgan and Azapagic, 2016)"},"properties":{"noteIndex":0},"schema":"https://github.com/citation-style-language/schema/raw/master/csl-citation.json"}</w:instrText>
            </w:r>
            <w:r w:rsidRPr="00F332A6">
              <w:rPr>
                <w:rFonts w:ascii="Arial" w:hAnsi="Arial" w:cs="Arial"/>
                <w:color w:val="000000" w:themeColor="text1"/>
                <w:sz w:val="20"/>
                <w:szCs w:val="20"/>
              </w:rPr>
              <w:fldChar w:fldCharType="separate"/>
            </w:r>
            <w:r w:rsidRPr="00F332A6">
              <w:rPr>
                <w:rFonts w:ascii="Arial" w:hAnsi="Arial" w:cs="Arial"/>
                <w:b w:val="0"/>
                <w:bCs w:val="0"/>
                <w:noProof/>
                <w:color w:val="000000" w:themeColor="text1"/>
                <w:sz w:val="20"/>
                <w:szCs w:val="20"/>
              </w:rPr>
              <w:t>Atilgan and Azapagic (2016)</w:t>
            </w:r>
            <w:r w:rsidRPr="00F332A6">
              <w:rPr>
                <w:rFonts w:ascii="Arial" w:hAnsi="Arial" w:cs="Arial"/>
                <w:color w:val="000000" w:themeColor="text1"/>
                <w:sz w:val="20"/>
                <w:szCs w:val="20"/>
              </w:rPr>
              <w:fldChar w:fldCharType="end"/>
            </w:r>
          </w:p>
        </w:tc>
        <w:tc>
          <w:tcPr>
            <w:tcW w:w="1794" w:type="dxa"/>
            <w:shd w:val="clear" w:color="auto" w:fill="auto"/>
            <w:noWrap/>
            <w:hideMark/>
          </w:tcPr>
          <w:p w14:paraId="4AE2B19C" w14:textId="77777777" w:rsidR="001A1445" w:rsidRPr="00F47DE9" w:rsidRDefault="001A1445" w:rsidP="00F332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Turkey</w:t>
            </w:r>
          </w:p>
        </w:tc>
        <w:tc>
          <w:tcPr>
            <w:tcW w:w="1794" w:type="dxa"/>
            <w:shd w:val="clear" w:color="auto" w:fill="auto"/>
            <w:hideMark/>
          </w:tcPr>
          <w:p w14:paraId="75C47D51" w14:textId="77777777" w:rsidR="001A1445" w:rsidRPr="00F47DE9" w:rsidRDefault="001A1445" w:rsidP="00F332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 / Asia</w:t>
            </w:r>
          </w:p>
        </w:tc>
        <w:tc>
          <w:tcPr>
            <w:tcW w:w="3544" w:type="dxa"/>
            <w:shd w:val="clear" w:color="auto" w:fill="auto"/>
            <w:noWrap/>
            <w:hideMark/>
          </w:tcPr>
          <w:p w14:paraId="0E088FDA" w14:textId="77777777" w:rsidR="001A1445" w:rsidRPr="00F47DE9" w:rsidRDefault="001A1445" w:rsidP="00F332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Electricity sector including coal, gas, hydropower, geothermal and wind</w:t>
            </w:r>
          </w:p>
        </w:tc>
      </w:tr>
      <w:tr w:rsidR="001A1445" w:rsidRPr="00F47DE9" w14:paraId="199286A6"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0455AB6C" w14:textId="215D84A7" w:rsidR="001A1445" w:rsidRPr="00F47DE9" w:rsidRDefault="001A1445" w:rsidP="00F332A6">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{"citationItems":[{"id":"ITEM-1","itemData":{"abstract":"&amp;lt;p&amp;gt;Renewable energy, which is the type of energy that plays a major role in the development and growth of countries, plays an important role in today's world, considering that the life of depleted energy resources is finite. Compared to fossil energy sources, except that its source is infinite, a noticeable difference in carbon dioxide emission is seen as the reason for preferring renewable energy sources. Many studies in the literature investigate the relationship between the consumption of renewable energy resources and economic growth. This study was conducted on renewable energy production in 27 European Union member countries explores its impact on employment. In the study, panel ARDL test was conducted with the data for the years 2006-2019. According to the results of the study, renewable energy generation has a positive effect on employment in European Union countries in the long term. In the long run, a 1% increase in renewable energy primary production increases employment by 0.08%. Increasing the use of renewable energy resources should go beyond being a policy recommendation in international conventions. The fact that these resources provide employment in large areas can be a good alternative today with high unemployment rates.&amp;lt;/p&amp;gt;&amp;lt;p&amp;gt;&amp;lt;strong&amp;gt;Keywords:&amp;lt;/strong&amp;gt; renewable energy, employment, developed countries, panel ARDL&amp;lt;/p&amp;gt;&amp;lt;p&amp;gt;&amp;lt;strong&amp;gt;JEL Classifications: &amp;lt;/strong&amp;gt;O40, Q43, Q40&amp;lt;/p&amp;gt;&amp;lt;p&amp;gt;DOI: &amp;lt;a href=&amp;quot;https://doi.org/10.32479/ijeep.10744&amp;quot;&amp;gt;https://doi.org/10.32479/ijeep.10744&amp;lt;/a&amp;gt;&amp;lt;/p&amp;gt;","author":[{"dropping-particle":"","family":"Azretbergenova","given":"Gulmira","non-dropping-particle":"","parse-names":false,"suffix":""},{"dropping-particle":"","family":"Syzdykov","given":"Beybit","non-dropping-particle":"","parse-names":false,"suffix":""},{"dropping-particle":"","family":"Niyazov","given":"Talgat","non-dropping-particle":"","parse-names":false,"suffix":""},{"dropping-particle":"","family":"Gulzhan","given":"Turysbekova","non-dropping-particle":"","parse-names":false,"suffix":""},{"dropping-particle":"","family":"Yskak","given":"Nazira","non-dropping-particle":"","parse-names":false,"suffix":""}],"container-title":"International Journal of Energy Economics and Policy","id":"ITEM-1","issue":"3 SE  - Articles","issued":{"date-parts":[["2021","4","10"]]},"page":"20-26","title":"The Relationship between Renewable Energy Production and Employment in European Union Countries: Panel Data Analysis","type":"article-journal","volume":"11"},"uris":["http://www.mendeley.com/documents/?uuid=eab98b48-f181-447d-8e0b-495f29db2332"]}],"mendeley":{"formattedCitation":"(Azretbergenova &lt;i&gt;et al.&lt;/i&gt;, 2021)","plainTextFormattedCitation":"(Azretbergenova et al., 2021)","previouslyFormattedCitation":"(Azretbergenova &lt;i&gt;et al.&lt;/i&gt;, 2021)"},"properties":{"noteIndex":0},"schema":"https://github.com/citation-style-language/schema/raw/master/csl-citation.json"}</w:instrText>
            </w:r>
            <w:r>
              <w:rPr>
                <w:rFonts w:ascii="Arial" w:hAnsi="Arial" w:cs="Arial"/>
                <w:sz w:val="20"/>
                <w:szCs w:val="20"/>
              </w:rPr>
              <w:fldChar w:fldCharType="separate"/>
            </w:r>
            <w:r w:rsidRPr="00B128A3">
              <w:rPr>
                <w:rFonts w:ascii="Arial" w:hAnsi="Arial" w:cs="Arial"/>
                <w:b w:val="0"/>
                <w:noProof/>
                <w:sz w:val="20"/>
                <w:szCs w:val="20"/>
              </w:rPr>
              <w:t xml:space="preserve">Azretbergenova </w:t>
            </w:r>
            <w:r w:rsidRPr="00B128A3">
              <w:rPr>
                <w:rFonts w:ascii="Arial" w:hAnsi="Arial" w:cs="Arial"/>
                <w:b w:val="0"/>
                <w:i/>
                <w:noProof/>
                <w:sz w:val="20"/>
                <w:szCs w:val="20"/>
              </w:rPr>
              <w:t>et al.</w:t>
            </w:r>
            <w:r w:rsidR="00834801">
              <w:rPr>
                <w:rFonts w:ascii="Arial" w:hAnsi="Arial" w:cs="Arial"/>
                <w:b w:val="0"/>
                <w:noProof/>
                <w:sz w:val="20"/>
                <w:szCs w:val="20"/>
              </w:rPr>
              <w:t xml:space="preserve"> (</w:t>
            </w:r>
            <w:r w:rsidRPr="00B128A3">
              <w:rPr>
                <w:rFonts w:ascii="Arial" w:hAnsi="Arial" w:cs="Arial"/>
                <w:b w:val="0"/>
                <w:noProof/>
                <w:sz w:val="20"/>
                <w:szCs w:val="20"/>
              </w:rPr>
              <w:t>2021)</w:t>
            </w:r>
            <w:r>
              <w:rPr>
                <w:rFonts w:ascii="Arial" w:hAnsi="Arial" w:cs="Arial"/>
                <w:sz w:val="20"/>
                <w:szCs w:val="20"/>
              </w:rPr>
              <w:fldChar w:fldCharType="end"/>
            </w:r>
          </w:p>
        </w:tc>
        <w:tc>
          <w:tcPr>
            <w:tcW w:w="1794" w:type="dxa"/>
            <w:shd w:val="clear" w:color="auto" w:fill="auto"/>
            <w:noWrap/>
            <w:hideMark/>
          </w:tcPr>
          <w:p w14:paraId="2BF6218E" w14:textId="77777777" w:rsidR="001A1445" w:rsidRPr="00F47DE9" w:rsidRDefault="001A1445" w:rsidP="00F332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EU-27</w:t>
            </w:r>
          </w:p>
        </w:tc>
        <w:tc>
          <w:tcPr>
            <w:tcW w:w="1794" w:type="dxa"/>
            <w:shd w:val="clear" w:color="auto" w:fill="auto"/>
            <w:hideMark/>
          </w:tcPr>
          <w:p w14:paraId="1C7200D5" w14:textId="621F506B" w:rsidR="001A1445" w:rsidRPr="00F47DE9" w:rsidRDefault="001A1445" w:rsidP="00F332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International </w:t>
            </w:r>
            <w:r>
              <w:rPr>
                <w:rFonts w:ascii="Arial" w:hAnsi="Arial" w:cs="Arial"/>
                <w:sz w:val="20"/>
                <w:szCs w:val="20"/>
              </w:rPr>
              <w:t>–</w:t>
            </w:r>
            <w:r w:rsidRPr="00F47DE9">
              <w:rPr>
                <w:rFonts w:ascii="Arial" w:hAnsi="Arial" w:cs="Arial"/>
                <w:sz w:val="20"/>
                <w:szCs w:val="20"/>
              </w:rPr>
              <w:t xml:space="preserve"> Europe</w:t>
            </w:r>
          </w:p>
        </w:tc>
        <w:tc>
          <w:tcPr>
            <w:tcW w:w="3544" w:type="dxa"/>
            <w:shd w:val="clear" w:color="auto" w:fill="auto"/>
            <w:noWrap/>
            <w:hideMark/>
          </w:tcPr>
          <w:p w14:paraId="5C96A05A" w14:textId="77777777" w:rsidR="001A1445" w:rsidRPr="00F47DE9" w:rsidRDefault="001A1445" w:rsidP="00F332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A1445" w:rsidRPr="00F47DE9" w14:paraId="653547FB"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3A68A424" w14:textId="49D09A7B" w:rsidR="001A1445" w:rsidRPr="00F47DE9" w:rsidRDefault="001A1445" w:rsidP="00F332A6">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{"citationItems":[{"id":"ITEM-1","itemData":{"DOI":"10.1016/j.ecolecon.2014.12.007","ISSN":"09218009","abstract":"Sustainable economic development requires the efficient production and use of energy. Combined heat and power (CHP) offers a promising technological approach to achieving both goals. While a recent U.S. executive order set a national goal of 40. GW of new industrial CHP by 2020, the deployment of CHP is challenged by financial, regulatory, and workforce barriers. Discrepancies between private and public interests can be minimized by policies promoting energy-based economic development. In this context, a great deal of rhetoric has addressed the ambiguous goal of growing \"green jobs.\" Our research provides a systematic evaluation of the job impacts of an investment tax credit that would subsidize industrial CHP deployment. We introduce a hybrid analysis approach combining simulations using the National Energy Modeling System with Input-output modeling. NEMS simulates general-equilibrium effects including supply- and demand-side resources. We identify first-order employment impacts by creating \"bill of goods\" expenditures for the installation and operation of industrial CHP systems. Second-order impacts are then estimated based on the redirection of energy-bill savings accruing to consumers; these include jobs across the economy created by the lower electricity prices that would result from increased reliance on energy-efficient CHP systems. On a jobs-per-GWh basis, we find that the second-order impacts are approximately twice as large as the first-order impacts.","author":[{"dropping-particle":"","family":"Baer","given":"Paul","non-dropping-particle":"","parse-names":false,"suffix":""},{"dropping-particle":"","family":"Brown","given":"Marilyn A.","non-dropping-particle":"","parse-names":false,"suffix":""},{"dropping-particle":"","family":"Kim","given":"Gyungwon","non-dropping-particle":"","parse-names":false,"suffix":""}],"container-title":"Ecological Economics","id":"ITEM-1","issued":{"date-parts":[["2015","2","1"]]},"page":"141-153","publisher":"Elsevier","title":"The job generation impacts of expanding industrial cogeneration","type":"article-journal","volume":"110"},"uris":["http://www.mendeley.com/documents/?uuid=6602f024-dedc-3a19-bdf7-71b4c96c1c5d"]}],"mendeley":{"formattedCitation":"(Baer, Brown and Kim, 2015)","manualFormatting":"Baer, Brown and Kim (2015)","plainTextFormattedCitation":"(Baer, Brown and Kim, 2015)","previouslyFormattedCitation":"(Baer, Brown and Kim, 2015)"},"properties":{"noteIndex":0},"schema":"https://github.com/citation-style-language/schema/raw/master/csl-citation.json"}</w:instrText>
            </w:r>
            <w:r>
              <w:rPr>
                <w:rFonts w:ascii="Arial" w:hAnsi="Arial" w:cs="Arial"/>
                <w:sz w:val="20"/>
                <w:szCs w:val="20"/>
              </w:rPr>
              <w:fldChar w:fldCharType="separate"/>
            </w:r>
            <w:r w:rsidRPr="00F40BD7">
              <w:rPr>
                <w:rFonts w:ascii="Arial" w:hAnsi="Arial" w:cs="Arial"/>
                <w:b w:val="0"/>
                <w:noProof/>
                <w:sz w:val="20"/>
                <w:szCs w:val="20"/>
              </w:rPr>
              <w:t>Baer, Brown and Kim</w:t>
            </w:r>
            <w:r>
              <w:rPr>
                <w:rFonts w:ascii="Arial" w:hAnsi="Arial" w:cs="Arial"/>
                <w:b w:val="0"/>
                <w:noProof/>
                <w:sz w:val="20"/>
                <w:szCs w:val="20"/>
              </w:rPr>
              <w:t xml:space="preserve"> (</w:t>
            </w:r>
            <w:r w:rsidRPr="00F40BD7">
              <w:rPr>
                <w:rFonts w:ascii="Arial" w:hAnsi="Arial" w:cs="Arial"/>
                <w:b w:val="0"/>
                <w:noProof/>
                <w:sz w:val="20"/>
                <w:szCs w:val="20"/>
              </w:rPr>
              <w:t>2015)</w:t>
            </w:r>
            <w:r>
              <w:rPr>
                <w:rFonts w:ascii="Arial" w:hAnsi="Arial" w:cs="Arial"/>
                <w:sz w:val="20"/>
                <w:szCs w:val="20"/>
              </w:rPr>
              <w:fldChar w:fldCharType="end"/>
            </w:r>
          </w:p>
        </w:tc>
        <w:tc>
          <w:tcPr>
            <w:tcW w:w="1794" w:type="dxa"/>
            <w:shd w:val="clear" w:color="auto" w:fill="auto"/>
            <w:noWrap/>
            <w:hideMark/>
          </w:tcPr>
          <w:p w14:paraId="6D4D13E1" w14:textId="77777777" w:rsidR="001A1445" w:rsidRPr="00F47DE9" w:rsidRDefault="001A1445" w:rsidP="00F332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US</w:t>
            </w:r>
          </w:p>
        </w:tc>
        <w:tc>
          <w:tcPr>
            <w:tcW w:w="1794" w:type="dxa"/>
            <w:shd w:val="clear" w:color="auto" w:fill="auto"/>
            <w:noWrap/>
            <w:hideMark/>
          </w:tcPr>
          <w:p w14:paraId="41007EB9" w14:textId="77777777" w:rsidR="001A1445" w:rsidRPr="00F47DE9" w:rsidRDefault="001A1445" w:rsidP="00F332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hideMark/>
          </w:tcPr>
          <w:p w14:paraId="4B0A4CE8" w14:textId="77777777" w:rsidR="001A1445" w:rsidRPr="00F47DE9" w:rsidRDefault="001A1445" w:rsidP="00F332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Combined heat and power (CHP) </w:t>
            </w:r>
          </w:p>
        </w:tc>
      </w:tr>
      <w:tr w:rsidR="001A1445" w:rsidRPr="00F47DE9" w14:paraId="591179B9"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094C3701" w14:textId="182BC437" w:rsidR="001A1445" w:rsidRPr="00F47DE9" w:rsidRDefault="001A1445" w:rsidP="00F332A6">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{"citationItems":[{"id":"ITEM-1","itemData":{"DOI":"10.1016/j.eneco.2018.07.015","ISSN":"01409883","abstract":"Incorporating socioeconomic and environmental considerations into energy decisions is necessary when tackling climate change and accelerating green growth. In this work, we propose a novel extension of the multi-factor energy input-output model to support evidence-informed energy policy-making and green growth planning through the introduction of eight different multipliers and two green growth indexes. We demonstrate the approach through application at the national scale in Canada. In particular, we quantitatively assess the extent to which changes in final demand impact the domestic and imported primary (and renewable) energy flows, CO2 emissions, economic expansion, and energy job earnings. The results point to a potential path of green growth in Canada, prioritizing activities that generate economic and job growth at minimal environmental pressure (i.e., fewer CO2 emissions). Economic activities that are critical for stimulating green growth in the short to medium run are identified, and recommendations are made regarding a longer structural change path for improving the supply chains of other economic activities. This work provides insights to decision-makers seeking strategies (e.g., policy reforms or targeted public expenditure strategies) to accelerate green growth planning on a national scale.","author":[{"dropping-particle":"","family":"Bagheri","given":"Mehdi","non-dropping-particle":"","parse-names":false,"suffix":""},{"dropping-particle":"","family":"Guevara","given":"Zeus","non-dropping-particle":"","parse-names":false,"suffix":""},{"dropping-particle":"","family":"Alikarami","given":"Mohammad","non-dropping-particle":"","parse-names":false,"suffix":""},{"dropping-particle":"","family":"Kennedy","given":"Christopher A.","non-dropping-particle":"","parse-names":false,"suffix":""},{"dropping-particle":"","family":"Doluweera","given":"Ganesh","non-dropping-particle":"","parse-names":false,"suffix":""}],"container-title":"Energy Economics","id":"ITEM-1","issued":{"date-parts":[["2018","8","1"]]},"page":"708-720","publisher":"Elsevier B.V.","title":"Green growth planning: A multi-factor energy input-output analysis of the Canadian economy","type":"article-journal","volume":"74"},"uris":["http://www.mendeley.com/documents/?uuid=0c6d79c6-981a-3947-a8ee-eacf81115689"]}],"mendeley":{"formattedCitation":"(Bagheri &lt;i&gt;et al.&lt;/i&gt;, 2018)","manualFormatting":"Bagheri et al. (2018)","plainTextFormattedCitation":"(Bagheri et al., 2018)","previouslyFormattedCitation":"(Bagheri &lt;i&gt;et al.&lt;/i&gt;, 2018)"},"properties":{"noteIndex":0},"schema":"https://github.com/citation-style-language/schema/raw/master/csl-citation.json"}</w:instrText>
            </w:r>
            <w:r>
              <w:rPr>
                <w:rFonts w:ascii="Arial" w:hAnsi="Arial" w:cs="Arial"/>
                <w:sz w:val="20"/>
                <w:szCs w:val="20"/>
              </w:rPr>
              <w:fldChar w:fldCharType="separate"/>
            </w:r>
            <w:r w:rsidRPr="00F40BD7">
              <w:rPr>
                <w:rFonts w:ascii="Arial" w:hAnsi="Arial" w:cs="Arial"/>
                <w:b w:val="0"/>
                <w:noProof/>
                <w:sz w:val="20"/>
                <w:szCs w:val="20"/>
              </w:rPr>
              <w:t xml:space="preserve">Bagheri </w:t>
            </w:r>
            <w:r w:rsidRPr="00F40BD7">
              <w:rPr>
                <w:rFonts w:ascii="Arial" w:hAnsi="Arial" w:cs="Arial"/>
                <w:b w:val="0"/>
                <w:i/>
                <w:noProof/>
                <w:sz w:val="20"/>
                <w:szCs w:val="20"/>
              </w:rPr>
              <w:t>et al.</w:t>
            </w:r>
            <w:r>
              <w:rPr>
                <w:rFonts w:ascii="Arial" w:hAnsi="Arial" w:cs="Arial"/>
                <w:b w:val="0"/>
                <w:i/>
                <w:noProof/>
                <w:sz w:val="20"/>
                <w:szCs w:val="20"/>
              </w:rPr>
              <w:t xml:space="preserve"> </w:t>
            </w:r>
            <w:r>
              <w:rPr>
                <w:rFonts w:ascii="Arial" w:hAnsi="Arial" w:cs="Arial"/>
                <w:b w:val="0"/>
                <w:noProof/>
                <w:sz w:val="20"/>
                <w:szCs w:val="20"/>
              </w:rPr>
              <w:t>(</w:t>
            </w:r>
            <w:r w:rsidRPr="00F40BD7">
              <w:rPr>
                <w:rFonts w:ascii="Arial" w:hAnsi="Arial" w:cs="Arial"/>
                <w:b w:val="0"/>
                <w:noProof/>
                <w:sz w:val="20"/>
                <w:szCs w:val="20"/>
              </w:rPr>
              <w:t>2018)</w:t>
            </w:r>
            <w:r>
              <w:rPr>
                <w:rFonts w:ascii="Arial" w:hAnsi="Arial" w:cs="Arial"/>
                <w:sz w:val="20"/>
                <w:szCs w:val="20"/>
              </w:rPr>
              <w:fldChar w:fldCharType="end"/>
            </w:r>
          </w:p>
        </w:tc>
        <w:tc>
          <w:tcPr>
            <w:tcW w:w="1794" w:type="dxa"/>
            <w:shd w:val="clear" w:color="auto" w:fill="auto"/>
            <w:noWrap/>
            <w:hideMark/>
          </w:tcPr>
          <w:p w14:paraId="30C6DE46" w14:textId="77777777" w:rsidR="001A1445" w:rsidRPr="00F47DE9" w:rsidRDefault="001A1445" w:rsidP="00F332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Canada</w:t>
            </w:r>
          </w:p>
        </w:tc>
        <w:tc>
          <w:tcPr>
            <w:tcW w:w="1794" w:type="dxa"/>
            <w:shd w:val="clear" w:color="auto" w:fill="auto"/>
            <w:noWrap/>
            <w:hideMark/>
          </w:tcPr>
          <w:p w14:paraId="5849E165" w14:textId="77777777" w:rsidR="001A1445" w:rsidRPr="00F47DE9" w:rsidRDefault="001A1445" w:rsidP="00F332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hideMark/>
          </w:tcPr>
          <w:p w14:paraId="2558C1D9" w14:textId="77777777" w:rsidR="001A1445" w:rsidRPr="00F47DE9" w:rsidRDefault="001A1445" w:rsidP="00F332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Energy production and consumption, renewable energy</w:t>
            </w:r>
          </w:p>
        </w:tc>
      </w:tr>
      <w:tr w:rsidR="00190C62" w:rsidRPr="00F47DE9" w14:paraId="5807674D"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D5D0E1F" w14:textId="21558D96" w:rsidR="00190C62" w:rsidRPr="00190C62" w:rsidRDefault="00190C62" w:rsidP="00190C62">
            <w:pPr>
              <w:rPr>
                <w:rFonts w:ascii="Arial" w:hAnsi="Arial" w:cs="Arial"/>
                <w:sz w:val="20"/>
                <w:szCs w:val="20"/>
              </w:rPr>
            </w:pPr>
            <w:r w:rsidRPr="00190C62">
              <w:rPr>
                <w:rFonts w:ascii="Arial" w:hAnsi="Arial" w:cs="Arial"/>
                <w:sz w:val="20"/>
                <w:szCs w:val="20"/>
              </w:rPr>
              <w:fldChar w:fldCharType="begin" w:fldLock="1"/>
            </w:r>
            <w:r w:rsidRPr="00190C62">
              <w:rPr>
                <w:rFonts w:ascii="Arial" w:hAnsi="Arial" w:cs="Arial"/>
                <w:sz w:val="20"/>
                <w:szCs w:val="20"/>
              </w:rPr>
              <w:instrText>ADDIN CSL_CITATION {"citationItems":[{"id":"ITEM-1","itemData":{"DOI":"10.1080/13504509.2022.2078902","ISSN":"1350-4509","author":[{"dropping-particle":"","family":"Bali Swain","given":"Ranjula","non-dropping-particle":"","parse-names":false,"suffix":""},{"dropping-particle":"","family":"Karimu","given":"Amin","non-dropping-particle":"","parse-names":false,"suffix":""},{"dropping-particle":"","family":"Gråd","given":"Erik","non-dropping-particle":"","parse-names":false,"suffix":""}],"container-title":"International Journal of Sustainable Development &amp; World Ecology","id":"ITEM-1","issue":"8","issued":{"date-parts":[["2022","11","17"]]},"note":"doi: 10.1080/13504509.2022.2078902","page":"695-708","publisher":"Taylor &amp; Francis","title":"Sustainable development, renewable energy transformation and employment impact in the EU","type":"article-journal","volume":"29"},"uris":["http://www.mendeley.com/documents/?uuid=73484e13-0a7f-46f2-a652-5f24fa973715"]}],"mendeley":{"formattedCitation":"(Bali Swain, Karimu and Gråd, 2022)","manualFormatting":"Bali Swain, Karimu and Gråd (2022)","plainTextFormattedCitation":"(Bali Swain, Karimu and Gråd, 2022)","previouslyFormattedCitation":"(Bali Swain, Karimu and Gråd, 2022)"},"properties":{"noteIndex":0},"schema":"https://github.com/citation-style-language/schema/raw/master/csl-citation.json"}</w:instrText>
            </w:r>
            <w:r w:rsidRPr="00190C62">
              <w:rPr>
                <w:rFonts w:ascii="Arial" w:hAnsi="Arial" w:cs="Arial"/>
                <w:sz w:val="20"/>
                <w:szCs w:val="20"/>
              </w:rPr>
              <w:fldChar w:fldCharType="separate"/>
            </w:r>
            <w:r w:rsidRPr="00190C62">
              <w:rPr>
                <w:rFonts w:ascii="Arial" w:hAnsi="Arial" w:cs="Arial"/>
                <w:b w:val="0"/>
                <w:noProof/>
                <w:sz w:val="20"/>
                <w:szCs w:val="20"/>
              </w:rPr>
              <w:t>Bali Swain, Karimu and Gråd (2022)</w:t>
            </w:r>
            <w:r w:rsidRPr="00190C62">
              <w:rPr>
                <w:rFonts w:ascii="Arial" w:hAnsi="Arial" w:cs="Arial"/>
                <w:sz w:val="20"/>
                <w:szCs w:val="20"/>
              </w:rPr>
              <w:fldChar w:fldCharType="end"/>
            </w:r>
          </w:p>
        </w:tc>
        <w:tc>
          <w:tcPr>
            <w:tcW w:w="1794" w:type="dxa"/>
            <w:shd w:val="clear" w:color="auto" w:fill="auto"/>
          </w:tcPr>
          <w:p w14:paraId="65F38A16" w14:textId="6A258264" w:rsidR="00190C62" w:rsidRPr="00190C62"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0C62">
              <w:rPr>
                <w:rFonts w:ascii="Arial" w:hAnsi="Arial" w:cs="Arial"/>
                <w:sz w:val="20"/>
                <w:szCs w:val="20"/>
              </w:rPr>
              <w:t>EU-28 and Norway</w:t>
            </w:r>
          </w:p>
        </w:tc>
        <w:tc>
          <w:tcPr>
            <w:tcW w:w="1794" w:type="dxa"/>
            <w:shd w:val="clear" w:color="auto" w:fill="auto"/>
          </w:tcPr>
          <w:p w14:paraId="4B054B21" w14:textId="3C081A6F" w:rsidR="00190C62" w:rsidRPr="00190C62"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0C62">
              <w:rPr>
                <w:rFonts w:ascii="Arial" w:hAnsi="Arial" w:cs="Arial"/>
                <w:sz w:val="20"/>
                <w:szCs w:val="20"/>
              </w:rPr>
              <w:t>International - Europe</w:t>
            </w:r>
          </w:p>
        </w:tc>
        <w:tc>
          <w:tcPr>
            <w:tcW w:w="3544" w:type="dxa"/>
            <w:shd w:val="clear" w:color="auto" w:fill="auto"/>
          </w:tcPr>
          <w:p w14:paraId="2520025D" w14:textId="1DEAE194" w:rsidR="00190C62" w:rsidRPr="00190C62"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0C62">
              <w:rPr>
                <w:rFonts w:ascii="Arial" w:hAnsi="Arial" w:cs="Arial"/>
                <w:sz w:val="20"/>
                <w:szCs w:val="20"/>
              </w:rPr>
              <w:t>Transition from fossil fuels to renewable energy</w:t>
            </w:r>
          </w:p>
        </w:tc>
      </w:tr>
      <w:tr w:rsidR="00190C62" w:rsidRPr="00F47DE9" w14:paraId="4FF1D68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27E1F0F" w14:textId="1B98DF58"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{"citationItems":[{"id":"ITEM-1","itemData":{"DOI":"10.1016/J.ENPOL.2020.111878","ISSN":"0301-4215","abstract":"The decarbonisation of energy in a coal-producing country involves phasing out the coal sector and reducing employment in coal mining. Our case study of Poland reveals that in the past, half of the workers that left the mining sector failed to move to other sectors and left the labour market. This could be explained by the lower education levels of miners and lower wages in other sectors relative to mining. We use a mathematical model to demonstrate that if ex-miners fail to move to green or neutral sectors, decarbonisation involves a net loss of the labour force, regardless of the number of jobs created in the green sector. The loss of labour constitutes a macroeconomic cost that must be added to changes in energy system costs. The size of the cost does not depend on whether reduction of emissions is achieved by the substitution of coal with renewable energy sources or by an increase in energy efficiency. The size of the cost is largest when the reduction of emissions is achieved by replacing coal with imported gas. Finally, we demonstrate how costs related to the imperfect transition of labour could be taken into account in numerical general equilibrium models.","author":[{"dropping-particle":"","family":"Baran","given":"Jan","non-dropping-particle":"","parse-names":false,"suffix":""},{"dropping-particle":"","family":"Szpor","given":"Aleksander","non-dropping-particle":"","parse-names":false,"suffix":""},{"dropping-particle":"","family":"Witajewski-Baltvilks","given":"Jan","non-dropping-particle":"","parse-names":false,"suffix":""}],"container-title":"Energy Policy","id":"ITEM-1","issued":{"date-parts":[["2020","12","1"]]},"page":"111878","publisher":"Elsevier","title":"Low-carbon transition in a coal-producing country: A labour market perspective","type":"article-journal","volume":"147"},"uris":["http://www.mendeley.com/documents/?uuid=1dad94e3-d566-3239-bed3-1d15ac313d1f"]}],"mendeley":{"formattedCitation":"(Baran, Szpor and Witajewski-Baltvilks, 2020)","manualFormatting":"Baran, Szpor and Witajewski-Baltvilk (2020)","plainTextFormattedCitation":"(Baran, Szpor and Witajewski-Baltvilks, 2020)","previouslyFormattedCitation":"(Baran, Szpor and Witajewski-Baltvilks, 2020)"},"properties":{"noteIndex":0},"schema":"https://github.com/citation-style-language/schema/raw/master/csl-citation.json"}</w:instrText>
            </w:r>
            <w:r>
              <w:rPr>
                <w:rFonts w:ascii="Arial" w:hAnsi="Arial" w:cs="Arial"/>
                <w:sz w:val="20"/>
                <w:szCs w:val="20"/>
              </w:rPr>
              <w:fldChar w:fldCharType="separate"/>
            </w:r>
            <w:r w:rsidRPr="00F40BD7">
              <w:rPr>
                <w:rFonts w:ascii="Arial" w:hAnsi="Arial" w:cs="Arial"/>
                <w:b w:val="0"/>
                <w:noProof/>
                <w:sz w:val="20"/>
                <w:szCs w:val="20"/>
              </w:rPr>
              <w:t>Baran, Szpor and Witajewski-Baltvilk</w:t>
            </w:r>
            <w:r>
              <w:rPr>
                <w:rFonts w:ascii="Arial" w:hAnsi="Arial" w:cs="Arial"/>
                <w:b w:val="0"/>
                <w:noProof/>
                <w:sz w:val="20"/>
                <w:szCs w:val="20"/>
              </w:rPr>
              <w:t xml:space="preserve"> (</w:t>
            </w:r>
            <w:r w:rsidRPr="00F40BD7">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hideMark/>
          </w:tcPr>
          <w:p w14:paraId="1F869A8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Poland</w:t>
            </w:r>
          </w:p>
        </w:tc>
        <w:tc>
          <w:tcPr>
            <w:tcW w:w="1794" w:type="dxa"/>
            <w:shd w:val="clear" w:color="auto" w:fill="auto"/>
            <w:hideMark/>
          </w:tcPr>
          <w:p w14:paraId="09E2F7A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6344580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Substituting coal with renewables, energy efficiency or natural gas imports</w:t>
            </w:r>
          </w:p>
        </w:tc>
      </w:tr>
      <w:tr w:rsidR="00190C62" w:rsidRPr="00F47DE9" w14:paraId="464E6D5A"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A0D166D" w14:textId="00ECC8F6"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{"citationItems":[{"id":"ITEM-1","itemData":{"DOI":"10.1016/J.ENPOL.2019.110983","ISSN":"0301-4215","abstract":"Brazil has achieved significant advances in climate mitigation by reducing its greenhouse gas (GHG) emissions in the last decade. Additionally, Brazil commits to furthering its actions through the Nationally Determined Contributions (NDC), issued during the Paris Agreement. The country also anticipates a significant increase in GDP in the years to come. Chen et al. (2012)'s main conclusion was that if deforestation were to be greatly reduced, the burden of cutting CO2 emissions from energy use and industrial processes would be minimal. However, recent data on land-use emissions show that additional efforts might also be required in the energy sector. Using Brazil's industrial structure, we evaluate the minimal changes needed in domestic final demand to meet both the NDC target and the forecasted economic growth. Our results show that it may be possible to meet both objectives with policies that incentivize a service-oriented economy while lowering investments in the manufactuing and extracting sectors. Furthermore, this strategy could be net job-creating, would rely on fewer imported products, and would generate tax revenue. However, wages could decrease.","author":[{"dropping-particle":"","family":"Bastidas","given":"Daniel","non-dropping-particle":"","parse-names":false,"suffix":""},{"dropping-particle":"","family":"Mc Isaac","given":"Florent","non-dropping-particle":"","parse-names":false,"suffix":""}],"container-title":"Energy Policy","id":"ITEM-1","issued":{"date-parts":[["2019","12","1"]]},"page":"110983","publisher":"Elsevier","title":"Reaching Brazil's Nationally Determined Contributions: An assessment of the key transitions in final demand and employment","type":"article-journal","volume":"135"},"uris":["http://www.mendeley.com/documents/?uuid=8ffb9e08-92fe-3c83-aa37-9ebe05118e3e"]}],"mendeley":{"formattedCitation":"(Bastidas and Mc Isaac, 2019)","manualFormatting":"Bastidas and Mc Isaac (2019)","plainTextFormattedCitation":"(Bastidas and Mc Isaac, 2019)","previouslyFormattedCitation":"(Bastidas and Mc Isaac, 2019)"},"properties":{"noteIndex":0},"schema":"https://github.com/citation-style-language/schema/raw/master/csl-citation.json"}</w:instrText>
            </w:r>
            <w:r>
              <w:rPr>
                <w:rFonts w:ascii="Arial" w:hAnsi="Arial" w:cs="Arial"/>
                <w:sz w:val="20"/>
                <w:szCs w:val="20"/>
              </w:rPr>
              <w:fldChar w:fldCharType="separate"/>
            </w:r>
            <w:r w:rsidRPr="00F40BD7">
              <w:rPr>
                <w:rFonts w:ascii="Arial" w:hAnsi="Arial" w:cs="Arial"/>
                <w:b w:val="0"/>
                <w:noProof/>
                <w:sz w:val="20"/>
                <w:szCs w:val="20"/>
              </w:rPr>
              <w:t>Bastidas and Mc</w:t>
            </w:r>
            <w:r>
              <w:rPr>
                <w:rFonts w:ascii="Arial" w:hAnsi="Arial" w:cs="Arial"/>
                <w:b w:val="0"/>
                <w:noProof/>
                <w:sz w:val="20"/>
                <w:szCs w:val="20"/>
              </w:rPr>
              <w:t xml:space="preserve"> </w:t>
            </w:r>
            <w:r w:rsidRPr="00F40BD7">
              <w:rPr>
                <w:rFonts w:ascii="Arial" w:hAnsi="Arial" w:cs="Arial"/>
                <w:b w:val="0"/>
                <w:noProof/>
                <w:sz w:val="20"/>
                <w:szCs w:val="20"/>
              </w:rPr>
              <w:t>Isaac</w:t>
            </w:r>
            <w:r>
              <w:rPr>
                <w:rFonts w:ascii="Arial" w:hAnsi="Arial" w:cs="Arial"/>
                <w:b w:val="0"/>
                <w:noProof/>
                <w:sz w:val="20"/>
                <w:szCs w:val="20"/>
              </w:rPr>
              <w:t xml:space="preserve"> (</w:t>
            </w:r>
            <w:r w:rsidRPr="00F40BD7">
              <w:rPr>
                <w:rFonts w:ascii="Arial" w:hAnsi="Arial" w:cs="Arial"/>
                <w:b w:val="0"/>
                <w:noProof/>
                <w:sz w:val="20"/>
                <w:szCs w:val="20"/>
              </w:rPr>
              <w:t>2019)</w:t>
            </w:r>
            <w:r>
              <w:rPr>
                <w:rFonts w:ascii="Arial" w:hAnsi="Arial" w:cs="Arial"/>
                <w:sz w:val="20"/>
                <w:szCs w:val="20"/>
              </w:rPr>
              <w:fldChar w:fldCharType="end"/>
            </w:r>
          </w:p>
        </w:tc>
        <w:tc>
          <w:tcPr>
            <w:tcW w:w="1794" w:type="dxa"/>
            <w:shd w:val="clear" w:color="auto" w:fill="auto"/>
            <w:hideMark/>
          </w:tcPr>
          <w:p w14:paraId="7851631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Brazil</w:t>
            </w:r>
          </w:p>
        </w:tc>
        <w:tc>
          <w:tcPr>
            <w:tcW w:w="1794" w:type="dxa"/>
            <w:shd w:val="clear" w:color="auto" w:fill="auto"/>
            <w:hideMark/>
          </w:tcPr>
          <w:p w14:paraId="6552964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South America</w:t>
            </w:r>
          </w:p>
        </w:tc>
        <w:tc>
          <w:tcPr>
            <w:tcW w:w="3544" w:type="dxa"/>
            <w:shd w:val="clear" w:color="auto" w:fill="auto"/>
            <w:hideMark/>
          </w:tcPr>
          <w:p w14:paraId="2C5B516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Changes in domestic final energy demand to meet Nationally Determined Contributions target and forecast economic growth</w:t>
            </w:r>
          </w:p>
        </w:tc>
      </w:tr>
      <w:tr w:rsidR="00190C62" w:rsidRPr="00F47DE9" w14:paraId="2D9C146C"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1248238" w14:textId="3AAE3C74"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Behrens","given":"Arno","non-dropping-particle":"","parse-names":false,"suffix":""},{"dropping-particle":"","family":"Coulie","given":"Caroline","non-dropping-particle":"","parse-names":false,"suffix":""},{"dropping-particle":"","family":"Genoese","given":"Fabio","non-dropping-particle":"","parse-names":false,"suffix":""},{"dropping-particle":"","family":"Alessi","given":"Monica","non-dropping-particle":"","parse-names":false,"suffix":""},{"dropping-particle":"","family":"Wieczorkiewicz","given":"Julian","non-dropping-particle":"","parse-names":false,"suffix":""},{"dropping-particle":"","family":"Egenhofer","given":"Christian","non-dropping-particle":"","parse-names":false,"suffix":""}],"id":"ITEM-1","issued":{"date-parts":[["2014"]]},"title":"Impact of the decarbonisation of the energy system on employment in Europe. CEPS Special Report No. 82","type":"report"},"uris":["http://www.mendeley.com/documents/?uuid=c76445aa-4252-4ed3-a3f3-6b9ed909c2e3"]}],"mendeley":{"formattedCitation":"(Behrens &lt;i&gt;et al.&lt;/i&gt;, 2014)","plainTextFormattedCitation":"(Behrens et al., 2014)","previouslyFormattedCitation":"(Behrens &lt;i&gt;et al.&lt;/i&gt;, 2014)"},"properties":{"noteIndex":0},"schema":"https://github.com/citation-style-language/schema/raw/master/csl-citation.json"}</w:instrText>
            </w:r>
            <w:r>
              <w:rPr>
                <w:rFonts w:ascii="Arial" w:hAnsi="Arial" w:cs="Arial"/>
                <w:sz w:val="20"/>
                <w:szCs w:val="20"/>
              </w:rPr>
              <w:fldChar w:fldCharType="separate"/>
            </w:r>
            <w:r w:rsidRPr="00B128A3">
              <w:rPr>
                <w:rFonts w:ascii="Arial" w:hAnsi="Arial" w:cs="Arial"/>
                <w:b w:val="0"/>
                <w:noProof/>
                <w:sz w:val="20"/>
                <w:szCs w:val="20"/>
              </w:rPr>
              <w:t xml:space="preserve">Behrens </w:t>
            </w:r>
            <w:r w:rsidRPr="00B128A3">
              <w:rPr>
                <w:rFonts w:ascii="Arial" w:hAnsi="Arial" w:cs="Arial"/>
                <w:b w:val="0"/>
                <w:i/>
                <w:noProof/>
                <w:sz w:val="20"/>
                <w:szCs w:val="20"/>
              </w:rPr>
              <w:t>et al.</w:t>
            </w:r>
            <w:r>
              <w:rPr>
                <w:rFonts w:ascii="Arial" w:hAnsi="Arial" w:cs="Arial"/>
                <w:b w:val="0"/>
                <w:noProof/>
                <w:sz w:val="20"/>
                <w:szCs w:val="20"/>
              </w:rPr>
              <w:t xml:space="preserve"> (</w:t>
            </w:r>
            <w:r w:rsidRPr="00B128A3">
              <w:rPr>
                <w:rFonts w:ascii="Arial" w:hAnsi="Arial" w:cs="Arial"/>
                <w:b w:val="0"/>
                <w:noProof/>
                <w:sz w:val="20"/>
                <w:szCs w:val="20"/>
              </w:rPr>
              <w:t>2014)</w:t>
            </w:r>
            <w:r>
              <w:rPr>
                <w:rFonts w:ascii="Arial" w:hAnsi="Arial" w:cs="Arial"/>
                <w:sz w:val="20"/>
                <w:szCs w:val="20"/>
              </w:rPr>
              <w:fldChar w:fldCharType="end"/>
            </w:r>
          </w:p>
        </w:tc>
        <w:tc>
          <w:tcPr>
            <w:tcW w:w="1794" w:type="dxa"/>
            <w:shd w:val="clear" w:color="auto" w:fill="auto"/>
            <w:noWrap/>
            <w:hideMark/>
          </w:tcPr>
          <w:p w14:paraId="19D9168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EU; case studies on Poland, </w:t>
            </w:r>
            <w:proofErr w:type="gramStart"/>
            <w:r w:rsidRPr="00F47DE9">
              <w:rPr>
                <w:rFonts w:ascii="Arial" w:hAnsi="Arial" w:cs="Arial"/>
                <w:sz w:val="20"/>
                <w:szCs w:val="20"/>
              </w:rPr>
              <w:t>Sweden</w:t>
            </w:r>
            <w:proofErr w:type="gramEnd"/>
            <w:r w:rsidRPr="00F47DE9">
              <w:rPr>
                <w:rFonts w:ascii="Arial" w:hAnsi="Arial" w:cs="Arial"/>
                <w:sz w:val="20"/>
                <w:szCs w:val="20"/>
              </w:rPr>
              <w:t xml:space="preserve"> and Spain</w:t>
            </w:r>
          </w:p>
        </w:tc>
        <w:tc>
          <w:tcPr>
            <w:tcW w:w="1794" w:type="dxa"/>
            <w:shd w:val="clear" w:color="auto" w:fill="auto"/>
            <w:hideMark/>
          </w:tcPr>
          <w:p w14:paraId="3842DC4A" w14:textId="1B08318E"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International </w:t>
            </w:r>
            <w:r>
              <w:rPr>
                <w:rFonts w:ascii="Arial" w:hAnsi="Arial" w:cs="Arial"/>
                <w:sz w:val="20"/>
                <w:szCs w:val="20"/>
              </w:rPr>
              <w:t>–</w:t>
            </w:r>
            <w:r w:rsidRPr="00F47DE9">
              <w:rPr>
                <w:rFonts w:ascii="Arial" w:hAnsi="Arial" w:cs="Arial"/>
                <w:sz w:val="20"/>
                <w:szCs w:val="20"/>
              </w:rPr>
              <w:t xml:space="preserve"> Europe</w:t>
            </w:r>
          </w:p>
        </w:tc>
        <w:tc>
          <w:tcPr>
            <w:tcW w:w="3544" w:type="dxa"/>
            <w:shd w:val="clear" w:color="auto" w:fill="auto"/>
            <w:noWrap/>
            <w:hideMark/>
          </w:tcPr>
          <w:p w14:paraId="7809DE2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 nuclear / fossil fuels</w:t>
            </w:r>
          </w:p>
        </w:tc>
      </w:tr>
      <w:tr w:rsidR="00190C62" w:rsidRPr="00F47DE9" w14:paraId="2BC57B16"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FDB0E20" w14:textId="37B660F3"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{"citationItems":[{"id":"ITEM-1","itemData":{"author":[{"dropping-particle":"","family":"BEIS","given":"","non-dropping-particle":"","parse-names":false,"suffix":""}],"id":"ITEM-1","issued":{"date-parts":[["2019"]]},"publisher-place":"London, UK","title":"Energy innovation needs assessment: Overview report","type":"report"},"uris":["http://www.mendeley.com/documents/?uuid=be4ad090-5112-44f1-8edd-571fb7f2ba49"]}],"mendeley":{"formattedCitation":"(BEIS, 2019)","plainTextFormattedCitation":"(BEIS, 2019)"},"properties":{"noteIndex":0},"schema":"https://github.com/citation-style-language/schema/raw/master/csl-citation.json"}</w:instrText>
            </w:r>
            <w:r>
              <w:rPr>
                <w:rFonts w:ascii="Arial" w:hAnsi="Arial" w:cs="Arial"/>
                <w:sz w:val="20"/>
                <w:szCs w:val="20"/>
              </w:rPr>
              <w:fldChar w:fldCharType="separate"/>
            </w:r>
            <w:r w:rsidRPr="008A0A1A">
              <w:rPr>
                <w:rFonts w:ascii="Arial" w:hAnsi="Arial" w:cs="Arial"/>
                <w:b w:val="0"/>
                <w:noProof/>
                <w:sz w:val="20"/>
                <w:szCs w:val="20"/>
              </w:rPr>
              <w:t>BEIS</w:t>
            </w:r>
            <w:r>
              <w:rPr>
                <w:rFonts w:ascii="Arial" w:hAnsi="Arial" w:cs="Arial"/>
                <w:b w:val="0"/>
                <w:noProof/>
                <w:sz w:val="20"/>
                <w:szCs w:val="20"/>
              </w:rPr>
              <w:t xml:space="preserve"> (</w:t>
            </w:r>
            <w:r w:rsidRPr="008A0A1A">
              <w:rPr>
                <w:rFonts w:ascii="Arial" w:hAnsi="Arial" w:cs="Arial"/>
                <w:b w:val="0"/>
                <w:noProof/>
                <w:sz w:val="20"/>
                <w:szCs w:val="20"/>
              </w:rPr>
              <w:t>2019)</w:t>
            </w:r>
            <w:r>
              <w:rPr>
                <w:rFonts w:ascii="Arial" w:hAnsi="Arial" w:cs="Arial"/>
                <w:sz w:val="20"/>
                <w:szCs w:val="20"/>
              </w:rPr>
              <w:fldChar w:fldCharType="end"/>
            </w:r>
          </w:p>
        </w:tc>
        <w:tc>
          <w:tcPr>
            <w:tcW w:w="1794" w:type="dxa"/>
            <w:shd w:val="clear" w:color="auto" w:fill="auto"/>
            <w:hideMark/>
          </w:tcPr>
          <w:p w14:paraId="1E366FB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UK   </w:t>
            </w:r>
          </w:p>
        </w:tc>
        <w:tc>
          <w:tcPr>
            <w:tcW w:w="1794" w:type="dxa"/>
            <w:shd w:val="clear" w:color="auto" w:fill="auto"/>
            <w:hideMark/>
          </w:tcPr>
          <w:p w14:paraId="2968009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15EC780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‘Energy Innovation Needs Assessment’ for a clean energy system </w:t>
            </w:r>
          </w:p>
        </w:tc>
      </w:tr>
      <w:tr w:rsidR="00190C62" w:rsidRPr="00F47DE9" w14:paraId="5F7210D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8F7E4EC" w14:textId="4E5D8E02"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{"citationItems":[{"id":"ITEM-1","itemData":{"author":[{"dropping-particle":"","family":"BEIS","given":"","non-dropping-particle":"","parse-names":false,"suffix":""}],"id":"ITEM-1","issued":{"date-parts":[["2020"]]},"publisher":"Department for Business, Energy and Industrial Strategy","publisher-place":"London, UK","title":"Energy White Paper - Powering our Net Zero Future","type":"report"},"uris":["http://www.mendeley.com/documents/?uuid=08451d0a-e3df-3217-8f29-976947cd4513"]}],"mendeley":{"formattedCitation":"(BEIS, 2020)","manualFormatting":"BEIS (2020)","plainTextFormattedCitation":"(BEIS, 2020)","previouslyFormattedCitation":"(BEIS, 2020)"},"properties":{"noteIndex":0},"schema":"https://github.com/citation-style-language/schema/raw/master/csl-citation.json"}</w:instrText>
            </w:r>
            <w:r>
              <w:rPr>
                <w:rFonts w:ascii="Arial" w:hAnsi="Arial" w:cs="Arial"/>
                <w:sz w:val="20"/>
                <w:szCs w:val="20"/>
              </w:rPr>
              <w:fldChar w:fldCharType="separate"/>
            </w:r>
            <w:r w:rsidRPr="00F40BD7">
              <w:rPr>
                <w:rFonts w:ascii="Arial" w:hAnsi="Arial" w:cs="Arial"/>
                <w:b w:val="0"/>
                <w:noProof/>
                <w:sz w:val="20"/>
                <w:szCs w:val="20"/>
              </w:rPr>
              <w:t>BEIS</w:t>
            </w:r>
            <w:r>
              <w:rPr>
                <w:rFonts w:ascii="Arial" w:hAnsi="Arial" w:cs="Arial"/>
                <w:b w:val="0"/>
                <w:noProof/>
                <w:sz w:val="20"/>
                <w:szCs w:val="20"/>
              </w:rPr>
              <w:t xml:space="preserve"> (</w:t>
            </w:r>
            <w:r w:rsidRPr="00F40BD7">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hideMark/>
          </w:tcPr>
          <w:p w14:paraId="5C04E67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UK   </w:t>
            </w:r>
          </w:p>
        </w:tc>
        <w:tc>
          <w:tcPr>
            <w:tcW w:w="1794" w:type="dxa"/>
            <w:shd w:val="clear" w:color="auto" w:fill="auto"/>
            <w:hideMark/>
          </w:tcPr>
          <w:p w14:paraId="430A6DD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0224F90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Green Industrial Revolution - energy system decarbonisation for net zero</w:t>
            </w:r>
          </w:p>
        </w:tc>
      </w:tr>
      <w:tr w:rsidR="00190C62" w:rsidRPr="00F47DE9" w14:paraId="703A0C3B"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8F31E8A" w14:textId="5D4F2AB5"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{"citationItems":[{"id":"ITEM-1","itemData":{"author":[{"dropping-particle":"","family":"Bell","given":"Casey","non-dropping-particle":"","parse-names":false,"suffix":""}],"container-title":"Community Development Innovation Review, Federal Reserve Bank of San Francisco","id":"ITEM-1","issue":"1","issued":{"date-parts":[["2014"]]},"page":"109-116","title":"Understanding the true benefits of both energy efficiency and job creation","type":"article-journal"},"uris":["http://www.mendeley.com/documents/?uuid=53b2bfc5-1cb6-45a4-8ae8-2b40ce4b36ad"]}],"mendeley":{"formattedCitation":"(Bell, 2014)","plainTextFormattedCitation":"(Bell, 2014)","previouslyFormattedCitation":"(Bell, 2014)"},"properties":{"noteIndex":0},"schema":"https://github.com/citation-style-language/schema/raw/master/csl-citation.json"}</w:instrText>
            </w:r>
            <w:r>
              <w:rPr>
                <w:rFonts w:ascii="Arial" w:hAnsi="Arial" w:cs="Arial"/>
                <w:sz w:val="20"/>
                <w:szCs w:val="20"/>
              </w:rPr>
              <w:fldChar w:fldCharType="separate"/>
            </w:r>
            <w:r w:rsidRPr="00B128A3">
              <w:rPr>
                <w:rFonts w:ascii="Arial" w:hAnsi="Arial" w:cs="Arial"/>
                <w:b w:val="0"/>
                <w:noProof/>
                <w:sz w:val="20"/>
                <w:szCs w:val="20"/>
              </w:rPr>
              <w:t>Bell</w:t>
            </w:r>
            <w:r>
              <w:rPr>
                <w:rFonts w:ascii="Arial" w:hAnsi="Arial" w:cs="Arial"/>
                <w:b w:val="0"/>
                <w:noProof/>
                <w:sz w:val="20"/>
                <w:szCs w:val="20"/>
              </w:rPr>
              <w:t xml:space="preserve"> (</w:t>
            </w:r>
            <w:r w:rsidRPr="00B128A3">
              <w:rPr>
                <w:rFonts w:ascii="Arial" w:hAnsi="Arial" w:cs="Arial"/>
                <w:b w:val="0"/>
                <w:noProof/>
                <w:sz w:val="20"/>
                <w:szCs w:val="20"/>
              </w:rPr>
              <w:t>2014)</w:t>
            </w:r>
            <w:r>
              <w:rPr>
                <w:rFonts w:ascii="Arial" w:hAnsi="Arial" w:cs="Arial"/>
                <w:sz w:val="20"/>
                <w:szCs w:val="20"/>
              </w:rPr>
              <w:fldChar w:fldCharType="end"/>
            </w:r>
          </w:p>
        </w:tc>
        <w:tc>
          <w:tcPr>
            <w:tcW w:w="1794" w:type="dxa"/>
            <w:shd w:val="clear" w:color="auto" w:fill="auto"/>
            <w:noWrap/>
            <w:hideMark/>
          </w:tcPr>
          <w:p w14:paraId="58013FF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US</w:t>
            </w:r>
          </w:p>
        </w:tc>
        <w:tc>
          <w:tcPr>
            <w:tcW w:w="1794" w:type="dxa"/>
            <w:shd w:val="clear" w:color="auto" w:fill="auto"/>
            <w:hideMark/>
          </w:tcPr>
          <w:p w14:paraId="4300A91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noWrap/>
            <w:hideMark/>
          </w:tcPr>
          <w:p w14:paraId="0B63016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Key sectors of the US economy including energy; energy efficiency</w:t>
            </w:r>
          </w:p>
        </w:tc>
      </w:tr>
      <w:tr w:rsidR="00190C62" w:rsidRPr="00F47DE9" w14:paraId="69569D70" w14:textId="77777777" w:rsidTr="001A1445">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363B9543" w14:textId="6EE6632D" w:rsidR="00190C62" w:rsidRPr="00F1624D" w:rsidRDefault="00190C62" w:rsidP="00190C62">
            <w:pPr>
              <w:rPr>
                <w:rFonts w:ascii="Arial" w:hAnsi="Arial" w:cs="Arial"/>
                <w:b w:val="0"/>
                <w:bCs w:val="0"/>
                <w:sz w:val="20"/>
                <w:szCs w:val="20"/>
              </w:rPr>
            </w:pPr>
            <w:r w:rsidRPr="00F1624D">
              <w:rPr>
                <w:rFonts w:ascii="Arial" w:hAnsi="Arial" w:cs="Arial"/>
                <w:sz w:val="20"/>
                <w:szCs w:val="20"/>
              </w:rPr>
              <w:fldChar w:fldCharType="begin" w:fldLock="1"/>
            </w:r>
            <w:r>
              <w:rPr>
                <w:rFonts w:ascii="Arial" w:hAnsi="Arial" w:cs="Arial"/>
                <w:b w:val="0"/>
                <w:bCs w:val="0"/>
                <w:sz w:val="20"/>
                <w:szCs w:val="20"/>
              </w:rPr>
              <w:instrText>ADDIN CSL_CITATION {"citationItems":[{"id":"ITEM-1","itemData":{"author":[{"dropping-particle":"","family":"Bell","given":"Casey","non-dropping-particle":"","parse-names":false,"suffix":""},{"dropping-particle":"","family":"Barrett","given":"James","non-dropping-particle":"","parse-names":false,"suffix":""},{"dropping-particle":"","family":"McNerney","given":"Matthew","non-dropping-particle":"","parse-names":false,"suffix":""}],"id":"ITEM-1","issued":{"date-parts":[["2015"]]},"publisher-place":"Washington, DC, US","title":"Verifying energy efficiency job creation: Current practices and recommendations","type":"report"},"uris":["http://www.mendeley.com/documents/?uuid=6424d29c-caf2-4a5d-8598-a2a6bd2d3bdc"]}],"mendeley":{"formattedCitation":"(Bell, Barrett and McNerney, 2015)","manualFormatting":"Bell, Barrett and McNerney  (2015)","plainTextFormattedCitation":"(Bell, Barrett and McNerney, 2015)","previouslyFormattedCitation":"(Bell, Barrett and McNerney, 2015)"},"properties":{"noteIndex":0},"schema":"https://github.com/citation-style-language/schema/raw/master/csl-citation.json"}</w:instrText>
            </w:r>
            <w:r w:rsidRPr="00F1624D">
              <w:rPr>
                <w:rFonts w:ascii="Arial" w:hAnsi="Arial" w:cs="Arial"/>
                <w:sz w:val="20"/>
                <w:szCs w:val="20"/>
              </w:rPr>
              <w:fldChar w:fldCharType="separate"/>
            </w:r>
            <w:r w:rsidRPr="00F1624D">
              <w:rPr>
                <w:rFonts w:ascii="Arial" w:hAnsi="Arial" w:cs="Arial"/>
                <w:b w:val="0"/>
                <w:bCs w:val="0"/>
                <w:noProof/>
                <w:sz w:val="20"/>
                <w:szCs w:val="20"/>
              </w:rPr>
              <w:t>Bell, Barrett and McNerney</w:t>
            </w:r>
            <w:r>
              <w:rPr>
                <w:rFonts w:ascii="Arial" w:hAnsi="Arial" w:cs="Arial"/>
                <w:b w:val="0"/>
                <w:bCs w:val="0"/>
                <w:noProof/>
                <w:sz w:val="20"/>
                <w:szCs w:val="20"/>
              </w:rPr>
              <w:t xml:space="preserve">  </w:t>
            </w:r>
            <w:r w:rsidRPr="00F1624D">
              <w:rPr>
                <w:rFonts w:ascii="Arial" w:hAnsi="Arial" w:cs="Arial"/>
                <w:b w:val="0"/>
                <w:bCs w:val="0"/>
                <w:noProof/>
                <w:sz w:val="20"/>
                <w:szCs w:val="20"/>
              </w:rPr>
              <w:t>(2015)</w:t>
            </w:r>
            <w:r w:rsidRPr="00F1624D">
              <w:rPr>
                <w:rFonts w:ascii="Arial" w:hAnsi="Arial" w:cs="Arial"/>
                <w:sz w:val="20"/>
                <w:szCs w:val="20"/>
              </w:rPr>
              <w:fldChar w:fldCharType="end"/>
            </w:r>
          </w:p>
        </w:tc>
        <w:tc>
          <w:tcPr>
            <w:tcW w:w="1794" w:type="dxa"/>
            <w:shd w:val="clear" w:color="auto" w:fill="auto"/>
            <w:noWrap/>
            <w:hideMark/>
          </w:tcPr>
          <w:p w14:paraId="35EBDF8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US, Canada</w:t>
            </w:r>
          </w:p>
        </w:tc>
        <w:tc>
          <w:tcPr>
            <w:tcW w:w="1794" w:type="dxa"/>
            <w:shd w:val="clear" w:color="auto" w:fill="auto"/>
            <w:hideMark/>
          </w:tcPr>
          <w:p w14:paraId="34EBC5D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noWrap/>
            <w:hideMark/>
          </w:tcPr>
          <w:p w14:paraId="54129E7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Energy efficiency</w:t>
            </w:r>
          </w:p>
        </w:tc>
      </w:tr>
      <w:tr w:rsidR="00190C62" w:rsidRPr="00F47DE9" w14:paraId="1CF1D5EF"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0F95F13A" w14:textId="0F66611F"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Blyth","given":"Will","non-dropping-particle":"","parse-names":false,"suffix":""},{"dropping-particle":"","family":"Gross","given":"Rob","non-dropping-particle":"","parse-names":false,"suffix":""},{"dropping-particle":"","family":"Speirs","given":"Jamie","non-dropping-particle":"","parse-names":false,"suffix":""},{"dropping-particle":"","family":"Sorrell","given":"Steve","non-dropping-particle":"","parse-names":false,"suffix":""},{"dropping-particle":"","family":"Nicholls","given":"Jack","non-dropping-particle":"","parse-names":false,"suffix":""},{"dropping-particle":"","family":"Dorgan","given":"Alex","non-dropping-particle":"","parse-names":false,"suffix":""},{"dropping-particle":"","family":"Hughes","given":"Nick","non-dropping-particle":"","parse-names":false,"suffix":""}],"container-title":"UK Energy Research Centre","id":"ITEM-1","issued":{"date-parts":[["2014"]]},"publisher-place":"London","title":"Low carbon jobs: The evidence for net job creation from policy support for energy efficiency and renewable energy","type":"report"},"uris":["http://www.mendeley.com/documents/?uuid=acb9c2d1-0f6e-344f-a567-da4bef1b08ce"]}],"mendeley":{"formattedCitation":"(Blyth &lt;i&gt;et al.&lt;/i&gt;, 2014)","manualFormatting":"Blyth et al.  (2014)","plainTextFormattedCitation":"(Blyth et al., 2014)","previouslyFormattedCitation":"(Blyth &lt;i&gt;et al.&lt;/i&gt;, 2014)"},"properties":{"noteIndex":0},"schema":"https://github.com/citation-style-language/schema/raw/master/csl-citation.json"}</w:instrText>
            </w:r>
            <w:r>
              <w:rPr>
                <w:rFonts w:ascii="Arial" w:hAnsi="Arial" w:cs="Arial"/>
                <w:sz w:val="20"/>
                <w:szCs w:val="20"/>
              </w:rPr>
              <w:fldChar w:fldCharType="separate"/>
            </w:r>
            <w:r w:rsidRPr="00F40BD7">
              <w:rPr>
                <w:rFonts w:ascii="Arial" w:hAnsi="Arial" w:cs="Arial"/>
                <w:b w:val="0"/>
                <w:noProof/>
                <w:sz w:val="20"/>
                <w:szCs w:val="20"/>
              </w:rPr>
              <w:t xml:space="preserve">Blyth </w:t>
            </w:r>
            <w:r w:rsidRPr="00F40BD7">
              <w:rPr>
                <w:rFonts w:ascii="Arial" w:hAnsi="Arial" w:cs="Arial"/>
                <w:b w:val="0"/>
                <w:i/>
                <w:noProof/>
                <w:sz w:val="20"/>
                <w:szCs w:val="20"/>
              </w:rPr>
              <w:t>et al.</w:t>
            </w:r>
            <w:r>
              <w:rPr>
                <w:rFonts w:ascii="Arial" w:hAnsi="Arial" w:cs="Arial"/>
                <w:b w:val="0"/>
                <w:i/>
                <w:noProof/>
                <w:sz w:val="20"/>
                <w:szCs w:val="20"/>
              </w:rPr>
              <w:t xml:space="preserve"> </w:t>
            </w:r>
            <w:r>
              <w:rPr>
                <w:rFonts w:ascii="Arial" w:hAnsi="Arial" w:cs="Arial"/>
                <w:b w:val="0"/>
                <w:noProof/>
                <w:sz w:val="20"/>
                <w:szCs w:val="20"/>
              </w:rPr>
              <w:t xml:space="preserve"> (</w:t>
            </w:r>
            <w:r w:rsidRPr="00F40BD7">
              <w:rPr>
                <w:rFonts w:ascii="Arial" w:hAnsi="Arial" w:cs="Arial"/>
                <w:b w:val="0"/>
                <w:noProof/>
                <w:sz w:val="20"/>
                <w:szCs w:val="20"/>
              </w:rPr>
              <w:t>2014)</w:t>
            </w:r>
            <w:r>
              <w:rPr>
                <w:rFonts w:ascii="Arial" w:hAnsi="Arial" w:cs="Arial"/>
                <w:sz w:val="20"/>
                <w:szCs w:val="20"/>
              </w:rPr>
              <w:fldChar w:fldCharType="end"/>
            </w:r>
          </w:p>
        </w:tc>
        <w:tc>
          <w:tcPr>
            <w:tcW w:w="1794" w:type="dxa"/>
            <w:shd w:val="clear" w:color="auto" w:fill="auto"/>
            <w:hideMark/>
          </w:tcPr>
          <w:p w14:paraId="3CD0E3F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OECD countries</w:t>
            </w:r>
          </w:p>
        </w:tc>
        <w:tc>
          <w:tcPr>
            <w:tcW w:w="1794" w:type="dxa"/>
            <w:shd w:val="clear" w:color="auto" w:fill="auto"/>
            <w:hideMark/>
          </w:tcPr>
          <w:p w14:paraId="34C65864" w14:textId="55CF04C9"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International </w:t>
            </w:r>
            <w:r>
              <w:rPr>
                <w:rFonts w:ascii="Arial" w:hAnsi="Arial" w:cs="Arial"/>
                <w:sz w:val="20"/>
                <w:szCs w:val="20"/>
              </w:rPr>
              <w:t>–</w:t>
            </w:r>
            <w:r w:rsidRPr="00F47DE9">
              <w:rPr>
                <w:rFonts w:ascii="Arial" w:hAnsi="Arial" w:cs="Arial"/>
                <w:sz w:val="20"/>
                <w:szCs w:val="20"/>
              </w:rPr>
              <w:t xml:space="preserve"> OECD</w:t>
            </w:r>
          </w:p>
        </w:tc>
        <w:tc>
          <w:tcPr>
            <w:tcW w:w="3544" w:type="dxa"/>
            <w:shd w:val="clear" w:color="auto" w:fill="auto"/>
            <w:hideMark/>
          </w:tcPr>
          <w:p w14:paraId="3839D01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energy efficiency; fossil fuel power generation</w:t>
            </w:r>
          </w:p>
        </w:tc>
      </w:tr>
      <w:tr w:rsidR="00190C62" w:rsidRPr="00F47DE9" w14:paraId="6BBC0C36"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44C3FDE" w14:textId="32129807"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Bowen","given":"Alex","non-dropping-particle":"","parse-names":false,"suffix":""},{"dropping-particle":"","family":"Kuralbayeva","given":"Karlygash","non-dropping-particle":"","parse-names":false,"suffix":""}],"id":"ITEM-1","issued":{"date-parts":[["2015"]]},"title":"Looking for green jobs: the impact of green growth on employment","type":"paper-conference"},"uris":["http://www.mendeley.com/documents/?uuid=d36dbeee-e753-43eb-b327-2ff56c6272bb"]}],"mendeley":{"formattedCitation":"(Bowen and Kuralbayeva, 2015)","plainTextFormattedCitation":"(Bowen and Kuralbayeva, 2015)","previouslyFormattedCitation":"(Bowen and Kuralbayeva, 2015)"},"properties":{"noteIndex":0},"schema":"https://github.com/citation-style-language/schema/raw/master/csl-citation.json"}</w:instrText>
            </w:r>
            <w:r>
              <w:rPr>
                <w:rFonts w:ascii="Arial" w:hAnsi="Arial" w:cs="Arial"/>
                <w:sz w:val="20"/>
                <w:szCs w:val="20"/>
              </w:rPr>
              <w:fldChar w:fldCharType="separate"/>
            </w:r>
            <w:r w:rsidRPr="00577641">
              <w:rPr>
                <w:rFonts w:ascii="Arial" w:hAnsi="Arial" w:cs="Arial"/>
                <w:b w:val="0"/>
                <w:noProof/>
                <w:sz w:val="20"/>
                <w:szCs w:val="20"/>
              </w:rPr>
              <w:t>Bowen and Kuralbayeva</w:t>
            </w:r>
            <w:r>
              <w:rPr>
                <w:rFonts w:ascii="Arial" w:hAnsi="Arial" w:cs="Arial"/>
                <w:b w:val="0"/>
                <w:noProof/>
                <w:sz w:val="20"/>
                <w:szCs w:val="20"/>
              </w:rPr>
              <w:t xml:space="preserve"> (</w:t>
            </w:r>
            <w:r w:rsidRPr="00577641">
              <w:rPr>
                <w:rFonts w:ascii="Arial" w:hAnsi="Arial" w:cs="Arial"/>
                <w:b w:val="0"/>
                <w:noProof/>
                <w:sz w:val="20"/>
                <w:szCs w:val="20"/>
              </w:rPr>
              <w:t>2015)</w:t>
            </w:r>
            <w:r>
              <w:rPr>
                <w:rFonts w:ascii="Arial" w:hAnsi="Arial" w:cs="Arial"/>
                <w:sz w:val="20"/>
                <w:szCs w:val="20"/>
              </w:rPr>
              <w:fldChar w:fldCharType="end"/>
            </w:r>
          </w:p>
        </w:tc>
        <w:tc>
          <w:tcPr>
            <w:tcW w:w="1794" w:type="dxa"/>
            <w:shd w:val="clear" w:color="auto" w:fill="auto"/>
            <w:noWrap/>
            <w:hideMark/>
          </w:tcPr>
          <w:p w14:paraId="44E4326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various</w:t>
            </w:r>
          </w:p>
        </w:tc>
        <w:tc>
          <w:tcPr>
            <w:tcW w:w="1794" w:type="dxa"/>
            <w:shd w:val="clear" w:color="auto" w:fill="auto"/>
            <w:noWrap/>
            <w:hideMark/>
          </w:tcPr>
          <w:p w14:paraId="016D9E77" w14:textId="0E59CB9A"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International </w:t>
            </w:r>
            <w:r>
              <w:rPr>
                <w:rFonts w:ascii="Arial" w:hAnsi="Arial" w:cs="Arial"/>
                <w:sz w:val="20"/>
                <w:szCs w:val="20"/>
              </w:rPr>
              <w:t>–</w:t>
            </w:r>
            <w:r w:rsidRPr="00F47DE9">
              <w:rPr>
                <w:rFonts w:ascii="Arial" w:hAnsi="Arial" w:cs="Arial"/>
                <w:sz w:val="20"/>
                <w:szCs w:val="20"/>
              </w:rPr>
              <w:t xml:space="preserve"> various</w:t>
            </w:r>
          </w:p>
        </w:tc>
        <w:tc>
          <w:tcPr>
            <w:tcW w:w="3544" w:type="dxa"/>
            <w:shd w:val="clear" w:color="auto" w:fill="auto"/>
            <w:noWrap/>
            <w:hideMark/>
          </w:tcPr>
          <w:p w14:paraId="6564EBE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Green jobs / renewable energy / energy efficiency</w:t>
            </w:r>
          </w:p>
        </w:tc>
      </w:tr>
      <w:tr w:rsidR="00190C62" w:rsidRPr="00F47DE9" w14:paraId="16404005"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0C2C350" w14:textId="546B61AE" w:rsidR="00190C62" w:rsidRPr="0098685F" w:rsidRDefault="00190C62" w:rsidP="00190C62">
            <w:pPr>
              <w:rPr>
                <w:rFonts w:ascii="Arial" w:hAnsi="Arial" w:cs="Arial"/>
                <w:b w:val="0"/>
                <w:bCs w:val="0"/>
                <w:sz w:val="20"/>
                <w:szCs w:val="20"/>
              </w:rPr>
            </w:pPr>
            <w:r w:rsidRPr="0098685F">
              <w:rPr>
                <w:rFonts w:ascii="Arial" w:hAnsi="Arial" w:cs="Arial"/>
                <w:sz w:val="20"/>
                <w:szCs w:val="20"/>
              </w:rPr>
              <w:fldChar w:fldCharType="begin" w:fldLock="1"/>
            </w:r>
            <w:r w:rsidRPr="0098685F">
              <w:rPr>
                <w:rFonts w:ascii="Arial" w:hAnsi="Arial" w:cs="Arial"/>
                <w:b w:val="0"/>
                <w:bCs w:val="0"/>
                <w:sz w:val="20"/>
                <w:szCs w:val="20"/>
              </w:rPr>
              <w:instrText>ADDIN CSL_CITATION {"citationItems":[{"id":"ITEM-1","itemData":{"DOI":"10.1016/j.mex.2020.100955","ISSN":"22150161","abstract":"We develop a methodology for estimating the number and types of jobs that would result from investments in energy efficiency in homes, businesses, and industry. The methodology involves the development of input-output (I-O) bills of goods that characterize how energy-efficiency funds would be spent across sectors of the economy. The methodology builds on and adds greater articulation to the research conducted in prior studies of U.S. energy-efficiency policies. • The first two steps involve estimating the magnitude of investments in energy-efficient technologies and systems required to produce a unit of energy consumption reduction, and then identifying how these investments are expensed across the broad investment categories, which creates the preliminary “bills of goods” for investments in energy efficiency in homes, businesses, and industry. • The third step involves soliciting feedback on the preliminary bills of goods from experts in delivering and evaluating energy-efficiency programs, and then making necessary modifications. • In the final step we apply the input-output coefficients representing the bills of goods to estimate the direct, indirect and induced employment per million dollars of investment in energy efficiency.","author":[{"dropping-particle":"","family":"Brown","given":"Marilyn A.","non-dropping-particle":"","parse-names":false,"suffix":""},{"dropping-particle":"","family":"Soni","given":"Anmol","non-dropping-particle":"","parse-names":false,"suffix":""},{"dropping-particle":"","family":"Li","given":"Yufei","non-dropping-particle":"","parse-names":false,"suffix":""}],"container-title":"MethodsX","id":"ITEM-1","issued":{"date-parts":[["2020","1","1"]]},"page":"100955","publisher":"Elsevier B.V.","title":"Estimating employment from energy-efficiency investments","type":"article-journal","volume":"7"},"uris":["http://www.mendeley.com/documents/?uuid=d4fb19a9-493c-36bf-9ae5-d587db70fa6e"]}],"mendeley":{"formattedCitation":"(Brown, Soni and Li, 2020)","manualFormatting":"Brown, Soni and Li (2020)","plainTextFormattedCitation":"(Brown, Soni and Li, 2020)","previouslyFormattedCitation":"(Brown, Soni and Li, 2020)"},"properties":{"noteIndex":0},"schema":"https://github.com/citation-style-language/schema/raw/master/csl-citation.json"}</w:instrText>
            </w:r>
            <w:r w:rsidRPr="0098685F">
              <w:rPr>
                <w:rFonts w:ascii="Arial" w:hAnsi="Arial" w:cs="Arial"/>
                <w:sz w:val="20"/>
                <w:szCs w:val="20"/>
              </w:rPr>
              <w:fldChar w:fldCharType="separate"/>
            </w:r>
            <w:r w:rsidRPr="0098685F">
              <w:rPr>
                <w:rFonts w:ascii="Arial" w:hAnsi="Arial" w:cs="Arial"/>
                <w:b w:val="0"/>
                <w:bCs w:val="0"/>
                <w:noProof/>
                <w:sz w:val="20"/>
                <w:szCs w:val="20"/>
              </w:rPr>
              <w:t>Brown, Soni and Li (2020)</w:t>
            </w:r>
            <w:r w:rsidRPr="0098685F">
              <w:rPr>
                <w:rFonts w:ascii="Arial" w:hAnsi="Arial" w:cs="Arial"/>
                <w:sz w:val="20"/>
                <w:szCs w:val="20"/>
              </w:rPr>
              <w:fldChar w:fldCharType="end"/>
            </w:r>
          </w:p>
        </w:tc>
        <w:tc>
          <w:tcPr>
            <w:tcW w:w="1794" w:type="dxa"/>
            <w:shd w:val="clear" w:color="auto" w:fill="auto"/>
            <w:noWrap/>
          </w:tcPr>
          <w:p w14:paraId="7F3A8BF1" w14:textId="641EC520"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US</w:t>
            </w:r>
          </w:p>
        </w:tc>
        <w:tc>
          <w:tcPr>
            <w:tcW w:w="1794" w:type="dxa"/>
            <w:shd w:val="clear" w:color="auto" w:fill="auto"/>
            <w:noWrap/>
          </w:tcPr>
          <w:p w14:paraId="0417A9DF" w14:textId="0CF1312F"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North America</w:t>
            </w:r>
          </w:p>
        </w:tc>
        <w:tc>
          <w:tcPr>
            <w:tcW w:w="3544" w:type="dxa"/>
            <w:shd w:val="clear" w:color="auto" w:fill="auto"/>
            <w:noWrap/>
          </w:tcPr>
          <w:p w14:paraId="1ADC734E" w14:textId="368B4C17"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Electricity generation including renewables and nuclear; energy efficiency</w:t>
            </w:r>
          </w:p>
        </w:tc>
      </w:tr>
      <w:tr w:rsidR="00190C62" w:rsidRPr="00F47DE9" w14:paraId="14F7B1D9"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8EB8C2B" w14:textId="50F8E729"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{"citationItems":[{"id":"ITEM-1","itemData":{"DOI":"10.1016/J.RENENE.2017.09.039","ISSN":"0960-1481","abstract":"This study evaluates the economic impact of a shift towards renewable electricity mix in the Netherlands using the neo-Keynesian CGEM ThreeME (Multi-sector Macroeconomic Model for the Evaluation of Environmental and Energy policy). This scenario has been inspired by the Urgenda's report ‘Energy 100% Sustainable in the Netherlands by 2030’, which have been quantified using the Energy Transition Model (ETM) developed by Quintel. Using the output of the ETM regarding the change in the electricity generation shares as input in ThreeME, we derive the impact in terms of key economic variables (GDP, employment, investment, value-added, prices, trade, tax revenue, etc.). We find that transition to renewable energy may have a positive impact on the Dutch economy, creating almost 50 000 new jobs by 2030 and adding almost 1% of gross domestic product.","author":[{"dropping-particle":"","family":"Bulavskaya","given":"Tatyana","non-dropping-particle":"","parse-names":false,"suffix":""},{"dropping-particle":"","family":"Reynès","given":"Frédéric","non-dropping-particle":"","parse-names":false,"suffix":""}],"container-title":"Renewable Energy","id":"ITEM-1","issued":{"date-parts":[["2018","4","1"]]},"page":"528-538","publisher":"Pergamon","title":"Job creation and economic impact of renewable energy in the Netherlands","type":"article-journal","volume":"119"},"uris":["http://www.mendeley.com/documents/?uuid=1088232e-d51d-3f73-99b7-20c0c6c4aa0b"]}],"mendeley":{"formattedCitation":"(Bulavskaya and Reynès, 2018)","plainTextFormattedCitation":"(Bulavskaya and Reynès, 2018)","previouslyFormattedCitation":"(Bulavskaya and Reynès, 2018)"},"properties":{"noteIndex":0},"schema":"https://github.com/citation-style-language/schema/raw/master/csl-citation.json"}</w:instrText>
            </w:r>
            <w:r>
              <w:rPr>
                <w:rFonts w:ascii="Arial" w:hAnsi="Arial" w:cs="Arial"/>
                <w:sz w:val="20"/>
                <w:szCs w:val="20"/>
              </w:rPr>
              <w:fldChar w:fldCharType="separate"/>
            </w:r>
            <w:r w:rsidRPr="00222AAB">
              <w:rPr>
                <w:rFonts w:ascii="Arial" w:hAnsi="Arial" w:cs="Arial"/>
                <w:b w:val="0"/>
                <w:noProof/>
                <w:sz w:val="20"/>
                <w:szCs w:val="20"/>
              </w:rPr>
              <w:t>Bulavskaya and Reynès</w:t>
            </w:r>
            <w:r>
              <w:rPr>
                <w:rFonts w:ascii="Arial" w:hAnsi="Arial" w:cs="Arial"/>
                <w:b w:val="0"/>
                <w:noProof/>
                <w:sz w:val="20"/>
                <w:szCs w:val="20"/>
              </w:rPr>
              <w:t xml:space="preserve"> (</w:t>
            </w:r>
            <w:r w:rsidRPr="00222AAB">
              <w:rPr>
                <w:rFonts w:ascii="Arial" w:hAnsi="Arial" w:cs="Arial"/>
                <w:b w:val="0"/>
                <w:noProof/>
                <w:sz w:val="20"/>
                <w:szCs w:val="20"/>
              </w:rPr>
              <w:t>2018)</w:t>
            </w:r>
            <w:r>
              <w:rPr>
                <w:rFonts w:ascii="Arial" w:hAnsi="Arial" w:cs="Arial"/>
                <w:sz w:val="20"/>
                <w:szCs w:val="20"/>
              </w:rPr>
              <w:fldChar w:fldCharType="end"/>
            </w:r>
          </w:p>
        </w:tc>
        <w:tc>
          <w:tcPr>
            <w:tcW w:w="1794" w:type="dxa"/>
            <w:shd w:val="clear" w:color="auto" w:fill="auto"/>
            <w:noWrap/>
          </w:tcPr>
          <w:p w14:paraId="05DEF7B7" w14:textId="43A114CB"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Netherlands</w:t>
            </w:r>
          </w:p>
        </w:tc>
        <w:tc>
          <w:tcPr>
            <w:tcW w:w="1794" w:type="dxa"/>
            <w:shd w:val="clear" w:color="auto" w:fill="auto"/>
            <w:noWrap/>
          </w:tcPr>
          <w:p w14:paraId="55D1D87C" w14:textId="15A77701"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noWrap/>
          </w:tcPr>
          <w:p w14:paraId="6E6ADEF1" w14:textId="548D313C"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2CBE09B5"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56095105" w14:textId="56331E32"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{"citationItems":[{"id":"ITEM-1","itemData":{"DOI":"10.1016/J.RSER.2014.07.136","ISSN":"1364-0321","abstract":"The main goal of this paper is to argue for the necessity and significance of studying the distributional employment impacts of renewable and new energy development (RNE). Based on the comprehensive review of the methodology and conclusions of existing literatures, this paper builds up an extended input-output model to study RNE's distributional employment impacts on gender and personnel structure. The case study of Chinas power sector in this paper affirmed earlier doubts that RNE development will indeed aggravate the gender inequality problem and add to the level of mismatch between the structure of labor demand and supply, causing structural unemployment problems. The quantitative analysis in this paper outlined here implies that from 2011 to 2020 the development of RNE will bring about 7 million employment gains, but only 81.8% of which can be realized due to the mismatch problem. The study of China may alert other countries to be less-optimistic about RNE's employment impacts and reaffirm the need to carry out the distributional employment impacts analysis. This paper concludes with policy suggestions such as providing suitable training and equal promotion opportunities for women, offering courses and vocational trainings to RNE-related majors, in order to reduce the structural unemployment problem and further speed up the development of RNE. © 2014 Elsevier Ltd.","author":[{"dropping-particle":"","family":"Cai","given":"Wenjia","non-dropping-particle":"","parse-names":false,"suffix":""},{"dropping-particle":"","family":"Mu","given":"Yaqian","non-dropping-particle":"","parse-names":false,"suffix":""},{"dropping-particle":"","family":"Wang","given":"Can","non-dropping-particle":"","parse-names":false,"suffix":""},{"dropping-particle":"","family":"Chen","given":"Jining","non-dropping-particle":"","parse-names":false,"suffix":""}],"container-title":"Renewable and Sustainable Energy Reviews","id":"ITEM-1","issued":{"date-parts":[["2014","11","1"]]},"page":"1155-1163","publisher":"Pergamon","title":"Distributional employment impacts of renewable and new energy–A case study of China","type":"article-journal","volume":"39"},"uris":["http://www.mendeley.com/documents/?uuid=ed4f22a2-7bf9-3bc0-a8b7-8b33ccc8eab0"]}],"mendeley":{"formattedCitation":"(Cai &lt;i&gt;et al.&lt;/i&gt;, 2014)","plainTextFormattedCitation":"(Cai et al., 2014)","previouslyFormattedCitation":"(Cai &lt;i&gt;et al.&lt;/i&gt;, 2014)"},"properties":{"noteIndex":0},"schema":"https://github.com/citation-style-language/schema/raw/master/csl-citation.json"}</w:instrText>
            </w:r>
            <w:r>
              <w:rPr>
                <w:rFonts w:ascii="Arial" w:hAnsi="Arial" w:cs="Arial"/>
                <w:sz w:val="20"/>
                <w:szCs w:val="20"/>
              </w:rPr>
              <w:fldChar w:fldCharType="separate"/>
            </w:r>
            <w:r w:rsidRPr="00222AAB">
              <w:rPr>
                <w:rFonts w:ascii="Arial" w:hAnsi="Arial" w:cs="Arial"/>
                <w:b w:val="0"/>
                <w:noProof/>
                <w:sz w:val="20"/>
                <w:szCs w:val="20"/>
              </w:rPr>
              <w:t xml:space="preserve">Cai </w:t>
            </w:r>
            <w:r w:rsidRPr="00222AAB">
              <w:rPr>
                <w:rFonts w:ascii="Arial" w:hAnsi="Arial" w:cs="Arial"/>
                <w:b w:val="0"/>
                <w:i/>
                <w:noProof/>
                <w:sz w:val="20"/>
                <w:szCs w:val="20"/>
              </w:rPr>
              <w:t>et al.</w:t>
            </w:r>
            <w:r w:rsidRPr="0068497D">
              <w:rPr>
                <w:rFonts w:ascii="Arial" w:hAnsi="Arial" w:cs="Arial"/>
                <w:b w:val="0"/>
                <w:iCs/>
                <w:noProof/>
                <w:sz w:val="20"/>
                <w:szCs w:val="20"/>
              </w:rPr>
              <w:t xml:space="preserve"> (2014)</w:t>
            </w:r>
            <w:r>
              <w:rPr>
                <w:rFonts w:ascii="Arial" w:hAnsi="Arial" w:cs="Arial"/>
                <w:sz w:val="20"/>
                <w:szCs w:val="20"/>
              </w:rPr>
              <w:fldChar w:fldCharType="end"/>
            </w:r>
          </w:p>
        </w:tc>
        <w:tc>
          <w:tcPr>
            <w:tcW w:w="1794" w:type="dxa"/>
            <w:shd w:val="clear" w:color="auto" w:fill="auto"/>
            <w:noWrap/>
            <w:hideMark/>
          </w:tcPr>
          <w:p w14:paraId="31BF07F0"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China</w:t>
            </w:r>
          </w:p>
        </w:tc>
        <w:tc>
          <w:tcPr>
            <w:tcW w:w="1794" w:type="dxa"/>
            <w:shd w:val="clear" w:color="auto" w:fill="auto"/>
            <w:hideMark/>
          </w:tcPr>
          <w:p w14:paraId="08A04E1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noWrap/>
            <w:hideMark/>
          </w:tcPr>
          <w:p w14:paraId="08E0A24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 nuclear / fossil fuels</w:t>
            </w:r>
          </w:p>
        </w:tc>
      </w:tr>
      <w:tr w:rsidR="00190C62" w:rsidRPr="00F47DE9" w14:paraId="15E9DBAC"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933125A" w14:textId="0FD7EC20"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{"citationItems":[{"id":"ITEM-1","itemData":{"DOI":"10.1016/J.ENPOL.2017.08.013","ISSN":"0301-4215","abstract":"Taking a retrospective look at Italy's experience over the period 2006–2014, this paper investigates to what extent the deployment of renewable energy sources (RES) contributed to value added and employment in the economy. From the methodological point of view, our study combines an input-output approach with a comprehensive bottom-up analytical model in which detailed product information from external trade statistics is used to account for imports. Although during the period under consideration Italy experienced an expansion in RES capacity that went beyond the rosiest expectations, it appears that the resulting demand for plant components was met to a very significant extent by imports. We find that the contribution to sectoral value added and employment was not as large as envisioned by ex-ante analyses. In net terms, the resources absorbed by RES plants in the construction, installation and manufacturing phase seem to have made a smaller contribution to the domestic economy than they would have in several counterfactual scenarios. The opposite is true for the resources used in the subsequent operation and management phase. Finally, our results suggest that variation in domestic content of manufactured products may limit the portability of RES employment and value added factor estimates across countries.","author":[{"dropping-particle":"","family":"Cai","given":"Mattia","non-dropping-particle":"","parse-names":false,"suffix":""},{"dropping-particle":"","family":"Cusumano","given":"Niccolò","non-dropping-particle":"","parse-names":false,"suffix":""},{"dropping-particle":"","family":"Lorenzoni","given":"Arturo","non-dropping-particle":"","parse-names":false,"suffix":""},{"dropping-particle":"","family":"Pontoni","given":"Federico","non-dropping-particle":"","parse-names":false,"suffix":""}],"container-title":"Energy Policy","id":"ITEM-1","issued":{"date-parts":[["2017","11","1"]]},"page":"234-245","publisher":"Elsevier","title":"A comprehensive ex-post assessment of RES deployment in Italy: Jobs, value added and import leakages","type":"article-journal","volume":"110"},"uris":["http://www.mendeley.com/documents/?uuid=43b765e8-f7dd-3c56-aa9b-75d309ba283f"]}],"mendeley":{"formattedCitation":"(Cai &lt;i&gt;et al.&lt;/i&gt;, 2017)","manualFormatting":"Cai et al. (2017)","plainTextFormattedCitation":"(Cai et al., 2017)","previouslyFormattedCitation":"(Cai &lt;i&gt;et al.&lt;/i&gt;, 2017)"},"properties":{"noteIndex":0},"schema":"https://github.com/citation-style-language/schema/raw/master/csl-citation.json"}</w:instrText>
            </w:r>
            <w:r>
              <w:rPr>
                <w:rFonts w:ascii="Arial" w:hAnsi="Arial" w:cs="Arial"/>
                <w:sz w:val="20"/>
                <w:szCs w:val="20"/>
              </w:rPr>
              <w:fldChar w:fldCharType="separate"/>
            </w:r>
            <w:r w:rsidRPr="009B03B9">
              <w:rPr>
                <w:rFonts w:ascii="Arial" w:hAnsi="Arial" w:cs="Arial"/>
                <w:b w:val="0"/>
                <w:noProof/>
                <w:sz w:val="20"/>
                <w:szCs w:val="20"/>
              </w:rPr>
              <w:t xml:space="preserve">Cai </w:t>
            </w:r>
            <w:r w:rsidRPr="009B03B9">
              <w:rPr>
                <w:rFonts w:ascii="Arial" w:hAnsi="Arial" w:cs="Arial"/>
                <w:b w:val="0"/>
                <w:i/>
                <w:noProof/>
                <w:sz w:val="20"/>
                <w:szCs w:val="20"/>
              </w:rPr>
              <w:t>et al.</w:t>
            </w:r>
            <w:r>
              <w:rPr>
                <w:rFonts w:ascii="Arial" w:hAnsi="Arial" w:cs="Arial"/>
                <w:b w:val="0"/>
                <w:noProof/>
                <w:sz w:val="20"/>
                <w:szCs w:val="20"/>
              </w:rPr>
              <w:t xml:space="preserve"> (</w:t>
            </w:r>
            <w:r w:rsidRPr="009B03B9">
              <w:rPr>
                <w:rFonts w:ascii="Arial" w:hAnsi="Arial" w:cs="Arial"/>
                <w:b w:val="0"/>
                <w:noProof/>
                <w:sz w:val="20"/>
                <w:szCs w:val="20"/>
              </w:rPr>
              <w:t>2017)</w:t>
            </w:r>
            <w:r>
              <w:rPr>
                <w:rFonts w:ascii="Arial" w:hAnsi="Arial" w:cs="Arial"/>
                <w:sz w:val="20"/>
                <w:szCs w:val="20"/>
              </w:rPr>
              <w:fldChar w:fldCharType="end"/>
            </w:r>
          </w:p>
        </w:tc>
        <w:tc>
          <w:tcPr>
            <w:tcW w:w="1794" w:type="dxa"/>
            <w:shd w:val="clear" w:color="auto" w:fill="auto"/>
            <w:hideMark/>
          </w:tcPr>
          <w:p w14:paraId="44D1183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Italy</w:t>
            </w:r>
          </w:p>
        </w:tc>
        <w:tc>
          <w:tcPr>
            <w:tcW w:w="1794" w:type="dxa"/>
            <w:shd w:val="clear" w:color="auto" w:fill="auto"/>
            <w:hideMark/>
          </w:tcPr>
          <w:p w14:paraId="249A3F49" w14:textId="0682A01C"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4C7A966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Renewable energy contribution to value added and employment </w:t>
            </w:r>
            <w:proofErr w:type="gramStart"/>
            <w:r w:rsidRPr="00F47DE9">
              <w:rPr>
                <w:rFonts w:ascii="Arial" w:hAnsi="Arial" w:cs="Arial"/>
                <w:sz w:val="20"/>
                <w:szCs w:val="20"/>
              </w:rPr>
              <w:t>considering:</w:t>
            </w:r>
            <w:proofErr w:type="gramEnd"/>
            <w:r w:rsidRPr="00F47DE9">
              <w:rPr>
                <w:rFonts w:ascii="Arial" w:hAnsi="Arial" w:cs="Arial"/>
                <w:sz w:val="20"/>
                <w:szCs w:val="20"/>
              </w:rPr>
              <w:t xml:space="preserve"> solar PV, onshore wind, hydropower and bioenergy. </w:t>
            </w:r>
          </w:p>
        </w:tc>
      </w:tr>
      <w:tr w:rsidR="00190C62" w:rsidRPr="00F47DE9" w14:paraId="44FB773E"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8E0A1E4" w14:textId="7631BC03" w:rsidR="00190C62" w:rsidRPr="00CD0CCF" w:rsidRDefault="00190C62" w:rsidP="00190C62">
            <w:pPr>
              <w:rPr>
                <w:rFonts w:ascii="Arial" w:hAnsi="Arial" w:cs="Arial"/>
                <w:b w:val="0"/>
                <w:bCs w:val="0"/>
                <w:sz w:val="20"/>
                <w:szCs w:val="20"/>
              </w:rPr>
            </w:pPr>
            <w:r w:rsidRPr="00CD0CCF">
              <w:rPr>
                <w:rFonts w:ascii="Arial" w:hAnsi="Arial" w:cs="Arial"/>
                <w:sz w:val="20"/>
                <w:szCs w:val="20"/>
              </w:rPr>
              <w:fldChar w:fldCharType="begin" w:fldLock="1"/>
            </w:r>
            <w:r w:rsidRPr="00CD0CCF">
              <w:rPr>
                <w:rFonts w:ascii="Arial" w:hAnsi="Arial" w:cs="Arial"/>
                <w:b w:val="0"/>
                <w:bCs w:val="0"/>
                <w:sz w:val="20"/>
                <w:szCs w:val="20"/>
              </w:rPr>
              <w:instrText>ADDIN CSL_CITATION {"citationItems":[{"id":"ITEM-1","itemData":{"abstract":"“Desert Power 2050” is probably the world’s most ambitious strategy report towards the decarbonization of the power sector in Europe, the Middle East and North Africa (EUMENA). The report inspired by the Desertec vision aims at providing clean energy from MENA’s desert regions to the entire MENA region as well as exporting electricity to Europe. By 2050, the Desertec Industrial Initiative report “Desert Power 2050” aims at establishing a power system in MENA based on 97 percent renewables, dominated by wind power that accounts for 53 percent of all electricity produced. Solar technologies are expected to contribute by around 44 percent. This implies to install around 1 terawatt (TW) of renewable power capacity, which is equivalent to today’s installed capacity in Europe. Most of the electricity produced will cover the growing energy demand in MENA countries and up to 20 percent will be exported to Europe.\n\nA transition of this magnitude will definitively have a great economic impact on the MENA region. Hundreds of wind and solar power plants need to be constructed requiring to mobilize huge economic resources which may compete with uses in other sectors of the MENA economies. Job opportunities will be created during the construction, operation and maintenance phase of power plants. Moreover, the development of wind and solar power in MENA will also contribute to the mitigation of climate change by significantly reducing the carbon dioxide (CO2) emissions from the electricity sector. Thus, electricity trade between MENA and Europe will also help to achieve Europe’s commitments on energy-climate targets set out in the National Renewable Energy Action Plans.\n\nClearly, such an ambitious transition requires substantial economic resources. The yearly investment in renewable power capacity in the whole MENA region reaches gradually up to 10 percent (around 2030) of the total investment in the region. In addition, even if solar and wind potentials are ideal in the ...","author":[{"dropping-particle":"","family":"Calzadilla","given":"Alvaro","non-dropping-particle":"","parse-names":false,"suffix":""},{"dropping-particle":"","family":"Wiebelt","given":"Manfred","non-dropping-particle":"","parse-names":false,"suffix":""},{"dropping-particle":"","family":"Blohmke","given":"Julian","non-dropping-particle":"","parse-names":false,"suffix":""},{"dropping-particle":"","family":"Klepper","given":"Gernot","non-dropping-particle":"","parse-names":false,"suffix":""}],"id":"ITEM-1","issued":{"date-parts":[["2014"]]},"publisher":"Global Trade Analysis Project (GTAP)","publisher-place":"Department of Agricultural Economics, Purdue University, West Lafayette, IN","title":"Desert Power 2050: Regional and sectoral impacts of renewable electricity production in Europe, the Middle East and North Africa","type":"report"},"uris":["http://www.mendeley.com/documents/?uuid=d6210d17-a5bd-4909-9e9d-ba9061a0127c"]}],"mendeley":{"formattedCitation":"(Calzadilla &lt;i&gt;et al.&lt;/i&gt;, 2014)","manualFormatting":"Calzadilla et al. (2014)","plainTextFormattedCitation":"(Calzadilla et al., 2014)","previouslyFormattedCitation":"(Calzadilla &lt;i&gt;et al.&lt;/i&gt;, 2014)"},"properties":{"noteIndex":0},"schema":"https://github.com/citation-style-language/schema/raw/master/csl-citation.json"}</w:instrText>
            </w:r>
            <w:r w:rsidRPr="00CD0CCF">
              <w:rPr>
                <w:rFonts w:ascii="Arial" w:hAnsi="Arial" w:cs="Arial"/>
                <w:sz w:val="20"/>
                <w:szCs w:val="20"/>
              </w:rPr>
              <w:fldChar w:fldCharType="separate"/>
            </w:r>
            <w:r w:rsidRPr="00CD0CCF">
              <w:rPr>
                <w:rFonts w:ascii="Arial" w:hAnsi="Arial" w:cs="Arial"/>
                <w:b w:val="0"/>
                <w:bCs w:val="0"/>
                <w:noProof/>
                <w:sz w:val="20"/>
                <w:szCs w:val="20"/>
              </w:rPr>
              <w:t xml:space="preserve">Calzadilla </w:t>
            </w:r>
            <w:r w:rsidRPr="00CD0CCF">
              <w:rPr>
                <w:rFonts w:ascii="Arial" w:hAnsi="Arial" w:cs="Arial"/>
                <w:b w:val="0"/>
                <w:bCs w:val="0"/>
                <w:i/>
                <w:noProof/>
                <w:sz w:val="20"/>
                <w:szCs w:val="20"/>
              </w:rPr>
              <w:t>et al.</w:t>
            </w:r>
            <w:r w:rsidRPr="00CD0CCF">
              <w:rPr>
                <w:rFonts w:ascii="Arial" w:hAnsi="Arial" w:cs="Arial"/>
                <w:b w:val="0"/>
                <w:bCs w:val="0"/>
                <w:noProof/>
                <w:sz w:val="20"/>
                <w:szCs w:val="20"/>
              </w:rPr>
              <w:t xml:space="preserve"> (2014)</w:t>
            </w:r>
            <w:r w:rsidRPr="00CD0CCF">
              <w:rPr>
                <w:rFonts w:ascii="Arial" w:hAnsi="Arial" w:cs="Arial"/>
                <w:sz w:val="20"/>
                <w:szCs w:val="20"/>
              </w:rPr>
              <w:fldChar w:fldCharType="end"/>
            </w:r>
          </w:p>
        </w:tc>
        <w:tc>
          <w:tcPr>
            <w:tcW w:w="1794" w:type="dxa"/>
            <w:shd w:val="clear" w:color="auto" w:fill="auto"/>
            <w:noWrap/>
            <w:hideMark/>
          </w:tcPr>
          <w:p w14:paraId="688A09E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Egypt, Germany, Morocco, Spain, and Saudi Arabia</w:t>
            </w:r>
          </w:p>
        </w:tc>
        <w:tc>
          <w:tcPr>
            <w:tcW w:w="1794" w:type="dxa"/>
            <w:shd w:val="clear" w:color="auto" w:fill="auto"/>
            <w:hideMark/>
          </w:tcPr>
          <w:p w14:paraId="12A9E6E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noWrap/>
            <w:hideMark/>
          </w:tcPr>
          <w:p w14:paraId="1B0C613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(solar PV, wind, CSP)</w:t>
            </w:r>
          </w:p>
        </w:tc>
      </w:tr>
      <w:tr w:rsidR="00190C62" w:rsidRPr="00F47DE9" w14:paraId="4D9CF1F3"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3E41E5B6" w14:textId="3600C435" w:rsidR="00190C62" w:rsidRPr="003A7FA2" w:rsidRDefault="00190C62" w:rsidP="00190C62">
            <w:pPr>
              <w:rPr>
                <w:rFonts w:ascii="Arial" w:hAnsi="Arial" w:cs="Arial"/>
                <w:b w:val="0"/>
                <w:bCs w:val="0"/>
                <w:sz w:val="20"/>
                <w:szCs w:val="20"/>
              </w:rPr>
            </w:pPr>
            <w:r w:rsidRPr="003A7FA2">
              <w:rPr>
                <w:rFonts w:ascii="Arial" w:hAnsi="Arial" w:cs="Arial"/>
                <w:sz w:val="20"/>
                <w:szCs w:val="20"/>
              </w:rPr>
              <w:fldChar w:fldCharType="begin" w:fldLock="1"/>
            </w:r>
            <w:r w:rsidRPr="003A7FA2">
              <w:rPr>
                <w:rFonts w:ascii="Arial" w:hAnsi="Arial" w:cs="Arial"/>
                <w:b w:val="0"/>
                <w:bCs w:val="0"/>
                <w:sz w:val="20"/>
                <w:szCs w:val="20"/>
              </w:rPr>
              <w:instrText>ADDIN CSL_CITATION {"citationItems":[{"id":"ITEM-1","itemData":{"author":[{"dropping-particle":"","family":"Cambridge Econometrics","given":"","non-dropping-particle":"","parse-names":false,"suffix":""}],"id":"ITEM-1","issued":{"date-parts":[["2015"]]},"publisher-place":"Cambridge, UK","title":"Assessing the employment and social impact of energy efficiency. Final report, volume 1: Main report","type":"report"},"uris":["http://www.mendeley.com/documents/?uuid=1b185636-2acc-478c-a2d4-02b574895961"]}],"mendeley":{"formattedCitation":"(Cambridge Econometrics, 2015)","manualFormatting":"Cambridge Econometrics (2015)","plainTextFormattedCitation":"(Cambridge Econometrics, 2015)","previouslyFormattedCitation":"(Cambridge Econometrics, 2015)"},"properties":{"noteIndex":0},"schema":"https://github.com/citation-style-language/schema/raw/master/csl-citation.json"}</w:instrText>
            </w:r>
            <w:r w:rsidRPr="003A7FA2">
              <w:rPr>
                <w:rFonts w:ascii="Arial" w:hAnsi="Arial" w:cs="Arial"/>
                <w:sz w:val="20"/>
                <w:szCs w:val="20"/>
              </w:rPr>
              <w:fldChar w:fldCharType="separate"/>
            </w:r>
            <w:r w:rsidRPr="003A7FA2">
              <w:rPr>
                <w:rFonts w:ascii="Arial" w:hAnsi="Arial" w:cs="Arial"/>
                <w:b w:val="0"/>
                <w:bCs w:val="0"/>
                <w:noProof/>
                <w:sz w:val="20"/>
                <w:szCs w:val="20"/>
              </w:rPr>
              <w:t>Cambridge Econometrics (2015)</w:t>
            </w:r>
            <w:r w:rsidRPr="003A7FA2">
              <w:rPr>
                <w:rFonts w:ascii="Arial" w:hAnsi="Arial" w:cs="Arial"/>
                <w:sz w:val="20"/>
                <w:szCs w:val="20"/>
              </w:rPr>
              <w:fldChar w:fldCharType="end"/>
            </w:r>
          </w:p>
        </w:tc>
        <w:tc>
          <w:tcPr>
            <w:tcW w:w="1794" w:type="dxa"/>
            <w:shd w:val="clear" w:color="auto" w:fill="auto"/>
            <w:noWrap/>
            <w:hideMark/>
          </w:tcPr>
          <w:p w14:paraId="3753BE3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 US, Canada, other international</w:t>
            </w:r>
          </w:p>
        </w:tc>
        <w:tc>
          <w:tcPr>
            <w:tcW w:w="1794" w:type="dxa"/>
            <w:shd w:val="clear" w:color="auto" w:fill="auto"/>
            <w:noWrap/>
            <w:hideMark/>
          </w:tcPr>
          <w:p w14:paraId="22B61EA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noWrap/>
            <w:hideMark/>
          </w:tcPr>
          <w:p w14:paraId="3FC397A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Energy efficiency</w:t>
            </w:r>
          </w:p>
        </w:tc>
      </w:tr>
      <w:tr w:rsidR="00190C62" w:rsidRPr="00F47DE9" w14:paraId="3D06A1EC"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C76C70F" w14:textId="4A235F03"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{"citationItems":[{"id":"ITEM-1","itemData":{"DOI":"10.1016/j.rser.2015.01.001","ISSN":"13640321","abstract":"In this paper we present an up-to-date literature review on employment opportunities associated with the deployment of renewable energy technology. We identified approximately 70 studies and data sources published over the past decade that report analysed or observed employment impacts of renewable energy growth. These publications cover many different countries and several technology options, and present widely varying results derived from distinct methodological approaches. Our first overall conclusion is that there is clear lack of authenticity of findings in this literature, since recursive referencing abounds and relatively few studies yield truly original research. When we omit non-authentic analyses, as well as those that aggregate results in a way that does not allow us to calculate 'employment factors' (defined as the number of jobs or amount of work generated per unit of electricity production capacity), the total list of references is brought to 31 independent items. Of these, only 14 references provide separate estimates of the employment factors for the stages of manufacturing and installation, respectively, as opposed to employment factors for these two activities combined. A total of 23 items provide values for operation and maintenance (O&amp;M) employment factors. We observe significant uncertainties in quoted figures for job creation, both across and within publications.","author":[{"dropping-particle":"","family":"Cameron","given":"Lachlan","non-dropping-particle":"","parse-names":false,"suffix":""},{"dropping-particle":"","family":"Zwaan","given":"Bob","non-dropping-particle":"Van Der","parse-names":false,"suffix":""}],"container-title":"Renewable and Sustainable Energy Reviews","id":"ITEM-1","issued":{"date-parts":[["2015","5","1"]]},"page":"160-172","publisher":"Elsevier Ltd","title":"Employment factors for wind and solar energy technologies: A literature review","type":"article-journal","volume":"45"},"uris":["http://www.mendeley.com/documents/?uuid=f46feb5f-469d-397c-85cf-33b5094795bd"]}],"mendeley":{"formattedCitation":"(Cameron and Van Der Zwaan, 2015)","manualFormatting":"Cameron and Van Der Zwaan (2015)","plainTextFormattedCitation":"(Cameron and Van Der Zwaan, 2015)","previouslyFormattedCitation":"(Cameron and Van Der Zwaan, 2015)"},"properties":{"noteIndex":0},"schema":"https://github.com/citation-style-language/schema/raw/master/csl-citation.json"}</w:instrText>
            </w:r>
            <w:r>
              <w:rPr>
                <w:rFonts w:ascii="Arial" w:hAnsi="Arial" w:cs="Arial"/>
                <w:sz w:val="20"/>
                <w:szCs w:val="20"/>
              </w:rPr>
              <w:fldChar w:fldCharType="separate"/>
            </w:r>
            <w:r w:rsidRPr="009B03B9">
              <w:rPr>
                <w:rFonts w:ascii="Arial" w:hAnsi="Arial" w:cs="Arial"/>
                <w:b w:val="0"/>
                <w:noProof/>
                <w:sz w:val="20"/>
                <w:szCs w:val="20"/>
              </w:rPr>
              <w:t>Cameron and Van Der Zwaan</w:t>
            </w:r>
            <w:r>
              <w:rPr>
                <w:rFonts w:ascii="Arial" w:hAnsi="Arial" w:cs="Arial"/>
                <w:b w:val="0"/>
                <w:noProof/>
                <w:sz w:val="20"/>
                <w:szCs w:val="20"/>
              </w:rPr>
              <w:t xml:space="preserve"> (</w:t>
            </w:r>
            <w:r w:rsidRPr="009B03B9">
              <w:rPr>
                <w:rFonts w:ascii="Arial" w:hAnsi="Arial" w:cs="Arial"/>
                <w:b w:val="0"/>
                <w:noProof/>
                <w:sz w:val="20"/>
                <w:szCs w:val="20"/>
              </w:rPr>
              <w:t>2015)</w:t>
            </w:r>
            <w:r>
              <w:rPr>
                <w:rFonts w:ascii="Arial" w:hAnsi="Arial" w:cs="Arial"/>
                <w:sz w:val="20"/>
                <w:szCs w:val="20"/>
              </w:rPr>
              <w:fldChar w:fldCharType="end"/>
            </w:r>
          </w:p>
        </w:tc>
        <w:tc>
          <w:tcPr>
            <w:tcW w:w="1794" w:type="dxa"/>
            <w:shd w:val="clear" w:color="auto" w:fill="auto"/>
            <w:hideMark/>
          </w:tcPr>
          <w:p w14:paraId="2FB4A33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1794" w:type="dxa"/>
            <w:shd w:val="clear" w:color="auto" w:fill="auto"/>
            <w:hideMark/>
          </w:tcPr>
          <w:p w14:paraId="3FE6FA0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noWrap/>
            <w:hideMark/>
          </w:tcPr>
          <w:p w14:paraId="1B12D87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73C87B65"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5EAF38E1" w14:textId="4409C54C"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10.1088/1748-9326/aa51da","ISSN":"1748-9326","author":[{"dropping-particle":"","family":"Cantore","given":"Nicola","non-dropping-particle":"","parse-names":false,"suffix":""},{"dropping-particle":"","family":"Nussbaumer","given":"Patrick","non-dropping-particle":"","parse-names":false,"suffix":""},{"dropping-particle":"","family":"Wei","given":"Max","non-dropping-particle":"","parse-names":false,"suffix":""},{"dropping-particle":"","family":"Kammen","given":"Daniel M","non-dropping-particle":"","parse-names":false,"suffix":""}],"container-title":"Environmental Research Letters","id":"ITEM-1","issue":"3","issued":{"date-parts":[["2017","3","1"]]},"page":"035008","title":"Promoting renewable energy and energy efficiency in Africa: a framework to evaluate employment generation and cost effectiveness","type":"article-journal","volume":"12"},"uris":["http://www.mendeley.com/documents/?uuid=948f0ea7-d458-3d01-bd8a-f0ac8c1ccab8"]}],"mendeley":{"formattedCitation":"(Cantore &lt;i&gt;et al.&lt;/i&gt;, 2017)","plainTextFormattedCitation":"(Cantore et al., 2017)","previouslyFormattedCitation":"(Cantore &lt;i&gt;et al.&lt;/i&gt;, 2017)"},"properties":{"noteIndex":0},"schema":"https://github.com/citation-style-language/schema/raw/master/csl-citation.json"}</w:instrText>
            </w:r>
            <w:r>
              <w:rPr>
                <w:rFonts w:ascii="Arial" w:hAnsi="Arial" w:cs="Arial"/>
                <w:sz w:val="20"/>
                <w:szCs w:val="20"/>
              </w:rPr>
              <w:fldChar w:fldCharType="separate"/>
            </w:r>
            <w:r w:rsidRPr="00222AAB">
              <w:rPr>
                <w:rFonts w:ascii="Arial" w:hAnsi="Arial" w:cs="Arial"/>
                <w:b w:val="0"/>
                <w:noProof/>
                <w:sz w:val="20"/>
                <w:szCs w:val="20"/>
              </w:rPr>
              <w:t xml:space="preserve">Cantore </w:t>
            </w:r>
            <w:r w:rsidRPr="00222AAB">
              <w:rPr>
                <w:rFonts w:ascii="Arial" w:hAnsi="Arial" w:cs="Arial"/>
                <w:b w:val="0"/>
                <w:i/>
                <w:noProof/>
                <w:sz w:val="20"/>
                <w:szCs w:val="20"/>
              </w:rPr>
              <w:t>et al.</w:t>
            </w:r>
            <w:r>
              <w:rPr>
                <w:rFonts w:ascii="Arial" w:hAnsi="Arial" w:cs="Arial"/>
                <w:b w:val="0"/>
                <w:noProof/>
                <w:sz w:val="20"/>
                <w:szCs w:val="20"/>
              </w:rPr>
              <w:t xml:space="preserve"> (</w:t>
            </w:r>
            <w:r w:rsidRPr="00222AAB">
              <w:rPr>
                <w:rFonts w:ascii="Arial" w:hAnsi="Arial" w:cs="Arial"/>
                <w:b w:val="0"/>
                <w:noProof/>
                <w:sz w:val="20"/>
                <w:szCs w:val="20"/>
              </w:rPr>
              <w:t>2017)</w:t>
            </w:r>
            <w:r>
              <w:rPr>
                <w:rFonts w:ascii="Arial" w:hAnsi="Arial" w:cs="Arial"/>
                <w:sz w:val="20"/>
                <w:szCs w:val="20"/>
              </w:rPr>
              <w:fldChar w:fldCharType="end"/>
            </w:r>
          </w:p>
        </w:tc>
        <w:tc>
          <w:tcPr>
            <w:tcW w:w="1794" w:type="dxa"/>
            <w:shd w:val="clear" w:color="auto" w:fill="auto"/>
            <w:noWrap/>
            <w:hideMark/>
          </w:tcPr>
          <w:p w14:paraId="6CAC7BA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Africa</w:t>
            </w:r>
          </w:p>
        </w:tc>
        <w:tc>
          <w:tcPr>
            <w:tcW w:w="1794" w:type="dxa"/>
            <w:shd w:val="clear" w:color="auto" w:fill="auto"/>
            <w:hideMark/>
          </w:tcPr>
          <w:p w14:paraId="3011EBED" w14:textId="295C43C6"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International </w:t>
            </w:r>
            <w:r>
              <w:rPr>
                <w:rFonts w:ascii="Arial" w:hAnsi="Arial" w:cs="Arial"/>
                <w:sz w:val="20"/>
                <w:szCs w:val="20"/>
              </w:rPr>
              <w:t>–</w:t>
            </w:r>
            <w:r w:rsidRPr="00F47DE9">
              <w:rPr>
                <w:rFonts w:ascii="Arial" w:hAnsi="Arial" w:cs="Arial"/>
                <w:sz w:val="20"/>
                <w:szCs w:val="20"/>
              </w:rPr>
              <w:t xml:space="preserve"> Africa</w:t>
            </w:r>
          </w:p>
        </w:tc>
        <w:tc>
          <w:tcPr>
            <w:tcW w:w="3544" w:type="dxa"/>
            <w:shd w:val="clear" w:color="auto" w:fill="auto"/>
            <w:noWrap/>
            <w:hideMark/>
          </w:tcPr>
          <w:p w14:paraId="3A94A69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and energy efficiency</w:t>
            </w:r>
          </w:p>
        </w:tc>
      </w:tr>
      <w:tr w:rsidR="00190C62" w:rsidRPr="00F47DE9" w14:paraId="7753B1E2"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5FA038C7" w14:textId="328B900F"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{"citationItems":[{"id":"ITEM-1","itemData":{"author":[{"dropping-particle":"","family":"CCC","given":"","non-dropping-particle":"","parse-names":false,"suffix":""}],"id":"ITEM-1","issued":{"date-parts":[["2020"]]},"publisher":"Committee on Climate Change","publisher-place":"London, UK","title":"The Sixth Carbon Budget: The UK’s path to Net Zero","type":"report"},"uris":["http://www.mendeley.com/documents/?uuid=a987d3a7-61de-39ae-bdb2-b3c1412902ea"]}],"mendeley":{"formattedCitation":"(CCC, 2020)","manualFormatting":"CCC (2020)","plainTextFormattedCitation":"(CCC, 2020)","previouslyFormattedCitation":"(CCC, 2020)"},"properties":{"noteIndex":0},"schema":"https://github.com/citation-style-language/schema/raw/master/csl-citation.json"}</w:instrText>
            </w:r>
            <w:r>
              <w:rPr>
                <w:rFonts w:ascii="Arial" w:hAnsi="Arial" w:cs="Arial"/>
                <w:sz w:val="20"/>
                <w:szCs w:val="20"/>
              </w:rPr>
              <w:fldChar w:fldCharType="separate"/>
            </w:r>
            <w:r w:rsidRPr="00F9598E">
              <w:rPr>
                <w:rFonts w:ascii="Arial" w:hAnsi="Arial" w:cs="Arial"/>
                <w:b w:val="0"/>
                <w:noProof/>
                <w:sz w:val="20"/>
                <w:szCs w:val="20"/>
              </w:rPr>
              <w:t>CCC</w:t>
            </w:r>
            <w:r>
              <w:rPr>
                <w:rFonts w:ascii="Arial" w:hAnsi="Arial" w:cs="Arial"/>
                <w:b w:val="0"/>
                <w:noProof/>
                <w:sz w:val="20"/>
                <w:szCs w:val="20"/>
              </w:rPr>
              <w:t xml:space="preserve"> (</w:t>
            </w:r>
            <w:r w:rsidRPr="00F9598E">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hideMark/>
          </w:tcPr>
          <w:p w14:paraId="562E86D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UK   </w:t>
            </w:r>
          </w:p>
        </w:tc>
        <w:tc>
          <w:tcPr>
            <w:tcW w:w="1794" w:type="dxa"/>
            <w:shd w:val="clear" w:color="auto" w:fill="auto"/>
            <w:hideMark/>
          </w:tcPr>
          <w:p w14:paraId="51F787B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201F999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Transition to net zero, including buildings, low-carbon energy, </w:t>
            </w:r>
            <w:proofErr w:type="gramStart"/>
            <w:r w:rsidRPr="00F47DE9">
              <w:rPr>
                <w:rFonts w:ascii="Arial" w:hAnsi="Arial" w:cs="Arial"/>
                <w:sz w:val="20"/>
                <w:szCs w:val="20"/>
              </w:rPr>
              <w:t>transport</w:t>
            </w:r>
            <w:proofErr w:type="gramEnd"/>
            <w:r w:rsidRPr="00F47DE9">
              <w:rPr>
                <w:rFonts w:ascii="Arial" w:hAnsi="Arial" w:cs="Arial"/>
                <w:sz w:val="20"/>
                <w:szCs w:val="20"/>
              </w:rPr>
              <w:t xml:space="preserve"> and manufacturing</w:t>
            </w:r>
          </w:p>
        </w:tc>
      </w:tr>
      <w:tr w:rsidR="00190C62" w:rsidRPr="00F47DE9" w14:paraId="643145EE"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4B9078C" w14:textId="411941AD" w:rsidR="00190C62"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{"citationItems":[{"id":"ITEM-1","itemData":{"DOI":"10.1016/J.ENERGY.2017.08.025","ISSN":"0360-5442","abstract":"A probabilistic and analytical model is presented to assess the direct employment generated by power plants, throughout their lifecycles, from when the fuel is being extracted to the decommissioning stage. To represent the majority of regions and countries around the world, this model provides a global, general and probabilistic vision for all the most common kinds of power plants. Direct job creation is expressed per unit of electricity produced over the plant's lifetime, by means of a normalisation process. Renewables obtained a direct employment generation of around 0.1 to 4 job-years/GWh. On the other hand, the same figure for non-renewable power plants is about 0.1–2.4 job-years/GWh. The results reinforce the idea that some renewable -such as photovoltaic, biomass, mini-hydro and high temperature solar thermal power plants-are still the options with the highest direct employment generation. Nevertheless, this study demonstrates that not all renewables present a high direct employment generation. It also shows that non-renewable alternatives can compete with their renewable counterparts under certain conditions.","author":[{"dropping-particle":"","family":"Cartelle Barros","given":"Juan José","non-dropping-particle":"","parse-names":false,"suffix":""},{"dropping-particle":"","family":"Lara Coira","given":"Manuel","non-dropping-particle":"","parse-names":false,"suffix":""},{"dropping-particle":"","family":"la Cruz López","given":"María Pilar","non-dropping-particle":"de","parse-names":false,"suffix":""},{"dropping-particle":"","family":"Caño Gochi","given":"Alfredo","non-dropping-particle":"del","parse-names":false,"suffix":""}],"container-title":"Energy","id":"ITEM-1","issued":{"date-parts":[["2017","11","15"]]},"page":"542-554","publisher":"Pergamon","title":"Comparative analysis of direct employment generated by renewable and non-renewable power plants","type":"article-journal","volume":"139"},"uris":["http://www.mendeley.com/documents/?uuid=ea3089ab-1f04-3aa3-9391-67282d838cb7"]}],"mendeley":{"formattedCitation":"(Cartelle Barros &lt;i&gt;et al.&lt;/i&gt;, 2017)","plainTextFormattedCitation":"(Cartelle Barros et al., 2017)","previouslyFormattedCitation":"(Cartelle Barros &lt;i&gt;et al.&lt;/i&gt;, 2017)"},"properties":{"noteIndex":0},"schema":"https://github.com/citation-style-language/schema/raw/master/csl-citation.json"}</w:instrText>
            </w:r>
            <w:r>
              <w:rPr>
                <w:rFonts w:ascii="Arial" w:hAnsi="Arial" w:cs="Arial"/>
                <w:sz w:val="20"/>
                <w:szCs w:val="20"/>
              </w:rPr>
              <w:fldChar w:fldCharType="separate"/>
            </w:r>
            <w:r w:rsidRPr="00B128A3">
              <w:rPr>
                <w:rFonts w:ascii="Arial" w:hAnsi="Arial" w:cs="Arial"/>
                <w:b w:val="0"/>
                <w:noProof/>
                <w:sz w:val="20"/>
                <w:szCs w:val="20"/>
              </w:rPr>
              <w:t xml:space="preserve">Cartelle Barros </w:t>
            </w:r>
            <w:r w:rsidRPr="00B128A3">
              <w:rPr>
                <w:rFonts w:ascii="Arial" w:hAnsi="Arial" w:cs="Arial"/>
                <w:b w:val="0"/>
                <w:i/>
                <w:noProof/>
                <w:sz w:val="20"/>
                <w:szCs w:val="20"/>
              </w:rPr>
              <w:t>et al.</w:t>
            </w:r>
            <w:r>
              <w:rPr>
                <w:rFonts w:ascii="Arial" w:hAnsi="Arial" w:cs="Arial"/>
                <w:b w:val="0"/>
                <w:noProof/>
                <w:sz w:val="20"/>
                <w:szCs w:val="20"/>
              </w:rPr>
              <w:t xml:space="preserve"> (</w:t>
            </w:r>
            <w:r w:rsidRPr="00B128A3">
              <w:rPr>
                <w:rFonts w:ascii="Arial" w:hAnsi="Arial" w:cs="Arial"/>
                <w:b w:val="0"/>
                <w:noProof/>
                <w:sz w:val="20"/>
                <w:szCs w:val="20"/>
              </w:rPr>
              <w:t>2017)</w:t>
            </w:r>
            <w:r>
              <w:rPr>
                <w:rFonts w:ascii="Arial" w:hAnsi="Arial" w:cs="Arial"/>
                <w:sz w:val="20"/>
                <w:szCs w:val="20"/>
              </w:rPr>
              <w:fldChar w:fldCharType="end"/>
            </w:r>
          </w:p>
        </w:tc>
        <w:tc>
          <w:tcPr>
            <w:tcW w:w="1794" w:type="dxa"/>
            <w:shd w:val="clear" w:color="auto" w:fill="auto"/>
          </w:tcPr>
          <w:p w14:paraId="79636CF5" w14:textId="00F954ED"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1794" w:type="dxa"/>
            <w:shd w:val="clear" w:color="auto" w:fill="auto"/>
          </w:tcPr>
          <w:p w14:paraId="7657F0CE" w14:textId="783BB414"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3544" w:type="dxa"/>
            <w:shd w:val="clear" w:color="auto" w:fill="auto"/>
          </w:tcPr>
          <w:p w14:paraId="26BE0E24" w14:textId="25785503"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 non-renewable power plants</w:t>
            </w:r>
          </w:p>
        </w:tc>
      </w:tr>
      <w:tr w:rsidR="00190C62" w:rsidRPr="00F47DE9" w14:paraId="5CAF416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56E93985" w14:textId="6A3F970B"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{"citationItems":[{"id":"ITEM-1","itemData":{"DOI":"10.1016/J.ESR.2022.100890","ISSN":"2211-467X","abstract":"Deploying low-carbon electricity systems in developing countries is critical for meeting climate targets while increasing wellbeing. Direct emissions from operating electricity generation are well-understood, however, materials required to construct technologies and their emissions - embodied emissions-are frequently overlooked. This paper quantifies the material implications of proposed electricity systems in 47 African countries from 2015 to 2065, involving a reference scenario, and two Paris-Agreement scenarios (1.5 °C and 2.0 °C of warming). A purpose-built model, called Mat-dp (Material Demand Projections) is used for scenario assessment. Mat-dp integrates electricity generation projections with material requirements by technology, estimating material budgets, embodied emissions, and jobs. The resulting construction material mass grows 20-fold from 2015 to 2065, with the highest growth in the reference scenario. As low-carbon electricity capacity grows, embodied emissions from materials increase, reaching 47 MtCO2 in the 2.0 °C scenario by 2065. Three bulk materials, concrete, steel, and aluminium, make up 64–66% of the total materials required by 2065, and 59–61% of the total embodied emissions. The Paris Agreement scenarios show lower material demand, particularly bulk materials, but higher specialised material demand. Increasing low-carbon electricity generation while decarbonising industry offers a higher emission reduction potential compared to solely switching to low-carbon electricity. Estimated new jobs are 1.6 million per year, mostly from solar.","author":[{"dropping-particle":"","family":"Cervantes Barron","given":"Karla","non-dropping-particle":"","parse-names":false,"suffix":""},{"dropping-particle":"","family":"Hakker","given":"Maaike E.","non-dropping-particle":"","parse-names":false,"suffix":""},{"dropping-particle":"","family":"Cullen","given":"Jonathan M.","non-dropping-particle":"","parse-names":false,"suffix":""}],"container-title":"Energy Strategy Reviews","id":"ITEM-1","issued":{"date-parts":[["2022","11","1"]]},"page":"100890","publisher":"Elsevier","title":"Material requirements for future low-carbon electricity projections in Africa","type":"article-journal","volume":"44"},"uris":["http://www.mendeley.com/documents/?uuid=cea88a6f-8413-3bdd-8dbb-0d48a16d02ae"]}],"mendeley":{"formattedCitation":"(Cervantes Barron, Hakker and Cullen, 2022)","manualFormatting":"Cervantes Barron, Hakker and Cullen (2022)","plainTextFormattedCitation":"(Cervantes Barron, Hakker and Cullen, 2022)","previouslyFormattedCitation":"(Cervantes Barron, Hakker and Cullen, 2022)"},"properties":{"noteIndex":0},"schema":"https://github.com/citation-style-language/schema/raw/master/csl-citation.json"}</w:instrText>
            </w:r>
            <w:r>
              <w:rPr>
                <w:rFonts w:ascii="Arial" w:hAnsi="Arial" w:cs="Arial"/>
                <w:sz w:val="20"/>
                <w:szCs w:val="20"/>
              </w:rPr>
              <w:fldChar w:fldCharType="separate"/>
            </w:r>
            <w:r w:rsidRPr="00723110">
              <w:rPr>
                <w:rFonts w:ascii="Arial" w:hAnsi="Arial" w:cs="Arial"/>
                <w:b w:val="0"/>
                <w:noProof/>
                <w:sz w:val="20"/>
                <w:szCs w:val="20"/>
              </w:rPr>
              <w:t>Cervantes Barron, Hakker and Cullen</w:t>
            </w:r>
            <w:r>
              <w:rPr>
                <w:rFonts w:ascii="Arial" w:hAnsi="Arial" w:cs="Arial"/>
                <w:b w:val="0"/>
                <w:noProof/>
                <w:sz w:val="20"/>
                <w:szCs w:val="20"/>
              </w:rPr>
              <w:t xml:space="preserve"> (</w:t>
            </w:r>
            <w:r w:rsidRPr="00723110">
              <w:rPr>
                <w:rFonts w:ascii="Arial" w:hAnsi="Arial" w:cs="Arial"/>
                <w:b w:val="0"/>
                <w:noProof/>
                <w:sz w:val="20"/>
                <w:szCs w:val="20"/>
              </w:rPr>
              <w:t>2022)</w:t>
            </w:r>
            <w:r>
              <w:rPr>
                <w:rFonts w:ascii="Arial" w:hAnsi="Arial" w:cs="Arial"/>
                <w:sz w:val="20"/>
                <w:szCs w:val="20"/>
              </w:rPr>
              <w:fldChar w:fldCharType="end"/>
            </w:r>
          </w:p>
        </w:tc>
        <w:tc>
          <w:tcPr>
            <w:tcW w:w="1794" w:type="dxa"/>
            <w:shd w:val="clear" w:color="auto" w:fill="auto"/>
            <w:noWrap/>
            <w:hideMark/>
          </w:tcPr>
          <w:p w14:paraId="4F7546F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Africa - 47 African countries</w:t>
            </w:r>
          </w:p>
        </w:tc>
        <w:tc>
          <w:tcPr>
            <w:tcW w:w="1794" w:type="dxa"/>
            <w:shd w:val="clear" w:color="auto" w:fill="auto"/>
            <w:hideMark/>
          </w:tcPr>
          <w:p w14:paraId="61305E2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Africa</w:t>
            </w:r>
          </w:p>
        </w:tc>
        <w:tc>
          <w:tcPr>
            <w:tcW w:w="3544" w:type="dxa"/>
            <w:shd w:val="clear" w:color="auto" w:fill="auto"/>
            <w:noWrap/>
            <w:hideMark/>
          </w:tcPr>
          <w:p w14:paraId="1798D1A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Electricity generation, </w:t>
            </w:r>
            <w:proofErr w:type="gramStart"/>
            <w:r w:rsidRPr="00F47DE9">
              <w:rPr>
                <w:rFonts w:ascii="Arial" w:hAnsi="Arial" w:cs="Arial"/>
                <w:sz w:val="20"/>
                <w:szCs w:val="20"/>
              </w:rPr>
              <w:t>materials</w:t>
            </w:r>
            <w:proofErr w:type="gramEnd"/>
            <w:r w:rsidRPr="00F47DE9">
              <w:rPr>
                <w:rFonts w:ascii="Arial" w:hAnsi="Arial" w:cs="Arial"/>
                <w:sz w:val="20"/>
                <w:szCs w:val="20"/>
              </w:rPr>
              <w:t xml:space="preserve"> and embodied emissions</w:t>
            </w:r>
          </w:p>
        </w:tc>
      </w:tr>
      <w:tr w:rsidR="00190C62" w:rsidRPr="00F47DE9" w14:paraId="16824A8D"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0F57874" w14:textId="45E2CEF9"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{"citationItems":[{"id":"ITEM-1","itemData":{"DOI":"10.1080/02692171.2018.1513458","ISSN":"0269-2171","author":[{"dropping-particle":"","family":"Chen","given":"Ying","non-dropping-particle":"","parse-names":false,"suffix":""}],"container-title":"International Review of Applied Economics","id":"ITEM-1","issue":"3","issued":{"date-parts":[["2019","5","4"]]},"note":"doi: 10.1080/02692171.2018.1513458","page":"314-334","publisher":"Routledge","title":"Renewable energy investment and employment in China","type":"article-journal","volume":"33"},"uris":["http://www.mendeley.com/documents/?uuid=50a097b3-3b88-48dd-ab20-d386deb3efab"]}],"mendeley":{"formattedCitation":"(Chen, 2019)","manualFormatting":"Chen  (2019)","plainTextFormattedCitation":"(Chen, 2019)","previouslyFormattedCitation":"(Chen, 2019)"},"properties":{"noteIndex":0},"schema":"https://github.com/citation-style-language/schema/raw/master/csl-citation.json"}</w:instrText>
            </w:r>
            <w:r>
              <w:rPr>
                <w:rFonts w:ascii="Arial" w:hAnsi="Arial" w:cs="Arial"/>
                <w:sz w:val="20"/>
                <w:szCs w:val="20"/>
              </w:rPr>
              <w:fldChar w:fldCharType="separate"/>
            </w:r>
            <w:r w:rsidRPr="00723110">
              <w:rPr>
                <w:rFonts w:ascii="Arial" w:hAnsi="Arial" w:cs="Arial"/>
                <w:b w:val="0"/>
                <w:noProof/>
                <w:sz w:val="20"/>
                <w:szCs w:val="20"/>
              </w:rPr>
              <w:t>Chen</w:t>
            </w:r>
            <w:r>
              <w:rPr>
                <w:rFonts w:ascii="Arial" w:hAnsi="Arial" w:cs="Arial"/>
                <w:b w:val="0"/>
                <w:noProof/>
                <w:sz w:val="20"/>
                <w:szCs w:val="20"/>
              </w:rPr>
              <w:t xml:space="preserve"> (</w:t>
            </w:r>
            <w:r w:rsidRPr="00723110">
              <w:rPr>
                <w:rFonts w:ascii="Arial" w:hAnsi="Arial" w:cs="Arial"/>
                <w:b w:val="0"/>
                <w:noProof/>
                <w:sz w:val="20"/>
                <w:szCs w:val="20"/>
              </w:rPr>
              <w:t>2019)</w:t>
            </w:r>
            <w:r>
              <w:rPr>
                <w:rFonts w:ascii="Arial" w:hAnsi="Arial" w:cs="Arial"/>
                <w:sz w:val="20"/>
                <w:szCs w:val="20"/>
              </w:rPr>
              <w:fldChar w:fldCharType="end"/>
            </w:r>
          </w:p>
        </w:tc>
        <w:tc>
          <w:tcPr>
            <w:tcW w:w="1794" w:type="dxa"/>
            <w:shd w:val="clear" w:color="auto" w:fill="auto"/>
            <w:noWrap/>
            <w:hideMark/>
          </w:tcPr>
          <w:p w14:paraId="387AF7B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China</w:t>
            </w:r>
          </w:p>
        </w:tc>
        <w:tc>
          <w:tcPr>
            <w:tcW w:w="1794" w:type="dxa"/>
            <w:shd w:val="clear" w:color="auto" w:fill="auto"/>
            <w:hideMark/>
          </w:tcPr>
          <w:p w14:paraId="607EEA1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noWrap/>
            <w:hideMark/>
          </w:tcPr>
          <w:p w14:paraId="7FE886A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 fossil fuels</w:t>
            </w:r>
          </w:p>
        </w:tc>
      </w:tr>
      <w:tr w:rsidR="00190C62" w:rsidRPr="00F47DE9" w14:paraId="1F1652F8"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5F3BF2B5" w14:textId="30D625B7"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ERGY.2023.128071","ISSN":"0360-5442","author":[{"dropping-particle":"","family":"Chen","given":"Tianqi","non-dropping-particle":"","parse-names":false,"suffix":""},{"dropping-particle":"","family":"Zhang","given":"Yi","non-dropping-particle":"","parse-names":false,"suffix":""},{"dropping-particle":"","family":"Jiang","given":"Cailou","non-dropping-particle":"","parse-names":false,"suffix":""},{"dropping-particle":"","family":"Li","given":"Hui","non-dropping-particle":"","parse-names":false,"suffix":""}],"container-title":"Energy","id":"ITEM-1","issued":{"date-parts":[["2023","10","1"]]},"page":"128071","publisher":"Pergamon","title":"How does energy efficiency affect employment? Evidence from Chinese cities","type":"article-journal","volume":"280"},"uris":["http://www.mendeley.com/documents/?uuid=32cd4c47-bb5d-363e-8789-ab26e4e14a5f"]}],"mendeley":{"formattedCitation":"(Chen &lt;i&gt;et al.&lt;/i&gt;, 2023)","manualFormatting":"Chen et al. (2023)","plainTextFormattedCitation":"(Chen et al., 2023)","previouslyFormattedCitation":"(Chen &lt;i&gt;et al.&lt;/i&gt;, 2023)"},"properties":{"noteIndex":0},"schema":"https://github.com/citation-style-language/schema/raw/master/csl-citation.json"}</w:instrText>
            </w:r>
            <w:r>
              <w:rPr>
                <w:rFonts w:ascii="Arial" w:hAnsi="Arial" w:cs="Arial"/>
                <w:sz w:val="20"/>
                <w:szCs w:val="20"/>
              </w:rPr>
              <w:fldChar w:fldCharType="separate"/>
            </w:r>
            <w:r w:rsidRPr="00723110">
              <w:rPr>
                <w:rFonts w:ascii="Arial" w:hAnsi="Arial" w:cs="Arial"/>
                <w:b w:val="0"/>
                <w:noProof/>
                <w:sz w:val="20"/>
                <w:szCs w:val="20"/>
              </w:rPr>
              <w:t xml:space="preserve">Chen </w:t>
            </w:r>
            <w:r w:rsidRPr="00723110">
              <w:rPr>
                <w:rFonts w:ascii="Arial" w:hAnsi="Arial" w:cs="Arial"/>
                <w:b w:val="0"/>
                <w:i/>
                <w:noProof/>
                <w:sz w:val="20"/>
                <w:szCs w:val="20"/>
              </w:rPr>
              <w:t>et al.</w:t>
            </w:r>
            <w:r>
              <w:rPr>
                <w:rFonts w:ascii="Arial" w:hAnsi="Arial" w:cs="Arial"/>
                <w:b w:val="0"/>
                <w:noProof/>
                <w:sz w:val="20"/>
                <w:szCs w:val="20"/>
              </w:rPr>
              <w:t xml:space="preserve"> (</w:t>
            </w:r>
            <w:r w:rsidRPr="00723110">
              <w:rPr>
                <w:rFonts w:ascii="Arial" w:hAnsi="Arial" w:cs="Arial"/>
                <w:b w:val="0"/>
                <w:noProof/>
                <w:sz w:val="20"/>
                <w:szCs w:val="20"/>
              </w:rPr>
              <w:t>2023)</w:t>
            </w:r>
            <w:r>
              <w:rPr>
                <w:rFonts w:ascii="Arial" w:hAnsi="Arial" w:cs="Arial"/>
                <w:sz w:val="20"/>
                <w:szCs w:val="20"/>
              </w:rPr>
              <w:fldChar w:fldCharType="end"/>
            </w:r>
          </w:p>
        </w:tc>
        <w:tc>
          <w:tcPr>
            <w:tcW w:w="1794" w:type="dxa"/>
            <w:shd w:val="clear" w:color="auto" w:fill="auto"/>
            <w:noWrap/>
            <w:hideMark/>
          </w:tcPr>
          <w:p w14:paraId="4DA5E92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China </w:t>
            </w:r>
          </w:p>
        </w:tc>
        <w:tc>
          <w:tcPr>
            <w:tcW w:w="1794" w:type="dxa"/>
            <w:shd w:val="clear" w:color="auto" w:fill="auto"/>
            <w:hideMark/>
          </w:tcPr>
          <w:p w14:paraId="70EE4F3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noWrap/>
            <w:hideMark/>
          </w:tcPr>
          <w:p w14:paraId="0161C6D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Energy efficiency</w:t>
            </w:r>
          </w:p>
        </w:tc>
      </w:tr>
      <w:tr w:rsidR="00190C62" w:rsidRPr="00F47DE9" w14:paraId="3833D2E2"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05EF438C" w14:textId="76E8BF06"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{"citationItems":[{"id":"ITEM-1","itemData":{"DOI":"10.1016/j.enpol.2015.10.044","ISSN":"03014215","abstract":"In support of its ambitious target to reduce CO2 emissions the Scottish Government is aiming to have the equivalent of 100% of Scottish electricity consumption generated from renewable sources by 2020. This is, at least in part, motivated by an expectation of subsequent employment growth in low carbon and renewable energy technologies; however there is no official data source to track employment in these areas. This has led to a variety of definitions, methodologies and alternative estimates being produced. Building on a recent study (Bishop and Brand, 2013) we develop a \"hybrid\" approach which combines the detail of \"bottom-up\" surveys with \"top-down\" trend data to produce estimates on employment in Low Carbon Environmental Goods and Services (LCEGS). We demonstrate this methodology to produce estimates for such employment in Scotland between 2004 and 2012. Our approach shows how survey and official sources can combine to produce a more timely measure of employment in LCEGS activities, assisting policymakers in tracking, consistently, developments. Applying our approach, we find that over this period employment in LCEGS in Scotland grew, but that this was more volatile than aggregate employment, and in particular that employment in this sector was particularly badly hit during the great recession.","author":[{"dropping-particle":"","family":"Connolly","given":"Kevin","non-dropping-particle":"","parse-names":false,"suffix":""},{"dropping-particle":"","family":"Allan","given":"Grant J.","non-dropping-particle":"","parse-names":false,"suffix":""},{"dropping-particle":"","family":"McIntyre","given":"Stuart G.","non-dropping-particle":"","parse-names":false,"suffix":""}],"container-title":"Energy Policy","id":"ITEM-1","issued":{"date-parts":[["2016","1","1"]]},"page":"355-360","publisher":"Elsevier Ltd","title":"The evolution of green jobs in Scotland: A hybrid approach","type":"article-journal","volume":"88"},"uris":["http://www.mendeley.com/documents/?uuid=f2b76e26-0e99-30c8-bd44-f965880002c4"]}],"mendeley":{"formattedCitation":"(Connolly, Allan and McIntyre, 2016)","manualFormatting":"Connolly, Allan and McIntyre (2016)","plainTextFormattedCitation":"(Connolly, Allan and McIntyre, 2016)","previouslyFormattedCitation":"(Connolly, Allan and McIntyre, 2016)"},"properties":{"noteIndex":0},"schema":"https://github.com/citation-style-language/schema/raw/master/csl-citation.json"}</w:instrText>
            </w:r>
            <w:r>
              <w:rPr>
                <w:rFonts w:ascii="Arial" w:hAnsi="Arial" w:cs="Arial"/>
                <w:sz w:val="20"/>
                <w:szCs w:val="20"/>
              </w:rPr>
              <w:fldChar w:fldCharType="separate"/>
            </w:r>
            <w:r w:rsidRPr="00723110">
              <w:rPr>
                <w:rFonts w:ascii="Arial" w:hAnsi="Arial" w:cs="Arial"/>
                <w:b w:val="0"/>
                <w:noProof/>
                <w:sz w:val="20"/>
                <w:szCs w:val="20"/>
              </w:rPr>
              <w:t>Connolly, Allan and McIntyre</w:t>
            </w:r>
            <w:r>
              <w:rPr>
                <w:rFonts w:ascii="Arial" w:hAnsi="Arial" w:cs="Arial"/>
                <w:b w:val="0"/>
                <w:noProof/>
                <w:sz w:val="20"/>
                <w:szCs w:val="20"/>
              </w:rPr>
              <w:t xml:space="preserve"> (</w:t>
            </w:r>
            <w:r w:rsidRPr="00723110">
              <w:rPr>
                <w:rFonts w:ascii="Arial" w:hAnsi="Arial" w:cs="Arial"/>
                <w:b w:val="0"/>
                <w:noProof/>
                <w:sz w:val="20"/>
                <w:szCs w:val="20"/>
              </w:rPr>
              <w:t>2016)</w:t>
            </w:r>
            <w:r>
              <w:rPr>
                <w:rFonts w:ascii="Arial" w:hAnsi="Arial" w:cs="Arial"/>
                <w:sz w:val="20"/>
                <w:szCs w:val="20"/>
              </w:rPr>
              <w:fldChar w:fldCharType="end"/>
            </w:r>
          </w:p>
        </w:tc>
        <w:tc>
          <w:tcPr>
            <w:tcW w:w="1794" w:type="dxa"/>
            <w:shd w:val="clear" w:color="auto" w:fill="auto"/>
            <w:noWrap/>
            <w:hideMark/>
          </w:tcPr>
          <w:p w14:paraId="51E2B44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Scotland</w:t>
            </w:r>
          </w:p>
        </w:tc>
        <w:tc>
          <w:tcPr>
            <w:tcW w:w="1794" w:type="dxa"/>
            <w:shd w:val="clear" w:color="auto" w:fill="auto"/>
            <w:noWrap/>
            <w:hideMark/>
          </w:tcPr>
          <w:p w14:paraId="012A807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568E9D4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Green jobs; Renewable energy; Low carbon economy</w:t>
            </w:r>
          </w:p>
        </w:tc>
      </w:tr>
      <w:tr w:rsidR="00190C62" w:rsidRPr="00F47DE9" w14:paraId="1CE53436"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F9B5684" w14:textId="74BDCA4D"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{"citationItems":[{"id":"ITEM-1","itemData":{"DOI":"10.1016/J.ENPOL.2018.04.035","ISSN":"0301-4215","abstract":"This paper aims at investigating the main effects on EU employment dynamics related to private and public actions for energy efficiency. The econometric analysis relies on a sector-based panel dataset for 15 EU countries over the time span 1995-2009. The empirical analysis shows that after accounting for the role played by sectoral output growth, investment and innovation activities, sectoral energy efficiency gains display a negative effect on employment growth, in particular in energy intensive industries. On the contrary, we find that public actions towards energy efficiency may produce positive effects on employment dynamics. In particular, the higher incidence of taxation on energy costs, the effort towards energy efficiency gains realized in the public sector industries and the implementation of a comprehensive policy mix for energy efficiency at the country level, are factors positively influencing employment growth. This evidence highlights the complexity of the nexus between energy efficiency and employment dynamics, suggesting that superior employment performances can be achieved when complementarity effects between productivity enhancing activities and energy efficiency actions are realized.","author":[{"dropping-particle":"","family":"Costantini","given":"Valeria","non-dropping-particle":"","parse-names":false,"suffix":""},{"dropping-particle":"","family":"Crespi","given":"Francesco","non-dropping-particle":"","parse-names":false,"suffix":""},{"dropping-particle":"","family":"Paglialunga","given":"Elena","non-dropping-particle":"","parse-names":false,"suffix":""}],"container-title":"Energy Policy","id":"ITEM-1","issued":{"date-parts":[["2018","8","1"]]},"page":"250-267","publisher":"Elsevier","title":"The employment impact of private and public actions for energy efficiency: Evidence from European industries","type":"article-journal","volume":"119"},"uris":["http://www.mendeley.com/documents/?uuid=ef998a60-5603-38fe-933f-a82a980c102e"]}],"mendeley":{"formattedCitation":"(Costantini, Crespi and Paglialunga, 2018)","plainTextFormattedCitation":"(Costantini, Crespi and Paglialunga, 2018)","previouslyFormattedCitation":"(Costantini, Crespi and Paglialunga, 2018)"},"properties":{"noteIndex":0},"schema":"https://github.com/citation-style-language/schema/raw/master/csl-citation.json"}</w:instrText>
            </w:r>
            <w:r>
              <w:rPr>
                <w:rFonts w:ascii="Arial" w:hAnsi="Arial" w:cs="Arial"/>
                <w:sz w:val="20"/>
                <w:szCs w:val="20"/>
              </w:rPr>
              <w:fldChar w:fldCharType="separate"/>
            </w:r>
            <w:r w:rsidRPr="00222AAB">
              <w:rPr>
                <w:rFonts w:ascii="Arial" w:hAnsi="Arial" w:cs="Arial"/>
                <w:b w:val="0"/>
                <w:noProof/>
                <w:sz w:val="20"/>
                <w:szCs w:val="20"/>
              </w:rPr>
              <w:t>Costantini, Crespi and Paglialunga</w:t>
            </w:r>
            <w:r>
              <w:rPr>
                <w:rFonts w:ascii="Arial" w:hAnsi="Arial" w:cs="Arial"/>
                <w:b w:val="0"/>
                <w:noProof/>
                <w:sz w:val="20"/>
                <w:szCs w:val="20"/>
              </w:rPr>
              <w:t xml:space="preserve"> (</w:t>
            </w:r>
            <w:r w:rsidRPr="00222AAB">
              <w:rPr>
                <w:rFonts w:ascii="Arial" w:hAnsi="Arial" w:cs="Arial"/>
                <w:b w:val="0"/>
                <w:noProof/>
                <w:sz w:val="20"/>
                <w:szCs w:val="20"/>
              </w:rPr>
              <w:t>2018)</w:t>
            </w:r>
            <w:r>
              <w:rPr>
                <w:rFonts w:ascii="Arial" w:hAnsi="Arial" w:cs="Arial"/>
                <w:sz w:val="20"/>
                <w:szCs w:val="20"/>
              </w:rPr>
              <w:fldChar w:fldCharType="end"/>
            </w:r>
          </w:p>
        </w:tc>
        <w:tc>
          <w:tcPr>
            <w:tcW w:w="1794" w:type="dxa"/>
            <w:shd w:val="clear" w:color="auto" w:fill="auto"/>
            <w:noWrap/>
            <w:hideMark/>
          </w:tcPr>
          <w:p w14:paraId="55FB17E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 countries</w:t>
            </w:r>
          </w:p>
        </w:tc>
        <w:tc>
          <w:tcPr>
            <w:tcW w:w="1794" w:type="dxa"/>
            <w:shd w:val="clear" w:color="auto" w:fill="auto"/>
            <w:hideMark/>
          </w:tcPr>
          <w:p w14:paraId="1CD10BA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Europe</w:t>
            </w:r>
          </w:p>
        </w:tc>
        <w:tc>
          <w:tcPr>
            <w:tcW w:w="3544" w:type="dxa"/>
            <w:shd w:val="clear" w:color="auto" w:fill="auto"/>
            <w:noWrap/>
            <w:hideMark/>
          </w:tcPr>
          <w:p w14:paraId="1AB7EBF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Energy efficiency / renewable energy</w:t>
            </w:r>
          </w:p>
        </w:tc>
      </w:tr>
      <w:tr w:rsidR="00190C62" w:rsidRPr="00F47DE9" w14:paraId="5FB9AA3D"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BF4F490" w14:textId="4D1AC50D"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{"citationItems":[{"id":"ITEM-1","itemData":{"DOI":"10.1016/J.ENPOL.2020.112031","ISSN":"0301-4215","abstract":"The supply of electricity from renewable energy sources (RESs) represent one of the key measures to reduce environmental impacts on the basis of the new decarbonization target set by the European Union. However, the expected benefits do not refer only to the decrease in fossil fuel demand and the reduction of environmental impacts. Among the social impacts, employment increase represents one of the most important benefits, especially in a period of crisis economy. This paper aimed to investigate the potential of investments in the energy sector in Italy through the application of the Input-Output analysis. The assessment outcomes were tested investigating the PNIEC (Piano Nazionale Integrato per l'Energia e il Clima) provided by the Ministry of Economic Development in 2020. Specifically, the power systems that PNIEC planned to install until 2040 were analyzed, focusing on wind, photovoltaic, hydroelectric and geothermal infrastructures. The results showed that RESs investments can have a strong positive impact on the Italian economy both directly and indirectly. Sensitivity analyses highlighted that the import share of primary components of RESs strongly influences occupational performance, particularly for PV systems.","author":[{"dropping-particle":"","family":"Dell'Anna","given":"Federico","non-dropping-particle":"","parse-names":false,"suffix":""}],"container-title":"Energy Policy","id":"ITEM-1","issued":{"date-parts":[["2021","2","1"]]},"page":"112031","publisher":"Elsevier","title":"Green jobs and energy efficiency as strategies for economic growth and the reduction of environmental impacts","type":"article-journal","volume":"149"},"uris":["http://www.mendeley.com/documents/?uuid=3ccd5ad7-10c2-3242-bd7e-0f874894fe59"]}],"mendeley":{"formattedCitation":"(Dell’Anna, 2021)","manualFormatting":"Dell’Anna (2021)","plainTextFormattedCitation":"(Dell’Anna, 2021)","previouslyFormattedCitation":"(Dell’Anna, 2021)"},"properties":{"noteIndex":0},"schema":"https://github.com/citation-style-language/schema/raw/master/csl-citation.json"}</w:instrText>
            </w:r>
            <w:r>
              <w:rPr>
                <w:rFonts w:ascii="Arial" w:hAnsi="Arial" w:cs="Arial"/>
                <w:sz w:val="20"/>
                <w:szCs w:val="20"/>
              </w:rPr>
              <w:fldChar w:fldCharType="separate"/>
            </w:r>
            <w:r w:rsidRPr="00D33C7C">
              <w:rPr>
                <w:rFonts w:ascii="Arial" w:hAnsi="Arial" w:cs="Arial"/>
                <w:b w:val="0"/>
                <w:noProof/>
                <w:sz w:val="20"/>
                <w:szCs w:val="20"/>
              </w:rPr>
              <w:t>Dell’Anna</w:t>
            </w:r>
            <w:r>
              <w:rPr>
                <w:rFonts w:ascii="Arial" w:hAnsi="Arial" w:cs="Arial"/>
                <w:b w:val="0"/>
                <w:noProof/>
                <w:sz w:val="20"/>
                <w:szCs w:val="20"/>
              </w:rPr>
              <w:t xml:space="preserve"> (</w:t>
            </w:r>
            <w:r w:rsidRPr="00D33C7C">
              <w:rPr>
                <w:rFonts w:ascii="Arial" w:hAnsi="Arial" w:cs="Arial"/>
                <w:b w:val="0"/>
                <w:noProof/>
                <w:sz w:val="20"/>
                <w:szCs w:val="20"/>
              </w:rPr>
              <w:t>2021)</w:t>
            </w:r>
            <w:r>
              <w:rPr>
                <w:rFonts w:ascii="Arial" w:hAnsi="Arial" w:cs="Arial"/>
                <w:sz w:val="20"/>
                <w:szCs w:val="20"/>
              </w:rPr>
              <w:fldChar w:fldCharType="end"/>
            </w:r>
          </w:p>
        </w:tc>
        <w:tc>
          <w:tcPr>
            <w:tcW w:w="1794" w:type="dxa"/>
            <w:shd w:val="clear" w:color="auto" w:fill="auto"/>
            <w:noWrap/>
            <w:hideMark/>
          </w:tcPr>
          <w:p w14:paraId="28C4F26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Italy</w:t>
            </w:r>
          </w:p>
        </w:tc>
        <w:tc>
          <w:tcPr>
            <w:tcW w:w="1794" w:type="dxa"/>
            <w:shd w:val="clear" w:color="auto" w:fill="auto"/>
            <w:hideMark/>
          </w:tcPr>
          <w:p w14:paraId="269505F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noWrap/>
            <w:hideMark/>
          </w:tcPr>
          <w:p w14:paraId="3E1250F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Power generation (focusing on wind, solar PV, hydroelectric and geothermal)</w:t>
            </w:r>
          </w:p>
        </w:tc>
      </w:tr>
      <w:tr w:rsidR="00190C62" w:rsidRPr="00F47DE9" w14:paraId="433B6C20"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BC70BCC" w14:textId="3E8F78EE" w:rsidR="00190C62" w:rsidRPr="000413AC" w:rsidRDefault="00190C62" w:rsidP="00190C62">
            <w:pPr>
              <w:rPr>
                <w:rFonts w:ascii="Arial" w:hAnsi="Arial" w:cs="Arial"/>
                <w:b w:val="0"/>
                <w:bCs w:val="0"/>
                <w:sz w:val="20"/>
                <w:szCs w:val="20"/>
              </w:rPr>
            </w:pPr>
            <w:proofErr w:type="spellStart"/>
            <w:r w:rsidRPr="000413AC">
              <w:rPr>
                <w:rFonts w:ascii="Arial" w:hAnsi="Arial" w:cs="Arial"/>
                <w:b w:val="0"/>
                <w:bCs w:val="0"/>
                <w:sz w:val="20"/>
                <w:szCs w:val="20"/>
              </w:rPr>
              <w:t>Dominish</w:t>
            </w:r>
            <w:proofErr w:type="spellEnd"/>
            <w:r w:rsidRPr="000413AC">
              <w:rPr>
                <w:rFonts w:ascii="Arial" w:hAnsi="Arial" w:cs="Arial"/>
                <w:b w:val="0"/>
                <w:bCs w:val="0"/>
                <w:sz w:val="20"/>
                <w:szCs w:val="20"/>
              </w:rPr>
              <w:t xml:space="preserve"> et al. (2019)</w:t>
            </w:r>
          </w:p>
        </w:tc>
        <w:tc>
          <w:tcPr>
            <w:tcW w:w="1794" w:type="dxa"/>
            <w:shd w:val="clear" w:color="auto" w:fill="auto"/>
            <w:noWrap/>
            <w:hideMark/>
          </w:tcPr>
          <w:p w14:paraId="0B2D3BE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 / International / OECD/ Australia</w:t>
            </w:r>
          </w:p>
        </w:tc>
        <w:tc>
          <w:tcPr>
            <w:tcW w:w="1794" w:type="dxa"/>
            <w:shd w:val="clear" w:color="auto" w:fill="auto"/>
            <w:hideMark/>
          </w:tcPr>
          <w:p w14:paraId="615F9D7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3544" w:type="dxa"/>
            <w:shd w:val="clear" w:color="auto" w:fill="auto"/>
            <w:noWrap/>
            <w:hideMark/>
          </w:tcPr>
          <w:p w14:paraId="2C2930A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 nuclear / fossil fuels</w:t>
            </w:r>
          </w:p>
        </w:tc>
      </w:tr>
      <w:tr w:rsidR="00190C62" w:rsidRPr="00F47DE9" w14:paraId="495E7257"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5022E1D5" w14:textId="486C679A" w:rsidR="00190C62" w:rsidRPr="004102D2" w:rsidRDefault="00190C62" w:rsidP="00190C62">
            <w:pPr>
              <w:rPr>
                <w:rFonts w:ascii="Arial" w:hAnsi="Arial" w:cs="Arial"/>
                <w:bCs w:val="0"/>
                <w:noProof/>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{"citationItems":[{"id":"ITEM-1","itemData":{"author":[{"dropping-particle":"","family":"Dsouza","given":"J","non-dropping-particle":"","parse-names":false,"suffix":""}],"container-title":"E-Journal of International and Comparative Labour Studies","id":"ITEM-1","issue":"2","issued":{"date-parts":[["2015"]]},"title":"The Environmental Revolution: But does Labour Reap the Benefit from Green Jobs?","type":"article-journal","volume":"4"},"uris":["http://www.mendeley.com/documents/?uuid=b610b71a-fa68-3f0a-817a-d63791fba9f5"]}],"mendeley":{"formattedCitation":"(Dsouza, 2015)","manualFormatting":"Dsouza (2015)","plainTextFormattedCitation":"(Dsouza, 2015)","previouslyFormattedCitation":"(Dsouza, 2015)"},"properties":{"noteIndex":0},"schema":"https://github.com/citation-style-language/schema/raw/master/csl-citation.json"}</w:instrText>
            </w:r>
            <w:r>
              <w:rPr>
                <w:rFonts w:ascii="Arial" w:hAnsi="Arial" w:cs="Arial"/>
                <w:sz w:val="20"/>
                <w:szCs w:val="20"/>
              </w:rPr>
              <w:fldChar w:fldCharType="separate"/>
            </w:r>
            <w:r w:rsidRPr="00D33C7C">
              <w:rPr>
                <w:rFonts w:ascii="Arial" w:hAnsi="Arial" w:cs="Arial"/>
                <w:b w:val="0"/>
                <w:noProof/>
                <w:sz w:val="20"/>
                <w:szCs w:val="20"/>
              </w:rPr>
              <w:t>Dsouza</w:t>
            </w:r>
            <w:r>
              <w:rPr>
                <w:rFonts w:ascii="Arial" w:hAnsi="Arial" w:cs="Arial"/>
                <w:bCs w:val="0"/>
                <w:noProof/>
                <w:sz w:val="20"/>
                <w:szCs w:val="20"/>
              </w:rPr>
              <w:t xml:space="preserve"> </w:t>
            </w:r>
            <w:r>
              <w:rPr>
                <w:rFonts w:ascii="Arial" w:hAnsi="Arial" w:cs="Arial"/>
                <w:b w:val="0"/>
                <w:noProof/>
                <w:sz w:val="20"/>
                <w:szCs w:val="20"/>
              </w:rPr>
              <w:t>(</w:t>
            </w:r>
            <w:r w:rsidRPr="00D33C7C">
              <w:rPr>
                <w:rFonts w:ascii="Arial" w:hAnsi="Arial" w:cs="Arial"/>
                <w:b w:val="0"/>
                <w:noProof/>
                <w:sz w:val="20"/>
                <w:szCs w:val="20"/>
              </w:rPr>
              <w:t>2015)</w:t>
            </w:r>
            <w:r>
              <w:rPr>
                <w:rFonts w:ascii="Arial" w:hAnsi="Arial" w:cs="Arial"/>
                <w:sz w:val="20"/>
                <w:szCs w:val="20"/>
              </w:rPr>
              <w:fldChar w:fldCharType="end"/>
            </w:r>
          </w:p>
        </w:tc>
        <w:tc>
          <w:tcPr>
            <w:tcW w:w="1794" w:type="dxa"/>
            <w:shd w:val="clear" w:color="auto" w:fill="auto"/>
            <w:noWrap/>
            <w:hideMark/>
          </w:tcPr>
          <w:p w14:paraId="5F321A2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California</w:t>
            </w:r>
          </w:p>
        </w:tc>
        <w:tc>
          <w:tcPr>
            <w:tcW w:w="1794" w:type="dxa"/>
            <w:shd w:val="clear" w:color="auto" w:fill="auto"/>
            <w:noWrap/>
            <w:hideMark/>
          </w:tcPr>
          <w:p w14:paraId="20215A9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hideMark/>
          </w:tcPr>
          <w:p w14:paraId="3A9D8E0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Green </w:t>
            </w:r>
            <w:proofErr w:type="gramStart"/>
            <w:r w:rsidRPr="00F47DE9">
              <w:rPr>
                <w:rFonts w:ascii="Arial" w:hAnsi="Arial" w:cs="Arial"/>
                <w:sz w:val="20"/>
                <w:szCs w:val="20"/>
              </w:rPr>
              <w:t>jobs;  clean</w:t>
            </w:r>
            <w:proofErr w:type="gramEnd"/>
            <w:r w:rsidRPr="00F47DE9">
              <w:rPr>
                <w:rFonts w:ascii="Arial" w:hAnsi="Arial" w:cs="Arial"/>
                <w:sz w:val="20"/>
                <w:szCs w:val="20"/>
              </w:rPr>
              <w:t xml:space="preserve"> energy, energy efficiency and renewable energy </w:t>
            </w:r>
          </w:p>
        </w:tc>
      </w:tr>
      <w:tr w:rsidR="00190C62" w:rsidRPr="00F47DE9" w14:paraId="0E27658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368CB00A" w14:textId="0E086BE1"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{"citationItems":[{"id":"ITEM-1","itemData":{"DOI":"10.1016/J.RENENE.2016.03.065","ISSN":"0960-1481","abstract":"In this paper we show a multi-objective evolutionary algorithm (MOEA) for the optimisation of stand-alone (off-grid) hybrid systems (photovoltaic-wind-diesel-battery) to minimise total net present cost (NPC) and maximise human development index (HDI) and job creation (JC). Optimisation of this kind of system is usually performed considering only the minimisation of cost (NPC or the levelised cost of energy), as well as the emissions and the unmet load in some cases. In this paper, for the first time, we consider the maximisation of HDI and JC as part of optimisation. HDI depends on the consumption of electricity, so the extra energy that can supply the hybrid system can improve the HDI index. JC is different for each technology, obtaining different values for each combination of components in the system. The three objectives are often opposed, so a Pareto-optimisation MOEA is a good option to obtain a set of possible solutions in which no solution is better than another one for all three objectives (optimal Pareto set). We provide an example in the optimisation of a hybrid system to supply electricity to a small community in the Sahrawi refugee camps of Tindouf.","author":[{"dropping-particle":"","family":"Dufo-López","given":"Rodolfo","non-dropping-particle":"","parse-names":false,"suffix":""},{"dropping-particle":"","family":"Cristóbal-Monreal","given":"Iván R.","non-dropping-particle":"","parse-names":false,"suffix":""},{"dropping-particle":"","family":"Yusta","given":"José M.","non-dropping-particle":"","parse-names":false,"suffix":""}],"container-title":"Renewable Energy","id":"ITEM-1","issued":{"date-parts":[["2016","8","1"]]},"page":"280-293","publisher":"Pergamon","title":"Optimisation of PV-wind-diesel-battery stand-alone systems to minimise cost and maximise human development index and job creation","type":"article-journal","volume":"94"},"uris":["http://www.mendeley.com/documents/?uuid=b505c9f0-a29a-334a-bcfe-02b037b65cfe"]}],"mendeley":{"formattedCitation":"(Dufo-López, Cristóbal-Monreal and Yusta, 2016)","manualFormatting":"Dufo-López, Cristóbal-Monreal and Yusta (2016)","plainTextFormattedCitation":"(Dufo-López, Cristóbal-Monreal and Yusta, 2016)","previouslyFormattedCitation":"(Dufo-López, Cristóbal-Monreal and Yusta, 2016)"},"properties":{"noteIndex":0},"schema":"https://github.com/citation-style-language/schema/raw/master/csl-citation.json"}</w:instrText>
            </w:r>
            <w:r>
              <w:rPr>
                <w:rFonts w:ascii="Arial" w:hAnsi="Arial" w:cs="Arial"/>
                <w:sz w:val="20"/>
                <w:szCs w:val="20"/>
              </w:rPr>
              <w:fldChar w:fldCharType="separate"/>
            </w:r>
            <w:r w:rsidRPr="00D33C7C">
              <w:rPr>
                <w:rFonts w:ascii="Arial" w:hAnsi="Arial" w:cs="Arial"/>
                <w:b w:val="0"/>
                <w:noProof/>
                <w:sz w:val="20"/>
                <w:szCs w:val="20"/>
              </w:rPr>
              <w:t>Dufo-López, Cristóbal-Monreal and Yusta</w:t>
            </w:r>
            <w:r>
              <w:rPr>
                <w:rFonts w:ascii="Arial" w:hAnsi="Arial" w:cs="Arial"/>
                <w:b w:val="0"/>
                <w:noProof/>
                <w:sz w:val="20"/>
                <w:szCs w:val="20"/>
              </w:rPr>
              <w:t xml:space="preserve"> (</w:t>
            </w:r>
            <w:r w:rsidRPr="00D33C7C">
              <w:rPr>
                <w:rFonts w:ascii="Arial" w:hAnsi="Arial" w:cs="Arial"/>
                <w:b w:val="0"/>
                <w:noProof/>
                <w:sz w:val="20"/>
                <w:szCs w:val="20"/>
              </w:rPr>
              <w:t>2016)</w:t>
            </w:r>
            <w:r>
              <w:rPr>
                <w:rFonts w:ascii="Arial" w:hAnsi="Arial" w:cs="Arial"/>
                <w:sz w:val="20"/>
                <w:szCs w:val="20"/>
              </w:rPr>
              <w:fldChar w:fldCharType="end"/>
            </w:r>
          </w:p>
        </w:tc>
        <w:tc>
          <w:tcPr>
            <w:tcW w:w="1794" w:type="dxa"/>
            <w:shd w:val="clear" w:color="auto" w:fill="auto"/>
            <w:noWrap/>
            <w:hideMark/>
          </w:tcPr>
          <w:p w14:paraId="7F928D4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Algeria</w:t>
            </w:r>
          </w:p>
        </w:tc>
        <w:tc>
          <w:tcPr>
            <w:tcW w:w="1794" w:type="dxa"/>
            <w:shd w:val="clear" w:color="auto" w:fill="auto"/>
            <w:hideMark/>
          </w:tcPr>
          <w:p w14:paraId="34420E5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Africa</w:t>
            </w:r>
          </w:p>
        </w:tc>
        <w:tc>
          <w:tcPr>
            <w:tcW w:w="3544" w:type="dxa"/>
            <w:shd w:val="clear" w:color="auto" w:fill="auto"/>
            <w:noWrap/>
            <w:hideMark/>
          </w:tcPr>
          <w:p w14:paraId="652D1910"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Stand-alone (off-grid) hybrid systems (solar PV-wind-diesel-battery)</w:t>
            </w:r>
          </w:p>
        </w:tc>
      </w:tr>
      <w:tr w:rsidR="00190C62" w:rsidRPr="00F47DE9" w14:paraId="3190A3F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CE79364" w14:textId="2B3F5C5F"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{"citationItems":[{"id":"ITEM-1","itemData":{"DOI":"10.1016/j.rser.2016.11.158","ISSN":"18790690","abstract":"The development of renewable energy sources has been primarily justified on the ground of environmental policies and energy security, but new jobs opportunities and establishment of new economy sectors may be equally important co-benefits from investments in this sector. The main goal of this paper is to assess the employment benefits of investments in renewable energy in the Czech Republic. We examine the level and rate of the development of the renewable energy sector in the Czech Republic in terms of ('green‘) job creation for the period 2008–2013, in comparison to data from other EU countries, including Germany as a leading early investor in renewables. Whilst the deployment of renewable energy in the Czech Republic has succeeded to create a significant number of jobs (more than 20 000 employees in 2010), our analysis illustrates a strong dependency of job creation on the continuation of financial incentives. We also find that biomass and waste energy processing offer the highest employment per MWh, which benefits employment in (economically fragile) rural areas. We discuss the question of competitiveness of a country that was not amongst the early adopters of renewables, arguing that the technical skills of the labour force in the Czech Republic provide a potential for more sustained investments in the sector.","author":[{"dropping-particle":"","family":"Dvořák","given":"Petr","non-dropping-particle":"","parse-names":false,"suffix":""},{"dropping-particle":"","family":"Martinát","given":"Stanislav","non-dropping-particle":"","parse-names":false,"suffix":""},{"dropping-particle":"Van","family":"Horst","given":"Dan","non-dropping-particle":"der","parse-names":false,"suffix":""},{"dropping-particle":"","family":"Frantál","given":"Bohumil","non-dropping-particle":"","parse-names":false,"suffix":""},{"dropping-particle":"","family":"Turečková","given":"Kamila","non-dropping-particle":"","parse-names":false,"suffix":""}],"container-title":"Renewable and Sustainable Energy Reviews","id":"ITEM-1","issued":{"date-parts":[["2017","3","1"]]},"page":"360-368","publisher":"Elsevier Ltd","title":"Renewable energy investment and job creation; a cross-sectoral assessment for the Czech Republic with reference to EU benchmarks","type":"article","volume":"69"},"uris":["http://www.mendeley.com/documents/?uuid=b8f35f30-1430-3079-b1b8-199597ef49c9"]}],"mendeley":{"formattedCitation":"(Dvořák &lt;i&gt;et al.&lt;/i&gt;, 2017)","manualFormatting":"Dvořák et al. (2017)","plainTextFormattedCitation":"(Dvořák et al., 2017)","previouslyFormattedCitation":"(Dvořák &lt;i&gt;et al.&lt;/i&gt;, 2017)"},"properties":{"noteIndex":0},"schema":"https://github.com/citation-style-language/schema/raw/master/csl-citation.json"}</w:instrText>
            </w:r>
            <w:r>
              <w:rPr>
                <w:rFonts w:ascii="Arial" w:hAnsi="Arial" w:cs="Arial"/>
                <w:sz w:val="20"/>
                <w:szCs w:val="20"/>
              </w:rPr>
              <w:fldChar w:fldCharType="separate"/>
            </w:r>
            <w:r w:rsidRPr="00D33C7C">
              <w:rPr>
                <w:rFonts w:ascii="Arial" w:hAnsi="Arial" w:cs="Arial"/>
                <w:b w:val="0"/>
                <w:noProof/>
                <w:sz w:val="20"/>
                <w:szCs w:val="20"/>
              </w:rPr>
              <w:t xml:space="preserve">Dvořák </w:t>
            </w:r>
            <w:r w:rsidRPr="00D33C7C">
              <w:rPr>
                <w:rFonts w:ascii="Arial" w:hAnsi="Arial" w:cs="Arial"/>
                <w:b w:val="0"/>
                <w:i/>
                <w:noProof/>
                <w:sz w:val="20"/>
                <w:szCs w:val="20"/>
              </w:rPr>
              <w:t>et al.</w:t>
            </w:r>
            <w:r>
              <w:rPr>
                <w:rFonts w:ascii="Arial" w:hAnsi="Arial" w:cs="Arial"/>
                <w:b w:val="0"/>
                <w:noProof/>
                <w:sz w:val="20"/>
                <w:szCs w:val="20"/>
              </w:rPr>
              <w:t xml:space="preserve"> (</w:t>
            </w:r>
            <w:r w:rsidRPr="00D33C7C">
              <w:rPr>
                <w:rFonts w:ascii="Arial" w:hAnsi="Arial" w:cs="Arial"/>
                <w:b w:val="0"/>
                <w:noProof/>
                <w:sz w:val="20"/>
                <w:szCs w:val="20"/>
              </w:rPr>
              <w:t>2017)</w:t>
            </w:r>
            <w:r>
              <w:rPr>
                <w:rFonts w:ascii="Arial" w:hAnsi="Arial" w:cs="Arial"/>
                <w:sz w:val="20"/>
                <w:szCs w:val="20"/>
              </w:rPr>
              <w:fldChar w:fldCharType="end"/>
            </w:r>
          </w:p>
        </w:tc>
        <w:tc>
          <w:tcPr>
            <w:tcW w:w="1794" w:type="dxa"/>
            <w:shd w:val="clear" w:color="auto" w:fill="auto"/>
            <w:hideMark/>
          </w:tcPr>
          <w:p w14:paraId="653CE60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Czech Republic; Germany; EU</w:t>
            </w:r>
          </w:p>
        </w:tc>
        <w:tc>
          <w:tcPr>
            <w:tcW w:w="1794" w:type="dxa"/>
            <w:shd w:val="clear" w:color="auto" w:fill="auto"/>
            <w:hideMark/>
          </w:tcPr>
          <w:p w14:paraId="6C52C58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Europe</w:t>
            </w:r>
          </w:p>
        </w:tc>
        <w:tc>
          <w:tcPr>
            <w:tcW w:w="3544" w:type="dxa"/>
            <w:shd w:val="clear" w:color="auto" w:fill="auto"/>
            <w:noWrap/>
            <w:hideMark/>
          </w:tcPr>
          <w:p w14:paraId="3E71DF4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7479FDB8"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02A4242" w14:textId="7F4E104F"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{"citationItems":[{"id":"ITEM-1","itemData":{"author":[{"dropping-particle":"","family":"Ecuity Consulting","given":"","non-dropping-particle":"","parse-names":false,"suffix":""}],"id":"ITEM-1","issued":{"date-parts":[["2020"]]},"publisher":"Local Government Association","publisher-place":"London, UK","title":"Local green jobs – accelerating a sustainable economic recovery","type":"report"},"uris":["http://www.mendeley.com/documents/?uuid=12f6f512-d6bd-34ef-957e-399b5fb485f7"]}],"mendeley":{"formattedCitation":"(Ecuity Consulting, 2020)","manualFormatting":"Ecuity Consulting (2020)","plainTextFormattedCitation":"(Ecuity Consulting, 2020)","previouslyFormattedCitation":"(Ecuity Consulting, 2020)"},"properties":{"noteIndex":0},"schema":"https://github.com/citation-style-language/schema/raw/master/csl-citation.json"}</w:instrText>
            </w:r>
            <w:r>
              <w:rPr>
                <w:rFonts w:ascii="Arial" w:hAnsi="Arial" w:cs="Arial"/>
                <w:sz w:val="20"/>
                <w:szCs w:val="20"/>
              </w:rPr>
              <w:fldChar w:fldCharType="separate"/>
            </w:r>
            <w:r w:rsidRPr="00D33C7C">
              <w:rPr>
                <w:rFonts w:ascii="Arial" w:hAnsi="Arial" w:cs="Arial"/>
                <w:b w:val="0"/>
                <w:noProof/>
                <w:sz w:val="20"/>
                <w:szCs w:val="20"/>
              </w:rPr>
              <w:t>Ecuity Consulting</w:t>
            </w:r>
            <w:r>
              <w:rPr>
                <w:rFonts w:ascii="Arial" w:hAnsi="Arial" w:cs="Arial"/>
                <w:b w:val="0"/>
                <w:noProof/>
                <w:sz w:val="20"/>
                <w:szCs w:val="20"/>
              </w:rPr>
              <w:t xml:space="preserve"> (</w:t>
            </w:r>
            <w:r w:rsidRPr="00D33C7C">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hideMark/>
          </w:tcPr>
          <w:p w14:paraId="13446B9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UK / England</w:t>
            </w:r>
          </w:p>
        </w:tc>
        <w:tc>
          <w:tcPr>
            <w:tcW w:w="1794" w:type="dxa"/>
            <w:shd w:val="clear" w:color="auto" w:fill="auto"/>
            <w:hideMark/>
          </w:tcPr>
          <w:p w14:paraId="42E1273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52AA909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Low-carbon and renewable energy economy </w:t>
            </w:r>
          </w:p>
        </w:tc>
      </w:tr>
      <w:tr w:rsidR="00190C62" w:rsidRPr="00F47DE9" w14:paraId="3BDA6970"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A928646" w14:textId="671AE6F2"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{"citationItems":[{"id":"ITEM-1","itemData":{"author":[{"dropping-particle":"","family":"Element Energy","given":"","non-dropping-particle":"","parse-names":false,"suffix":""}],"id":"ITEM-1","issued":{"date-parts":[["2019"]]},"publisher":"Equinor","title":"Hy-Impact Series Study 1: Hydrogen for economic growth","type":"report"},"uris":["http://www.mendeley.com/documents/?uuid=9ca0d4f9-77e7-36ad-a3f5-3b891a469cab"]}],"mendeley":{"formattedCitation":"(Element Energy, 2019)","manualFormatting":"Element Energy (2019)","plainTextFormattedCitation":"(Element Energy, 2019)","previouslyFormattedCitation":"(Element Energy, 2019)"},"properties":{"noteIndex":0},"schema":"https://github.com/citation-style-language/schema/raw/master/csl-citation.json"}</w:instrText>
            </w:r>
            <w:r>
              <w:rPr>
                <w:rFonts w:ascii="Arial" w:hAnsi="Arial" w:cs="Arial"/>
                <w:sz w:val="20"/>
                <w:szCs w:val="20"/>
              </w:rPr>
              <w:fldChar w:fldCharType="separate"/>
            </w:r>
            <w:r w:rsidRPr="00D33C7C">
              <w:rPr>
                <w:rFonts w:ascii="Arial" w:hAnsi="Arial" w:cs="Arial"/>
                <w:b w:val="0"/>
                <w:noProof/>
                <w:sz w:val="20"/>
                <w:szCs w:val="20"/>
              </w:rPr>
              <w:t>Element Energy</w:t>
            </w:r>
            <w:r>
              <w:rPr>
                <w:rFonts w:ascii="Arial" w:hAnsi="Arial" w:cs="Arial"/>
                <w:b w:val="0"/>
                <w:noProof/>
                <w:sz w:val="20"/>
                <w:szCs w:val="20"/>
              </w:rPr>
              <w:t xml:space="preserve"> (</w:t>
            </w:r>
            <w:r w:rsidRPr="00D33C7C">
              <w:rPr>
                <w:rFonts w:ascii="Arial" w:hAnsi="Arial" w:cs="Arial"/>
                <w:b w:val="0"/>
                <w:noProof/>
                <w:sz w:val="20"/>
                <w:szCs w:val="20"/>
              </w:rPr>
              <w:t>2019)</w:t>
            </w:r>
            <w:r>
              <w:rPr>
                <w:rFonts w:ascii="Arial" w:hAnsi="Arial" w:cs="Arial"/>
                <w:sz w:val="20"/>
                <w:szCs w:val="20"/>
              </w:rPr>
              <w:fldChar w:fldCharType="end"/>
            </w:r>
          </w:p>
        </w:tc>
        <w:tc>
          <w:tcPr>
            <w:tcW w:w="1794" w:type="dxa"/>
            <w:shd w:val="clear" w:color="auto" w:fill="auto"/>
            <w:hideMark/>
          </w:tcPr>
          <w:p w14:paraId="27B3BC3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UK</w:t>
            </w:r>
          </w:p>
        </w:tc>
        <w:tc>
          <w:tcPr>
            <w:tcW w:w="1794" w:type="dxa"/>
            <w:shd w:val="clear" w:color="auto" w:fill="auto"/>
            <w:hideMark/>
          </w:tcPr>
          <w:p w14:paraId="35479F5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17B9540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Hydrogen / CCS</w:t>
            </w:r>
          </w:p>
        </w:tc>
      </w:tr>
      <w:tr w:rsidR="00190C62" w:rsidRPr="00F47DE9" w14:paraId="404FE59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628A9C4" w14:textId="57816386"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{"citationItems":[{"id":"ITEM-1","itemData":{"ISBN":"2296-665X","abstract":"Global concerns over increasing carbon emissions, climate change, decreasing environmental quality, limited and uneven endowments of fossil fuels, rising energy demand, and volatile oil prices have inspired the move toward global energy system decarbonization. The challenges of achieving ambitious climate targets and sustainable development cannot be solved without the significant efforts of the Global South. Regarding net-zero emissions, the main issue for developing countries is avoiding future emissions from industrialization and lock-in into fossil fuel-intensive technologies. However, achieving strategic and ambitious climate targets in the Global South will require understanding the economic implications of decarbonization. This study’s objective and key contribution are to systematically review and provide a detailed assessment of the literature on decarbonization in the Global South to understand the multi-level economic implications of achieving net-zero emissions in the Global South. The assessment considers four broad themes–investment costs, employment impacts, economic growth, and other macroeconomic impacts (such as consumption, debt level, net savings, income and welfare, and trade balance, among others). Overall, the review finds that energy system decarbonization requires substantial investment outlay. Also, it is linked with job displacement in fossil energy sectors and job creation in green sectors. However, there is no unanimous evidence on net job creation in developing countries. Additionally, the GDP impacts are ambiguous; some studies find future GDP growth impacts, while others find GDP decline impacts of decarbonization scenarios. This paper also provides directions for future research.","author":[{"dropping-particle":"","family":"Emenekwe","given":"Chukwuemeka Chinonso","non-dropping-particle":"","parse-names":false,"suffix":""},{"dropping-particle":"","family":"Okereke","given":"Chukwumerije","non-dropping-particle":"","parse-names":false,"suffix":""},{"dropping-particle":"","family":"Nnamani","given":"Uchenna Alexander","non-dropping-particle":"","parse-names":false,"suffix":""},{"dropping-particle":"","family":"Emodi","given":"Nnaemeka Vincent","non-dropping-particle":"","parse-names":false,"suffix":""},{"dropping-particle":"","family":"Diemuodeke","given":"Ogheneruona Endurance","non-dropping-particle":"","parse-names":false,"suffix":""},{"dropping-particle":"","family":"Anieze","given":"Ethelbert Elochukwu","non-dropping-particle":"","parse-names":false,"suffix":""}],"container-title":"Frontiers in Environmental Science  ","id":"ITEM-1","issued":{"date-parts":[["2022"]]},"title":"Macroeconomics of decarbonization strategies of selected global south countries: A systematic review   ","type":"article","volume":"10      "},"uris":["http://www.mendeley.com/documents/?uuid=91ba3417-c5a3-47dc-b7a0-315517fca4f7"]}],"mendeley":{"formattedCitation":"(Emenekwe &lt;i&gt;et al.&lt;/i&gt;, 2022)","manualFormatting":"Emenekwe et al. (2022)","plainTextFormattedCitation":"(Emenekwe et al., 2022)","previouslyFormattedCitation":"(Emenekwe &lt;i&gt;et al.&lt;/i&gt;, 2022)"},"properties":{"noteIndex":0},"schema":"https://github.com/citation-style-language/schema/raw/master/csl-citation.json"}</w:instrText>
            </w:r>
            <w:r>
              <w:rPr>
                <w:rFonts w:ascii="Arial" w:hAnsi="Arial" w:cs="Arial"/>
                <w:sz w:val="20"/>
                <w:szCs w:val="20"/>
              </w:rPr>
              <w:fldChar w:fldCharType="separate"/>
            </w:r>
            <w:r w:rsidRPr="00D33C7C">
              <w:rPr>
                <w:rFonts w:ascii="Arial" w:hAnsi="Arial" w:cs="Arial"/>
                <w:b w:val="0"/>
                <w:noProof/>
                <w:sz w:val="20"/>
                <w:szCs w:val="20"/>
              </w:rPr>
              <w:t xml:space="preserve">Emenekwe </w:t>
            </w:r>
            <w:r w:rsidRPr="00D33C7C">
              <w:rPr>
                <w:rFonts w:ascii="Arial" w:hAnsi="Arial" w:cs="Arial"/>
                <w:b w:val="0"/>
                <w:i/>
                <w:noProof/>
                <w:sz w:val="20"/>
                <w:szCs w:val="20"/>
              </w:rPr>
              <w:t>et al.</w:t>
            </w:r>
            <w:r>
              <w:rPr>
                <w:rFonts w:ascii="Arial" w:hAnsi="Arial" w:cs="Arial"/>
                <w:b w:val="0"/>
                <w:noProof/>
                <w:sz w:val="20"/>
                <w:szCs w:val="20"/>
              </w:rPr>
              <w:t xml:space="preserve"> (</w:t>
            </w:r>
            <w:r w:rsidRPr="00D33C7C">
              <w:rPr>
                <w:rFonts w:ascii="Arial" w:hAnsi="Arial" w:cs="Arial"/>
                <w:b w:val="0"/>
                <w:noProof/>
                <w:sz w:val="20"/>
                <w:szCs w:val="20"/>
              </w:rPr>
              <w:t>2022)</w:t>
            </w:r>
            <w:r>
              <w:rPr>
                <w:rFonts w:ascii="Arial" w:hAnsi="Arial" w:cs="Arial"/>
                <w:sz w:val="20"/>
                <w:szCs w:val="20"/>
              </w:rPr>
              <w:fldChar w:fldCharType="end"/>
            </w:r>
          </w:p>
        </w:tc>
        <w:tc>
          <w:tcPr>
            <w:tcW w:w="1794" w:type="dxa"/>
            <w:shd w:val="clear" w:color="auto" w:fill="auto"/>
            <w:hideMark/>
          </w:tcPr>
          <w:p w14:paraId="469152C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 South</w:t>
            </w:r>
          </w:p>
        </w:tc>
        <w:tc>
          <w:tcPr>
            <w:tcW w:w="1794" w:type="dxa"/>
            <w:shd w:val="clear" w:color="auto" w:fill="auto"/>
            <w:hideMark/>
          </w:tcPr>
          <w:p w14:paraId="50210F5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Global South</w:t>
            </w:r>
          </w:p>
        </w:tc>
        <w:tc>
          <w:tcPr>
            <w:tcW w:w="3544" w:type="dxa"/>
            <w:shd w:val="clear" w:color="auto" w:fill="auto"/>
            <w:hideMark/>
          </w:tcPr>
          <w:p w14:paraId="1F55F97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Energy system decarbonisation</w:t>
            </w:r>
          </w:p>
        </w:tc>
      </w:tr>
      <w:tr w:rsidR="00190C62" w:rsidRPr="00F47DE9" w14:paraId="5CCBD558"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328F2B62" w14:textId="7DA04040"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{"citationItems":[{"id":"ITEM-1","itemData":{"DOI":"10.1016/j.apenergy.2018.09.032","ISSN":"03062619","abstract":"Expansion of renewable energy is a key element in the EU Energy and Climate policy framework, as is contributes to Greenhouse Gas reduction and improved energy security, while they can also create employment opportunities. There has been an intense debate on the quantification of these employment effects. Most studies have focused on estimating gross employment impacts and ignored the effects between different sectors, while they commonly use aggregate data and sectoral classification. This paper investigates the net employment impacts from the projected transformation of the EU energy sector towards Renewable Energy Sources (RES), by combining the employment factor approach and general equilibrium analysis. Detailed, up-to-date data at a very disaggregated level are used to compare the labour intensities of RES relative to fossil fuels and assess the employment impacts of the recent Clean Energy Package proposals. RES technologies are estimated to be on average more labour intensive and have a higher domestic job content relative to fossil fuels. The low-carbon transition would lead to the net creation of 200,000 direct jobs in energy sectors. Direct RES jobs represent about 1% of the EU workforce in 2050 and are mostly created in the construction of solar photovoltaics, the supply and production of advanced biofuels and in the manufacturing and installation of wind turbines. In contrast, employment would be eliminated in conventional energy supply sectors, especially in coal mining (which is a labour intensive activity), refineries and refuelling stations. The economy-wide general equilibrium modelling confirms the positive employment impacts of RES expansion and shows that the low-carbon transition would lead to the reallocation of 1.3% of the EU's workforce across sectors by 2050.","author":[{"dropping-particle":"","family":"Fragkos","given":"Panagiotis","non-dropping-particle":"","parse-names":false,"suffix":""},{"dropping-particle":"","family":"Paroussos","given":"Leonidas","non-dropping-particle":"","parse-names":false,"suffix":""}],"container-title":"Applied Energy","id":"ITEM-1","issued":{"date-parts":[["2018","11","15"]]},"page":"935-945","publisher":"Elsevier Ltd","title":"Employment creation in EU related to renewables expansion","type":"article-journal","volume":"230"},"uris":["http://www.mendeley.com/documents/?uuid=2dbc63c1-f2c0-374c-b201-d35b779d102f"]}],"mendeley":{"formattedCitation":"(Fragkos and Paroussos, 2018)","manualFormatting":"Fragkos and Paroussos (2018)","plainTextFormattedCitation":"(Fragkos and Paroussos, 2018)","previouslyFormattedCitation":"(Fragkos and Paroussos, 2018)"},"properties":{"noteIndex":0},"schema":"https://github.com/citation-style-language/schema/raw/master/csl-citation.json"}</w:instrText>
            </w:r>
            <w:r>
              <w:rPr>
                <w:rFonts w:ascii="Arial" w:hAnsi="Arial" w:cs="Arial"/>
                <w:sz w:val="20"/>
                <w:szCs w:val="20"/>
              </w:rPr>
              <w:fldChar w:fldCharType="separate"/>
            </w:r>
            <w:r w:rsidRPr="00D33C7C">
              <w:rPr>
                <w:rFonts w:ascii="Arial" w:hAnsi="Arial" w:cs="Arial"/>
                <w:b w:val="0"/>
                <w:noProof/>
                <w:sz w:val="20"/>
                <w:szCs w:val="20"/>
              </w:rPr>
              <w:t>Fragkos and Paroussos</w:t>
            </w:r>
            <w:r>
              <w:rPr>
                <w:rFonts w:ascii="Arial" w:hAnsi="Arial" w:cs="Arial"/>
                <w:b w:val="0"/>
                <w:noProof/>
                <w:sz w:val="20"/>
                <w:szCs w:val="20"/>
              </w:rPr>
              <w:t xml:space="preserve"> (</w:t>
            </w:r>
            <w:r w:rsidRPr="00D33C7C">
              <w:rPr>
                <w:rFonts w:ascii="Arial" w:hAnsi="Arial" w:cs="Arial"/>
                <w:b w:val="0"/>
                <w:noProof/>
                <w:sz w:val="20"/>
                <w:szCs w:val="20"/>
              </w:rPr>
              <w:t>2018)</w:t>
            </w:r>
            <w:r>
              <w:rPr>
                <w:rFonts w:ascii="Arial" w:hAnsi="Arial" w:cs="Arial"/>
                <w:sz w:val="20"/>
                <w:szCs w:val="20"/>
              </w:rPr>
              <w:fldChar w:fldCharType="end"/>
            </w:r>
          </w:p>
        </w:tc>
        <w:tc>
          <w:tcPr>
            <w:tcW w:w="1794" w:type="dxa"/>
            <w:shd w:val="clear" w:color="auto" w:fill="auto"/>
            <w:noWrap/>
            <w:hideMark/>
          </w:tcPr>
          <w:p w14:paraId="03875DA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1794" w:type="dxa"/>
            <w:shd w:val="clear" w:color="auto" w:fill="auto"/>
            <w:noWrap/>
            <w:hideMark/>
          </w:tcPr>
          <w:p w14:paraId="7B20A53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Europe</w:t>
            </w:r>
          </w:p>
        </w:tc>
        <w:tc>
          <w:tcPr>
            <w:tcW w:w="3544" w:type="dxa"/>
            <w:shd w:val="clear" w:color="auto" w:fill="auto"/>
            <w:noWrap/>
            <w:hideMark/>
          </w:tcPr>
          <w:p w14:paraId="2E6E695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70855F46"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EA5D9EB" w14:textId="34733920"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{"citationItems":[{"id":"ITEM-1","itemData":{"DOI":"10.1016/J.ERSS.2020.101664","ISSN":"2214-6296","abstract":"The global environmental and social crisis has motivated the renaissance of just transitions, this time centred around the effects on labour and income distribution of the shift to a sustainable energy mix. This renewed conception has gone beyond its origins in the US unions in the 1970s to become a key element in many discourses worldwide, with different nuances. Over the last few years, it has found a place in the SDGs and gathered strong support from the ILO. As political frameworks and literature multiply, this work presents a systematic review of the concept, its evolution and the methodologies devoted to studying it. We make three major points. First, the empirical state-of-the-art has blurred the lines of the methodological classifications found in previous studies: CGE and IAMs are two of the most popular methods, with a growing interest in hybrid approaches and system dynamics. Additionally, while most studies focus on the national level, the regional level is gaining momentum to illustrate the asymmetric effects of the transition. Second, a certain consensus has been detected to point out a positive, yet relatively small, impact of the transition on net employment and a negative effect on income distribution. Third, there is a scarcity of research about income dynamics, while studies on labour are blind to the effects of the transition on the quality of jobs, the evolution of working hours and gender. These gaps have inspired the elaboration of a research agenda that is presented at the end of the work.","author":[{"dropping-particle":"","family":"García-García","given":"Pablo","non-dropping-particle":"","parse-names":false,"suffix":""},{"dropping-particle":"","family":"Carpintero","given":"Óscar","non-dropping-particle":"","parse-names":false,"suffix":""},{"dropping-particle":"","family":"Buendía","given":"Luis","non-dropping-particle":"","parse-names":false,"suffix":""}],"container-title":"Energy Research &amp; Social Science","id":"ITEM-1","issued":{"date-parts":[["2020","12","1"]]},"page":"101664","publisher":"Elsevier","title":"Just energy transitions to low carbon economies: A review of the concept and its effects on labour and income","type":"article-journal","volume":"70"},"uris":["http://www.mendeley.com/documents/?uuid=aa5e2e91-ce97-32b3-a19a-d42323c7a48d"]}],"mendeley":{"formattedCitation":"(García-García, Carpintero and Buendía, 2020)","manualFormatting":"García-García, Carpintero and Buendí (2020)","plainTextFormattedCitation":"(García-García, Carpintero and Buendía, 2020)","previouslyFormattedCitation":"(García-García, Carpintero and Buendía, 2020)"},"properties":{"noteIndex":0},"schema":"https://github.com/citation-style-language/schema/raw/master/csl-citation.json"}</w:instrText>
            </w:r>
            <w:r>
              <w:rPr>
                <w:rFonts w:ascii="Arial" w:hAnsi="Arial" w:cs="Arial"/>
                <w:sz w:val="20"/>
                <w:szCs w:val="20"/>
              </w:rPr>
              <w:fldChar w:fldCharType="separate"/>
            </w:r>
            <w:r w:rsidRPr="00D33C7C">
              <w:rPr>
                <w:rFonts w:ascii="Arial" w:hAnsi="Arial" w:cs="Arial"/>
                <w:b w:val="0"/>
                <w:noProof/>
                <w:sz w:val="20"/>
                <w:szCs w:val="20"/>
              </w:rPr>
              <w:t>García-García, Carpintero and Buendí</w:t>
            </w:r>
            <w:r>
              <w:rPr>
                <w:rFonts w:ascii="Arial" w:hAnsi="Arial" w:cs="Arial"/>
                <w:b w:val="0"/>
                <w:noProof/>
                <w:sz w:val="20"/>
                <w:szCs w:val="20"/>
              </w:rPr>
              <w:t xml:space="preserve"> (</w:t>
            </w:r>
            <w:r w:rsidRPr="00D33C7C">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noWrap/>
            <w:hideMark/>
          </w:tcPr>
          <w:p w14:paraId="490F501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Developed countries covered more than less developed countries</w:t>
            </w:r>
          </w:p>
        </w:tc>
        <w:tc>
          <w:tcPr>
            <w:tcW w:w="1794" w:type="dxa"/>
            <w:shd w:val="clear" w:color="auto" w:fill="auto"/>
            <w:hideMark/>
          </w:tcPr>
          <w:p w14:paraId="6B81405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hideMark/>
          </w:tcPr>
          <w:p w14:paraId="588E920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Just energy transition</w:t>
            </w:r>
          </w:p>
        </w:tc>
      </w:tr>
      <w:tr w:rsidR="00190C62" w:rsidRPr="00F47DE9" w14:paraId="01725F7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C65464B" w14:textId="090520C5"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{"citationItems":[{"id":"ITEM-1","itemData":{"DOI":"10.1016/j.econmod.2016.11.012","ISSN":"02649993","abstract":"Global carbon emissions have reached unsustainable levels, and transforming the energy sector by increasing efficiency and use of renewables is one of the primary strategies to reduce emissions. Policy makers need to understand both the environmental and economic impacts of fiscal and regulatory policies regarding the energy sector. Transitioning to lower-carbon energy will entail a contraction of the fossil fuel sector, along with a loss of jobs. An important question is whether clean energy will create more jobs than will be lost in fossil fuels. This article presents a method of using Input-Output (I-O) tables to create “synthetic” industries – namely clean energy industries that do not currently exist in I-O tables. This approach allows researchers to evaluate public and private spending in clean energy and compare it to the effects of spending on fossil fuels. Here we focus on employment impacts in the short-to-medium term, and leave aside the long-term comparison of operations and maintenance employment. We find that on average, 2.65 full-time-equivalent (FTE) jobs are created from $1 million spending in fossil fuels, while that same amount of spending would create 7.49 or 7.72 FTE jobs in renewables or energy efficiency. Thus each $1 million shifted from brown to green energy will create a net increase of 5 jobs.","author":[{"dropping-particle":"","family":"Garrett-Peltier","given":"Heidi","non-dropping-particle":"","parse-names":false,"suffix":""}],"container-title":"Economic Modelling","id":"ITEM-1","issued":{"date-parts":[["2017","2","1"]]},"page":"439-447","publisher":"Elsevier B.V.","title":"Green versus brown: Comparing the employment impacts of energy efficiency, renewable energy, and fossil fuels using an input-output model","type":"article-journal","volume":"61"},"uris":["http://www.mendeley.com/documents/?uuid=aaa187a4-76f0-31c3-a064-d0713996539c"]}],"mendeley":{"formattedCitation":"(Garrett-Peltier, 2017)","manualFormatting":"Garrett-Peltier (2017)","plainTextFormattedCitation":"(Garrett-Peltier, 2017)","previouslyFormattedCitation":"(Garrett-Peltier, 2017)"},"properties":{"noteIndex":0},"schema":"https://github.com/citation-style-language/schema/raw/master/csl-citation.json"}</w:instrText>
            </w:r>
            <w:r>
              <w:rPr>
                <w:rFonts w:ascii="Arial" w:hAnsi="Arial" w:cs="Arial"/>
                <w:sz w:val="20"/>
                <w:szCs w:val="20"/>
              </w:rPr>
              <w:fldChar w:fldCharType="separate"/>
            </w:r>
            <w:r w:rsidRPr="006B64C7">
              <w:rPr>
                <w:rFonts w:ascii="Arial" w:hAnsi="Arial" w:cs="Arial"/>
                <w:b w:val="0"/>
                <w:noProof/>
                <w:sz w:val="20"/>
                <w:szCs w:val="20"/>
              </w:rPr>
              <w:t>Garrett-Peltier</w:t>
            </w:r>
            <w:r>
              <w:rPr>
                <w:rFonts w:ascii="Arial" w:hAnsi="Arial" w:cs="Arial"/>
                <w:b w:val="0"/>
                <w:noProof/>
                <w:sz w:val="20"/>
                <w:szCs w:val="20"/>
              </w:rPr>
              <w:t xml:space="preserve"> (</w:t>
            </w:r>
            <w:r w:rsidRPr="006B64C7">
              <w:rPr>
                <w:rFonts w:ascii="Arial" w:hAnsi="Arial" w:cs="Arial"/>
                <w:b w:val="0"/>
                <w:noProof/>
                <w:sz w:val="20"/>
                <w:szCs w:val="20"/>
              </w:rPr>
              <w:t>2017)</w:t>
            </w:r>
            <w:r>
              <w:rPr>
                <w:rFonts w:ascii="Arial" w:hAnsi="Arial" w:cs="Arial"/>
                <w:sz w:val="20"/>
                <w:szCs w:val="20"/>
              </w:rPr>
              <w:fldChar w:fldCharType="end"/>
            </w:r>
          </w:p>
        </w:tc>
        <w:tc>
          <w:tcPr>
            <w:tcW w:w="1794" w:type="dxa"/>
            <w:shd w:val="clear" w:color="auto" w:fill="auto"/>
            <w:noWrap/>
            <w:hideMark/>
          </w:tcPr>
          <w:p w14:paraId="153DEA9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US</w:t>
            </w:r>
          </w:p>
        </w:tc>
        <w:tc>
          <w:tcPr>
            <w:tcW w:w="1794" w:type="dxa"/>
            <w:shd w:val="clear" w:color="auto" w:fill="auto"/>
            <w:hideMark/>
          </w:tcPr>
          <w:p w14:paraId="035DE5A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noWrap/>
            <w:hideMark/>
          </w:tcPr>
          <w:p w14:paraId="4440B52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 energy efficiency / fossil fuels</w:t>
            </w:r>
          </w:p>
        </w:tc>
      </w:tr>
      <w:tr w:rsidR="00190C62" w:rsidRPr="00F47DE9" w14:paraId="50ED38E2"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46851DE" w14:textId="3CD5A5CF"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{"citationItems":[{"id":"ITEM-1","itemData":{"DOI":"10.1016/J.EGYPRO.2016.06.159","ISSN":"1876-6102","abstract":"The relationship between the green economy and employment is never as simple as it appears. This article analyses this relationship based on studies of clean energy policies in different countries. Through literature studies, we found that the green economy has positive effects on employment in both developing and developed countries, while the results can alter according to the type of measurement adopted. However, the Green economy can also have negative effects in some countries like Spain. Moreover, it may shape the labor market in another way if policy influence is taken into consideration. Finally, we must realize that there are some problems with the current researches in this area, such as the lack of studies on different countries and energy types, inadequate theoretical support, limited analysis of such relationship, and so on. We suggest that scholars should focus on mechanisms whereby this relationship is influenced and policies to regulate such relationships in further researches.","author":[{"dropping-particle":"","family":"Ge","given":"Yeyanran","non-dropping-particle":"","parse-names":false,"suffix":""},{"dropping-particle":"","family":"Zhi","given":"Qiang","non-dropping-particle":"","parse-names":false,"suffix":""}],"container-title":"Energy Procedia","id":"ITEM-1","issued":{"date-parts":[["2016","6","1"]]},"page":"257-264","publisher":"Elsevier","title":"Literature Review: The Green Economy, Clean Energy Policy and Employment","type":"article-journal","volume":"88"},"uris":["http://www.mendeley.com/documents/?uuid=4c67b3f7-10a3-3bbf-8a0c-eeb14d3365db"]}],"mendeley":{"formattedCitation":"(Ge and Zhi, 2016)","plainTextFormattedCitation":"(Ge and Zhi, 2016)","previouslyFormattedCitation":"(Ge and Zhi, 2016)"},"properties":{"noteIndex":0},"schema":"https://github.com/citation-style-language/schema/raw/master/csl-citation.json"}</w:instrText>
            </w:r>
            <w:r>
              <w:rPr>
                <w:rFonts w:ascii="Arial" w:hAnsi="Arial" w:cs="Arial"/>
                <w:sz w:val="20"/>
                <w:szCs w:val="20"/>
              </w:rPr>
              <w:fldChar w:fldCharType="separate"/>
            </w:r>
            <w:r w:rsidRPr="00914574">
              <w:rPr>
                <w:rFonts w:ascii="Arial" w:hAnsi="Arial" w:cs="Arial"/>
                <w:b w:val="0"/>
                <w:noProof/>
                <w:sz w:val="20"/>
                <w:szCs w:val="20"/>
              </w:rPr>
              <w:t>Ge and Zhi</w:t>
            </w:r>
            <w:r>
              <w:rPr>
                <w:rFonts w:ascii="Arial" w:hAnsi="Arial" w:cs="Arial"/>
                <w:b w:val="0"/>
                <w:noProof/>
                <w:sz w:val="20"/>
                <w:szCs w:val="20"/>
              </w:rPr>
              <w:t xml:space="preserve"> (</w:t>
            </w:r>
            <w:r w:rsidRPr="00914574">
              <w:rPr>
                <w:rFonts w:ascii="Arial" w:hAnsi="Arial" w:cs="Arial"/>
                <w:b w:val="0"/>
                <w:noProof/>
                <w:sz w:val="20"/>
                <w:szCs w:val="20"/>
              </w:rPr>
              <w:t>2016)</w:t>
            </w:r>
            <w:r>
              <w:rPr>
                <w:rFonts w:ascii="Arial" w:hAnsi="Arial" w:cs="Arial"/>
                <w:sz w:val="20"/>
                <w:szCs w:val="20"/>
              </w:rPr>
              <w:fldChar w:fldCharType="end"/>
            </w:r>
          </w:p>
        </w:tc>
        <w:tc>
          <w:tcPr>
            <w:tcW w:w="1794" w:type="dxa"/>
            <w:shd w:val="clear" w:color="auto" w:fill="auto"/>
            <w:hideMark/>
          </w:tcPr>
          <w:p w14:paraId="2C07AA3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Developed / developing countries</w:t>
            </w:r>
          </w:p>
        </w:tc>
        <w:tc>
          <w:tcPr>
            <w:tcW w:w="1794" w:type="dxa"/>
            <w:shd w:val="clear" w:color="auto" w:fill="auto"/>
            <w:hideMark/>
          </w:tcPr>
          <w:p w14:paraId="3D199D6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hideMark/>
          </w:tcPr>
          <w:p w14:paraId="1AB9473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Clean energy, renewable energy, energy efficiency</w:t>
            </w:r>
          </w:p>
        </w:tc>
      </w:tr>
      <w:tr w:rsidR="00190C62" w:rsidRPr="00F47DE9" w14:paraId="72929908"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8C144D8" w14:textId="1611EF0A" w:rsidR="00190C62" w:rsidRPr="00206A05" w:rsidRDefault="00190C62" w:rsidP="00190C62">
            <w:pPr>
              <w:rPr>
                <w:rFonts w:ascii="Arial" w:hAnsi="Arial" w:cs="Arial"/>
                <w:b w:val="0"/>
                <w:bCs w:val="0"/>
                <w:sz w:val="20"/>
                <w:szCs w:val="20"/>
              </w:rPr>
            </w:pPr>
            <w:r w:rsidRPr="00206A05">
              <w:rPr>
                <w:rFonts w:ascii="Arial" w:hAnsi="Arial" w:cs="Arial"/>
                <w:sz w:val="20"/>
                <w:szCs w:val="20"/>
              </w:rPr>
              <w:fldChar w:fldCharType="begin" w:fldLock="1"/>
            </w:r>
            <w:r>
              <w:rPr>
                <w:rFonts w:ascii="Arial" w:hAnsi="Arial" w:cs="Arial"/>
                <w:b w:val="0"/>
                <w:bCs w:val="0"/>
                <w:sz w:val="20"/>
                <w:szCs w:val="20"/>
              </w:rPr>
              <w:instrText>ADDIN CSL_CITATION {"citationItems":[{"id":"ITEM-1","itemData":{"author":[{"dropping-particle":"","family":"Gkatsou","given":"S","non-dropping-particle":"","parse-names":false,"suffix":""},{"dropping-particle":"","family":"Kounenou","given":"M","non-dropping-particle":"","parse-names":false,"suffix":""},{"dropping-particle":"","family":"Papanagiotou","given":"P","non-dropping-particle":"","parse-names":false,"suffix":""},{"dropping-particle":"","family":"Seremeti","given":"D","non-dropping-particle":"","parse-names":false,"suffix":""},{"dropping-particle":"","family":"Georgakellos","given":"D","non-dropping-particle":"","parse-names":false,"suffix":""}],"container-title":"International Journal of Business and Social Science","id":"ITEM-1","issue":"1","issued":{"date-parts":[["2014"]]},"page":"29-41","title":"The Impact of Green Energy on Employment: A Preliminary Analysis","type":"article-journal","volume":"5"},"uris":["http://www.mendeley.com/documents/?uuid=480b69e1-19d0-3fca-a47c-1ead4bdf845f"]}],"mendeley":{"formattedCitation":"(Gkatsou &lt;i&gt;et al.&lt;/i&gt;, 2014)","manualFormatting":"Gkatsou et al. (2014)","plainTextFormattedCitation":"(Gkatsou et al., 2014)","previouslyFormattedCitation":"(Gkatsou &lt;i&gt;et al.&lt;/i&gt;, 2014)"},"properties":{"noteIndex":0},"schema":"https://github.com/citation-style-language/schema/raw/master/csl-citation.json"}</w:instrText>
            </w:r>
            <w:r w:rsidRPr="00206A05">
              <w:rPr>
                <w:rFonts w:ascii="Arial" w:hAnsi="Arial" w:cs="Arial"/>
                <w:sz w:val="20"/>
                <w:szCs w:val="20"/>
              </w:rPr>
              <w:fldChar w:fldCharType="separate"/>
            </w:r>
            <w:r w:rsidRPr="00206A05">
              <w:rPr>
                <w:rFonts w:ascii="Arial" w:hAnsi="Arial" w:cs="Arial"/>
                <w:b w:val="0"/>
                <w:bCs w:val="0"/>
                <w:noProof/>
                <w:sz w:val="20"/>
                <w:szCs w:val="20"/>
              </w:rPr>
              <w:t xml:space="preserve">Gkatsou </w:t>
            </w:r>
            <w:r w:rsidRPr="00206A05">
              <w:rPr>
                <w:rFonts w:ascii="Arial" w:hAnsi="Arial" w:cs="Arial"/>
                <w:b w:val="0"/>
                <w:bCs w:val="0"/>
                <w:i/>
                <w:noProof/>
                <w:sz w:val="20"/>
                <w:szCs w:val="20"/>
              </w:rPr>
              <w:t>et al.</w:t>
            </w:r>
            <w:r>
              <w:rPr>
                <w:rFonts w:ascii="Arial" w:hAnsi="Arial" w:cs="Arial"/>
                <w:b w:val="0"/>
                <w:bCs w:val="0"/>
                <w:noProof/>
                <w:sz w:val="20"/>
                <w:szCs w:val="20"/>
              </w:rPr>
              <w:t xml:space="preserve"> (</w:t>
            </w:r>
            <w:r w:rsidRPr="00206A05">
              <w:rPr>
                <w:rFonts w:ascii="Arial" w:hAnsi="Arial" w:cs="Arial"/>
                <w:b w:val="0"/>
                <w:bCs w:val="0"/>
                <w:noProof/>
                <w:sz w:val="20"/>
                <w:szCs w:val="20"/>
              </w:rPr>
              <w:t>2014)</w:t>
            </w:r>
            <w:r w:rsidRPr="00206A05">
              <w:rPr>
                <w:rFonts w:ascii="Arial" w:hAnsi="Arial" w:cs="Arial"/>
                <w:sz w:val="20"/>
                <w:szCs w:val="20"/>
              </w:rPr>
              <w:fldChar w:fldCharType="end"/>
            </w:r>
          </w:p>
        </w:tc>
        <w:tc>
          <w:tcPr>
            <w:tcW w:w="1794" w:type="dxa"/>
            <w:shd w:val="clear" w:color="auto" w:fill="auto"/>
            <w:hideMark/>
          </w:tcPr>
          <w:p w14:paraId="2318F14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Greece; Europe; US; Russia; Japan</w:t>
            </w:r>
          </w:p>
        </w:tc>
        <w:tc>
          <w:tcPr>
            <w:tcW w:w="1794" w:type="dxa"/>
            <w:shd w:val="clear" w:color="auto" w:fill="auto"/>
            <w:hideMark/>
          </w:tcPr>
          <w:p w14:paraId="0EEC699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noWrap/>
            <w:hideMark/>
          </w:tcPr>
          <w:p w14:paraId="1E9C707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018E5666"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F63FD90" w14:textId="69027C28"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{"citationItems":[{"id":"ITEM-1","itemData":{"DOI":"https://doi.org/10.1002/wcc.794","ISSN":"1757-7780","abstract":"Abstract Concern around the employment impacts of climate mitigation policies can be a contentious and politized issue, with potentially limiting implications for climate action. It persists despite a significant ex ante literature that suggests that aggregate effects will most likely be limited and net positive. This review analyses 60 papers assessing the employment impacts of climate policies ex post, in 20 countries and 2 country groups. Eight broad mitigation policies are covered: (1) emissions trading, (2) carbon taxes, (3) feed-in tariffs, renewable energy (4) procurement and (5) deployment, (6) green economy/jobs, (7) environmental regulation, and (8) other policies and regulations. The analysis confirms that employment impacts tend to be modest and net positive or neutral, but reveals that distributional outcomes can be uneven, disadvantaging certain groups and at times reinforcing existing inequalities. Additionally, lower quality jobs or weak labor market regulations may decrease the attractiveness of jobs created or increase job transition costs. These findings provide some justification for increased focus on how climate policies can ensure a ?just transition of the workforce and the creation of decent work and quality jobs? stipulated in the Paris Agreement, but also suggest that climate action should not be delayed for fear of widespread negative employment impacts. Ex post assessments offer an important lens into the determinants of climate policy employment outcomes and should be advanced and harnessed in support of accelerated and just action. This article is categorized under: Economics of Mitigation &gt; Climate Economics Social Justice and the Politics of Development &gt; Climate and Development","author":[{"dropping-particle":"","family":"Godinho","given":"Catrina","non-dropping-particle":"","parse-names":false,"suffix":""}],"container-title":"WIREs Climate Change","id":"ITEM-1","issue":"6","issued":{"date-parts":[["2022","11","1"]]},"note":"https://doi.org/10.1002/wcc.794","page":"e794","publisher":"John Wiley &amp; Sons, Ltd","title":"What do we know about the employment impacts of climate policies? A review of the ex post literature","type":"article-journal","volume":"13"},"uris":["http://www.mendeley.com/documents/?uuid=b1e89def-fb2c-472f-97fa-ce270f64024b"]}],"mendeley":{"formattedCitation":"(Godinho, 2022)","manualFormatting":"Godinho (2022)","plainTextFormattedCitation":"(Godinho, 2022)","previouslyFormattedCitation":"(Godinho, 2022)"},"properties":{"noteIndex":0},"schema":"https://github.com/citation-style-language/schema/raw/master/csl-citation.json"}</w:instrText>
            </w:r>
            <w:r>
              <w:rPr>
                <w:rFonts w:ascii="Arial" w:hAnsi="Arial" w:cs="Arial"/>
                <w:sz w:val="20"/>
                <w:szCs w:val="20"/>
              </w:rPr>
              <w:fldChar w:fldCharType="separate"/>
            </w:r>
            <w:r w:rsidRPr="00206A05">
              <w:rPr>
                <w:rFonts w:ascii="Arial" w:hAnsi="Arial" w:cs="Arial"/>
                <w:b w:val="0"/>
                <w:noProof/>
                <w:sz w:val="20"/>
                <w:szCs w:val="20"/>
              </w:rPr>
              <w:t>Godinho</w:t>
            </w:r>
            <w:r>
              <w:rPr>
                <w:rFonts w:ascii="Arial" w:hAnsi="Arial" w:cs="Arial"/>
                <w:b w:val="0"/>
                <w:noProof/>
                <w:sz w:val="20"/>
                <w:szCs w:val="20"/>
              </w:rPr>
              <w:t xml:space="preserve"> (</w:t>
            </w:r>
            <w:r w:rsidRPr="00206A05">
              <w:rPr>
                <w:rFonts w:ascii="Arial" w:hAnsi="Arial" w:cs="Arial"/>
                <w:b w:val="0"/>
                <w:noProof/>
                <w:sz w:val="20"/>
                <w:szCs w:val="20"/>
              </w:rPr>
              <w:t>2022)</w:t>
            </w:r>
            <w:r>
              <w:rPr>
                <w:rFonts w:ascii="Arial" w:hAnsi="Arial" w:cs="Arial"/>
                <w:sz w:val="20"/>
                <w:szCs w:val="20"/>
              </w:rPr>
              <w:fldChar w:fldCharType="end"/>
            </w:r>
          </w:p>
        </w:tc>
        <w:tc>
          <w:tcPr>
            <w:tcW w:w="1794" w:type="dxa"/>
            <w:shd w:val="clear" w:color="auto" w:fill="auto"/>
            <w:noWrap/>
            <w:hideMark/>
          </w:tcPr>
          <w:p w14:paraId="10DEEFE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20 countries and 2 country groups</w:t>
            </w:r>
          </w:p>
        </w:tc>
        <w:tc>
          <w:tcPr>
            <w:tcW w:w="1794" w:type="dxa"/>
            <w:shd w:val="clear" w:color="auto" w:fill="auto"/>
            <w:hideMark/>
          </w:tcPr>
          <w:p w14:paraId="53A6290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hideMark/>
          </w:tcPr>
          <w:p w14:paraId="2881405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Climate mitigation policies</w:t>
            </w:r>
          </w:p>
        </w:tc>
      </w:tr>
      <w:tr w:rsidR="00190C62" w:rsidRPr="00F47DE9" w14:paraId="2A4D4F13"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BD1549B" w14:textId="5DE6FC8D"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{"citationItems":[{"id":"ITEM-1","itemData":{"DOI":"10.1016/J.ESD.2019.10.007","ISSN":"0973-0826","abstract":"This paper evaluates the economic (electric power rates and utilities revenues), environmental (GHG emissions), social (job creation) and political (tax collection) impacts of a wider diffusion of photovoltaic distributed generation (PVDG) and energy efficiency (EE) measures on the markets of electric power distribution utilities in Brazil. The impacts are calculated for three substantially different power distribution utilities, which are representative of the types of utilities found in the country. Key indicators were selected to reflect the main interests of the following stakeholders: power distribution utilities, the government (Federal, State and Municipal) and low-voltage consumers. The results show that the most important issues that should be addressed concerning a large diffusion of EE measures are tax collection and tariff rises. The simulations show that tariff rises can be hampered by EE actions targeted to specific locations and specific actions. The most important impact of PVDG diffusion is on tariff rises, considering the current regulatory framework in the country. On the other hand, the net jobs creations of EE measures and, particularly, PVDG are significant and the cost of job creation in relation to fiscal waiver by investment on PVDG is cost-effective. The GHG emissions avoided by the higher levels of PVDG and EE in 2040, simulated in this study, showed to be significant for both EE measures and PVDG.","author":[{"dropping-particle":"","family":"Heideier","given":"Raphael","non-dropping-particle":"","parse-names":false,"suffix":""},{"dropping-particle":"","family":"Bajay","given":"Sergio Valdir","non-dropping-particle":"","parse-names":false,"suffix":""},{"dropping-particle":"","family":"Jannuzzi","given":"Gilberto M.","non-dropping-particle":"","parse-names":false,"suffix":""},{"dropping-particle":"","family":"Gomes","given":"Rodolfo D.M.","non-dropping-particle":"","parse-names":false,"suffix":""},{"dropping-particle":"","family":"Guanais","given":"Luan","non-dropping-particle":"","parse-names":false,"suffix":""},{"dropping-particle":"","family":"Ribeiro","given":"Izana","non-dropping-particle":"","parse-names":false,"suffix":""},{"dropping-particle":"","family":"Paccola","given":"Angelo","non-dropping-particle":"","parse-names":false,"suffix":""}],"container-title":"Energy for Sustainable Development","id":"ITEM-1","issued":{"date-parts":[["2020","2","1"]]},"page":"60-71","publisher":"Elsevier","title":"Impacts of photovoltaic distributed generation and energy efficiency measures on the electricity market of three representative Brazilian distribution utilities","type":"article-journal","volume":"54"},"uris":["http://www.mendeley.com/documents/?uuid=a557839a-33d1-3581-b4b8-373204cd51c0"]}],"mendeley":{"formattedCitation":"(Heideier &lt;i&gt;et al.&lt;/i&gt;, 2020)","manualFormatting":"Heideier et al. (2020)","plainTextFormattedCitation":"(Heideier et al., 2020)","previouslyFormattedCitation":"(Heideier &lt;i&gt;et al.&lt;/i&gt;, 2020)"},"properties":{"noteIndex":0},"schema":"https://github.com/citation-style-language/schema/raw/master/csl-citation.json"}</w:instrText>
            </w:r>
            <w:r>
              <w:rPr>
                <w:rFonts w:ascii="Arial" w:hAnsi="Arial" w:cs="Arial"/>
                <w:sz w:val="20"/>
                <w:szCs w:val="20"/>
              </w:rPr>
              <w:fldChar w:fldCharType="separate"/>
            </w:r>
            <w:r w:rsidRPr="00206A05">
              <w:rPr>
                <w:rFonts w:ascii="Arial" w:hAnsi="Arial" w:cs="Arial"/>
                <w:b w:val="0"/>
                <w:noProof/>
                <w:sz w:val="20"/>
                <w:szCs w:val="20"/>
              </w:rPr>
              <w:t xml:space="preserve">Heideier </w:t>
            </w:r>
            <w:r w:rsidRPr="00206A05">
              <w:rPr>
                <w:rFonts w:ascii="Arial" w:hAnsi="Arial" w:cs="Arial"/>
                <w:b w:val="0"/>
                <w:i/>
                <w:noProof/>
                <w:sz w:val="20"/>
                <w:szCs w:val="20"/>
              </w:rPr>
              <w:t>et al.</w:t>
            </w:r>
            <w:r>
              <w:rPr>
                <w:rFonts w:ascii="Arial" w:hAnsi="Arial" w:cs="Arial"/>
                <w:b w:val="0"/>
                <w:noProof/>
                <w:sz w:val="20"/>
                <w:szCs w:val="20"/>
              </w:rPr>
              <w:t xml:space="preserve"> (</w:t>
            </w:r>
            <w:r w:rsidRPr="00206A05">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noWrap/>
            <w:hideMark/>
          </w:tcPr>
          <w:p w14:paraId="09D5FBE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Brazil</w:t>
            </w:r>
          </w:p>
        </w:tc>
        <w:tc>
          <w:tcPr>
            <w:tcW w:w="1794" w:type="dxa"/>
            <w:shd w:val="clear" w:color="auto" w:fill="auto"/>
            <w:hideMark/>
          </w:tcPr>
          <w:p w14:paraId="712D7F3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South America</w:t>
            </w:r>
          </w:p>
        </w:tc>
        <w:tc>
          <w:tcPr>
            <w:tcW w:w="3544" w:type="dxa"/>
            <w:shd w:val="clear" w:color="auto" w:fill="auto"/>
            <w:noWrap/>
            <w:hideMark/>
          </w:tcPr>
          <w:p w14:paraId="7975766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 solar PV / energy efficiency</w:t>
            </w:r>
          </w:p>
        </w:tc>
      </w:tr>
      <w:tr w:rsidR="00190C62" w:rsidRPr="00F47DE9" w14:paraId="26AE4F5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0B7CDC5E" w14:textId="77777777" w:rsidR="00190C62" w:rsidRPr="00A3791F" w:rsidRDefault="00190C62" w:rsidP="00190C62">
            <w:pPr>
              <w:rPr>
                <w:rFonts w:ascii="Arial" w:hAnsi="Arial" w:cs="Arial"/>
                <w:b w:val="0"/>
                <w:bCs w:val="0"/>
                <w:noProof/>
                <w:color w:val="000000" w:themeColor="text1"/>
                <w:sz w:val="20"/>
                <w:szCs w:val="20"/>
              </w:rPr>
            </w:pPr>
            <w:r w:rsidRPr="00A3791F">
              <w:rPr>
                <w:rFonts w:ascii="Arial" w:hAnsi="Arial" w:cs="Arial"/>
                <w:color w:val="000000" w:themeColor="text1"/>
                <w:sz w:val="20"/>
                <w:szCs w:val="20"/>
              </w:rPr>
              <w:fldChar w:fldCharType="begin" w:fldLock="1"/>
            </w:r>
            <w:r w:rsidRPr="00A3791F">
              <w:rPr>
                <w:rFonts w:ascii="Arial" w:hAnsi="Arial" w:cs="Arial"/>
                <w:b w:val="0"/>
                <w:bCs w:val="0"/>
                <w:color w:val="000000" w:themeColor="text1"/>
                <w:sz w:val="20"/>
                <w:szCs w:val="20"/>
              </w:rPr>
              <w:instrText>ADDIN CSL_CITATION {"citationItems":[{"id":"ITEM-1","itemData":{"DOI":"10.1016/J.SCS.2016.05.013","ISSN":"2210-6707","abstract":"Energy sustainable strategies in Europe advocate increasing the share of electricity generated from renewable energy sources (RES-E) in response to the need of reducing Green House Gas (GHG) emissions. RES-E production is considered to have a prominent role in the crusade against climate change and in Europe's energy security. Renewable energy technology (RET) deployment is also sought for promoting a large number of jobs. Nevertheless, the exact number of jobs created is presented with large discrepancies across recent studies. The use of different methodologies but also the consideration of different assumptions even when the same methodology is applied has implications on the variability of employment estimates. This paper is aimed at providing a clearer understanding of what are the implications of government support for RES-E on jobs, and to see if current claims over employment benefits are too optimistic or even pessimistic in light of these findings. Taking Portugal as a case study, this paper conveys an assessment of the impact of renewable energy targets for electricity generation on employment for the years 2008–2020. The analysis is conducted by means of the Input-Output (IO) approach (quantity and price models) and considering the different life cycle stages of RES-E and conventional electricity (CE) power plants.","author":[{"dropping-particle":"","family":"Henriques","given":"Carla O.","non-dropping-particle":"","parse-names":false,"suffix":""},{"dropping-particle":"","family":"Coelho","given":"Dulce H.","non-dropping-particle":"","parse-names":false,"suffix":""},{"dropping-particle":"","family":"Cassidy","given":"Natalie L.","non-dropping-particle":"","parse-names":false,"suffix":""}],"container-title":"Sustainable Cities and Society","id":"ITEM-1","issued":{"date-parts":[["2016","10","1"]]},"page":"519-530","publisher":"Elsevier","title":"Employment impact assessment of renewable energy targets for electricity generation by 2020—An IO LCA approach","type":"article-journal","volume":"26"},"uris":["http://www.mendeley.com/documents/?uuid=9ccc33f2-2840-3f0e-9304-5c39e9cc1900"]}],"mendeley":{"formattedCitation":"(Henriques, Coelho and Cassidy, 2016)","manualFormatting":"Henriques, Coelho and Cassidy\r(2016)","plainTextFormattedCitation":"(Henriques, Coelho and Cassidy, 2016)","previouslyFormattedCitation":"(Henriques, Coelho and Cassidy, 2016)"},"properties":{"noteIndex":0},"schema":"https://github.com/citation-style-language/schema/raw/master/csl-citation.json"}</w:instrText>
            </w:r>
            <w:r w:rsidRPr="00A3791F">
              <w:rPr>
                <w:rFonts w:ascii="Arial" w:hAnsi="Arial" w:cs="Arial"/>
                <w:color w:val="000000" w:themeColor="text1"/>
                <w:sz w:val="20"/>
                <w:szCs w:val="20"/>
              </w:rPr>
              <w:fldChar w:fldCharType="separate"/>
            </w:r>
            <w:r w:rsidRPr="00A3791F">
              <w:rPr>
                <w:rFonts w:ascii="Arial" w:hAnsi="Arial" w:cs="Arial"/>
                <w:b w:val="0"/>
                <w:bCs w:val="0"/>
                <w:noProof/>
                <w:color w:val="000000" w:themeColor="text1"/>
                <w:sz w:val="20"/>
                <w:szCs w:val="20"/>
              </w:rPr>
              <w:t>Henriques, Coelho and Cassidy</w:t>
            </w:r>
          </w:p>
          <w:p w14:paraId="6A3DECDC" w14:textId="501EB4E0" w:rsidR="00190C62" w:rsidRPr="00A3791F" w:rsidRDefault="00190C62" w:rsidP="00190C62">
            <w:pPr>
              <w:rPr>
                <w:rFonts w:ascii="Arial" w:hAnsi="Arial" w:cs="Arial"/>
                <w:b w:val="0"/>
                <w:bCs w:val="0"/>
                <w:sz w:val="20"/>
                <w:szCs w:val="20"/>
              </w:rPr>
            </w:pPr>
            <w:r w:rsidRPr="00A3791F">
              <w:rPr>
                <w:rFonts w:ascii="Arial" w:hAnsi="Arial" w:cs="Arial"/>
                <w:b w:val="0"/>
                <w:bCs w:val="0"/>
                <w:noProof/>
                <w:color w:val="000000" w:themeColor="text1"/>
                <w:sz w:val="20"/>
                <w:szCs w:val="20"/>
              </w:rPr>
              <w:t>(2016)</w:t>
            </w:r>
            <w:r w:rsidRPr="00A3791F">
              <w:rPr>
                <w:rFonts w:ascii="Arial" w:hAnsi="Arial" w:cs="Arial"/>
                <w:color w:val="000000" w:themeColor="text1"/>
                <w:sz w:val="20"/>
                <w:szCs w:val="20"/>
              </w:rPr>
              <w:fldChar w:fldCharType="end"/>
            </w:r>
          </w:p>
        </w:tc>
        <w:tc>
          <w:tcPr>
            <w:tcW w:w="1794" w:type="dxa"/>
            <w:shd w:val="clear" w:color="auto" w:fill="auto"/>
            <w:noWrap/>
            <w:hideMark/>
          </w:tcPr>
          <w:p w14:paraId="41575E6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Portugal</w:t>
            </w:r>
          </w:p>
        </w:tc>
        <w:tc>
          <w:tcPr>
            <w:tcW w:w="1794" w:type="dxa"/>
            <w:shd w:val="clear" w:color="auto" w:fill="auto"/>
            <w:hideMark/>
          </w:tcPr>
          <w:p w14:paraId="4FCD22C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noWrap/>
            <w:hideMark/>
          </w:tcPr>
          <w:p w14:paraId="0BBB2CB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electricity and conventional power generation</w:t>
            </w:r>
          </w:p>
        </w:tc>
      </w:tr>
      <w:tr w:rsidR="00190C62" w:rsidRPr="00F47DE9" w14:paraId="07345683"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5FDB2FF7" w14:textId="46636CAF"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{"citationItems":[{"id":"ITEM-1","itemData":{"author":[{"dropping-particle":"","family":"HM Treasury","given":"","non-dropping-particle":"","parse-names":false,"suffix":""}],"id":"ITEM-1","issued":{"date-parts":[["2020"]]},"publisher":"HM Treasury","publisher-place":"London, UK","title":"Net Zero Review: Interim report","type":"article"},"uris":["http://www.mendeley.com/documents/?uuid=ff657879-1ee2-3aaa-9e5e-dbe725b2e887"]}],"mendeley":{"formattedCitation":"(HM Treasury, 2020)","manualFormatting":"HM Treasury (2020)","plainTextFormattedCitation":"(HM Treasury, 2020)","previouslyFormattedCitation":"(HM Treasury, 2020)"},"properties":{"noteIndex":0},"schema":"https://github.com/citation-style-language/schema/raw/master/csl-citation.json"}</w:instrText>
            </w:r>
            <w:r>
              <w:rPr>
                <w:rFonts w:ascii="Arial" w:hAnsi="Arial" w:cs="Arial"/>
                <w:sz w:val="20"/>
                <w:szCs w:val="20"/>
              </w:rPr>
              <w:fldChar w:fldCharType="separate"/>
            </w:r>
            <w:r w:rsidRPr="00BE2B01">
              <w:rPr>
                <w:rFonts w:ascii="Arial" w:hAnsi="Arial" w:cs="Arial"/>
                <w:b w:val="0"/>
                <w:noProof/>
                <w:sz w:val="20"/>
                <w:szCs w:val="20"/>
              </w:rPr>
              <w:t>HM Treasury</w:t>
            </w:r>
            <w:r>
              <w:rPr>
                <w:rFonts w:ascii="Arial" w:hAnsi="Arial" w:cs="Arial"/>
                <w:b w:val="0"/>
                <w:noProof/>
                <w:sz w:val="20"/>
                <w:szCs w:val="20"/>
              </w:rPr>
              <w:t xml:space="preserve"> (</w:t>
            </w:r>
            <w:r w:rsidRPr="00BE2B01">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hideMark/>
          </w:tcPr>
          <w:p w14:paraId="64D027F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UK</w:t>
            </w:r>
          </w:p>
        </w:tc>
        <w:tc>
          <w:tcPr>
            <w:tcW w:w="1794" w:type="dxa"/>
            <w:shd w:val="clear" w:color="auto" w:fill="auto"/>
            <w:hideMark/>
          </w:tcPr>
          <w:p w14:paraId="209B015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758EED5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Green jobs; high carbon / low carbon industries</w:t>
            </w:r>
          </w:p>
        </w:tc>
      </w:tr>
      <w:tr w:rsidR="00190C62" w:rsidRPr="00F47DE9" w14:paraId="3E56924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064DF3A" w14:textId="3C97CA91"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{"citationItems":[{"id":"ITEM-1","itemData":{"DOI":"10.1016/J.RSER.2017.05.039","ISSN":"1364-0321","abstract":"The present study analyses the employment characteristics of nine different renewable power generation technologies: two types of solar photovoltaic, wind, small-scale hydro, geothermal, wood biomass and three types of biogas. The analysis uses a Renewable Energy-Focused Input-Output model that the authors developed to analyse life cycle environmental and socio-economic impacts of renewable power generation technologies and policies. The analysis reveals that there are distinctive differences among the nine technologies’ impacts on employment. The total employment creation potential over the life cycle is estimated to be in the range of 1.04–5.04 person-years per GWh. Furthermore, the nine technologies have unique features regarding how many and what kinds of jobs are created across the whole life cycle; the introduction of these technologies into an economy directly and indirectly induces jobs in different industrial sectors reflecting their technological characteristics. On the other hand, the nine different technologies have a common employment effect in that they create relatively high employment opportunities in the service sectors such as wholesale trade, non-life insurance, and judicial, financial and accounting services. The present study reveals quantitative employment characteristics of the different types of renewable power generation technology to provide valuable information for renewable energy policy making.","author":[{"dropping-particle":"","family":"Hondo","given":"Hiroki","non-dropping-particle":"","parse-names":false,"suffix":""},{"dropping-particle":"","family":"Moriizumi","given":"Yue","non-dropping-particle":"","parse-names":false,"suffix":""}],"container-title":"Renewable and Sustainable Energy Reviews","id":"ITEM-1","issued":{"date-parts":[["2017","11","1"]]},"page":"128-136","publisher":"Pergamon","title":"Employment creation potential of renewable power generation technologies: A life cycle approach","type":"article-journal","volume":"79"},"uris":["http://www.mendeley.com/documents/?uuid=8599d8ec-bef8-3d09-9f12-9059d1f7947b"]}],"mendeley":{"formattedCitation":"(Hondo and Moriizumi, 2017)","plainTextFormattedCitation":"(Hondo and Moriizumi, 2017)","previouslyFormattedCitation":"(Hondo and Moriizumi, 2017)"},"properties":{"noteIndex":0},"schema":"https://github.com/citation-style-language/schema/raw/master/csl-citation.json"}</w:instrText>
            </w:r>
            <w:r>
              <w:rPr>
                <w:rFonts w:ascii="Arial" w:hAnsi="Arial" w:cs="Arial"/>
                <w:sz w:val="20"/>
                <w:szCs w:val="20"/>
              </w:rPr>
              <w:fldChar w:fldCharType="separate"/>
            </w:r>
            <w:r w:rsidRPr="00914574">
              <w:rPr>
                <w:rFonts w:ascii="Arial" w:hAnsi="Arial" w:cs="Arial"/>
                <w:b w:val="0"/>
                <w:noProof/>
                <w:sz w:val="20"/>
                <w:szCs w:val="20"/>
              </w:rPr>
              <w:t>Hondo and Moriizumi</w:t>
            </w:r>
            <w:r>
              <w:rPr>
                <w:rFonts w:ascii="Arial" w:hAnsi="Arial" w:cs="Arial"/>
                <w:b w:val="0"/>
                <w:noProof/>
                <w:sz w:val="20"/>
                <w:szCs w:val="20"/>
              </w:rPr>
              <w:t xml:space="preserve"> (</w:t>
            </w:r>
            <w:r w:rsidRPr="00914574">
              <w:rPr>
                <w:rFonts w:ascii="Arial" w:hAnsi="Arial" w:cs="Arial"/>
                <w:b w:val="0"/>
                <w:noProof/>
                <w:sz w:val="20"/>
                <w:szCs w:val="20"/>
              </w:rPr>
              <w:t>2017)</w:t>
            </w:r>
            <w:r>
              <w:rPr>
                <w:rFonts w:ascii="Arial" w:hAnsi="Arial" w:cs="Arial"/>
                <w:sz w:val="20"/>
                <w:szCs w:val="20"/>
              </w:rPr>
              <w:fldChar w:fldCharType="end"/>
            </w:r>
          </w:p>
        </w:tc>
        <w:tc>
          <w:tcPr>
            <w:tcW w:w="1794" w:type="dxa"/>
            <w:shd w:val="clear" w:color="auto" w:fill="auto"/>
            <w:noWrap/>
            <w:hideMark/>
          </w:tcPr>
          <w:p w14:paraId="0616CF8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Japan</w:t>
            </w:r>
          </w:p>
        </w:tc>
        <w:tc>
          <w:tcPr>
            <w:tcW w:w="1794" w:type="dxa"/>
            <w:shd w:val="clear" w:color="auto" w:fill="auto"/>
            <w:hideMark/>
          </w:tcPr>
          <w:p w14:paraId="34235F9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noWrap/>
            <w:hideMark/>
          </w:tcPr>
          <w:p w14:paraId="4C178BA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electricity generation</w:t>
            </w:r>
          </w:p>
        </w:tc>
      </w:tr>
      <w:tr w:rsidR="00190C62" w:rsidRPr="00F47DE9" w14:paraId="47198C41"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8C27E58" w14:textId="4C35E1DE"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{"citationItems":[{"id":"ITEM-1","itemData":{"author":[{"dropping-particle":"","family":"ILO","given":"","non-dropping-particle":"","parse-names":false,"suffix":""}],"id":"ITEM-1","issued":{"date-parts":[["2018"]]},"publisher-place":"International Labour Organisation, Geneva, Switzerland","title":"World employment and social outlook 2018: Greening with jobs","type":"report"},"uris":["http://www.mendeley.com/documents/?uuid=a5418bf4-e0c8-46f1-b046-e465703fcabf"]}],"mendeley":{"formattedCitation":"(ILO, 2018)","manualFormatting":"ILO (2018)","plainTextFormattedCitation":"(ILO, 2018)","previouslyFormattedCitation":"(ILO, 2018)"},"properties":{"noteIndex":0},"schema":"https://github.com/citation-style-language/schema/raw/master/csl-citation.json"}</w:instrText>
            </w:r>
            <w:r>
              <w:rPr>
                <w:rFonts w:ascii="Arial" w:hAnsi="Arial" w:cs="Arial"/>
                <w:sz w:val="20"/>
                <w:szCs w:val="20"/>
              </w:rPr>
              <w:fldChar w:fldCharType="separate"/>
            </w:r>
            <w:r w:rsidRPr="00863523">
              <w:rPr>
                <w:rFonts w:ascii="Arial" w:hAnsi="Arial" w:cs="Arial"/>
                <w:b w:val="0"/>
                <w:noProof/>
                <w:sz w:val="20"/>
                <w:szCs w:val="20"/>
              </w:rPr>
              <w:t>ILO</w:t>
            </w:r>
            <w:r>
              <w:rPr>
                <w:rFonts w:ascii="Arial" w:hAnsi="Arial" w:cs="Arial"/>
                <w:b w:val="0"/>
                <w:noProof/>
                <w:sz w:val="20"/>
                <w:szCs w:val="20"/>
              </w:rPr>
              <w:t xml:space="preserve"> (</w:t>
            </w:r>
            <w:r w:rsidRPr="00863523">
              <w:rPr>
                <w:rFonts w:ascii="Arial" w:hAnsi="Arial" w:cs="Arial"/>
                <w:b w:val="0"/>
                <w:noProof/>
                <w:sz w:val="20"/>
                <w:szCs w:val="20"/>
              </w:rPr>
              <w:t>2018)</w:t>
            </w:r>
            <w:r>
              <w:rPr>
                <w:rFonts w:ascii="Arial" w:hAnsi="Arial" w:cs="Arial"/>
                <w:sz w:val="20"/>
                <w:szCs w:val="20"/>
              </w:rPr>
              <w:fldChar w:fldCharType="end"/>
            </w:r>
          </w:p>
        </w:tc>
        <w:tc>
          <w:tcPr>
            <w:tcW w:w="1794" w:type="dxa"/>
            <w:shd w:val="clear" w:color="auto" w:fill="auto"/>
            <w:hideMark/>
          </w:tcPr>
          <w:p w14:paraId="3EE8CE80"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1794" w:type="dxa"/>
            <w:shd w:val="clear" w:color="auto" w:fill="auto"/>
            <w:hideMark/>
          </w:tcPr>
          <w:p w14:paraId="0446D35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3544" w:type="dxa"/>
            <w:shd w:val="clear" w:color="auto" w:fill="auto"/>
            <w:noWrap/>
            <w:hideMark/>
          </w:tcPr>
          <w:p w14:paraId="2C25F44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Green jobs</w:t>
            </w:r>
          </w:p>
        </w:tc>
      </w:tr>
      <w:tr w:rsidR="00190C62" w:rsidRPr="00F47DE9" w14:paraId="74873FAF"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08E8838" w14:textId="35D87BB8"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Johns","given":"M","non-dropping-particle":"","parse-names":false,"suffix":""},{"dropping-particle":"","family":"Longlands","given":"S","non-dropping-particle":"","parse-names":false,"suffix":""}],"id":"ITEM-1","issued":{"date-parts":[["2020"]]},"publisher":"Institute for Public Policy Research North","publisher-place":"Manchester and Newcastle, UK","title":"Northern powerhomes: A green recovery plan to decarbonise homes in the North","type":"report"},"uris":["http://www.mendeley.com/documents/?uuid=04823ccc-4397-3c59-8b7e-5aeb6f80198e"]}],"mendeley":{"formattedCitation":"(Johns and Longlands, 2020)","manualFormatting":"Johns and Longlands (2020)","plainTextFormattedCitation":"(Johns and Longlands, 2020)","previouslyFormattedCitation":"(Johns and Longlands, 2020)"},"properties":{"noteIndex":0},"schema":"https://github.com/citation-style-language/schema/raw/master/csl-citation.json"}</w:instrText>
            </w:r>
            <w:r>
              <w:rPr>
                <w:rFonts w:ascii="Arial" w:hAnsi="Arial" w:cs="Arial"/>
                <w:sz w:val="20"/>
                <w:szCs w:val="20"/>
              </w:rPr>
              <w:fldChar w:fldCharType="separate"/>
            </w:r>
            <w:r w:rsidRPr="005E0742">
              <w:rPr>
                <w:rFonts w:ascii="Arial" w:hAnsi="Arial" w:cs="Arial"/>
                <w:b w:val="0"/>
                <w:noProof/>
                <w:sz w:val="20"/>
                <w:szCs w:val="20"/>
              </w:rPr>
              <w:t>Johns and Longlands</w:t>
            </w:r>
            <w:r>
              <w:rPr>
                <w:rFonts w:ascii="Arial" w:hAnsi="Arial" w:cs="Arial"/>
                <w:b w:val="0"/>
                <w:noProof/>
                <w:sz w:val="20"/>
                <w:szCs w:val="20"/>
              </w:rPr>
              <w:t xml:space="preserve"> (</w:t>
            </w:r>
            <w:r w:rsidRPr="005E0742">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hideMark/>
          </w:tcPr>
          <w:p w14:paraId="55AE181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UK (north)</w:t>
            </w:r>
          </w:p>
        </w:tc>
        <w:tc>
          <w:tcPr>
            <w:tcW w:w="1794" w:type="dxa"/>
            <w:shd w:val="clear" w:color="auto" w:fill="auto"/>
            <w:hideMark/>
          </w:tcPr>
          <w:p w14:paraId="12DFD7B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3063823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Household heating, energy efficiency and decarbonisation</w:t>
            </w:r>
          </w:p>
        </w:tc>
      </w:tr>
      <w:tr w:rsidR="00190C62" w:rsidRPr="00F47DE9" w14:paraId="2FBEA422"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5BA9E5A2" w14:textId="678869DD" w:rsidR="00190C62" w:rsidRPr="00036BD6" w:rsidRDefault="00190C62" w:rsidP="00190C62">
            <w:pPr>
              <w:rPr>
                <w:rFonts w:ascii="Arial" w:hAnsi="Arial" w:cs="Arial"/>
                <w:b w:val="0"/>
                <w:bCs w:val="0"/>
                <w:sz w:val="20"/>
                <w:szCs w:val="20"/>
              </w:rPr>
            </w:pPr>
            <w:r w:rsidRPr="00036BD6">
              <w:rPr>
                <w:rFonts w:ascii="Arial" w:hAnsi="Arial" w:cs="Arial"/>
                <w:color w:val="000000" w:themeColor="text1"/>
                <w:sz w:val="20"/>
                <w:szCs w:val="20"/>
              </w:rPr>
              <w:fldChar w:fldCharType="begin" w:fldLock="1"/>
            </w:r>
            <w:r w:rsidRPr="00036BD6">
              <w:rPr>
                <w:rFonts w:ascii="Arial" w:hAnsi="Arial" w:cs="Arial"/>
                <w:b w:val="0"/>
                <w:bCs w:val="0"/>
                <w:color w:val="000000" w:themeColor="text1"/>
                <w:sz w:val="20"/>
                <w:szCs w:val="20"/>
              </w:rPr>
              <w:instrText xml:space="preserve">ADDIN CSL_CITATION {"citationItems":[{"id":"ITEM-1","itemData":{"DOI":"10.1016/J.JOULE.2017.07.005","ISSN":"2542-4351","abstract":"We develop roadmaps to transform the all-purpose energy infrastructures (electricity, transportation, heating/cooling, industry, agriculture/forestry/fishing) of 139 countries to ones powered by wind, water, and sunlight (WWS). The roadmaps envision 80% conversion by 2030 and 100% by 2050. WWS not only replaces business-as-usual (BAU) power, but also reduces it </w:instrText>
            </w:r>
            <w:r w:rsidRPr="00036BD6">
              <w:rPr>
                <w:rFonts w:ascii="Cambria Math" w:hAnsi="Cambria Math" w:cs="Cambria Math"/>
                <w:b w:val="0"/>
                <w:bCs w:val="0"/>
                <w:color w:val="000000" w:themeColor="text1"/>
                <w:sz w:val="20"/>
                <w:szCs w:val="20"/>
              </w:rPr>
              <w:instrText>∼</w:instrText>
            </w:r>
            <w:r w:rsidRPr="00036BD6">
              <w:rPr>
                <w:rFonts w:ascii="Arial" w:hAnsi="Arial" w:cs="Arial"/>
                <w:b w:val="0"/>
                <w:bCs w:val="0"/>
                <w:color w:val="000000" w:themeColor="text1"/>
                <w:sz w:val="20"/>
                <w:szCs w:val="20"/>
              </w:rPr>
              <w:instrText xml:space="preserve">42.5% because the work: energy ratio of WWS electricity exceeds that of combustion (23.0%), WWS requires no mining, transporting, or processing of fuels (12.6%), and WWS end-use efficiency is assumed to exceed that of BAU (6.9%). Converting may create </w:instrText>
            </w:r>
            <w:r w:rsidRPr="00036BD6">
              <w:rPr>
                <w:rFonts w:ascii="Cambria Math" w:hAnsi="Cambria Math" w:cs="Cambria Math"/>
                <w:b w:val="0"/>
                <w:bCs w:val="0"/>
                <w:color w:val="000000" w:themeColor="text1"/>
                <w:sz w:val="20"/>
                <w:szCs w:val="20"/>
              </w:rPr>
              <w:instrText>∼</w:instrText>
            </w:r>
            <w:r w:rsidRPr="00036BD6">
              <w:rPr>
                <w:rFonts w:ascii="Arial" w:hAnsi="Arial" w:cs="Arial"/>
                <w:b w:val="0"/>
                <w:bCs w:val="0"/>
                <w:color w:val="000000" w:themeColor="text1"/>
                <w:sz w:val="20"/>
                <w:szCs w:val="20"/>
              </w:rPr>
              <w:instrText xml:space="preserve">24.3 million more permanent, full-time jobs than jobs lost. It may avoid </w:instrText>
            </w:r>
            <w:r w:rsidRPr="00036BD6">
              <w:rPr>
                <w:rFonts w:ascii="Cambria Math" w:hAnsi="Cambria Math" w:cs="Cambria Math"/>
                <w:b w:val="0"/>
                <w:bCs w:val="0"/>
                <w:color w:val="000000" w:themeColor="text1"/>
                <w:sz w:val="20"/>
                <w:szCs w:val="20"/>
              </w:rPr>
              <w:instrText>∼</w:instrText>
            </w:r>
            <w:r w:rsidRPr="00036BD6">
              <w:rPr>
                <w:rFonts w:ascii="Arial" w:hAnsi="Arial" w:cs="Arial"/>
                <w:b w:val="0"/>
                <w:bCs w:val="0"/>
                <w:color w:val="000000" w:themeColor="text1"/>
                <w:sz w:val="20"/>
                <w:szCs w:val="20"/>
              </w:rPr>
              <w:instrText xml:space="preserve">4.6 million/year premature air-pollution deaths today and </w:instrText>
            </w:r>
            <w:r w:rsidRPr="00036BD6">
              <w:rPr>
                <w:rFonts w:ascii="Cambria Math" w:hAnsi="Cambria Math" w:cs="Cambria Math"/>
                <w:b w:val="0"/>
                <w:bCs w:val="0"/>
                <w:color w:val="000000" w:themeColor="text1"/>
                <w:sz w:val="20"/>
                <w:szCs w:val="20"/>
              </w:rPr>
              <w:instrText>∼</w:instrText>
            </w:r>
            <w:r w:rsidRPr="00036BD6">
              <w:rPr>
                <w:rFonts w:ascii="Arial" w:hAnsi="Arial" w:cs="Arial"/>
                <w:b w:val="0"/>
                <w:bCs w:val="0"/>
                <w:color w:val="000000" w:themeColor="text1"/>
                <w:sz w:val="20"/>
                <w:szCs w:val="20"/>
              </w:rPr>
              <w:instrText xml:space="preserve">3.5 million/year in 2050; </w:instrText>
            </w:r>
            <w:r w:rsidRPr="00036BD6">
              <w:rPr>
                <w:rFonts w:ascii="Cambria Math" w:hAnsi="Cambria Math" w:cs="Cambria Math"/>
                <w:b w:val="0"/>
                <w:bCs w:val="0"/>
                <w:color w:val="000000" w:themeColor="text1"/>
                <w:sz w:val="20"/>
                <w:szCs w:val="20"/>
              </w:rPr>
              <w:instrText>∼</w:instrText>
            </w:r>
            <w:r w:rsidRPr="00036BD6">
              <w:rPr>
                <w:rFonts w:ascii="Arial" w:hAnsi="Arial" w:cs="Arial"/>
                <w:b w:val="0"/>
                <w:bCs w:val="0"/>
                <w:color w:val="000000" w:themeColor="text1"/>
                <w:sz w:val="20"/>
                <w:szCs w:val="20"/>
              </w:rPr>
              <w:instrText xml:space="preserve">$22.8 trillion/year (12.7 ¢/kWh-BAU-all-energy) in 2050 air-pollution costs; and </w:instrText>
            </w:r>
            <w:r w:rsidRPr="00036BD6">
              <w:rPr>
                <w:rFonts w:ascii="Cambria Math" w:hAnsi="Cambria Math" w:cs="Cambria Math"/>
                <w:b w:val="0"/>
                <w:bCs w:val="0"/>
                <w:color w:val="000000" w:themeColor="text1"/>
                <w:sz w:val="20"/>
                <w:szCs w:val="20"/>
              </w:rPr>
              <w:instrText>∼</w:instrText>
            </w:r>
            <w:r w:rsidRPr="00036BD6">
              <w:rPr>
                <w:rFonts w:ascii="Arial" w:hAnsi="Arial" w:cs="Arial"/>
                <w:b w:val="0"/>
                <w:bCs w:val="0"/>
                <w:color w:val="000000" w:themeColor="text1"/>
                <w:sz w:val="20"/>
                <w:szCs w:val="20"/>
              </w:rPr>
              <w:instrText>$28.5 trillion/year (15.8 ¢/kWh-BAU-all-energy) in 2050 climate costs. Transitioning should also stabilize energy prices because fuel costs are zero, reduce power disruption and increase access to energy by decentralizing power, and avoid 1.5°C global warming. For the world to reverse global warming, eliminate millions of annual air-pollution deaths, and provide secure energy, every country must have an energy roadmap based on widely available, reliable, zero-emission energy technologies. This study presents such roadmaps for 139 countries of the world. These roadmaps are far more aggressive than what the Paris agreement calls for, but are still technically and economically feasible. The solution is to electrify all energy sectors (transportation, heating/cooling, industry, agriculture/forestry/fishing) and provide all electricity with 100% wind, water, and solar (WWS) power. If fully implemented by 2050, the roadmaps will enable the world to avoid 1.5°C global warming and millions of annual air-pollution deaths, create 24.3 million net new long-term, full-time jobs, reduce energy costs to society, reduce energy end-use by 42.5%, reduce power disruption, and increase worldwide access to energy. We develop energy roadmaps to significantly slow global warming and nearly eliminate air-pollution mortality in 139 countries. These plans call for electrifying all energy sectors (transportation, heating/cooling, industry, agriculture/forestry/fishing) and providing the electricity with 100% wind, water, and solar (WWS) power. Fully implementing the roadmaps by 2050 avoids 1.5°C global warming and millions of deaths fr…","author":[{"dropping-particle":"","family":"Jacobson","given":"Mark Z.","non-dropping-particle":"","parse-names":false,"suffix":""},{"dropping-particle":"","family":"Delucchi","given":"Mark A.","non-dropping-particle":"","parse-names":false,"suffix":""},{"dropping-particle":"","family":"Bauer","given":"Zack A.F.","non-dropping-particle":"","parse-names":false,"suffix":""},{"dropping-particle":"","family":"Goodman","given":"Savannah C.","non-dropping-particle":"","parse-names":false,"suffix":""},{"dropping-particle":"","family":"Chapman","given":"William E.","non-dropping-particle":"","parse-names":false,"suffix":""},{"dropping-particle":"","family":"Cameron","given":"Mary A.","non-dropping-particle":"","parse-names":false,"suffix":""},{"dropping-particle":"","family":"Bozonnat","given":"Cedric","non-dropping-particle":"","parse-names":false,"suffix":""},{"dropping-particle":"","family":"Chobadi","given":"Liat","non-dropping-particle":"","parse-names":false,"suffix":""},{"dropping-particle":"","family":"Clonts","given":"Hailey A.","non-dropping-particle":"","parse-names":false,"suffix":""},{"dropping-particle":"","family":"Enevoldsen","given":"Peter","non-dropping-particle":"","parse-names":false,"suffix":""},{"dropping-particle":"","family":"Erwin","given":"Jenny R.","non-dropping-particle":"","parse-names":false,"suffix":""},{"dropping-particle":"","family":"Fobi","given":"Simone N.","non-dropping-particle":"","parse-names":false,"suffix":""},{"dropping-particle":"","family":"Goldstrom","given":"Owen K.","non-dropping-particle":"","parse-names":false,"suffix":""},{"dropping-particle":"","family":"Hennessy","given":"Eleanor M.","non-dropping-particle":"","parse-names":false,"suffix":""},{"dropping-particle":"","family":"Liu","given":"Jingyi","non-dropping-particle":"","parse-names":false,"suffix":""},{"dropping-particle":"","family":"Lo","given":"Jonathan","non-dropping-particle":"","parse-names":false,"suffix":""},{"dropping-particle":"","family":"Meyer","given":"Clayton B.","non-dropping-particle":"","parse-names":false,"suffix":""},{"dropping-particle":"","family":"Morris","given":"Sean B.","non-dropping-particle":"","parse-names":false,"suffix":""},{"dropping-particle":"","family":"Moy","given":"Kevin R.","non-dropping-particle":"","parse-names":false,"suffix":""},{"dropping-particle":"","family":"O'Neill","given":"Patrick L.","non-dropping-particle":"","parse-names":false,"suffix":""},{"dropping-particle":"","family":"Petkov","given":"Ivalin","non-dropping-particle":"","parse-names":false,"suffix":""},{"dropping-particle":"","family":"Redfern","given":"Stephanie","non-dropping-particle":"","parse-names":false,"suffix":""},{"dropping-particle":"","family":"Schucker","given":"Robin","non-dropping-particle":"","parse-names":false,"suffix":""},{"dropping-particle":"","family":"Sontag","given":"Michael A.","non-dropping-particle":"","parse-names":false,"suffix":""},{"dropping-particle":"","family":"Wang","given":"Jingfan","non-dropping-particle":"","parse-names":false,"suffix":""},{"dropping-particle":"","family":"Weiner","given":"Eric","non-dropping-particle":"","parse-names":false,"suffix":""},{"dropping-particle":"","family":"Yachanin","given":"Alexander S.","non-dropping-particle":"","parse-names":false,"suffix":""}],"container-title":"Joule","id":"ITEM-1","issue":"1","issued":{"date-parts":[["2017","9","6"]]},"page":"108-121","publisher":"Cell Press","title":"100% clean and renewable wind, water, and sunlight all-sector energy roadmaps for 139 countries of the world","type":"article-journal","volume":"1"},"uris":["http://www.mendeley.com/documents/?uuid=fbfa97b2-0a84-3209-ae67-1797a90e137c"]}],"mendeley":{"formattedCitation":"(Jacobson &lt;i&gt;et al.&lt;/i&gt;, 2017)","manualFormatting":"Jacobson et al. (2017)","plainTextFormattedCitation":"(Jacobson et al., 2017)","previouslyFormattedCitation":"(Jacobson &lt;i&gt;et al.&lt;/i&gt;, 2017)"},"properties":{"noteIndex":0},"schema":"https://github.com/citation-style-language/schema/raw/master/csl-citation.json"}</w:instrText>
            </w:r>
            <w:r w:rsidRPr="00036BD6">
              <w:rPr>
                <w:rFonts w:ascii="Arial" w:hAnsi="Arial" w:cs="Arial"/>
                <w:color w:val="000000" w:themeColor="text1"/>
                <w:sz w:val="20"/>
                <w:szCs w:val="20"/>
              </w:rPr>
              <w:fldChar w:fldCharType="separate"/>
            </w:r>
            <w:r w:rsidRPr="00036BD6">
              <w:rPr>
                <w:rFonts w:ascii="Arial" w:hAnsi="Arial" w:cs="Arial"/>
                <w:b w:val="0"/>
                <w:bCs w:val="0"/>
                <w:noProof/>
                <w:color w:val="000000" w:themeColor="text1"/>
                <w:sz w:val="20"/>
                <w:szCs w:val="20"/>
              </w:rPr>
              <w:t xml:space="preserve">Jacobson </w:t>
            </w:r>
            <w:r w:rsidRPr="00036BD6">
              <w:rPr>
                <w:rFonts w:ascii="Arial" w:hAnsi="Arial" w:cs="Arial"/>
                <w:b w:val="0"/>
                <w:bCs w:val="0"/>
                <w:i/>
                <w:noProof/>
                <w:color w:val="000000" w:themeColor="text1"/>
                <w:sz w:val="20"/>
                <w:szCs w:val="20"/>
              </w:rPr>
              <w:t xml:space="preserve">et al. </w:t>
            </w:r>
            <w:r w:rsidRPr="00036BD6">
              <w:rPr>
                <w:rFonts w:ascii="Arial" w:hAnsi="Arial" w:cs="Arial"/>
                <w:b w:val="0"/>
                <w:bCs w:val="0"/>
                <w:noProof/>
                <w:color w:val="000000" w:themeColor="text1"/>
                <w:sz w:val="20"/>
                <w:szCs w:val="20"/>
              </w:rPr>
              <w:t>(2017)</w:t>
            </w:r>
            <w:r w:rsidRPr="00036BD6">
              <w:rPr>
                <w:rFonts w:ascii="Arial" w:hAnsi="Arial" w:cs="Arial"/>
                <w:color w:val="000000" w:themeColor="text1"/>
                <w:sz w:val="20"/>
                <w:szCs w:val="20"/>
              </w:rPr>
              <w:fldChar w:fldCharType="end"/>
            </w:r>
          </w:p>
        </w:tc>
        <w:tc>
          <w:tcPr>
            <w:tcW w:w="1794" w:type="dxa"/>
            <w:shd w:val="clear" w:color="auto" w:fill="auto"/>
            <w:noWrap/>
            <w:hideMark/>
          </w:tcPr>
          <w:p w14:paraId="43EE01D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1794" w:type="dxa"/>
            <w:shd w:val="clear" w:color="auto" w:fill="auto"/>
            <w:hideMark/>
          </w:tcPr>
          <w:p w14:paraId="1CC9AD2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3544" w:type="dxa"/>
            <w:shd w:val="clear" w:color="auto" w:fill="auto"/>
            <w:noWrap/>
            <w:hideMark/>
          </w:tcPr>
          <w:p w14:paraId="0003E040"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Renewable energy, </w:t>
            </w:r>
            <w:proofErr w:type="gramStart"/>
            <w:r w:rsidRPr="00F47DE9">
              <w:rPr>
                <w:rFonts w:ascii="Arial" w:hAnsi="Arial" w:cs="Arial"/>
                <w:sz w:val="20"/>
                <w:szCs w:val="20"/>
              </w:rPr>
              <w:t>transmission</w:t>
            </w:r>
            <w:proofErr w:type="gramEnd"/>
            <w:r w:rsidRPr="00F47DE9">
              <w:rPr>
                <w:rFonts w:ascii="Arial" w:hAnsi="Arial" w:cs="Arial"/>
                <w:sz w:val="20"/>
                <w:szCs w:val="20"/>
              </w:rPr>
              <w:t xml:space="preserve"> and distribution</w:t>
            </w:r>
          </w:p>
        </w:tc>
      </w:tr>
      <w:tr w:rsidR="00190C62" w:rsidRPr="00F47DE9" w14:paraId="1F42EFFD"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F77E23E" w14:textId="372D1B03"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{"citationItems":[{"id":"ITEM-1","itemData":{"DOI":"10.1016/J.APENERGY.2022.119178","ISSN":"0306-2619","abstract":"Energy transition towards carbon neutrality by 2050 in Japan will involve renewable energy development and a shift from fossil fuel energy. Investigating the domestic employment level in response to such energy transition and their implications of different decarbonization scenarios is urgently needed. We introduced the results from partial equilibrium (PE) integrated assessment models (IAMs), which provided a more comprehensive representation of power generation mix and capacity (based on a bottom-up modeling approach), to the input–output (IO) framework, which served as an efficient tool for mapping inter-sectoral transactions in the macroeconomy (based on a top-down modeling approach). By this approach, the uncertainties among different Japan national decarbonization scenarios can be investigated. We estimated the job creation in manufacturing sectors, construction sectors, electricity supply sectors, and all other sectors induced by the investment in the introduction of renewable energy capacity introduction and all power generation activities. The results show that: i) positive numbers in total job creation may occur in 2030 (e.g., under the default scenario reaching 80% emission reduction by 2050), as the job creation in the manufacture and construction of renewable related activities will exceed the job losses in mining, construction of thermal power, and thermal power generation activities; ii) however, such job creation will dramatically increase in 2050, leading to possible workforce shortages within Japan; iii) over 30% of the employment in non-electricity and manufacture sectors may be induced overseas in 2050. Compared with high renewable potential pathways, the long-term labor supply issues could be eased under low energy service demand pathways in Japan.","author":[{"dropping-particle":"","family":"Ju","given":"Yiyi","non-dropping-particle":"","parse-names":false,"suffix":""},{"dropping-particle":"","family":"Sugiyama","given":"Masahiro","non-dropping-particle":"","parse-names":false,"suffix":""},{"dropping-particle":"","family":"Kato","given":"Etsushi","non-dropping-particle":"","parse-names":false,"suffix":""},{"dropping-particle":"","family":"Oshiro","given":"Ken","non-dropping-particle":"","parse-names":false,"suffix":""},{"dropping-particle":"","family":"Wang","given":"Jiayang","non-dropping-particle":"","parse-names":false,"suffix":""}],"container-title":"Applied Energy","id":"ITEM-1","issued":{"date-parts":[["2022","7","15"]]},"page":"119178","publisher":"Elsevier","title":"Job creation in response to Japan’s energy transition towards deep mitigation: An extension of partial equilibrium integrated assessment models","type":"article-journal","volume":"318"},"uris":["http://www.mendeley.com/documents/?uuid=a84c9ade-89e1-32ad-bb54-74bb53b0cc73"]}],"mendeley":{"formattedCitation":"(Ju &lt;i&gt;et al.&lt;/i&gt;, 2022)","manualFormatting":"Ju et al. (2022)","plainTextFormattedCitation":"(Ju et al., 2022)","previouslyFormattedCitation":"(Ju &lt;i&gt;et al.&lt;/i&gt;, 2022)"},"properties":{"noteIndex":0},"schema":"https://github.com/citation-style-language/schema/raw/master/csl-citation.json"}</w:instrText>
            </w:r>
            <w:r>
              <w:rPr>
                <w:rFonts w:ascii="Arial" w:hAnsi="Arial" w:cs="Arial"/>
                <w:sz w:val="20"/>
                <w:szCs w:val="20"/>
              </w:rPr>
              <w:fldChar w:fldCharType="separate"/>
            </w:r>
            <w:r w:rsidRPr="0026697F">
              <w:rPr>
                <w:rFonts w:ascii="Arial" w:hAnsi="Arial" w:cs="Arial"/>
                <w:b w:val="0"/>
                <w:noProof/>
                <w:sz w:val="20"/>
                <w:szCs w:val="20"/>
              </w:rPr>
              <w:t xml:space="preserve">Ju </w:t>
            </w:r>
            <w:r w:rsidRPr="0026697F">
              <w:rPr>
                <w:rFonts w:ascii="Arial" w:hAnsi="Arial" w:cs="Arial"/>
                <w:b w:val="0"/>
                <w:i/>
                <w:noProof/>
                <w:sz w:val="20"/>
                <w:szCs w:val="20"/>
              </w:rPr>
              <w:t>et al.</w:t>
            </w:r>
            <w:r>
              <w:rPr>
                <w:rFonts w:ascii="Arial" w:hAnsi="Arial" w:cs="Arial"/>
                <w:b w:val="0"/>
                <w:noProof/>
                <w:sz w:val="20"/>
                <w:szCs w:val="20"/>
              </w:rPr>
              <w:t xml:space="preserve"> (</w:t>
            </w:r>
            <w:r w:rsidRPr="0026697F">
              <w:rPr>
                <w:rFonts w:ascii="Arial" w:hAnsi="Arial" w:cs="Arial"/>
                <w:b w:val="0"/>
                <w:noProof/>
                <w:sz w:val="20"/>
                <w:szCs w:val="20"/>
              </w:rPr>
              <w:t>2022)</w:t>
            </w:r>
            <w:r>
              <w:rPr>
                <w:rFonts w:ascii="Arial" w:hAnsi="Arial" w:cs="Arial"/>
                <w:sz w:val="20"/>
                <w:szCs w:val="20"/>
              </w:rPr>
              <w:fldChar w:fldCharType="end"/>
            </w:r>
          </w:p>
        </w:tc>
        <w:tc>
          <w:tcPr>
            <w:tcW w:w="1794" w:type="dxa"/>
            <w:shd w:val="clear" w:color="auto" w:fill="auto"/>
            <w:noWrap/>
            <w:hideMark/>
          </w:tcPr>
          <w:p w14:paraId="28625EF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Japan</w:t>
            </w:r>
          </w:p>
        </w:tc>
        <w:tc>
          <w:tcPr>
            <w:tcW w:w="1794" w:type="dxa"/>
            <w:shd w:val="clear" w:color="auto" w:fill="auto"/>
            <w:hideMark/>
          </w:tcPr>
          <w:p w14:paraId="60E233E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noWrap/>
            <w:hideMark/>
          </w:tcPr>
          <w:p w14:paraId="60EDD64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Power sector decarbonisation and renewables </w:t>
            </w:r>
          </w:p>
        </w:tc>
      </w:tr>
      <w:tr w:rsidR="00190C62" w:rsidRPr="00F47DE9" w14:paraId="3AB5C563"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D4CB894" w14:textId="51D27990"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10.3390/su7078748","ISSN":"2071-1050","author":[{"dropping-particle":"","family":"Jung","given":"Yeon-Mi","non-dropping-particle":"","parse-names":false,"suffix":""}],"container-title":"Sustainability","id":"ITEM-1","issue":"7","issued":{"date-parts":[["2015","7","6"]]},"title":"Is South Korea’s green job policy sustainable?","type":"article-journal","volume":"7"},"uris":["http://www.mendeley.com/documents/?uuid=63207e65-1b5d-3780-995f-4a12d5e92171"]}],"mendeley":{"formattedCitation":"(Jung, 2015)","manualFormatting":"Jung (2015)","plainTextFormattedCitation":"(Jung, 2015)","previouslyFormattedCitation":"(Jung, 2015)"},"properties":{"noteIndex":0},"schema":"https://github.com/citation-style-language/schema/raw/master/csl-citation.json"}</w:instrText>
            </w:r>
            <w:r>
              <w:rPr>
                <w:rFonts w:ascii="Arial" w:hAnsi="Arial" w:cs="Arial"/>
                <w:sz w:val="20"/>
                <w:szCs w:val="20"/>
              </w:rPr>
              <w:fldChar w:fldCharType="separate"/>
            </w:r>
            <w:r w:rsidRPr="0026697F">
              <w:rPr>
                <w:rFonts w:ascii="Arial" w:hAnsi="Arial" w:cs="Arial"/>
                <w:b w:val="0"/>
                <w:noProof/>
                <w:sz w:val="20"/>
                <w:szCs w:val="20"/>
              </w:rPr>
              <w:t>Jung</w:t>
            </w:r>
            <w:r>
              <w:rPr>
                <w:rFonts w:ascii="Arial" w:hAnsi="Arial" w:cs="Arial"/>
                <w:b w:val="0"/>
                <w:noProof/>
                <w:sz w:val="20"/>
                <w:szCs w:val="20"/>
              </w:rPr>
              <w:t xml:space="preserve"> (</w:t>
            </w:r>
            <w:r w:rsidRPr="0026697F">
              <w:rPr>
                <w:rFonts w:ascii="Arial" w:hAnsi="Arial" w:cs="Arial"/>
                <w:b w:val="0"/>
                <w:noProof/>
                <w:sz w:val="20"/>
                <w:szCs w:val="20"/>
              </w:rPr>
              <w:t>2015)</w:t>
            </w:r>
            <w:r>
              <w:rPr>
                <w:rFonts w:ascii="Arial" w:hAnsi="Arial" w:cs="Arial"/>
                <w:sz w:val="20"/>
                <w:szCs w:val="20"/>
              </w:rPr>
              <w:fldChar w:fldCharType="end"/>
            </w:r>
          </w:p>
        </w:tc>
        <w:tc>
          <w:tcPr>
            <w:tcW w:w="1794" w:type="dxa"/>
            <w:shd w:val="clear" w:color="auto" w:fill="auto"/>
            <w:noWrap/>
            <w:hideMark/>
          </w:tcPr>
          <w:p w14:paraId="12EE252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South Korea</w:t>
            </w:r>
          </w:p>
        </w:tc>
        <w:tc>
          <w:tcPr>
            <w:tcW w:w="1794" w:type="dxa"/>
            <w:shd w:val="clear" w:color="auto" w:fill="auto"/>
            <w:noWrap/>
            <w:hideMark/>
          </w:tcPr>
          <w:p w14:paraId="551335E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hideMark/>
          </w:tcPr>
          <w:p w14:paraId="5D08EE9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Green jobs including low carbon economy and energy efficiency</w:t>
            </w:r>
          </w:p>
        </w:tc>
      </w:tr>
      <w:tr w:rsidR="00190C62" w:rsidRPr="00F47DE9" w14:paraId="31BF6C7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3B3891D" w14:textId="60BCEBDF"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{"citationItems":[{"id":"ITEM-1","itemData":{"DOI":"10.1007/s10666-017-9580-4","ISSN":"1573-2967","abstract":"The French government has launched three separate calls for tender in July 2011, March 2013, and December 2016 to install 3.5 GW of offshore wind. In addition to contributing to the fulfillment of environmental commitments, the deployment of offshore wind energy is expected to be a lever for economic development. To assess gross economic impacts, mainly in terms of job creation, we built a regional input-output model of the wind farm off Saint-Brieuc located in the region of Brittany, north-western France. Our model indicates that the project will have positive effects on Brittany’s economy. In particular, during the investment phase, the wind farm is expected to lead to €0.38 M/year/MW of added value and 6.03 full-time equivalent (FTE) jobs/year/MW. During the operation and maintenance (O&amp;M) phase, the model predicts the generation of €0.15 M/year/MW of added value and 1.02 FTE jobs/year/MW. These results imply that the project will increase Brittany’s GDP slightly by 0.22 and 0.09% during the investment and O&amp;M phases, respectively. Results also show that out of total wealth created in France, 38 and 66% will be created in Brittany as well as 32 and 51% of employment during respectively investment and O&amp;M phases. A comparative analysis highlights in particular that economic impacts are generally stronger during the investment phase. It also demonstrates that the magnitude of economic impacts depends on the proportion of local industries in the supply chain. Policy implications of our model stress the need to revise the economic, technological, regulatory, and social frameworks within which the offshore wind industry currently operates in France to establish the conditions necessary for its development.","author":[{"dropping-particle":"","family":"Kahouli","given":"Sondès","non-dropping-particle":"","parse-names":false,"suffix":""},{"dropping-particle":"","family":"Martin","given":"Jean Christophe","non-dropping-particle":"","parse-names":false,"suffix":""}],"container-title":"Environmental Modeling &amp; Assessment","id":"ITEM-1","issue":"3","issued":{"date-parts":[["2018"]]},"page":"203-227","title":"Can Offshore Wind Energy Be a Lever for Job Creation in France? Some Insights from a Local Case Study","type":"article-journal","volume":"23"},"uris":["http://www.mendeley.com/documents/?uuid=f46b7564-8c49-4811-a5ee-042104e7db3e"]}],"mendeley":{"formattedCitation":"(Kahouli and Martin, 2018)","plainTextFormattedCitation":"(Kahouli and Martin, 2018)","previouslyFormattedCitation":"(Kahouli and Martin, 2018)"},"properties":{"noteIndex":0},"schema":"https://github.com/citation-style-language/schema/raw/master/csl-citation.json"}</w:instrText>
            </w:r>
            <w:r>
              <w:rPr>
                <w:rFonts w:ascii="Arial" w:hAnsi="Arial" w:cs="Arial"/>
                <w:sz w:val="20"/>
                <w:szCs w:val="20"/>
              </w:rPr>
              <w:fldChar w:fldCharType="separate"/>
            </w:r>
            <w:r w:rsidRPr="00914574">
              <w:rPr>
                <w:rFonts w:ascii="Arial" w:hAnsi="Arial" w:cs="Arial"/>
                <w:b w:val="0"/>
                <w:noProof/>
                <w:sz w:val="20"/>
                <w:szCs w:val="20"/>
              </w:rPr>
              <w:t>Kahouli and Martin</w:t>
            </w:r>
            <w:r>
              <w:rPr>
                <w:rFonts w:ascii="Arial" w:hAnsi="Arial" w:cs="Arial"/>
                <w:b w:val="0"/>
                <w:noProof/>
                <w:sz w:val="20"/>
                <w:szCs w:val="20"/>
              </w:rPr>
              <w:t xml:space="preserve"> (</w:t>
            </w:r>
            <w:r w:rsidRPr="00914574">
              <w:rPr>
                <w:rFonts w:ascii="Arial" w:hAnsi="Arial" w:cs="Arial"/>
                <w:b w:val="0"/>
                <w:noProof/>
                <w:sz w:val="20"/>
                <w:szCs w:val="20"/>
              </w:rPr>
              <w:t>2018)</w:t>
            </w:r>
            <w:r>
              <w:rPr>
                <w:rFonts w:ascii="Arial" w:hAnsi="Arial" w:cs="Arial"/>
                <w:sz w:val="20"/>
                <w:szCs w:val="20"/>
              </w:rPr>
              <w:fldChar w:fldCharType="end"/>
            </w:r>
          </w:p>
        </w:tc>
        <w:tc>
          <w:tcPr>
            <w:tcW w:w="1794" w:type="dxa"/>
            <w:shd w:val="clear" w:color="auto" w:fill="auto"/>
            <w:noWrap/>
            <w:hideMark/>
          </w:tcPr>
          <w:p w14:paraId="6ACF2AB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Brittany / France</w:t>
            </w:r>
          </w:p>
        </w:tc>
        <w:tc>
          <w:tcPr>
            <w:tcW w:w="1794" w:type="dxa"/>
            <w:shd w:val="clear" w:color="auto" w:fill="auto"/>
            <w:hideMark/>
          </w:tcPr>
          <w:p w14:paraId="28A771D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noWrap/>
            <w:hideMark/>
          </w:tcPr>
          <w:p w14:paraId="3AC8505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Wind power  </w:t>
            </w:r>
          </w:p>
        </w:tc>
      </w:tr>
      <w:tr w:rsidR="00190C62" w:rsidRPr="00F47DE9" w14:paraId="5E9E3A91"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395FB59" w14:textId="722311AD"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{"citationItems":[{"id":"ITEM-1","itemData":{"DOI":"10.1016/j.seta.2018.08.003","ISSN":"22131388","abstract":"For many countries, the leading energy system decarbonisation strategy is to decrease reliance on imported fossil-fuel by developing renewable electricity. This paper offers insights on the net effects of transition to low fossil-based electricity by adapting an input-output (I-O) substitution model. Firstly, it addresses a common challenge with national I-O tables, namely how to isolate figures for inhomogeneous products like ‘electricity’ and ‘gas’ aggregated into one sector for a case study of Ireland. Secondly, it applies an extended I-O model to compare the net impacts on energy and non-energy sectors when substituting imported fossil fuels for electricity with renewable resources. Within the framework of the I-O model, for each 1% GHG reduction of the gas substitution scenario, there are increases of 26.2 net jobs and €5.1 m net value-added. These impacts are lower by 73–78% for coal substitution scenarios. Without taking account of the lost jobs and value-added from the economy, the job creations and value-added of renewable electricity would be overestimated by 17%–35% and 25%–50%, respectively. As well as giving insights into the net benefits of renewable electricity, the study provides techniques that could be applied to I-O tables for other jurisdictions to enable improved analysis of energy scenarios.","author":[{"dropping-particle":"","family":"Kamidelivand","given":"Mitra","non-dropping-particle":"","parse-names":false,"suffix":""},{"dropping-particle":"","family":"Cahill","given":"Caiman","non-dropping-particle":"","parse-names":false,"suffix":""},{"dropping-particle":"","family":"Llop","given":"Maria","non-dropping-particle":"","parse-names":false,"suffix":""},{"dropping-particle":"","family":"Rogan","given":"Fionn","non-dropping-particle":"","parse-names":false,"suffix":""},{"dropping-particle":"","family":"O'Gallachoir","given":"Brian","non-dropping-particle":"","parse-names":false,"suffix":""}],"container-title":"Sustainable Energy Technologies and Assessments","id":"ITEM-1","issued":{"date-parts":[["2018","12","1"]]},"page":"1-10","publisher":"Elsevier Ltd","title":"A comparative analysis of substituting imported gas and coal for electricity with renewables – An input-output simulation","type":"article-journal","volume":"30"},"uris":["http://www.mendeley.com/documents/?uuid=81f45dac-9a75-3097-ad92-d341ca698b84"]}],"mendeley":{"formattedCitation":"(Kamidelivand &lt;i&gt;et al.&lt;/i&gt;, 2018)","manualFormatting":"Kamidelivand et al. (2018)","plainTextFormattedCitation":"(Kamidelivand et al., 2018)","previouslyFormattedCitation":"(Kamidelivand &lt;i&gt;et al.&lt;/i&gt;, 2018)"},"properties":{"noteIndex":0},"schema":"https://github.com/citation-style-language/schema/raw/master/csl-citation.json"}</w:instrText>
            </w:r>
            <w:r>
              <w:rPr>
                <w:rFonts w:ascii="Arial" w:hAnsi="Arial" w:cs="Arial"/>
                <w:sz w:val="20"/>
                <w:szCs w:val="20"/>
              </w:rPr>
              <w:fldChar w:fldCharType="separate"/>
            </w:r>
            <w:r w:rsidRPr="0026697F">
              <w:rPr>
                <w:rFonts w:ascii="Arial" w:hAnsi="Arial" w:cs="Arial"/>
                <w:b w:val="0"/>
                <w:noProof/>
                <w:sz w:val="20"/>
                <w:szCs w:val="20"/>
              </w:rPr>
              <w:t xml:space="preserve">Kamidelivand </w:t>
            </w:r>
            <w:r w:rsidRPr="0026697F">
              <w:rPr>
                <w:rFonts w:ascii="Arial" w:hAnsi="Arial" w:cs="Arial"/>
                <w:b w:val="0"/>
                <w:i/>
                <w:noProof/>
                <w:sz w:val="20"/>
                <w:szCs w:val="20"/>
              </w:rPr>
              <w:t>et al.</w:t>
            </w:r>
            <w:r>
              <w:rPr>
                <w:rFonts w:ascii="Arial" w:hAnsi="Arial" w:cs="Arial"/>
                <w:b w:val="0"/>
                <w:noProof/>
                <w:sz w:val="20"/>
                <w:szCs w:val="20"/>
              </w:rPr>
              <w:t xml:space="preserve"> (</w:t>
            </w:r>
            <w:r w:rsidRPr="0026697F">
              <w:rPr>
                <w:rFonts w:ascii="Arial" w:hAnsi="Arial" w:cs="Arial"/>
                <w:b w:val="0"/>
                <w:noProof/>
                <w:sz w:val="20"/>
                <w:szCs w:val="20"/>
              </w:rPr>
              <w:t>2018)</w:t>
            </w:r>
            <w:r>
              <w:rPr>
                <w:rFonts w:ascii="Arial" w:hAnsi="Arial" w:cs="Arial"/>
                <w:sz w:val="20"/>
                <w:szCs w:val="20"/>
              </w:rPr>
              <w:fldChar w:fldCharType="end"/>
            </w:r>
          </w:p>
        </w:tc>
        <w:tc>
          <w:tcPr>
            <w:tcW w:w="1794" w:type="dxa"/>
            <w:shd w:val="clear" w:color="auto" w:fill="auto"/>
            <w:noWrap/>
            <w:hideMark/>
          </w:tcPr>
          <w:p w14:paraId="391A99B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Ireland</w:t>
            </w:r>
          </w:p>
        </w:tc>
        <w:tc>
          <w:tcPr>
            <w:tcW w:w="1794" w:type="dxa"/>
            <w:shd w:val="clear" w:color="auto" w:fill="auto"/>
            <w:noWrap/>
            <w:hideMark/>
          </w:tcPr>
          <w:p w14:paraId="4C87237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noWrap/>
            <w:hideMark/>
          </w:tcPr>
          <w:p w14:paraId="7767A7D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316183E5"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5F3BED6" w14:textId="23811A3E"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{"citationItems":[{"id":"ITEM-1","itemData":{"DOI":"10.1016/J.ENPOL.2018.05.033","ISSN":"0301-4215","abstract":"Shifting to a low-carbon electricity future requires up-to-date information on the energetic, environmental and socio-economic performance of technologies. Here, we present a novel comprehensive bottom-up process chain framework that is applied to 19 electricity generation technologies, consistently incorporating 12 life-cycle phases from extraction to decommissioning. For each life-cycle phase of each technology the following 4 key metrics were assessed: material consumption, energy return ratios, job requirements and greenhouse gas emissions. We also calculate a novel global electricity to grid average for these metrics and present a metric variability analysis by altering transport distance, load factors, efficiency, and fuel density per technology. This work quantitatively supports model-to-policy frameworks that drive technology selection and investment based on energetic-economic viability, job creation and carbon emission reduction of technologies. The results suggest energetic-economic infeasibility of electricity generation networks with substantial shares of: i) liquefied natural gas transport, ii) long distance transport based hard and brown coal and pipeline natural gas, and iii) low-load factor solar-photovoltaic, concentrated solar power, onshore and offshore wind. Direct sector jobs can be expected to double in renewable-majority scenarios. All combustion-powered technologies without natural (biomass) or artificial carbon capture (fossil fuels) are not compatible with a low carbon electricity generation future.","author":[{"dropping-particle":"","family":"Kis","given":"Zoltán","non-dropping-particle":"","parse-names":false,"suffix":""},{"dropping-particle":"","family":"Pandya","given":"Nikul","non-dropping-particle":"","parse-names":false,"suffix":""},{"dropping-particle":"","family":"Koppelaar","given":"Rembrandt H.E.M.","non-dropping-particle":"","parse-names":false,"suffix":""}],"container-title":"Energy Policy","id":"ITEM-1","issued":{"date-parts":[["2018","9","1"]]},"page":"144-157","publisher":"Elsevier","title":"Electricity generation technologies: Comparison of materials use, energy return on investment, jobs creation and CO2 emissions reduction","type":"article-journal","volume":"120"},"uris":["http://www.mendeley.com/documents/?uuid=bb9780d1-edfa-3480-8c71-502111dbd2f7"]}],"mendeley":{"formattedCitation":"(Kis, Pandya and Koppelaar, 2018)","manualFormatting":"Kis, Pandya and Koppelaar (2018)","plainTextFormattedCitation":"(Kis, Pandya and Koppelaar, 2018)","previouslyFormattedCitation":"(Kis, Pandya and Koppelaar, 2018)"},"properties":{"noteIndex":0},"schema":"https://github.com/citation-style-language/schema/raw/master/csl-citation.json"}</w:instrText>
            </w:r>
            <w:r>
              <w:rPr>
                <w:rFonts w:ascii="Arial" w:hAnsi="Arial" w:cs="Arial"/>
                <w:sz w:val="20"/>
                <w:szCs w:val="20"/>
              </w:rPr>
              <w:fldChar w:fldCharType="separate"/>
            </w:r>
            <w:r w:rsidRPr="0026697F">
              <w:rPr>
                <w:rFonts w:ascii="Arial" w:hAnsi="Arial" w:cs="Arial"/>
                <w:b w:val="0"/>
                <w:noProof/>
                <w:sz w:val="20"/>
                <w:szCs w:val="20"/>
              </w:rPr>
              <w:t>Kis, Pandya and Koppelaar</w:t>
            </w:r>
            <w:r>
              <w:rPr>
                <w:rFonts w:ascii="Arial" w:hAnsi="Arial" w:cs="Arial"/>
                <w:b w:val="0"/>
                <w:noProof/>
                <w:sz w:val="20"/>
                <w:szCs w:val="20"/>
              </w:rPr>
              <w:t xml:space="preserve"> (</w:t>
            </w:r>
            <w:r w:rsidRPr="0026697F">
              <w:rPr>
                <w:rFonts w:ascii="Arial" w:hAnsi="Arial" w:cs="Arial"/>
                <w:b w:val="0"/>
                <w:noProof/>
                <w:sz w:val="20"/>
                <w:szCs w:val="20"/>
              </w:rPr>
              <w:t>2018)</w:t>
            </w:r>
            <w:r>
              <w:rPr>
                <w:rFonts w:ascii="Arial" w:hAnsi="Arial" w:cs="Arial"/>
                <w:sz w:val="20"/>
                <w:szCs w:val="20"/>
              </w:rPr>
              <w:fldChar w:fldCharType="end"/>
            </w:r>
          </w:p>
        </w:tc>
        <w:tc>
          <w:tcPr>
            <w:tcW w:w="1794" w:type="dxa"/>
            <w:shd w:val="clear" w:color="auto" w:fill="auto"/>
            <w:noWrap/>
            <w:hideMark/>
          </w:tcPr>
          <w:p w14:paraId="7B4C283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1794" w:type="dxa"/>
            <w:shd w:val="clear" w:color="auto" w:fill="auto"/>
            <w:hideMark/>
          </w:tcPr>
          <w:p w14:paraId="33B062D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3544" w:type="dxa"/>
            <w:shd w:val="clear" w:color="auto" w:fill="auto"/>
            <w:noWrap/>
            <w:hideMark/>
          </w:tcPr>
          <w:p w14:paraId="10CD5C7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Electricity generation</w:t>
            </w:r>
          </w:p>
        </w:tc>
      </w:tr>
      <w:tr w:rsidR="00190C62" w:rsidRPr="00F47DE9" w14:paraId="7F384381"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F9C54F2" w14:textId="1D21A645"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{"citationItems":[{"id":"ITEM-1","itemData":{"DOI":"10.1016/J.ENPOL.2015.01.007","ISSN":"0301-4215","abstract":"Sustainable energy decision-making requires comparing energy options across a wide range of economic, environmental, social and technical implications. However, such comparisons based on quantitative data are currently limited at the national level. This is the first comparison of 13 currently operational renewable and non-renewable options for new US electricity generation using multi-criteria decision analysis with quantitative input values (minimum, nominal, and maximum) for 8 sustainability criteria (levelized cost of energy, life cycle greenhouse gas and criteria air pollutant emissions, land and water use, accident-related fatalities, jobs, and annual capacity factor) and 10 representative decision-maker preference scenarios. Results across several preference scenarios indicate that biopower and geothermal (flash and binary) currently score highest in sustainability for the US. Other renewable energy technologies generally offer substantial sustainability improvements over fossil fuel or nuclear technologies, and nuclear is preferable to fossil fuels in most scenarios. The relatively low ranking of natural gas combined cycle in most preference scenarios should encourage caution in adopting NGCC as a \"bridge\" to renewables. Although NGCC ranks high under economic and technical preference scenarios, renewables actually rank higher in both scenarios (hydro - economic; geothermal and biopower - technical).","author":[{"dropping-particle":"","family":"Klein","given":"Sharon J.W.","non-dropping-particle":"","parse-names":false,"suffix":""},{"dropping-particle":"","family":"Whalley","given":"Stephanie","non-dropping-particle":"","parse-names":false,"suffix":""}],"container-title":"Energy Policy","id":"ITEM-1","issued":{"date-parts":[["2015","4","1"]]},"page":"127-149","publisher":"Elsevier","title":"Comparing the sustainability of U.S. electricity options through multi-criteria decision analysis","type":"article-journal","volume":"79"},"uris":["http://www.mendeley.com/documents/?uuid=5ed5526a-55f2-3089-ba6d-93a80d642e14"]}],"mendeley":{"formattedCitation":"(Klein and Whalley, 2015)","plainTextFormattedCitation":"(Klein and Whalley, 2015)","previouslyFormattedCitation":"(Klein and Whalley, 2015)"},"properties":{"noteIndex":0},"schema":"https://github.com/citation-style-language/schema/raw/master/csl-citation.json"}</w:instrText>
            </w:r>
            <w:r>
              <w:rPr>
                <w:rFonts w:ascii="Arial" w:hAnsi="Arial" w:cs="Arial"/>
                <w:sz w:val="20"/>
                <w:szCs w:val="20"/>
              </w:rPr>
              <w:fldChar w:fldCharType="separate"/>
            </w:r>
            <w:r w:rsidRPr="00914574">
              <w:rPr>
                <w:rFonts w:ascii="Arial" w:hAnsi="Arial" w:cs="Arial"/>
                <w:b w:val="0"/>
                <w:noProof/>
                <w:sz w:val="20"/>
                <w:szCs w:val="20"/>
              </w:rPr>
              <w:t>Klein and Whalley</w:t>
            </w:r>
            <w:r>
              <w:rPr>
                <w:rFonts w:ascii="Arial" w:hAnsi="Arial" w:cs="Arial"/>
                <w:b w:val="0"/>
                <w:noProof/>
                <w:sz w:val="20"/>
                <w:szCs w:val="20"/>
              </w:rPr>
              <w:t xml:space="preserve"> (</w:t>
            </w:r>
            <w:r w:rsidRPr="00914574">
              <w:rPr>
                <w:rFonts w:ascii="Arial" w:hAnsi="Arial" w:cs="Arial"/>
                <w:b w:val="0"/>
                <w:noProof/>
                <w:sz w:val="20"/>
                <w:szCs w:val="20"/>
              </w:rPr>
              <w:t>2015)</w:t>
            </w:r>
            <w:r>
              <w:rPr>
                <w:rFonts w:ascii="Arial" w:hAnsi="Arial" w:cs="Arial"/>
                <w:sz w:val="20"/>
                <w:szCs w:val="20"/>
              </w:rPr>
              <w:fldChar w:fldCharType="end"/>
            </w:r>
          </w:p>
        </w:tc>
        <w:tc>
          <w:tcPr>
            <w:tcW w:w="1794" w:type="dxa"/>
            <w:shd w:val="clear" w:color="auto" w:fill="auto"/>
            <w:noWrap/>
            <w:hideMark/>
          </w:tcPr>
          <w:p w14:paraId="56B89BB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US</w:t>
            </w:r>
          </w:p>
        </w:tc>
        <w:tc>
          <w:tcPr>
            <w:tcW w:w="1794" w:type="dxa"/>
            <w:shd w:val="clear" w:color="auto" w:fill="auto"/>
            <w:hideMark/>
          </w:tcPr>
          <w:p w14:paraId="0339BEA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noWrap/>
            <w:hideMark/>
          </w:tcPr>
          <w:p w14:paraId="5953CEF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Electricity generation including renewables, fossil fuels and nuclear</w:t>
            </w:r>
          </w:p>
        </w:tc>
      </w:tr>
      <w:tr w:rsidR="00190C62" w:rsidRPr="00F47DE9" w14:paraId="103B84F9"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2645249" w14:textId="0B2397E3"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{"citationItems":[{"id":"ITEM-1","itemData":{"DOI":"10.1016/J.RSER.2020.110610","ISSN":"1364-0321","abstract":"“Just Transition” is an important, brand new concept to implement policies towards decarbonisation of the power sector in Japan. However, a knowledge gap still remains between this concept and policy discussion at a practical level. Therefore, using the existing scenarios of decarbonisation of the power sector and employment factors for the power sector based on extended input-output tables, this study analysed “Just Transition” issues, looking at the concept from three aspects: distributional justice to identify key impacts by location and economic sector; recognition justice to assess key inequalities; and procedural justice which deal with fair process and possible measures to enhance acceptability of climate policies. The results of this study show that achieving decarbonisation of the power sector provides a net increase in domestic employment and supplies stable jobs in rural areas, thereby contributing to the revitalisation of the local economy. Furthermore, it improves inequalities in the working age population. Support from either national or local government is required to ensure a workforce is in place to enable a rapid increase in renewable energy. To achieve decarbonisation of the power sector with high political acceptability, it is essential to make early decision on the retirement of conventional power plants and to implement policy support for the surplus workers from conventional power plants.","author":[{"dropping-particle":"","family":"Kuriyama","given":"Akihisa","non-dropping-particle":"","parse-names":false,"suffix":""},{"dropping-particle":"","family":"Abe","given":"Naoya","non-dropping-particle":"","parse-names":false,"suffix":""}],"container-title":"Renewable and Sustainable Energy Reviews","id":"ITEM-1","issued":{"date-parts":[["2021","3","1"]]},"page":"110610","publisher":"Pergamon","title":"Decarbonisation of the power sector to engender a ‘Just transition’ in Japan: Quantifying local employment impacts","type":"article-journal","volume":"137"},"uris":["http://www.mendeley.com/documents/?uuid=f546ba83-fa82-34e3-a44c-f2d9981d4ffc"]}],"mendeley":{"formattedCitation":"(Kuriyama and Abe, 2021)","manualFormatting":"Kuriyama and Abe (2021)","plainTextFormattedCitation":"(Kuriyama and Abe, 2021)","previouslyFormattedCitation":"(Kuriyama and Abe, 2021)"},"properties":{"noteIndex":0},"schema":"https://github.com/citation-style-language/schema/raw/master/csl-citation.json"}</w:instrText>
            </w:r>
            <w:r>
              <w:rPr>
                <w:rFonts w:ascii="Arial" w:hAnsi="Arial" w:cs="Arial"/>
                <w:sz w:val="20"/>
                <w:szCs w:val="20"/>
              </w:rPr>
              <w:fldChar w:fldCharType="separate"/>
            </w:r>
            <w:r w:rsidRPr="0026697F">
              <w:rPr>
                <w:rFonts w:ascii="Arial" w:hAnsi="Arial" w:cs="Arial"/>
                <w:b w:val="0"/>
                <w:noProof/>
                <w:sz w:val="20"/>
                <w:szCs w:val="20"/>
              </w:rPr>
              <w:t>Kuriyama and Abe</w:t>
            </w:r>
            <w:r>
              <w:rPr>
                <w:rFonts w:ascii="Arial" w:hAnsi="Arial" w:cs="Arial"/>
                <w:b w:val="0"/>
                <w:noProof/>
                <w:sz w:val="20"/>
                <w:szCs w:val="20"/>
              </w:rPr>
              <w:t xml:space="preserve"> (</w:t>
            </w:r>
            <w:r w:rsidRPr="0026697F">
              <w:rPr>
                <w:rFonts w:ascii="Arial" w:hAnsi="Arial" w:cs="Arial"/>
                <w:b w:val="0"/>
                <w:noProof/>
                <w:sz w:val="20"/>
                <w:szCs w:val="20"/>
              </w:rPr>
              <w:t>2021)</w:t>
            </w:r>
            <w:r>
              <w:rPr>
                <w:rFonts w:ascii="Arial" w:hAnsi="Arial" w:cs="Arial"/>
                <w:sz w:val="20"/>
                <w:szCs w:val="20"/>
              </w:rPr>
              <w:fldChar w:fldCharType="end"/>
            </w:r>
          </w:p>
        </w:tc>
        <w:tc>
          <w:tcPr>
            <w:tcW w:w="1794" w:type="dxa"/>
            <w:shd w:val="clear" w:color="auto" w:fill="auto"/>
            <w:hideMark/>
          </w:tcPr>
          <w:p w14:paraId="5F4EC4C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Japan</w:t>
            </w:r>
          </w:p>
        </w:tc>
        <w:tc>
          <w:tcPr>
            <w:tcW w:w="1794" w:type="dxa"/>
            <w:shd w:val="clear" w:color="auto" w:fill="auto"/>
            <w:hideMark/>
          </w:tcPr>
          <w:p w14:paraId="6BDF6120"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hideMark/>
          </w:tcPr>
          <w:p w14:paraId="739E053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Power sector decarbonisation using renewable energy</w:t>
            </w:r>
          </w:p>
        </w:tc>
      </w:tr>
      <w:tr w:rsidR="00190C62" w:rsidRPr="00F47DE9" w14:paraId="6E4E8888"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7404210" w14:textId="1A2A841D" w:rsidR="00190C62" w:rsidRPr="004A07C7" w:rsidRDefault="00190C62" w:rsidP="00190C62">
            <w:pPr>
              <w:rPr>
                <w:rFonts w:ascii="Arial" w:hAnsi="Arial" w:cs="Arial"/>
                <w:b w:val="0"/>
                <w:bCs w:val="0"/>
                <w:sz w:val="20"/>
                <w:szCs w:val="20"/>
              </w:rPr>
            </w:pPr>
            <w:r w:rsidRPr="004A07C7">
              <w:rPr>
                <w:rFonts w:ascii="Arial" w:hAnsi="Arial" w:cs="Arial"/>
                <w:sz w:val="20"/>
                <w:szCs w:val="20"/>
              </w:rPr>
              <w:fldChar w:fldCharType="begin" w:fldLock="1"/>
            </w:r>
            <w:r w:rsidRPr="004A07C7">
              <w:rPr>
                <w:rFonts w:ascii="Arial" w:hAnsi="Arial" w:cs="Arial"/>
                <w:b w:val="0"/>
                <w:bCs w:val="0"/>
                <w:sz w:val="20"/>
                <w:szCs w:val="20"/>
              </w:rPr>
              <w:instrText>ADDIN CSL_CITATION {"citationItems":[{"id":"ITEM-1","itemData":{"DOI":"10.1016/J.RSER.2012.03.072","ISSN":"1364-0321","abstract":"The benefits of promoting renewable energy are regularly claimed to be energy security, climate change mitigation and job creation. While the first two benefits are generally accepted, the impact of renewable energy on employment is still disputed. This paper presents a discussion of the various factors that influence the analysis of renewable energy and its impact on employment. The advantages and disadvantages of input-output methods and analysis methods are discussed as well as the issues surrounding the measurement of job creation. A critical evaluation of the literature reveals factors that should be considered when completing a study about renewable energy and employment: labour intensity of renewables; cost increases and availability of investments; counting job losses; job quality and skills, model assumptions and sources of information. Analytical studies using extensive surveys were found to be more appropriate for regional studies while input-output methods were better suited to national and international studies. © 2012 Elsevier Ltd. All rights reserved.","author":[{"dropping-particle":"","family":"Lambert","given":"Rosebud Jasmine","non-dropping-particle":"","parse-names":false,"suffix":""},{"dropping-particle":"","family":"Silva","given":"Patrícia Pereira","non-dropping-particle":"","parse-names":false,"suffix":""}],"container-title":"Renewable and Sustainable Energy Reviews","id":"ITEM-1","issue":"7","issued":{"date-parts":[["2012","9","1"]]},"page":"4667-4674","publisher":"Pergamon","title":"The challenges of determining the employment effects of renewable energy","type":"article-journal","volume":"16"},"uris":["http://www.mendeley.com/documents/?uuid=029db6d7-6137-331c-b5f1-411fde853558"]}],"mendeley":{"formattedCitation":"(Lambert and Silva, 2012)","manualFormatting":"Lambert and Silva (2012)","plainTextFormattedCitation":"(Lambert and Silva, 2012)","previouslyFormattedCitation":"(Lambert and Silva, 2012)"},"properties":{"noteIndex":0},"schema":"https://github.com/citation-style-language/schema/raw/master/csl-citation.json"}</w:instrText>
            </w:r>
            <w:r w:rsidRPr="004A07C7">
              <w:rPr>
                <w:rFonts w:ascii="Arial" w:hAnsi="Arial" w:cs="Arial"/>
                <w:sz w:val="20"/>
                <w:szCs w:val="20"/>
              </w:rPr>
              <w:fldChar w:fldCharType="separate"/>
            </w:r>
            <w:r w:rsidRPr="004A07C7">
              <w:rPr>
                <w:rFonts w:ascii="Arial" w:hAnsi="Arial" w:cs="Arial"/>
                <w:b w:val="0"/>
                <w:bCs w:val="0"/>
                <w:noProof/>
                <w:sz w:val="20"/>
                <w:szCs w:val="20"/>
              </w:rPr>
              <w:t>Lambert and Silva (2012)</w:t>
            </w:r>
            <w:r w:rsidRPr="004A07C7">
              <w:rPr>
                <w:rFonts w:ascii="Arial" w:hAnsi="Arial" w:cs="Arial"/>
                <w:sz w:val="20"/>
                <w:szCs w:val="20"/>
              </w:rPr>
              <w:fldChar w:fldCharType="end"/>
            </w:r>
          </w:p>
        </w:tc>
        <w:tc>
          <w:tcPr>
            <w:tcW w:w="1794" w:type="dxa"/>
            <w:shd w:val="clear" w:color="auto" w:fill="auto"/>
            <w:noWrap/>
          </w:tcPr>
          <w:p w14:paraId="3FFE6D55" w14:textId="4869FDF9"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04D38">
              <w:rPr>
                <w:rFonts w:ascii="Arial" w:hAnsi="Arial" w:cs="Arial"/>
                <w:sz w:val="18"/>
                <w:szCs w:val="18"/>
              </w:rPr>
              <w:t>US and Europe</w:t>
            </w:r>
          </w:p>
        </w:tc>
        <w:tc>
          <w:tcPr>
            <w:tcW w:w="1794" w:type="dxa"/>
            <w:shd w:val="clear" w:color="auto" w:fill="auto"/>
          </w:tcPr>
          <w:p w14:paraId="1EB537D0" w14:textId="360690B4"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noWrap/>
          </w:tcPr>
          <w:p w14:paraId="292AE98D" w14:textId="65DC6734"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Electricity generation including renewables</w:t>
            </w:r>
            <w:r>
              <w:rPr>
                <w:rFonts w:ascii="Arial" w:hAnsi="Arial" w:cs="Arial"/>
                <w:sz w:val="20"/>
                <w:szCs w:val="20"/>
              </w:rPr>
              <w:t xml:space="preserve"> and </w:t>
            </w:r>
            <w:r w:rsidRPr="00F47DE9">
              <w:rPr>
                <w:rFonts w:ascii="Arial" w:hAnsi="Arial" w:cs="Arial"/>
                <w:sz w:val="20"/>
                <w:szCs w:val="20"/>
              </w:rPr>
              <w:t>fossil fuels</w:t>
            </w:r>
          </w:p>
        </w:tc>
      </w:tr>
      <w:tr w:rsidR="00190C62" w:rsidRPr="00F47DE9" w14:paraId="52479902"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A6294AE" w14:textId="6203EF01"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{"citationItems":[{"id":"ITEM-1","itemData":{"DOI":"10.1016/J.RENENE.2018.09.007","ISSN":"0960-1481","abstract":"The study quantifies socio-economic benefits by the integration of wave energy in Greece, through resource examination, availability and deployment considerations. Greece has a large number of inhabited islands that mostly utilise conventional fuels for power generation, inclusion of wave energy will contribute both in terms of energy independence but also in job creation. The Greek region is often overlooked, due to its lower resources, but through proper converter selection energy benefits can be significant. Furthermore, milder resources offer opportunities for capital expenditure reductions, hence reducing cost of device and energy. Scenarios consider technological maturity, legislation, and resource potential to quantify future cumulative installations that can be developed. If a wave energy converter (WEC) is selected properly, accounting for climate variability and persistence, currently several WEC designs can operate at capacity factors near at from 20%. Based on a resource and availability assessment, the learning rates from an incremental approach are more suitable and allow cost reductions. Job creation targets island regions where majority of exploitable resource is located and can provide up to 1400 direct jobs. Adaptation of wave energy by Greece has the potential to offer major technological, energy and employment benefits.","author":[{"dropping-particle":"","family":"Lavidas","given":"George","non-dropping-particle":"","parse-names":false,"suffix":""}],"container-title":"Renewable Energy","id":"ITEM-1","issued":{"date-parts":[["2019","3","1"]]},"page":"1290-1300","publisher":"Pergamon","title":"Energy and socio-economic benefits from the development of wave energy in Greece","type":"article-journal","volume":"132"},"uris":["http://www.mendeley.com/documents/?uuid=b7805526-f5fe-3789-9bb5-957e162b06e2"]}],"mendeley":{"formattedCitation":"(Lavidas, 2019)","plainTextFormattedCitation":"(Lavidas, 2019)","previouslyFormattedCitation":"(Lavidas, 2019)"},"properties":{"noteIndex":0},"schema":"https://github.com/citation-style-language/schema/raw/master/csl-citation.json"}</w:instrText>
            </w:r>
            <w:r>
              <w:rPr>
                <w:rFonts w:ascii="Arial" w:hAnsi="Arial" w:cs="Arial"/>
                <w:sz w:val="20"/>
                <w:szCs w:val="20"/>
              </w:rPr>
              <w:fldChar w:fldCharType="separate"/>
            </w:r>
            <w:r w:rsidRPr="00914574">
              <w:rPr>
                <w:rFonts w:ascii="Arial" w:hAnsi="Arial" w:cs="Arial"/>
                <w:b w:val="0"/>
                <w:noProof/>
                <w:sz w:val="20"/>
                <w:szCs w:val="20"/>
              </w:rPr>
              <w:t>Lavidas</w:t>
            </w:r>
            <w:r>
              <w:rPr>
                <w:rFonts w:ascii="Arial" w:hAnsi="Arial" w:cs="Arial"/>
                <w:b w:val="0"/>
                <w:noProof/>
                <w:sz w:val="20"/>
                <w:szCs w:val="20"/>
              </w:rPr>
              <w:t xml:space="preserve"> (</w:t>
            </w:r>
            <w:r w:rsidRPr="00914574">
              <w:rPr>
                <w:rFonts w:ascii="Arial" w:hAnsi="Arial" w:cs="Arial"/>
                <w:b w:val="0"/>
                <w:noProof/>
                <w:sz w:val="20"/>
                <w:szCs w:val="20"/>
              </w:rPr>
              <w:t>2019)</w:t>
            </w:r>
            <w:r>
              <w:rPr>
                <w:rFonts w:ascii="Arial" w:hAnsi="Arial" w:cs="Arial"/>
                <w:sz w:val="20"/>
                <w:szCs w:val="20"/>
              </w:rPr>
              <w:fldChar w:fldCharType="end"/>
            </w:r>
          </w:p>
        </w:tc>
        <w:tc>
          <w:tcPr>
            <w:tcW w:w="1794" w:type="dxa"/>
            <w:shd w:val="clear" w:color="auto" w:fill="auto"/>
            <w:noWrap/>
          </w:tcPr>
          <w:p w14:paraId="19A4FA94" w14:textId="5E9B55F0"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Greece</w:t>
            </w:r>
          </w:p>
        </w:tc>
        <w:tc>
          <w:tcPr>
            <w:tcW w:w="1794" w:type="dxa"/>
            <w:shd w:val="clear" w:color="auto" w:fill="auto"/>
          </w:tcPr>
          <w:p w14:paraId="692DB869" w14:textId="083CCBA8"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noWrap/>
          </w:tcPr>
          <w:p w14:paraId="1A087A46" w14:textId="1F5D9BFD"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Wave energy</w:t>
            </w:r>
          </w:p>
        </w:tc>
      </w:tr>
      <w:tr w:rsidR="00190C62" w:rsidRPr="00F47DE9" w14:paraId="3726C545"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A29893E" w14:textId="51A8DBB5"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{"citationItems":[{"id":"ITEM-1","itemData":{"DOI":"10.1016/J.ENPOL.2021.112423","ISSN":"0301-4215","abstract":"To cap global warming below 2◦C, countries are urged to upscale their climate commitments and develop national deep decarbonization (DD) strategies for the energy system. But, fast and deep transformations will have wide-ranging economic implications at the macroeconomic level, in energy industries, and also in other sectors. Such impacts need to be understood by policy-makers. This paper develops an original integrated approach based on loading consolidated energy pathways into a multi-sector economy-wide model to assess within a consistent framework the multi-level economic impacts of the DD strategies. The method is applied to Argentina and gives representative insights into the global challenge to move towards a low-carbon economy. Our results show key multi-level impacts of shifting from a ‘reference’ to a DD pathway by 2050. In energy industries, value-added and employment shift from fossil fuel to low-carbon power industries. Aggregated GDP and welfare impacts are limited but incremental investments are significant at the macroeconomic level, with indirect and induced impacts across the economy. It includes net job creations in upstream industries that supply low-carbon infrastructures, but also risks of job losses in exposed sectors. Eventually, our approach highlights enabling conditions and possible block points to lift to trigger the transition.","author":[{"dropping-particle":"","family":"Treut","given":"Gaëlle","non-dropping-particle":"Le","parse-names":false,"suffix":""},{"dropping-particle":"","family":"Lefèvre","given":"Julien","non-dropping-particle":"","parse-names":false,"suffix":""},{"dropping-particle":"","family":"Lallana","given":"Francisco","non-dropping-particle":"","parse-names":false,"suffix":""},{"dropping-particle":"","family":"Bravo","given":"Gonzalo","non-dropping-particle":"","parse-names":false,"suffix":""}],"container-title":"Energy Policy","id":"ITEM-1","issued":{"date-parts":[["2021","9","1"]]},"page":"112423","publisher":"Elsevier","title":"The multi-level economic impacts of deep decarbonization strategies for the energy system","type":"article-journal","volume":"156"},"uris":["http://www.mendeley.com/documents/?uuid=fe5989c4-4c70-3103-86a1-48181238e2d3"]}],"mendeley":{"formattedCitation":"(Le Treut &lt;i&gt;et al.&lt;/i&gt;, 2021)","manualFormatting":"Le Treut et al. (2021)","plainTextFormattedCitation":"(Le Treut et al., 2021)","previouslyFormattedCitation":"(Le Treut &lt;i&gt;et al.&lt;/i&gt;, 2021)"},"properties":{"noteIndex":0},"schema":"https://github.com/citation-style-language/schema/raw/master/csl-citation.json"}</w:instrText>
            </w:r>
            <w:r>
              <w:rPr>
                <w:rFonts w:ascii="Arial" w:hAnsi="Arial" w:cs="Arial"/>
                <w:sz w:val="20"/>
                <w:szCs w:val="20"/>
              </w:rPr>
              <w:fldChar w:fldCharType="separate"/>
            </w:r>
            <w:r w:rsidRPr="0026697F">
              <w:rPr>
                <w:rFonts w:ascii="Arial" w:hAnsi="Arial" w:cs="Arial"/>
                <w:b w:val="0"/>
                <w:noProof/>
                <w:sz w:val="20"/>
                <w:szCs w:val="20"/>
              </w:rPr>
              <w:t xml:space="preserve">Le Treut </w:t>
            </w:r>
            <w:r w:rsidRPr="0026697F">
              <w:rPr>
                <w:rFonts w:ascii="Arial" w:hAnsi="Arial" w:cs="Arial"/>
                <w:b w:val="0"/>
                <w:i/>
                <w:noProof/>
                <w:sz w:val="20"/>
                <w:szCs w:val="20"/>
              </w:rPr>
              <w:t>et al.</w:t>
            </w:r>
            <w:r>
              <w:rPr>
                <w:rFonts w:ascii="Arial" w:hAnsi="Arial" w:cs="Arial"/>
                <w:b w:val="0"/>
                <w:noProof/>
                <w:sz w:val="20"/>
                <w:szCs w:val="20"/>
              </w:rPr>
              <w:t xml:space="preserve"> (</w:t>
            </w:r>
            <w:r w:rsidRPr="0026697F">
              <w:rPr>
                <w:rFonts w:ascii="Arial" w:hAnsi="Arial" w:cs="Arial"/>
                <w:b w:val="0"/>
                <w:noProof/>
                <w:sz w:val="20"/>
                <w:szCs w:val="20"/>
              </w:rPr>
              <w:t>2021)</w:t>
            </w:r>
            <w:r>
              <w:rPr>
                <w:rFonts w:ascii="Arial" w:hAnsi="Arial" w:cs="Arial"/>
                <w:sz w:val="20"/>
                <w:szCs w:val="20"/>
              </w:rPr>
              <w:fldChar w:fldCharType="end"/>
            </w:r>
          </w:p>
        </w:tc>
        <w:tc>
          <w:tcPr>
            <w:tcW w:w="1794" w:type="dxa"/>
            <w:shd w:val="clear" w:color="auto" w:fill="auto"/>
            <w:hideMark/>
          </w:tcPr>
          <w:p w14:paraId="39A3420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Argentina</w:t>
            </w:r>
          </w:p>
        </w:tc>
        <w:tc>
          <w:tcPr>
            <w:tcW w:w="1794" w:type="dxa"/>
            <w:shd w:val="clear" w:color="auto" w:fill="auto"/>
            <w:hideMark/>
          </w:tcPr>
          <w:p w14:paraId="472992F0"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South America</w:t>
            </w:r>
          </w:p>
        </w:tc>
        <w:tc>
          <w:tcPr>
            <w:tcW w:w="3544" w:type="dxa"/>
            <w:shd w:val="clear" w:color="auto" w:fill="auto"/>
            <w:hideMark/>
          </w:tcPr>
          <w:p w14:paraId="20F6CD1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Power sector decarbonisation</w:t>
            </w:r>
          </w:p>
        </w:tc>
      </w:tr>
      <w:tr w:rsidR="00190C62" w:rsidRPr="00F47DE9" w14:paraId="3D08756E"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3BE5DD7B" w14:textId="2DE657D2"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{"citationItems":[{"id":"ITEM-1","itemData":{"author":[{"dropping-particle":"","family":"Lee","given":"T","non-dropping-particle":"","parse-names":false,"suffix":""}],"container-title":"Nat Resour Forum","id":"ITEM-1","issued":{"date-parts":[["2017"]]},"page":"145-155","title":"The effect of clean energy regulations and incentives on green jobs: panel analysis of the United States, 1998–2007","type":"article-journal","volume":"41"},"uris":["http://www.mendeley.com/documents/?uuid=96bb2d76-e5ac-3a6d-aed9-75e4350a7ff3"]}],"mendeley":{"formattedCitation":"(Lee, 2017)","manualFormatting":"Lee (2017)","plainTextFormattedCitation":"(Lee, 2017)","previouslyFormattedCitation":"(Lee, 2017)"},"properties":{"noteIndex":0},"schema":"https://github.com/citation-style-language/schema/raw/master/csl-citation.json"}</w:instrText>
            </w:r>
            <w:r>
              <w:rPr>
                <w:rFonts w:ascii="Arial" w:hAnsi="Arial" w:cs="Arial"/>
                <w:sz w:val="20"/>
                <w:szCs w:val="20"/>
              </w:rPr>
              <w:fldChar w:fldCharType="separate"/>
            </w:r>
            <w:r w:rsidRPr="0026697F">
              <w:rPr>
                <w:rFonts w:ascii="Arial" w:hAnsi="Arial" w:cs="Arial"/>
                <w:b w:val="0"/>
                <w:noProof/>
                <w:sz w:val="20"/>
                <w:szCs w:val="20"/>
              </w:rPr>
              <w:t>Lee</w:t>
            </w:r>
            <w:r>
              <w:rPr>
                <w:rFonts w:ascii="Arial" w:hAnsi="Arial" w:cs="Arial"/>
                <w:b w:val="0"/>
                <w:noProof/>
                <w:sz w:val="20"/>
                <w:szCs w:val="20"/>
              </w:rPr>
              <w:t xml:space="preserve"> (</w:t>
            </w:r>
            <w:r w:rsidRPr="0026697F">
              <w:rPr>
                <w:rFonts w:ascii="Arial" w:hAnsi="Arial" w:cs="Arial"/>
                <w:b w:val="0"/>
                <w:noProof/>
                <w:sz w:val="20"/>
                <w:szCs w:val="20"/>
              </w:rPr>
              <w:t>2017)</w:t>
            </w:r>
            <w:r>
              <w:rPr>
                <w:rFonts w:ascii="Arial" w:hAnsi="Arial" w:cs="Arial"/>
                <w:sz w:val="20"/>
                <w:szCs w:val="20"/>
              </w:rPr>
              <w:fldChar w:fldCharType="end"/>
            </w:r>
          </w:p>
        </w:tc>
        <w:tc>
          <w:tcPr>
            <w:tcW w:w="1794" w:type="dxa"/>
            <w:shd w:val="clear" w:color="auto" w:fill="auto"/>
            <w:noWrap/>
            <w:hideMark/>
          </w:tcPr>
          <w:p w14:paraId="363341E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US</w:t>
            </w:r>
          </w:p>
        </w:tc>
        <w:tc>
          <w:tcPr>
            <w:tcW w:w="1794" w:type="dxa"/>
            <w:shd w:val="clear" w:color="auto" w:fill="auto"/>
            <w:noWrap/>
            <w:hideMark/>
          </w:tcPr>
          <w:p w14:paraId="67737F3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hideMark/>
          </w:tcPr>
          <w:p w14:paraId="54E3AA4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Clean energy, renewable energy, energy efficiency; natural resource conservation and recycling, </w:t>
            </w:r>
            <w:proofErr w:type="gramStart"/>
            <w:r w:rsidRPr="00F47DE9">
              <w:rPr>
                <w:rFonts w:ascii="Arial" w:hAnsi="Arial" w:cs="Arial"/>
                <w:sz w:val="20"/>
                <w:szCs w:val="20"/>
              </w:rPr>
              <w:t>pollution</w:t>
            </w:r>
            <w:proofErr w:type="gramEnd"/>
            <w:r w:rsidRPr="00F47DE9">
              <w:rPr>
                <w:rFonts w:ascii="Arial" w:hAnsi="Arial" w:cs="Arial"/>
                <w:sz w:val="20"/>
                <w:szCs w:val="20"/>
              </w:rPr>
              <w:t xml:space="preserve"> and waste reduction.</w:t>
            </w:r>
          </w:p>
        </w:tc>
      </w:tr>
      <w:tr w:rsidR="00190C62" w:rsidRPr="00F47DE9" w14:paraId="3037627C"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BCFEFFA" w14:textId="76131180"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10.1080/14693062.2022.2061406","ISSN":"1469-3062","author":[{"dropping-particle":"","family":"Lee","given":"Soocheol","non-dropping-particle":"","parse-names":false,"suffix":""},{"dropping-particle":"","family":"He","given":"Yanmin","non-dropping-particle":"","parse-names":false,"suffix":""},{"dropping-particle":"","family":"Suk","given":"Sunhee","non-dropping-particle":"","parse-names":false,"suffix":""},{"dropping-particle":"","family":"Morotomi","given":"Toru","non-dropping-particle":"","parse-names":false,"suffix":""},{"dropping-particle":"","family":"Chewpreecha","given":"Unnada","non-dropping-particle":"","parse-names":false,"suffix":""}],"container-title":"Climate Policy","id":"ITEM-1","issue":"7","issued":{"date-parts":[["2022","8","9"]]},"note":"doi: 10.1080/14693062.2022.2061406","page":"823-833","publisher":"Taylor &amp; Francis","title":"Impact on the power mix and economy of Japan under a 2050 carbon-neutral scenario: Analysis using the E3ME macro-econometric model","type":"article-journal","volume":"22"},"uris":["http://www.mendeley.com/documents/?uuid=d888d9cc-109c-40e7-b916-8df9c2411a96"]}],"mendeley":{"formattedCitation":"(Lee &lt;i&gt;et al.&lt;/i&gt;, 2022)","manualFormatting":"Lee et al. (2022)","plainTextFormattedCitation":"(Lee et al., 2022)","previouslyFormattedCitation":"(Lee &lt;i&gt;et al.&lt;/i&gt;, 2022)"},"properties":{"noteIndex":0},"schema":"https://github.com/citation-style-language/schema/raw/master/csl-citation.json"}</w:instrText>
            </w:r>
            <w:r>
              <w:rPr>
                <w:rFonts w:ascii="Arial" w:hAnsi="Arial" w:cs="Arial"/>
                <w:sz w:val="20"/>
                <w:szCs w:val="20"/>
              </w:rPr>
              <w:fldChar w:fldCharType="separate"/>
            </w:r>
            <w:r w:rsidRPr="0026697F">
              <w:rPr>
                <w:rFonts w:ascii="Arial" w:hAnsi="Arial" w:cs="Arial"/>
                <w:b w:val="0"/>
                <w:noProof/>
                <w:sz w:val="20"/>
                <w:szCs w:val="20"/>
              </w:rPr>
              <w:t xml:space="preserve">Lee </w:t>
            </w:r>
            <w:r w:rsidRPr="0026697F">
              <w:rPr>
                <w:rFonts w:ascii="Arial" w:hAnsi="Arial" w:cs="Arial"/>
                <w:b w:val="0"/>
                <w:i/>
                <w:noProof/>
                <w:sz w:val="20"/>
                <w:szCs w:val="20"/>
              </w:rPr>
              <w:t>et al.</w:t>
            </w:r>
            <w:r>
              <w:rPr>
                <w:rFonts w:ascii="Arial" w:hAnsi="Arial" w:cs="Arial"/>
                <w:b w:val="0"/>
                <w:noProof/>
                <w:sz w:val="20"/>
                <w:szCs w:val="20"/>
              </w:rPr>
              <w:t xml:space="preserve"> (</w:t>
            </w:r>
            <w:r w:rsidRPr="0026697F">
              <w:rPr>
                <w:rFonts w:ascii="Arial" w:hAnsi="Arial" w:cs="Arial"/>
                <w:b w:val="0"/>
                <w:noProof/>
                <w:sz w:val="20"/>
                <w:szCs w:val="20"/>
              </w:rPr>
              <w:t>2022)</w:t>
            </w:r>
            <w:r>
              <w:rPr>
                <w:rFonts w:ascii="Arial" w:hAnsi="Arial" w:cs="Arial"/>
                <w:sz w:val="20"/>
                <w:szCs w:val="20"/>
              </w:rPr>
              <w:fldChar w:fldCharType="end"/>
            </w:r>
          </w:p>
        </w:tc>
        <w:tc>
          <w:tcPr>
            <w:tcW w:w="1794" w:type="dxa"/>
            <w:shd w:val="clear" w:color="auto" w:fill="auto"/>
            <w:hideMark/>
          </w:tcPr>
          <w:p w14:paraId="52067AE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Japan</w:t>
            </w:r>
          </w:p>
        </w:tc>
        <w:tc>
          <w:tcPr>
            <w:tcW w:w="1794" w:type="dxa"/>
            <w:shd w:val="clear" w:color="auto" w:fill="auto"/>
            <w:hideMark/>
          </w:tcPr>
          <w:p w14:paraId="5DA57CC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hideMark/>
          </w:tcPr>
          <w:p w14:paraId="30B1CDF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Power generation, transport, building heating, </w:t>
            </w:r>
            <w:proofErr w:type="gramStart"/>
            <w:r w:rsidRPr="00F47DE9">
              <w:rPr>
                <w:rFonts w:ascii="Arial" w:hAnsi="Arial" w:cs="Arial"/>
                <w:sz w:val="20"/>
                <w:szCs w:val="20"/>
              </w:rPr>
              <w:t>steel</w:t>
            </w:r>
            <w:proofErr w:type="gramEnd"/>
            <w:r w:rsidRPr="00F47DE9">
              <w:rPr>
                <w:rFonts w:ascii="Arial" w:hAnsi="Arial" w:cs="Arial"/>
                <w:sz w:val="20"/>
                <w:szCs w:val="20"/>
              </w:rPr>
              <w:t xml:space="preserve"> and other industrial sectors</w:t>
            </w:r>
          </w:p>
        </w:tc>
      </w:tr>
      <w:tr w:rsidR="00190C62" w:rsidRPr="00F47DE9" w14:paraId="2F3A0C5C"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20C24C2" w14:textId="2A981FBD"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{"citationItems":[{"id":"ITEM-1","itemData":{"DOI":"10.1080/0376835X.2018.1487829","ISSN":"0376-835X","abstract":"ABSTRACTSouth Africa?s Renewable Energy Independent Power Projects Procurement Program (REIPPPP) has been hailed as one of the most successful programmes of its kind, contracting 92 renewable energy projects totalling 6 328 MW and US$20.5 billion since its inception in 2011. Despite this success, the programme?s use of non-price factors such as local jobs, local black ownership, local content, and local community ownership in bid evaluation has generated criticism and controversy. Lessons learned in other countries about how and when to use policies like import substitution to promote sustainable economic development seem not to have been fully incorporated by the REIPPPP. We therefore offer a cautionary note that dramatic and impressive localisation results are not inevitable ? especially considering the size of the South African market and accompanying investment uncertainties ? and that there is bound to be a trade-off between price and non-price factors in these kinds of competitive procurement programmes.","author":[{"dropping-particle":"","family":"Leigland","given":"James","non-dropping-particle":"","parse-names":false,"suffix":""},{"dropping-particle":"","family":"Eberhard","given":"Anton","non-dropping-particle":"","parse-names":false,"suffix":""}],"container-title":"Development Southern Africa","id":"ITEM-1","issue":"4","issued":{"date-parts":[["2018","7","4"]]},"note":"doi: 10.1080/0376835X.2018.1487829","page":"569-588","publisher":"Routledge","title":"Localisation barriers to trade: The case of South Africa’s renewable energy independent power program","type":"article-journal","volume":"35"},"uris":["http://www.mendeley.com/documents/?uuid=9b564e36-3fca-4a08-bd4c-63288ffe580f"]}],"mendeley":{"formattedCitation":"(Leigland and Eberhard, 2018)","plainTextFormattedCitation":"(Leigland and Eberhard, 2018)","previouslyFormattedCitation":"(Leigland and Eberhard, 2018)"},"properties":{"noteIndex":0},"schema":"https://github.com/citation-style-language/schema/raw/master/csl-citation.json"}</w:instrText>
            </w:r>
            <w:r>
              <w:rPr>
                <w:rFonts w:ascii="Arial" w:hAnsi="Arial" w:cs="Arial"/>
                <w:sz w:val="20"/>
                <w:szCs w:val="20"/>
              </w:rPr>
              <w:fldChar w:fldCharType="separate"/>
            </w:r>
            <w:r w:rsidRPr="00914574">
              <w:rPr>
                <w:rFonts w:ascii="Arial" w:hAnsi="Arial" w:cs="Arial"/>
                <w:b w:val="0"/>
                <w:noProof/>
                <w:sz w:val="20"/>
                <w:szCs w:val="20"/>
              </w:rPr>
              <w:t>Leigland and Eberhard</w:t>
            </w:r>
            <w:r>
              <w:rPr>
                <w:rFonts w:ascii="Arial" w:hAnsi="Arial" w:cs="Arial"/>
                <w:b w:val="0"/>
                <w:noProof/>
                <w:sz w:val="20"/>
                <w:szCs w:val="20"/>
              </w:rPr>
              <w:t xml:space="preserve"> (</w:t>
            </w:r>
            <w:r w:rsidRPr="00914574">
              <w:rPr>
                <w:rFonts w:ascii="Arial" w:hAnsi="Arial" w:cs="Arial"/>
                <w:b w:val="0"/>
                <w:noProof/>
                <w:sz w:val="20"/>
                <w:szCs w:val="20"/>
              </w:rPr>
              <w:t>2018)</w:t>
            </w:r>
            <w:r>
              <w:rPr>
                <w:rFonts w:ascii="Arial" w:hAnsi="Arial" w:cs="Arial"/>
                <w:sz w:val="20"/>
                <w:szCs w:val="20"/>
              </w:rPr>
              <w:fldChar w:fldCharType="end"/>
            </w:r>
          </w:p>
        </w:tc>
        <w:tc>
          <w:tcPr>
            <w:tcW w:w="1794" w:type="dxa"/>
            <w:shd w:val="clear" w:color="auto" w:fill="auto"/>
            <w:noWrap/>
            <w:hideMark/>
          </w:tcPr>
          <w:p w14:paraId="2A7C7DA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South Africa</w:t>
            </w:r>
          </w:p>
        </w:tc>
        <w:tc>
          <w:tcPr>
            <w:tcW w:w="1794" w:type="dxa"/>
            <w:shd w:val="clear" w:color="auto" w:fill="auto"/>
            <w:hideMark/>
          </w:tcPr>
          <w:p w14:paraId="04ECC02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Africa</w:t>
            </w:r>
          </w:p>
        </w:tc>
        <w:tc>
          <w:tcPr>
            <w:tcW w:w="3544" w:type="dxa"/>
            <w:shd w:val="clear" w:color="auto" w:fill="auto"/>
            <w:noWrap/>
            <w:hideMark/>
          </w:tcPr>
          <w:p w14:paraId="0994DEF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74EE3598"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24FF695" w14:textId="170848C4"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{"citationItems":[{"id":"ITEM-1","itemData":{"DOI":"10.1007/s10098-017-1362-9","ISSN":"1618-9558","abstract":"The Brazilian 2015 Intended Nationally Determined Contribution proposes a reduction of 43% in its greenhouse gas emissions by 2030, compared to its 2005 emissions. In terms of the contribution of the Brazilian electrical sector to achieve this target, it commits to increase the use of renewable energy sources, other than hydroelectricity, and an efficiency gain of 10% by 2030. Considering these targets, this paper estimates the economic and CO2 emissions effects of such propositions using input–output analysis. The estimates are based on eight different future electricity matrices scenarios (2030 and 2050) developed by specialists within the Energy Scenarios Platform. On the one hand, achieving cleaner electrical production requires large investments. On the other hand, a reorganization of the sector leading to increased use of renewable energy sources produces GDP and employment growth. The results show that the net effects are positive in the medium and long run. Brazilian GDP growth may range from 0.61 to 1.24% per year by 2030 and from 0.66 to 1.26% per year by 2050, and total labor demand may reach 630 thousand new employees in 2030 and 685 thousand jobs in 2050. Regarding the reduction of CO$$_2$$emissions, a maximum saving of 4 million tons by 2030 and 1 million tons by 2050 is expected. Therefore, according to the scenarios analyzed, although investing in renewable electrical sources demands more investment, their operational costs are lower, such that the extra expending is more than offset. Hence, the economic benefits from such changes more than compensate the costs of investing in such efforts.","author":[{"dropping-particle":"","family":"Lucchesi","given":"Andrea","non-dropping-particle":"","parse-names":false,"suffix":""},{"dropping-particle":"","family":"Pereda","given":"Paula Carvalho","non-dropping-particle":"","parse-names":false,"suffix":""},{"dropping-particle":"","family":"Garcia","given":"Carolina Policarpo","non-dropping-particle":"","parse-names":false,"suffix":""},{"dropping-particle":"","family":"Palialol","given":"Bruno Toni","non-dropping-particle":"","parse-names":false,"suffix":""}],"container-title":"Clean Technologies and Environmental Policy","id":"ITEM-1","issue":"6","issued":{"date-parts":[["2017"]]},"page":"1589-1605","title":"Long-term effects of structural changes in the Brazilian electricity matrix","type":"article-journal","volume":"19"},"uris":["http://www.mendeley.com/documents/?uuid=2a3d1401-3613-4326-9ffd-0ae06996477c"]}],"mendeley":{"formattedCitation":"(Lucchesi &lt;i&gt;et al.&lt;/i&gt;, 2017)","manualFormatting":"Lucchesi et al. (2017)","plainTextFormattedCitation":"(Lucchesi et al., 2017)","previouslyFormattedCitation":"(Lucchesi &lt;i&gt;et al.&lt;/i&gt;, 2017)"},"properties":{"noteIndex":0},"schema":"https://github.com/citation-style-language/schema/raw/master/csl-citation.json"}</w:instrText>
            </w:r>
            <w:r>
              <w:rPr>
                <w:rFonts w:ascii="Arial" w:hAnsi="Arial" w:cs="Arial"/>
                <w:sz w:val="20"/>
                <w:szCs w:val="20"/>
              </w:rPr>
              <w:fldChar w:fldCharType="separate"/>
            </w:r>
            <w:r w:rsidRPr="0026697F">
              <w:rPr>
                <w:rFonts w:ascii="Arial" w:hAnsi="Arial" w:cs="Arial"/>
                <w:b w:val="0"/>
                <w:noProof/>
                <w:sz w:val="20"/>
                <w:szCs w:val="20"/>
              </w:rPr>
              <w:t xml:space="preserve">Lucchesi </w:t>
            </w:r>
            <w:r w:rsidRPr="0026697F">
              <w:rPr>
                <w:rFonts w:ascii="Arial" w:hAnsi="Arial" w:cs="Arial"/>
                <w:b w:val="0"/>
                <w:i/>
                <w:noProof/>
                <w:sz w:val="20"/>
                <w:szCs w:val="20"/>
              </w:rPr>
              <w:t>et al.</w:t>
            </w:r>
            <w:r>
              <w:rPr>
                <w:rFonts w:ascii="Arial" w:hAnsi="Arial" w:cs="Arial"/>
                <w:b w:val="0"/>
                <w:noProof/>
                <w:sz w:val="20"/>
                <w:szCs w:val="20"/>
              </w:rPr>
              <w:t xml:space="preserve"> (</w:t>
            </w:r>
            <w:r w:rsidRPr="0026697F">
              <w:rPr>
                <w:rFonts w:ascii="Arial" w:hAnsi="Arial" w:cs="Arial"/>
                <w:b w:val="0"/>
                <w:noProof/>
                <w:sz w:val="20"/>
                <w:szCs w:val="20"/>
              </w:rPr>
              <w:t>2017)</w:t>
            </w:r>
            <w:r>
              <w:rPr>
                <w:rFonts w:ascii="Arial" w:hAnsi="Arial" w:cs="Arial"/>
                <w:sz w:val="20"/>
                <w:szCs w:val="20"/>
              </w:rPr>
              <w:fldChar w:fldCharType="end"/>
            </w:r>
          </w:p>
        </w:tc>
        <w:tc>
          <w:tcPr>
            <w:tcW w:w="1794" w:type="dxa"/>
            <w:shd w:val="clear" w:color="auto" w:fill="auto"/>
            <w:hideMark/>
          </w:tcPr>
          <w:p w14:paraId="73AEFAD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Brazil</w:t>
            </w:r>
          </w:p>
        </w:tc>
        <w:tc>
          <w:tcPr>
            <w:tcW w:w="1794" w:type="dxa"/>
            <w:shd w:val="clear" w:color="auto" w:fill="auto"/>
            <w:hideMark/>
          </w:tcPr>
          <w:p w14:paraId="1AD92B0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South America</w:t>
            </w:r>
          </w:p>
        </w:tc>
        <w:tc>
          <w:tcPr>
            <w:tcW w:w="3544" w:type="dxa"/>
            <w:shd w:val="clear" w:color="auto" w:fill="auto"/>
            <w:hideMark/>
          </w:tcPr>
          <w:p w14:paraId="18544BD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Electricity production sector</w:t>
            </w:r>
          </w:p>
        </w:tc>
      </w:tr>
      <w:tr w:rsidR="00190C62" w:rsidRPr="00F47DE9" w14:paraId="04715CCF"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3AE05FA" w14:textId="1B7D4FDE"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{"citationItems":[{"id":"ITEM-1","itemData":{"author":[{"dropping-particle":"","family":"MacCallum","given":"A. Megan","non-dropping-particle":"","parse-names":false,"suffix":""}],"id":"ITEM-1","issued":{"date-parts":[["2016"]]},"publisher":"Queen's University, Kingston, Canada","publisher-place":"Kingston, Canada","title":"Employment associated with renewable and sustainable energy development in the Kingston region","type":"thesis"},"uris":["http://www.mendeley.com/documents/?uuid=33513bf2-6b71-33fe-bfc9-5ae87465e61b"]}],"mendeley":{"formattedCitation":"(MacCallum, 2016)","manualFormatting":"MacCallum (2016)","plainTextFormattedCitation":"(MacCallum, 2016)","previouslyFormattedCitation":"(MacCallum, 2016)"},"properties":{"noteIndex":0},"schema":"https://github.com/citation-style-language/schema/raw/master/csl-citation.json"}</w:instrText>
            </w:r>
            <w:r>
              <w:rPr>
                <w:rFonts w:ascii="Arial" w:hAnsi="Arial" w:cs="Arial"/>
                <w:sz w:val="20"/>
                <w:szCs w:val="20"/>
              </w:rPr>
              <w:fldChar w:fldCharType="separate"/>
            </w:r>
            <w:r w:rsidRPr="0026697F">
              <w:rPr>
                <w:rFonts w:ascii="Arial" w:hAnsi="Arial" w:cs="Arial"/>
                <w:b w:val="0"/>
                <w:noProof/>
                <w:sz w:val="20"/>
                <w:szCs w:val="20"/>
              </w:rPr>
              <w:t>MacCallum</w:t>
            </w:r>
            <w:r>
              <w:rPr>
                <w:rFonts w:ascii="Arial" w:hAnsi="Arial" w:cs="Arial"/>
                <w:b w:val="0"/>
                <w:noProof/>
                <w:sz w:val="20"/>
                <w:szCs w:val="20"/>
              </w:rPr>
              <w:t xml:space="preserve"> (</w:t>
            </w:r>
            <w:r w:rsidRPr="0026697F">
              <w:rPr>
                <w:rFonts w:ascii="Arial" w:hAnsi="Arial" w:cs="Arial"/>
                <w:b w:val="0"/>
                <w:noProof/>
                <w:sz w:val="20"/>
                <w:szCs w:val="20"/>
              </w:rPr>
              <w:t>2016)</w:t>
            </w:r>
            <w:r>
              <w:rPr>
                <w:rFonts w:ascii="Arial" w:hAnsi="Arial" w:cs="Arial"/>
                <w:sz w:val="20"/>
                <w:szCs w:val="20"/>
              </w:rPr>
              <w:fldChar w:fldCharType="end"/>
            </w:r>
          </w:p>
        </w:tc>
        <w:tc>
          <w:tcPr>
            <w:tcW w:w="1794" w:type="dxa"/>
            <w:shd w:val="clear" w:color="auto" w:fill="auto"/>
            <w:hideMark/>
          </w:tcPr>
          <w:p w14:paraId="3BABFA6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Kingston, Ontario, Canada</w:t>
            </w:r>
          </w:p>
        </w:tc>
        <w:tc>
          <w:tcPr>
            <w:tcW w:w="1794" w:type="dxa"/>
            <w:shd w:val="clear" w:color="auto" w:fill="auto"/>
            <w:hideMark/>
          </w:tcPr>
          <w:p w14:paraId="4FB2D22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noWrap/>
            <w:hideMark/>
          </w:tcPr>
          <w:p w14:paraId="1A3528F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126B8862"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BF2E9F2" w14:textId="06F4BD41"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{"citationItems":[{"id":"ITEM-1","itemData":{"DOI":"10.1088/1748-9326/abd3d3","ISSN":"1748-9326","abstract":"The recently proposed Green Deals and ‘building back better’ plans have affirmed the importance to make green transitions inclusive. This is particularly related to the labour market, which may witness significant changes. Empirically, this issue has until now received limited attention. The links between poverty and climate change are explored mainly through the lenses of climate change adaptation, or via the effects of rising energy prices on the purchasing power of poor households. We aim to address this gap by using results from a simulation of the global energy transition required to meet the 2-degree target, and compare this to a 6-degree baseline scenario. The simulation with a multi-regional input–output model finds that, overall, this transition results in a small net job increase of 0.3% globally, with cross-country heterogeneity. We complement this macro-level analysis with cross-country household data to draw implications of the effects on poverty through labour market outcomes. The few job losses will be concentrated in specific industries, while new jobs will be created in industries that currently witness relatively high in-work poverty rates, such as construction. We show that high in-work poverty in the industries of interest, and especially in middle-income countries, is often associated with low skills and an insufficient reach of social protection mechanisms. We conclude that green transitions must ensure that the jobs created are indeed decent including fair wages, adequate working conditions, sufficient social protection measures, and accessible to the vulnerable and poorest households.","author":[{"dropping-particle":"","family":"Malerba","given":"Daniele","non-dropping-particle":"","parse-names":false,"suffix":""},{"dropping-particle":"","family":"Wiebe","given":"Kirsten S","non-dropping-particle":"","parse-names":false,"suffix":""}],"container-title":"Environmental Research Letters","id":"ITEM-1","issue":"3","issued":{"date-parts":[["2021"]]},"page":"35013","publisher":"IOP Publishing","title":"Analysing the effect of climate policies on poverty through employment channels","type":"article-journal","volume":"16"},"uris":["http://www.mendeley.com/documents/?uuid=ee7f4e7f-b1e2-4762-87aa-d1f3ea0a2d06"]}],"mendeley":{"formattedCitation":"(Malerba and Wiebe, 2021)","manualFormatting":"Malerba and Wiebe (2021)","plainTextFormattedCitation":"(Malerba and Wiebe, 2021)","previouslyFormattedCitation":"(Malerba and Wiebe, 2021)"},"properties":{"noteIndex":0},"schema":"https://github.com/citation-style-language/schema/raw/master/csl-citation.json"}</w:instrText>
            </w:r>
            <w:r>
              <w:rPr>
                <w:rFonts w:ascii="Arial" w:hAnsi="Arial" w:cs="Arial"/>
                <w:sz w:val="20"/>
                <w:szCs w:val="20"/>
              </w:rPr>
              <w:fldChar w:fldCharType="separate"/>
            </w:r>
            <w:r w:rsidRPr="0026697F">
              <w:rPr>
                <w:rFonts w:ascii="Arial" w:hAnsi="Arial" w:cs="Arial"/>
                <w:b w:val="0"/>
                <w:noProof/>
                <w:sz w:val="20"/>
                <w:szCs w:val="20"/>
              </w:rPr>
              <w:t>Malerba and Wiebe</w:t>
            </w:r>
            <w:r>
              <w:rPr>
                <w:rFonts w:ascii="Arial" w:hAnsi="Arial" w:cs="Arial"/>
                <w:b w:val="0"/>
                <w:noProof/>
                <w:sz w:val="20"/>
                <w:szCs w:val="20"/>
              </w:rPr>
              <w:t xml:space="preserve"> (</w:t>
            </w:r>
            <w:r w:rsidRPr="0026697F">
              <w:rPr>
                <w:rFonts w:ascii="Arial" w:hAnsi="Arial" w:cs="Arial"/>
                <w:b w:val="0"/>
                <w:noProof/>
                <w:sz w:val="20"/>
                <w:szCs w:val="20"/>
              </w:rPr>
              <w:t>2021)</w:t>
            </w:r>
            <w:r>
              <w:rPr>
                <w:rFonts w:ascii="Arial" w:hAnsi="Arial" w:cs="Arial"/>
                <w:sz w:val="20"/>
                <w:szCs w:val="20"/>
              </w:rPr>
              <w:fldChar w:fldCharType="end"/>
            </w:r>
          </w:p>
        </w:tc>
        <w:tc>
          <w:tcPr>
            <w:tcW w:w="1794" w:type="dxa"/>
            <w:shd w:val="clear" w:color="auto" w:fill="auto"/>
            <w:noWrap/>
            <w:hideMark/>
          </w:tcPr>
          <w:p w14:paraId="04838AB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Over 40 countries and regions</w:t>
            </w:r>
          </w:p>
        </w:tc>
        <w:tc>
          <w:tcPr>
            <w:tcW w:w="1794" w:type="dxa"/>
            <w:shd w:val="clear" w:color="auto" w:fill="auto"/>
            <w:hideMark/>
          </w:tcPr>
          <w:p w14:paraId="456DA11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3544" w:type="dxa"/>
            <w:shd w:val="clear" w:color="auto" w:fill="auto"/>
            <w:hideMark/>
          </w:tcPr>
          <w:p w14:paraId="19CAC16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Climate change mitigation, global energy transition and impact on poverty</w:t>
            </w:r>
          </w:p>
        </w:tc>
      </w:tr>
      <w:tr w:rsidR="00190C62" w:rsidRPr="00F47DE9" w14:paraId="3250651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0DE2B2F6" w14:textId="05D17449"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{"citationItems":[{"id":"ITEM-1","itemData":{"DOI":"10.1016/J.ENPOL.2021.112642","ISSN":"0301-4215","abstract":"The employment implications of decarbonizing the energy sector have received far less attention than the technology dimension of the transition, although being of critical importance to policymakers. In this work, we adapt a methodology based on employment factors to project future changes in quantity and composition of direct energy supply jobs for two scenarios - (1) relatively weak emissions reductions as pledged in the nationally determined contributions (NDC) and (2) stringent reductions compatible with the 1.5 °C target. We find that in the near-term the 1.5°C-compatible scenario results in a net increase in jobs through gains in solar and wind jobs in construction, installation, and manufacturing, despite significant losses in coal fuel supply; eventually leading to a peak in total direct energy jobs in 2025. In the long run, improvements in labour productivity lead to a decrease of total direct energy employment compared to today, however, total jobs are still higher in a 1.5 °C than in an NDC scenario. Operation and maintenance jobs dominate future jobs, replacing fuel supply jobs. The results point to the need for active policies aimed at retraining, both inside and outside the renewable energy sector, to complement climate policies within the concept of a “just transition”.","author":[{"dropping-particle":"","family":"Malik","given":"Aman","non-dropping-particle":"","parse-names":false,"suffix":""},{"dropping-particle":"","family":"Bertram","given":"Christoph","non-dropping-particle":"","parse-names":false,"suffix":""},{"dropping-particle":"","family":"Kriegler","given":"Elmar","non-dropping-particle":"","parse-names":false,"suffix":""},{"dropping-particle":"","family":"Luderer","given":"Gunnar","non-dropping-particle":"","parse-names":false,"suffix":""}],"container-title":"Energy Policy","id":"ITEM-1","issued":{"date-parts":[["2021","12","1"]]},"page":"112642","publisher":"Elsevier","title":"Climate policy accelerates structural changes in energy employment","type":"article-journal","volume":"159"},"uris":["http://www.mendeley.com/documents/?uuid=f8048df0-145c-3b3e-8533-42a0e7e2c72c"]}],"mendeley":{"formattedCitation":"(Malik &lt;i&gt;et al.&lt;/i&gt;, 2021)","manualFormatting":"Malik et al. (2021)","plainTextFormattedCitation":"(Malik et al., 2021)","previouslyFormattedCitation":"(Malik &lt;i&gt;et al.&lt;/i&gt;, 2021)"},"properties":{"noteIndex":0},"schema":"https://github.com/citation-style-language/schema/raw/master/csl-citation.json"}</w:instrText>
            </w:r>
            <w:r>
              <w:rPr>
                <w:rFonts w:ascii="Arial" w:hAnsi="Arial" w:cs="Arial"/>
                <w:sz w:val="20"/>
                <w:szCs w:val="20"/>
              </w:rPr>
              <w:fldChar w:fldCharType="separate"/>
            </w:r>
            <w:r w:rsidRPr="0026697F">
              <w:rPr>
                <w:rFonts w:ascii="Arial" w:hAnsi="Arial" w:cs="Arial"/>
                <w:b w:val="0"/>
                <w:noProof/>
                <w:sz w:val="20"/>
                <w:szCs w:val="20"/>
              </w:rPr>
              <w:t xml:space="preserve">Malik </w:t>
            </w:r>
            <w:r w:rsidRPr="0026697F">
              <w:rPr>
                <w:rFonts w:ascii="Arial" w:hAnsi="Arial" w:cs="Arial"/>
                <w:b w:val="0"/>
                <w:i/>
                <w:noProof/>
                <w:sz w:val="20"/>
                <w:szCs w:val="20"/>
              </w:rPr>
              <w:t>et al.</w:t>
            </w:r>
            <w:r>
              <w:rPr>
                <w:rFonts w:ascii="Arial" w:hAnsi="Arial" w:cs="Arial"/>
                <w:b w:val="0"/>
                <w:noProof/>
                <w:sz w:val="20"/>
                <w:szCs w:val="20"/>
              </w:rPr>
              <w:t xml:space="preserve"> (</w:t>
            </w:r>
            <w:r w:rsidRPr="0026697F">
              <w:rPr>
                <w:rFonts w:ascii="Arial" w:hAnsi="Arial" w:cs="Arial"/>
                <w:b w:val="0"/>
                <w:noProof/>
                <w:sz w:val="20"/>
                <w:szCs w:val="20"/>
              </w:rPr>
              <w:t>2021)</w:t>
            </w:r>
            <w:r>
              <w:rPr>
                <w:rFonts w:ascii="Arial" w:hAnsi="Arial" w:cs="Arial"/>
                <w:sz w:val="20"/>
                <w:szCs w:val="20"/>
              </w:rPr>
              <w:fldChar w:fldCharType="end"/>
            </w:r>
          </w:p>
        </w:tc>
        <w:tc>
          <w:tcPr>
            <w:tcW w:w="1794" w:type="dxa"/>
            <w:shd w:val="clear" w:color="auto" w:fill="auto"/>
            <w:hideMark/>
          </w:tcPr>
          <w:p w14:paraId="524FCD5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1794" w:type="dxa"/>
            <w:shd w:val="clear" w:color="auto" w:fill="auto"/>
            <w:hideMark/>
          </w:tcPr>
          <w:p w14:paraId="5A850DD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3544" w:type="dxa"/>
            <w:shd w:val="clear" w:color="auto" w:fill="auto"/>
            <w:hideMark/>
          </w:tcPr>
          <w:p w14:paraId="3D70FAC0"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Direct energy supply jobs</w:t>
            </w:r>
          </w:p>
        </w:tc>
      </w:tr>
      <w:tr w:rsidR="00190C62" w:rsidRPr="00F47DE9" w14:paraId="151268D1"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022C097" w14:textId="36F07DD7" w:rsidR="00190C62" w:rsidRPr="008B19D5" w:rsidRDefault="00190C62" w:rsidP="00190C62">
            <w:pPr>
              <w:rPr>
                <w:rFonts w:ascii="Arial" w:hAnsi="Arial" w:cs="Arial"/>
                <w:b w:val="0"/>
                <w:bCs w:val="0"/>
                <w:sz w:val="20"/>
                <w:szCs w:val="20"/>
              </w:rPr>
            </w:pPr>
            <w:r w:rsidRPr="008B19D5">
              <w:rPr>
                <w:rFonts w:ascii="Arial" w:hAnsi="Arial" w:cs="Arial"/>
                <w:sz w:val="20"/>
                <w:szCs w:val="20"/>
              </w:rPr>
              <w:fldChar w:fldCharType="begin" w:fldLock="1"/>
            </w:r>
            <w:r w:rsidRPr="008B19D5">
              <w:rPr>
                <w:rFonts w:ascii="Arial" w:hAnsi="Arial" w:cs="Arial"/>
                <w:b w:val="0"/>
                <w:bCs w:val="0"/>
                <w:sz w:val="20"/>
                <w:szCs w:val="20"/>
              </w:rPr>
              <w:instrText>ADDIN CSL_CITATION {"citationItems":[{"id":"ITEM-1","itemData":{"DOI":"10.1016/J.ENPOL.2013.01.047","ISSN":"0301-4215","abstract":"The aim of this paper is twofold: first, to calculate the \"green\" energy investments, by industrial sector, that Greece would need in order to satisfy a number of energy and environmental targets adopted in the context of the European Commission's energy and climate change package; and second, to calculate the macro-economic impacts of these \"green\" investments on production and employment in the Greek economy. To this end, the input-output analysis has been exploited for estimating the direct, indirect and induced macroeconomic effects associated with the implementation of selected energy conservation measures, the promotion of renewable energy technologies, etc. Our findings show that the required investments would reach the amount of €47.9 billion, over the period 2010-2020. These investments will result in an average annual increase of the national product by €9.4 billion, creating simultaneously 108,000 full-time equivalent jobs for the entire period under consideration. The employment generated per €1 million investment is relatively higher in energy saving projects in buildings and transport in comparison with the development of RES in power generation sector. © 2013 Elsevier Ltd.","author":[{"dropping-particle":"","family":"Markaki","given":"M.","non-dropping-particle":"","parse-names":false,"suffix":""},{"dropping-particle":"","family":"Belegri-Roboli","given":"A.","non-dropping-particle":"","parse-names":false,"suffix":""},{"dropping-particle":"","family":"Michaelides","given":"P.","non-dropping-particle":"","parse-names":false,"suffix":""},{"dropping-particle":"","family":"Mirasgedis","given":"S.","non-dropping-particle":"","parse-names":false,"suffix":""},{"dropping-particle":"","family":"Lalas","given":"D. P.","non-dropping-particle":"","parse-names":false,"suffix":""}],"container-title":"Energy Policy","id":"ITEM-1","issued":{"date-parts":[["2013","6","1"]]},"page":"263-275","publisher":"Elsevier","title":"The impact of clean energy investments on the Greek economy: An input–output analysis (2010–2020)","type":"article-journal","volume":"57"},"uris":["http://www.mendeley.com/documents/?uuid=0f5459d8-ecbb-39c5-8f90-3a6c94b51399"]}],"mendeley":{"formattedCitation":"(Markaki &lt;i&gt;et al.&lt;/i&gt;, 2013)","manualFormatting":"Markaki et al. (2013)","plainTextFormattedCitation":"(Markaki et al., 2013)","previouslyFormattedCitation":"(Markaki &lt;i&gt;et al.&lt;/i&gt;, 2013)"},"properties":{"noteIndex":0},"schema":"https://github.com/citation-style-language/schema/raw/master/csl-citation.json"}</w:instrText>
            </w:r>
            <w:r w:rsidRPr="008B19D5">
              <w:rPr>
                <w:rFonts w:ascii="Arial" w:hAnsi="Arial" w:cs="Arial"/>
                <w:sz w:val="20"/>
                <w:szCs w:val="20"/>
              </w:rPr>
              <w:fldChar w:fldCharType="separate"/>
            </w:r>
            <w:r w:rsidRPr="008B19D5">
              <w:rPr>
                <w:rFonts w:ascii="Arial" w:hAnsi="Arial" w:cs="Arial"/>
                <w:b w:val="0"/>
                <w:bCs w:val="0"/>
                <w:noProof/>
                <w:sz w:val="20"/>
                <w:szCs w:val="20"/>
              </w:rPr>
              <w:t xml:space="preserve">Markaki </w:t>
            </w:r>
            <w:r w:rsidRPr="008B19D5">
              <w:rPr>
                <w:rFonts w:ascii="Arial" w:hAnsi="Arial" w:cs="Arial"/>
                <w:b w:val="0"/>
                <w:bCs w:val="0"/>
                <w:i/>
                <w:noProof/>
                <w:sz w:val="20"/>
                <w:szCs w:val="20"/>
              </w:rPr>
              <w:t>et al.</w:t>
            </w:r>
            <w:r>
              <w:rPr>
                <w:rFonts w:ascii="Arial" w:hAnsi="Arial" w:cs="Arial"/>
                <w:b w:val="0"/>
                <w:bCs w:val="0"/>
                <w:noProof/>
                <w:sz w:val="20"/>
                <w:szCs w:val="20"/>
              </w:rPr>
              <w:t xml:space="preserve"> </w:t>
            </w:r>
            <w:r w:rsidRPr="008B19D5">
              <w:rPr>
                <w:rFonts w:ascii="Arial" w:hAnsi="Arial" w:cs="Arial"/>
                <w:b w:val="0"/>
                <w:bCs w:val="0"/>
                <w:noProof/>
                <w:sz w:val="20"/>
                <w:szCs w:val="20"/>
              </w:rPr>
              <w:t>(2013)</w:t>
            </w:r>
            <w:r w:rsidRPr="008B19D5">
              <w:rPr>
                <w:rFonts w:ascii="Arial" w:hAnsi="Arial" w:cs="Arial"/>
                <w:sz w:val="20"/>
                <w:szCs w:val="20"/>
              </w:rPr>
              <w:fldChar w:fldCharType="end"/>
            </w:r>
          </w:p>
        </w:tc>
        <w:tc>
          <w:tcPr>
            <w:tcW w:w="1794" w:type="dxa"/>
            <w:shd w:val="clear" w:color="auto" w:fill="auto"/>
          </w:tcPr>
          <w:p w14:paraId="05454993" w14:textId="076AA8A9"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Greece</w:t>
            </w:r>
          </w:p>
        </w:tc>
        <w:tc>
          <w:tcPr>
            <w:tcW w:w="1794" w:type="dxa"/>
            <w:shd w:val="clear" w:color="auto" w:fill="auto"/>
            <w:noWrap/>
          </w:tcPr>
          <w:p w14:paraId="4E243DA1" w14:textId="469F82EB"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Europe</w:t>
            </w:r>
          </w:p>
        </w:tc>
        <w:tc>
          <w:tcPr>
            <w:tcW w:w="3544" w:type="dxa"/>
            <w:shd w:val="clear" w:color="auto" w:fill="auto"/>
            <w:noWrap/>
          </w:tcPr>
          <w:p w14:paraId="5F5D304A" w14:textId="6EDCBA51"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electricity generation</w:t>
            </w:r>
            <w:r>
              <w:rPr>
                <w:rFonts w:ascii="Arial" w:hAnsi="Arial" w:cs="Arial"/>
                <w:sz w:val="20"/>
                <w:szCs w:val="20"/>
              </w:rPr>
              <w:t xml:space="preserve"> and energy efficiency</w:t>
            </w:r>
          </w:p>
        </w:tc>
      </w:tr>
      <w:tr w:rsidR="00190C62" w:rsidRPr="00F47DE9" w14:paraId="542999D6"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02C8264" w14:textId="610325BB"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{"citationItems":[{"id":"ITEM-1","itemData":{"DOI":"10.1016/J.APENERGY.2016.02.122","ISSN":"0306-2619","abstract":"In the view of pressing unemployment and environmental problems, different policies have been proposed to create jobs in the transition to a green economy, including the so-called “green jobs”. There has been an intense debate on the quantification of these employment effects, especially in the European Union. Most studies have focused on estimating gross future employment effects and have ignored the effects between different sectors and countries. This paper looks, for the first time, at the past net employment impacts from the transformation of the EU energy sector including spill-over effects, by using a multi-regional input–output model and the World Input–Output Database. The analysis is focused on the period (1995–2009) when the EU's energy structure went through a significant shift, away from the more carbon intensive sources, towards gas and renewables. We estimate the net employment generated from this structural change at 530,000 jobs in the EU (0.24% of total employment in 2009), of which one third is due to trans-boundary effects within the EU (i.e. employment generated in one country due to the changes in another). Within the EU, the main gainers were Poland, Germany, Hungary, Italy and Spain, and the main losers were Ireland, Lithuania, France and Czech Republic.","author":[{"dropping-particle":"","family":"Markandya","given":"Anil","non-dropping-particle":"","parse-names":false,"suffix":""},{"dropping-particle":"","family":"Arto","given":"Iñaki","non-dropping-particle":"","parse-names":false,"suffix":""},{"dropping-particle":"","family":"González-Eguino","given":"Mikel","non-dropping-particle":"","parse-names":false,"suffix":""},{"dropping-particle":"V.","family":"Román","given":"Maria","non-dropping-particle":"","parse-names":false,"suffix":""}],"container-title":"Applied Energy","id":"ITEM-1","issued":{"date-parts":[["2016","10","1"]]},"page":"1342-1350","publisher":"Elsevier","title":"Towards a green energy economy? Tracking the employment effects of low-carbon technologies in the European Union","type":"article-journal","volume":"179"},"uris":["http://www.mendeley.com/documents/?uuid=29920c4d-0128-303c-911b-ab5ee5d87f18"]}],"mendeley":{"formattedCitation":"(Markandya &lt;i&gt;et al.&lt;/i&gt;, 2016)","plainTextFormattedCitation":"(Markandya et al., 2016)","previouslyFormattedCitation":"(Markandya &lt;i&gt;et al.&lt;/i&gt;, 2016)"},"properties":{"noteIndex":0},"schema":"https://github.com/citation-style-language/schema/raw/master/csl-citation.json"}</w:instrText>
            </w:r>
            <w:r>
              <w:rPr>
                <w:rFonts w:ascii="Arial" w:hAnsi="Arial" w:cs="Arial"/>
                <w:sz w:val="20"/>
                <w:szCs w:val="20"/>
              </w:rPr>
              <w:fldChar w:fldCharType="separate"/>
            </w:r>
            <w:r w:rsidRPr="00914574">
              <w:rPr>
                <w:rFonts w:ascii="Arial" w:hAnsi="Arial" w:cs="Arial"/>
                <w:b w:val="0"/>
                <w:noProof/>
                <w:sz w:val="20"/>
                <w:szCs w:val="20"/>
              </w:rPr>
              <w:t xml:space="preserve">Markandya </w:t>
            </w:r>
            <w:r w:rsidRPr="00914574">
              <w:rPr>
                <w:rFonts w:ascii="Arial" w:hAnsi="Arial" w:cs="Arial"/>
                <w:b w:val="0"/>
                <w:i/>
                <w:noProof/>
                <w:sz w:val="20"/>
                <w:szCs w:val="20"/>
              </w:rPr>
              <w:t>et al.</w:t>
            </w:r>
            <w:r>
              <w:rPr>
                <w:rFonts w:ascii="Arial" w:hAnsi="Arial" w:cs="Arial"/>
                <w:b w:val="0"/>
                <w:noProof/>
                <w:sz w:val="20"/>
                <w:szCs w:val="20"/>
              </w:rPr>
              <w:t xml:space="preserve"> (</w:t>
            </w:r>
            <w:r w:rsidRPr="00914574">
              <w:rPr>
                <w:rFonts w:ascii="Arial" w:hAnsi="Arial" w:cs="Arial"/>
                <w:b w:val="0"/>
                <w:noProof/>
                <w:sz w:val="20"/>
                <w:szCs w:val="20"/>
              </w:rPr>
              <w:t>2016)</w:t>
            </w:r>
            <w:r>
              <w:rPr>
                <w:rFonts w:ascii="Arial" w:hAnsi="Arial" w:cs="Arial"/>
                <w:sz w:val="20"/>
                <w:szCs w:val="20"/>
              </w:rPr>
              <w:fldChar w:fldCharType="end"/>
            </w:r>
          </w:p>
        </w:tc>
        <w:tc>
          <w:tcPr>
            <w:tcW w:w="1794" w:type="dxa"/>
            <w:shd w:val="clear" w:color="auto" w:fill="auto"/>
            <w:hideMark/>
          </w:tcPr>
          <w:p w14:paraId="65284D6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w:t>
            </w:r>
          </w:p>
        </w:tc>
        <w:tc>
          <w:tcPr>
            <w:tcW w:w="1794" w:type="dxa"/>
            <w:shd w:val="clear" w:color="auto" w:fill="auto"/>
            <w:noWrap/>
            <w:hideMark/>
          </w:tcPr>
          <w:p w14:paraId="562F3C4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Europe</w:t>
            </w:r>
          </w:p>
        </w:tc>
        <w:tc>
          <w:tcPr>
            <w:tcW w:w="3544" w:type="dxa"/>
            <w:shd w:val="clear" w:color="auto" w:fill="auto"/>
            <w:noWrap/>
            <w:hideMark/>
          </w:tcPr>
          <w:p w14:paraId="6D28E01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Energy</w:t>
            </w:r>
          </w:p>
        </w:tc>
      </w:tr>
      <w:tr w:rsidR="00190C62" w:rsidRPr="00F47DE9" w14:paraId="5C1A35F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23CC249" w14:textId="27AD351D"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{"citationItems":[{"id":"ITEM-1","itemData":{"author":[{"dropping-particle":"","family":"McDaid","given":"L.","non-dropping-particle":"","parse-names":false,"suffix":""}],"id":"ITEM-1","issued":{"date-parts":[["2016"]]},"title":"Renewable energy independent power producer procurement programme review 2016: a critique of process of implementation of socio-economic benefits including job creation.","type":"report"},"uris":["http://www.mendeley.com/documents/?uuid=1b950599-5ee8-411a-a09e-7c2cb3526a7d"]}],"mendeley":{"formattedCitation":"(McDaid, 2016)","plainTextFormattedCitation":"(McDaid, 2016)","previouslyFormattedCitation":"(McDaid, 2016)"},"properties":{"noteIndex":0},"schema":"https://github.com/citation-style-language/schema/raw/master/csl-citation.json"}</w:instrText>
            </w:r>
            <w:r>
              <w:rPr>
                <w:rFonts w:ascii="Arial" w:hAnsi="Arial" w:cs="Arial"/>
                <w:sz w:val="20"/>
                <w:szCs w:val="20"/>
              </w:rPr>
              <w:fldChar w:fldCharType="separate"/>
            </w:r>
            <w:r w:rsidRPr="00A808AD">
              <w:rPr>
                <w:rFonts w:ascii="Arial" w:hAnsi="Arial" w:cs="Arial"/>
                <w:b w:val="0"/>
                <w:noProof/>
                <w:sz w:val="20"/>
                <w:szCs w:val="20"/>
              </w:rPr>
              <w:t>McDaid</w:t>
            </w:r>
            <w:r>
              <w:rPr>
                <w:rFonts w:ascii="Arial" w:hAnsi="Arial" w:cs="Arial"/>
                <w:b w:val="0"/>
                <w:noProof/>
                <w:sz w:val="20"/>
                <w:szCs w:val="20"/>
              </w:rPr>
              <w:t xml:space="preserve"> (</w:t>
            </w:r>
            <w:r w:rsidRPr="00A808AD">
              <w:rPr>
                <w:rFonts w:ascii="Arial" w:hAnsi="Arial" w:cs="Arial"/>
                <w:b w:val="0"/>
                <w:noProof/>
                <w:sz w:val="20"/>
                <w:szCs w:val="20"/>
              </w:rPr>
              <w:t>2016)</w:t>
            </w:r>
            <w:r>
              <w:rPr>
                <w:rFonts w:ascii="Arial" w:hAnsi="Arial" w:cs="Arial"/>
                <w:sz w:val="20"/>
                <w:szCs w:val="20"/>
              </w:rPr>
              <w:fldChar w:fldCharType="end"/>
            </w:r>
          </w:p>
        </w:tc>
        <w:tc>
          <w:tcPr>
            <w:tcW w:w="1794" w:type="dxa"/>
            <w:shd w:val="clear" w:color="auto" w:fill="auto"/>
            <w:noWrap/>
            <w:hideMark/>
          </w:tcPr>
          <w:p w14:paraId="188C848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South Africa</w:t>
            </w:r>
          </w:p>
        </w:tc>
        <w:tc>
          <w:tcPr>
            <w:tcW w:w="1794" w:type="dxa"/>
            <w:shd w:val="clear" w:color="auto" w:fill="auto"/>
            <w:hideMark/>
          </w:tcPr>
          <w:p w14:paraId="61C4BDF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Africa</w:t>
            </w:r>
          </w:p>
        </w:tc>
        <w:tc>
          <w:tcPr>
            <w:tcW w:w="3544" w:type="dxa"/>
            <w:shd w:val="clear" w:color="auto" w:fill="auto"/>
            <w:noWrap/>
            <w:hideMark/>
          </w:tcPr>
          <w:p w14:paraId="53B8301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 nuclear / fossil fuels</w:t>
            </w:r>
          </w:p>
        </w:tc>
      </w:tr>
      <w:tr w:rsidR="00190C62" w:rsidRPr="00F47DE9" w14:paraId="34B20AC3"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31B7A3A9" w14:textId="0F3CCD89" w:rsidR="00190C62"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Meyer","given":"Ina","non-dropping-particle":"","parse-names":false,"suffix":""},{"dropping-particle":"","family":"Sommer","given":"Mark","non-dropping-particle":"","parse-names":false,"suffix":""}],"id":"ITEM-1","issued":{"date-parts":[["2014"]]},"title":"Employment Effects of Renewable Energy Supply - A Meta Analysis","type":"paper-conference"},"uris":["http://www.mendeley.com/documents/?uuid=44d5fb73-1ee7-43ae-b78d-679004c60761"]}],"mendeley":{"formattedCitation":"(Meyer and Sommer, 2014)","plainTextFormattedCitation":"(Meyer and Sommer, 2014)","previouslyFormattedCitation":"(Meyer and Sommer, 2014)"},"properties":{"noteIndex":0},"schema":"https://github.com/citation-style-language/schema/raw/master/csl-citation.json"}</w:instrText>
            </w:r>
            <w:r>
              <w:rPr>
                <w:rFonts w:ascii="Arial" w:hAnsi="Arial" w:cs="Arial"/>
                <w:sz w:val="20"/>
                <w:szCs w:val="20"/>
              </w:rPr>
              <w:fldChar w:fldCharType="separate"/>
            </w:r>
            <w:r w:rsidRPr="002352F2">
              <w:rPr>
                <w:rFonts w:ascii="Arial" w:hAnsi="Arial" w:cs="Arial"/>
                <w:b w:val="0"/>
                <w:noProof/>
                <w:sz w:val="20"/>
                <w:szCs w:val="20"/>
              </w:rPr>
              <w:t>Meyer and Sommer</w:t>
            </w:r>
            <w:r>
              <w:rPr>
                <w:rFonts w:ascii="Arial" w:hAnsi="Arial" w:cs="Arial"/>
                <w:b w:val="0"/>
                <w:noProof/>
                <w:sz w:val="20"/>
                <w:szCs w:val="20"/>
              </w:rPr>
              <w:t xml:space="preserve"> (</w:t>
            </w:r>
            <w:r w:rsidRPr="002352F2">
              <w:rPr>
                <w:rFonts w:ascii="Arial" w:hAnsi="Arial" w:cs="Arial"/>
                <w:b w:val="0"/>
                <w:noProof/>
                <w:sz w:val="20"/>
                <w:szCs w:val="20"/>
              </w:rPr>
              <w:t>2014)</w:t>
            </w:r>
            <w:r>
              <w:rPr>
                <w:rFonts w:ascii="Arial" w:hAnsi="Arial" w:cs="Arial"/>
                <w:sz w:val="20"/>
                <w:szCs w:val="20"/>
              </w:rPr>
              <w:fldChar w:fldCharType="end"/>
            </w:r>
          </w:p>
        </w:tc>
        <w:tc>
          <w:tcPr>
            <w:tcW w:w="1794" w:type="dxa"/>
            <w:shd w:val="clear" w:color="auto" w:fill="auto"/>
            <w:noWrap/>
          </w:tcPr>
          <w:p w14:paraId="6D0E4A75" w14:textId="2AA5C64E"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 international, Austria</w:t>
            </w:r>
          </w:p>
        </w:tc>
        <w:tc>
          <w:tcPr>
            <w:tcW w:w="1794" w:type="dxa"/>
            <w:shd w:val="clear" w:color="auto" w:fill="auto"/>
            <w:noWrap/>
          </w:tcPr>
          <w:p w14:paraId="584B4FF5" w14:textId="34B56764"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noWrap/>
          </w:tcPr>
          <w:p w14:paraId="5C4741BE" w14:textId="2E4C44FD"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Renewable energy / energy efficiency  </w:t>
            </w:r>
          </w:p>
        </w:tc>
      </w:tr>
      <w:tr w:rsidR="00190C62" w:rsidRPr="00F47DE9" w14:paraId="26F817D9" w14:textId="77777777" w:rsidTr="003A116E">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8DC2378" w14:textId="3F1E296D"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Meyer","given":"Ina","non-dropping-particle":"","parse-names":false,"suffix":""},{"dropping-particle":"","family":"Sommer","given":"Mark","non-dropping-particle":"","parse-names":false,"suffix":""}],"container-title":"International Journal of Sustainable Development","id":"ITEM-1","issued":{"date-parts":[["2016"]]},"page":"217-245","title":"Employment effects of renewable energy deployment - a review","type":"article-journal","volume":"19"},"uris":["http://www.mendeley.com/documents/?uuid=b4ffb3c1-0868-406a-a223-770f22b755c6"]}],"mendeley":{"formattedCitation":"(Meyer and Sommer, 2016)","plainTextFormattedCitation":"(Meyer and Sommer, 2016)","previouslyFormattedCitation":"(Meyer and Sommer, 2016)"},"properties":{"noteIndex":0},"schema":"https://github.com/citation-style-language/schema/raw/master/csl-citation.json"}</w:instrText>
            </w:r>
            <w:r>
              <w:rPr>
                <w:rFonts w:ascii="Arial" w:hAnsi="Arial" w:cs="Arial"/>
                <w:sz w:val="20"/>
                <w:szCs w:val="20"/>
              </w:rPr>
              <w:fldChar w:fldCharType="separate"/>
            </w:r>
            <w:r w:rsidRPr="002352F2">
              <w:rPr>
                <w:rFonts w:ascii="Arial" w:hAnsi="Arial" w:cs="Arial"/>
                <w:b w:val="0"/>
                <w:noProof/>
                <w:sz w:val="20"/>
                <w:szCs w:val="20"/>
              </w:rPr>
              <w:t>Meyer and Sommer</w:t>
            </w:r>
            <w:r>
              <w:rPr>
                <w:rFonts w:ascii="Arial" w:hAnsi="Arial" w:cs="Arial"/>
                <w:b w:val="0"/>
                <w:noProof/>
                <w:sz w:val="20"/>
                <w:szCs w:val="20"/>
              </w:rPr>
              <w:t xml:space="preserve"> (</w:t>
            </w:r>
            <w:r w:rsidRPr="002352F2">
              <w:rPr>
                <w:rFonts w:ascii="Arial" w:hAnsi="Arial" w:cs="Arial"/>
                <w:b w:val="0"/>
                <w:noProof/>
                <w:sz w:val="20"/>
                <w:szCs w:val="20"/>
              </w:rPr>
              <w:t>2016)</w:t>
            </w:r>
            <w:r>
              <w:rPr>
                <w:rFonts w:ascii="Arial" w:hAnsi="Arial" w:cs="Arial"/>
                <w:sz w:val="20"/>
                <w:szCs w:val="20"/>
              </w:rPr>
              <w:fldChar w:fldCharType="end"/>
            </w:r>
          </w:p>
        </w:tc>
        <w:tc>
          <w:tcPr>
            <w:tcW w:w="1794" w:type="dxa"/>
            <w:shd w:val="clear" w:color="auto" w:fill="auto"/>
            <w:noWrap/>
          </w:tcPr>
          <w:p w14:paraId="7FE78ED3" w14:textId="03280023"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Developed (OECD) countries and regions (except China)</w:t>
            </w:r>
          </w:p>
        </w:tc>
        <w:tc>
          <w:tcPr>
            <w:tcW w:w="1794" w:type="dxa"/>
            <w:shd w:val="clear" w:color="auto" w:fill="auto"/>
            <w:noWrap/>
          </w:tcPr>
          <w:p w14:paraId="715F2E09" w14:textId="3099E168"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OECD</w:t>
            </w:r>
          </w:p>
        </w:tc>
        <w:tc>
          <w:tcPr>
            <w:tcW w:w="3544" w:type="dxa"/>
            <w:shd w:val="clear" w:color="auto" w:fill="auto"/>
            <w:noWrap/>
          </w:tcPr>
          <w:p w14:paraId="6B75F2FF" w14:textId="1A693072"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63E19D81"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666BFB2" w14:textId="27191641" w:rsidR="00190C62" w:rsidRPr="0098685F" w:rsidRDefault="00190C62" w:rsidP="00190C62">
            <w:pPr>
              <w:rPr>
                <w:rFonts w:ascii="Arial" w:hAnsi="Arial" w:cs="Arial"/>
                <w:b w:val="0"/>
                <w:bCs w:val="0"/>
                <w:sz w:val="20"/>
                <w:szCs w:val="20"/>
              </w:rPr>
            </w:pPr>
            <w:r w:rsidRPr="0098685F">
              <w:rPr>
                <w:rFonts w:ascii="Arial" w:hAnsi="Arial" w:cs="Arial"/>
                <w:sz w:val="20"/>
                <w:szCs w:val="20"/>
              </w:rPr>
              <w:fldChar w:fldCharType="begin" w:fldLock="1"/>
            </w:r>
            <w:r w:rsidRPr="0098685F">
              <w:rPr>
                <w:rFonts w:ascii="Arial" w:hAnsi="Arial" w:cs="Arial"/>
                <w:b w:val="0"/>
                <w:bCs w:val="0"/>
                <w:sz w:val="20"/>
                <w:szCs w:val="20"/>
              </w:rPr>
              <w:instrText>ADDIN CSL_CITATION {"citationItems":[{"id":"ITEM-1","itemData":{"DOI":"10.1016/J.ENPOL.2016.06.040","ISSN":"0301-4215","abstract":"The purpose of this paper is to estimunate the impact of energy saving investment in residential and public buildings in Croatia for the period 2015–2020. The aim is to assess the overall socio-economic impact of energy saving renovation measures defined in Croatian strategic documents in terms of the direct, indirect and induced growth of gross value added, employment and government revenues. An estimate of the avoided costs of air pollution is also included. The overall economic impact assessment is based on an input-output methodology. From the point of view of individual investors, the benefits in terms of reduced future expenses related to energy products are usually below energy efficient renovation investment costs, making an investment financially viable only if government support is provided. If the benefits for society as a whole are included, energy efficient renovation could be assessed as viable even in the short-run. Energy saving retrofits of residential and public buildings positively contribute to economic growth, employment and protection of the environment. Because of economic growth, the tax revenues induced by these investments could compensate for government expenditures, and the overall impact on the public deficit is expected to be neutral even in the short-run.","author":[{"dropping-particle":"","family":"Mikulić","given":"Davor","non-dropping-particle":"","parse-names":false,"suffix":""},{"dropping-particle":"","family":"Bakarić","given":"Ivana Rašić","non-dropping-particle":"","parse-names":false,"suffix":""},{"dropping-particle":"","family":"Slijepčević","given":"Sunčana","non-dropping-particle":"","parse-names":false,"suffix":""}],"container-title":"Energy Policy","id":"ITEM-1","issued":{"date-parts":[["2016","9","1"]]},"page":"630-644","publisher":"Elsevier","title":"The economic impact of energy saving retrofits of residential and public buildings in Croatia","type":"article-journal","volume":"96"},"uris":["http://www.mendeley.com/documents/?uuid=57e6de6c-0e65-34f8-8bc9-8c6547cef9b8"]}],"mendeley":{"formattedCitation":"(Mikulić, Bakarić and Slijepčević, 2016)","manualFormatting":"Mikulić, Bakarić and Slijepčević (2016)","plainTextFormattedCitation":"(Mikulić, Bakarić and Slijepčević, 2016)","previouslyFormattedCitation":"(Mikulić, Bakarić and Slijepčević, 2016)"},"properties":{"noteIndex":0},"schema":"https://github.com/citation-style-language/schema/raw/master/csl-citation.json"}</w:instrText>
            </w:r>
            <w:r w:rsidRPr="0098685F">
              <w:rPr>
                <w:rFonts w:ascii="Arial" w:hAnsi="Arial" w:cs="Arial"/>
                <w:sz w:val="20"/>
                <w:szCs w:val="20"/>
              </w:rPr>
              <w:fldChar w:fldCharType="separate"/>
            </w:r>
            <w:r w:rsidRPr="0098685F">
              <w:rPr>
                <w:rFonts w:ascii="Arial" w:hAnsi="Arial" w:cs="Arial"/>
                <w:b w:val="0"/>
                <w:bCs w:val="0"/>
                <w:noProof/>
                <w:sz w:val="20"/>
                <w:szCs w:val="20"/>
              </w:rPr>
              <w:t>Mikulić, Bakarić and Slijepčević (2016)</w:t>
            </w:r>
            <w:r w:rsidRPr="0098685F">
              <w:rPr>
                <w:rFonts w:ascii="Arial" w:hAnsi="Arial" w:cs="Arial"/>
                <w:sz w:val="20"/>
                <w:szCs w:val="20"/>
              </w:rPr>
              <w:fldChar w:fldCharType="end"/>
            </w:r>
          </w:p>
        </w:tc>
        <w:tc>
          <w:tcPr>
            <w:tcW w:w="1794" w:type="dxa"/>
            <w:shd w:val="clear" w:color="auto" w:fill="auto"/>
            <w:noWrap/>
          </w:tcPr>
          <w:p w14:paraId="7C754693" w14:textId="24675F92"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Croatia</w:t>
            </w:r>
          </w:p>
        </w:tc>
        <w:tc>
          <w:tcPr>
            <w:tcW w:w="1794" w:type="dxa"/>
            <w:shd w:val="clear" w:color="auto" w:fill="auto"/>
          </w:tcPr>
          <w:p w14:paraId="3A217382" w14:textId="295B9136"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Europe</w:t>
            </w:r>
          </w:p>
        </w:tc>
        <w:tc>
          <w:tcPr>
            <w:tcW w:w="3544" w:type="dxa"/>
            <w:shd w:val="clear" w:color="auto" w:fill="auto"/>
            <w:noWrap/>
          </w:tcPr>
          <w:p w14:paraId="305910AE" w14:textId="60E669C3"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 xml:space="preserve">Energy efficiency  </w:t>
            </w:r>
          </w:p>
        </w:tc>
      </w:tr>
      <w:tr w:rsidR="00190C62" w:rsidRPr="00F47DE9" w14:paraId="44A8E96D"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F4AF42B" w14:textId="06171EA5" w:rsidR="00190C62" w:rsidRPr="0098685F" w:rsidRDefault="00190C62" w:rsidP="00190C62">
            <w:pPr>
              <w:rPr>
                <w:rFonts w:ascii="Arial" w:hAnsi="Arial" w:cs="Arial"/>
                <w:b w:val="0"/>
                <w:bCs w:val="0"/>
                <w:sz w:val="20"/>
                <w:szCs w:val="20"/>
              </w:rPr>
            </w:pPr>
            <w:r w:rsidRPr="0098685F">
              <w:rPr>
                <w:rFonts w:ascii="Arial" w:hAnsi="Arial" w:cs="Arial"/>
                <w:sz w:val="20"/>
                <w:szCs w:val="20"/>
              </w:rPr>
              <w:fldChar w:fldCharType="begin" w:fldLock="1"/>
            </w:r>
            <w:r w:rsidRPr="0098685F">
              <w:rPr>
                <w:rFonts w:ascii="Arial" w:hAnsi="Arial" w:cs="Arial"/>
                <w:b w:val="0"/>
                <w:bCs w:val="0"/>
                <w:sz w:val="20"/>
                <w:szCs w:val="20"/>
              </w:rPr>
              <w:instrText>ADDIN CSL_CITATION {"citationItems":[{"id":"ITEM-1","itemData":{"DOI":"10.1016/J.ENBUILD.2014.07.027","ISSN":"0378-7788","abstract":"The global trend toward a low carbon, sustainable economy is widely acknowledged to create a large number of jobs across many sectors of the economy. The deployment of renewable and energy efficiency projects represent a large share of the so called green jobs and help retain current levels of employment especially in countries facing the socio-economic threat of increasing unemployment rates. These effects should be taken into account during the process of energy planning, but due to difficulties in their quantification this is not always feasible. This paper utilizes the input-output analysis and the adjusted earnings gain approach for assessing the employment effects associated with the implementation of energy saving interventions in the building sector, with a view to produce results that can be easily incorporated into cost-benefit analyses. The proposed framework, which comprises four basic steps, namely identification of all the potential changes in employment due to energy efficiency interventions, quantification of these employment effects in physical terms, calculation of the net present value of the estimated employment effects and monetization, has been implemented for three energy efficiency interventions widely implemented in Greek buildings. The results of the analysis clearly show that the exploitation of energy saving technologies in the Greek building stock generates significant employment benefits, ranging between €0.11 and 0.23 million per €1 million of investment in the base case scenario and reaching the 10-24% of the energy costs savings attributed to the implementation of these interventions throughout their entire lifetime. © 2014 Elsevier B.V.","author":[{"dropping-particle":"","family":"Mirasgedis","given":"S.","non-dropping-particle":"","parse-names":false,"suffix":""},{"dropping-particle":"","family":"Tourkolias","given":"C.","non-dropping-particle":"","parse-names":false,"suffix":""},{"dropping-particle":"","family":"Pavlakis","given":"E.","non-dropping-particle":"","parse-names":false,"suffix":""},{"dropping-particle":"","family":"Diakoulaki","given":"D.","non-dropping-particle":"","parse-names":false,"suffix":""}],"container-title":"Energy and Buildings","id":"ITEM-1","issued":{"date-parts":[["2014","10","1"]]},"page":"275-286","publisher":"Elsevier","title":"A methodological framework for assessing the employment effects associated with energy efficiency interventions in buildings","type":"article-journal","volume":"82"},"uris":["http://www.mendeley.com/documents/?uuid=1cc83ad1-20a0-31f8-a0fb-cec625953bdd"]}],"mendeley":{"formattedCitation":"(Mirasgedis &lt;i&gt;et al.&lt;/i&gt;, 2014)","manualFormatting":"Mirasgedis et al. (2014)","plainTextFormattedCitation":"(Mirasgedis et al., 2014)","previouslyFormattedCitation":"(Mirasgedis &lt;i&gt;et al.&lt;/i&gt;, 2014)"},"properties":{"noteIndex":0},"schema":"https://github.com/citation-style-language/schema/raw/master/csl-citation.json"}</w:instrText>
            </w:r>
            <w:r w:rsidRPr="0098685F">
              <w:rPr>
                <w:rFonts w:ascii="Arial" w:hAnsi="Arial" w:cs="Arial"/>
                <w:sz w:val="20"/>
                <w:szCs w:val="20"/>
              </w:rPr>
              <w:fldChar w:fldCharType="separate"/>
            </w:r>
            <w:r w:rsidRPr="0098685F">
              <w:rPr>
                <w:rFonts w:ascii="Arial" w:hAnsi="Arial" w:cs="Arial"/>
                <w:b w:val="0"/>
                <w:bCs w:val="0"/>
                <w:noProof/>
                <w:sz w:val="20"/>
                <w:szCs w:val="20"/>
              </w:rPr>
              <w:t xml:space="preserve">Mirasgedis </w:t>
            </w:r>
            <w:r w:rsidRPr="0098685F">
              <w:rPr>
                <w:rFonts w:ascii="Arial" w:hAnsi="Arial" w:cs="Arial"/>
                <w:b w:val="0"/>
                <w:bCs w:val="0"/>
                <w:i/>
                <w:noProof/>
                <w:sz w:val="20"/>
                <w:szCs w:val="20"/>
              </w:rPr>
              <w:t>et al.</w:t>
            </w:r>
            <w:r w:rsidRPr="0098685F">
              <w:rPr>
                <w:rFonts w:ascii="Arial" w:hAnsi="Arial" w:cs="Arial"/>
                <w:b w:val="0"/>
                <w:bCs w:val="0"/>
                <w:noProof/>
                <w:sz w:val="20"/>
                <w:szCs w:val="20"/>
              </w:rPr>
              <w:t xml:space="preserve"> (2014)</w:t>
            </w:r>
            <w:r w:rsidRPr="0098685F">
              <w:rPr>
                <w:rFonts w:ascii="Arial" w:hAnsi="Arial" w:cs="Arial"/>
                <w:sz w:val="20"/>
                <w:szCs w:val="20"/>
              </w:rPr>
              <w:fldChar w:fldCharType="end"/>
            </w:r>
          </w:p>
        </w:tc>
        <w:tc>
          <w:tcPr>
            <w:tcW w:w="1794" w:type="dxa"/>
            <w:shd w:val="clear" w:color="auto" w:fill="auto"/>
            <w:noWrap/>
            <w:hideMark/>
          </w:tcPr>
          <w:p w14:paraId="5C64FB26" w14:textId="77777777"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Greece</w:t>
            </w:r>
          </w:p>
        </w:tc>
        <w:tc>
          <w:tcPr>
            <w:tcW w:w="1794" w:type="dxa"/>
            <w:shd w:val="clear" w:color="auto" w:fill="auto"/>
            <w:hideMark/>
          </w:tcPr>
          <w:p w14:paraId="2903BAA5" w14:textId="77777777"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Europe</w:t>
            </w:r>
          </w:p>
        </w:tc>
        <w:tc>
          <w:tcPr>
            <w:tcW w:w="3544" w:type="dxa"/>
            <w:shd w:val="clear" w:color="auto" w:fill="auto"/>
            <w:noWrap/>
            <w:hideMark/>
          </w:tcPr>
          <w:p w14:paraId="0F1C1D9E" w14:textId="77777777"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 xml:space="preserve">Energy efficiency  </w:t>
            </w:r>
          </w:p>
        </w:tc>
      </w:tr>
      <w:tr w:rsidR="00190C62" w:rsidRPr="00F47DE9" w14:paraId="25DF74EA"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503B670C" w14:textId="7A6707F5" w:rsidR="00190C62" w:rsidRPr="00190C62" w:rsidRDefault="00190C62" w:rsidP="00190C62">
            <w:pPr>
              <w:rPr>
                <w:rFonts w:ascii="Arial" w:hAnsi="Arial" w:cs="Arial"/>
                <w:sz w:val="20"/>
                <w:szCs w:val="20"/>
              </w:rPr>
            </w:pPr>
            <w:r w:rsidRPr="00190C62">
              <w:rPr>
                <w:rFonts w:ascii="Arial" w:hAnsi="Arial" w:cs="Arial"/>
                <w:sz w:val="20"/>
                <w:szCs w:val="20"/>
              </w:rPr>
              <w:fldChar w:fldCharType="begin" w:fldLock="1"/>
            </w:r>
            <w:r w:rsidRPr="00190C62">
              <w:rPr>
                <w:rFonts w:ascii="Arial" w:hAnsi="Arial" w:cs="Arial"/>
                <w:sz w:val="20"/>
                <w:szCs w:val="20"/>
              </w:rPr>
              <w:instrText>ADDIN CSL_CITATION {"citationItems":[{"id":"ITEM-1","itemData":{"DOI":"10.1016/J.RSER.2021.111456","ISSN":"1364-0321","abstract":"Using data envelopment analysis (DEA) and Malmquist index (MI) method, this study investigates the effect of the transition of renewable energy operational policies in Malaysia through static and dynamic analyses. This study also evaluates the performance of the country's operational policies in the development of renewable energy including small renewable energy power (SREP), feed-in tariff (FiT), large-scale solar photovoltaic (LSSPV) and net energy metering. In this study, three inputs (employment, electricity generation and renewable energy licensed capacity) and two outputs (gross domestic product and renewable energy generation) are used. Using the panel dataset, this study applies the Malmquist productivity index to calculate the changes in efficiency, technology and total productivity in four Malaysian regions in 2010–2017. Results show that the East Malaysia region is the most efficient in developing renewable energy during the aforementioned period. Results also demonstrate that Malaysia experienced a decrease in renewable energy efficiency during the first policy transition from the SREP programme to the FiT programme, and efficiency increased during the second policy transition from the FiT programme to the integrated programme in 2017. Malaysia's renewable energy policy transition has also contributed up to sevenfold of social benefits in solar photovoltaic industry job creations between 2012 and 2019, and up to 0.16% in carbon emission reduction of environmental impacts from 2012 to 2018. Using DEA and the MI method, this study highlights the phase of transition of renewable energy policies and the effect of implementing these policies on renewable energy development in Malaysia.","author":[{"dropping-particle":"","family":"Mohd Chachuli","given":"Fairuz Suzana","non-dropping-particle":"","parse-names":false,"suffix":""},{"dropping-particle":"","family":"Ahmad Ludin","given":"Norasikin","non-dropping-particle":"","parse-names":false,"suffix":""},{"dropping-particle":"","family":"Md Jedi","given":"Muhamad Alias","non-dropping-particle":"","parse-names":false,"suffix":""},{"dropping-particle":"","family":"Hamid","given":"Norul Hisham","non-dropping-particle":"","parse-names":false,"suffix":""}],"container-title":"Renewable and Sustainable Energy Reviews","id":"ITEM-1","issued":{"date-parts":[["2021","10","1"]]},"page":"111456","publisher":"Pergamon","title":"Transition of renewable energy policies in Malaysia: Benchmarking with data envelopment analysis","type":"article-journal","volume":"150"},"uris":["http://www.mendeley.com/documents/?uuid=654ab30b-42e5-313f-a847-1dc5dce01e79"]}],"mendeley":{"formattedCitation":"(Mohd Chachuli &lt;i&gt;et al.&lt;/i&gt;, 2021)","manualFormatting":"Mohd Chachuli et al. (2021)","plainTextFormattedCitation":"(Mohd Chachuli et al., 2021)","previouslyFormattedCitation":"(Mohd Chachuli &lt;i&gt;et al.&lt;/i&gt;, 2021)"},"properties":{"noteIndex":0},"schema":"https://github.com/citation-style-language/schema/raw/master/csl-citation.json"}</w:instrText>
            </w:r>
            <w:r w:rsidRPr="00190C62">
              <w:rPr>
                <w:rFonts w:ascii="Arial" w:hAnsi="Arial" w:cs="Arial"/>
                <w:sz w:val="20"/>
                <w:szCs w:val="20"/>
              </w:rPr>
              <w:fldChar w:fldCharType="separate"/>
            </w:r>
            <w:r w:rsidRPr="00190C62">
              <w:rPr>
                <w:rFonts w:ascii="Arial" w:hAnsi="Arial" w:cs="Arial"/>
                <w:b w:val="0"/>
                <w:noProof/>
                <w:sz w:val="20"/>
                <w:szCs w:val="20"/>
              </w:rPr>
              <w:t xml:space="preserve">Mohd Chachuli </w:t>
            </w:r>
            <w:r w:rsidRPr="00190C62">
              <w:rPr>
                <w:rFonts w:ascii="Arial" w:hAnsi="Arial" w:cs="Arial"/>
                <w:b w:val="0"/>
                <w:i/>
                <w:noProof/>
                <w:sz w:val="20"/>
                <w:szCs w:val="20"/>
              </w:rPr>
              <w:t>et al.</w:t>
            </w:r>
            <w:r w:rsidRPr="00190C62">
              <w:rPr>
                <w:rFonts w:ascii="Arial" w:hAnsi="Arial" w:cs="Arial"/>
                <w:b w:val="0"/>
                <w:noProof/>
                <w:sz w:val="20"/>
                <w:szCs w:val="20"/>
              </w:rPr>
              <w:t xml:space="preserve"> (2021)</w:t>
            </w:r>
            <w:r w:rsidRPr="00190C62">
              <w:rPr>
                <w:rFonts w:ascii="Arial" w:hAnsi="Arial" w:cs="Arial"/>
                <w:sz w:val="20"/>
                <w:szCs w:val="20"/>
              </w:rPr>
              <w:fldChar w:fldCharType="end"/>
            </w:r>
          </w:p>
        </w:tc>
        <w:tc>
          <w:tcPr>
            <w:tcW w:w="1794" w:type="dxa"/>
            <w:shd w:val="clear" w:color="auto" w:fill="auto"/>
            <w:noWrap/>
          </w:tcPr>
          <w:p w14:paraId="11ED098F" w14:textId="5DA94307" w:rsidR="00190C62" w:rsidRPr="00190C62"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0C62">
              <w:rPr>
                <w:rFonts w:ascii="Arial" w:hAnsi="Arial" w:cs="Arial"/>
                <w:sz w:val="20"/>
                <w:szCs w:val="20"/>
              </w:rPr>
              <w:t>Malaysia</w:t>
            </w:r>
          </w:p>
        </w:tc>
        <w:tc>
          <w:tcPr>
            <w:tcW w:w="1794" w:type="dxa"/>
            <w:shd w:val="clear" w:color="auto" w:fill="auto"/>
          </w:tcPr>
          <w:p w14:paraId="4D947064" w14:textId="417D5BA7" w:rsidR="00190C62" w:rsidRPr="00190C62"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0C62">
              <w:rPr>
                <w:rFonts w:ascii="Arial" w:hAnsi="Arial" w:cs="Arial"/>
                <w:sz w:val="20"/>
                <w:szCs w:val="20"/>
              </w:rPr>
              <w:t>Asia</w:t>
            </w:r>
          </w:p>
        </w:tc>
        <w:tc>
          <w:tcPr>
            <w:tcW w:w="3544" w:type="dxa"/>
            <w:shd w:val="clear" w:color="auto" w:fill="auto"/>
            <w:noWrap/>
          </w:tcPr>
          <w:p w14:paraId="52A88411" w14:textId="0131F608" w:rsidR="00190C62" w:rsidRPr="00190C62"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0C62">
              <w:rPr>
                <w:rFonts w:ascii="Arial" w:hAnsi="Arial" w:cs="Arial"/>
                <w:sz w:val="20"/>
                <w:szCs w:val="20"/>
              </w:rPr>
              <w:t>Renewable energy</w:t>
            </w:r>
          </w:p>
        </w:tc>
      </w:tr>
      <w:tr w:rsidR="00190C62" w:rsidRPr="00F47DE9" w14:paraId="29996F3E"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01DE54BE" w14:textId="5664151D" w:rsidR="00190C62" w:rsidRPr="0098685F" w:rsidRDefault="00190C62" w:rsidP="00190C62">
            <w:pPr>
              <w:rPr>
                <w:rFonts w:ascii="Arial" w:hAnsi="Arial" w:cs="Arial"/>
                <w:sz w:val="20"/>
                <w:szCs w:val="20"/>
              </w:rPr>
            </w:pPr>
            <w:r w:rsidRPr="0098685F">
              <w:rPr>
                <w:rFonts w:ascii="Arial" w:hAnsi="Arial" w:cs="Arial"/>
                <w:sz w:val="20"/>
                <w:szCs w:val="20"/>
              </w:rPr>
              <w:fldChar w:fldCharType="begin" w:fldLock="1"/>
            </w:r>
            <w:r w:rsidRPr="0098685F">
              <w:rPr>
                <w:rFonts w:ascii="Arial" w:hAnsi="Arial" w:cs="Arial"/>
                <w:sz w:val="20"/>
                <w:szCs w:val="20"/>
              </w:rPr>
              <w:instrText>ADDIN CSL_CITATION {"citationItems":[{"id":"ITEM-1","itemData":{"author":[{"dropping-particle":"","family":"Montt","given":"Guillermo","non-dropping-particle":"","parse-names":false,"suffix":""},{"dropping-particle":"","family":"Maître","given":"Nicolas","non-dropping-particle":"","parse-names":false,"suffix":""},{"dropping-particle":"","family":"Amo-Agyei","given":"Silas","non-dropping-particle":"","parse-names":false,"suffix":""}],"id":"ITEM-1","issued":{"date-parts":[["2018"]]},"publisher-place":"Geneva, Switzerland","title":"The transition in play: Worldwide employment trends in the electricity sector","type":"report"},"uris":["http://www.mendeley.com/documents/?uuid=9b2b02c5-8b9b-4e04-b6ca-347ec2e54f02"]}],"mendeley":{"formattedCitation":"(Montt, Maître and Amo-Agyei, 2018)","plainTextFormattedCitation":"(Montt, Maître and Amo-Agyei, 2018)","previouslyFormattedCitation":"(Montt, Maître and Amo-Agyei, 2018)"},"properties":{"noteIndex":0},"schema":"https://github.com/citation-style-language/schema/raw/master/csl-citation.json"}</w:instrText>
            </w:r>
            <w:r w:rsidRPr="0098685F">
              <w:rPr>
                <w:rFonts w:ascii="Arial" w:hAnsi="Arial" w:cs="Arial"/>
                <w:sz w:val="20"/>
                <w:szCs w:val="20"/>
              </w:rPr>
              <w:fldChar w:fldCharType="separate"/>
            </w:r>
            <w:r w:rsidRPr="0098685F">
              <w:rPr>
                <w:rFonts w:ascii="Arial" w:hAnsi="Arial" w:cs="Arial"/>
                <w:b w:val="0"/>
                <w:noProof/>
                <w:sz w:val="20"/>
                <w:szCs w:val="20"/>
              </w:rPr>
              <w:t>Montt, Maître and Amo-Agyei</w:t>
            </w:r>
            <w:r>
              <w:rPr>
                <w:rFonts w:ascii="Arial" w:hAnsi="Arial" w:cs="Arial"/>
                <w:b w:val="0"/>
                <w:noProof/>
                <w:sz w:val="20"/>
                <w:szCs w:val="20"/>
              </w:rPr>
              <w:t xml:space="preserve"> (</w:t>
            </w:r>
            <w:r w:rsidRPr="0098685F">
              <w:rPr>
                <w:rFonts w:ascii="Arial" w:hAnsi="Arial" w:cs="Arial"/>
                <w:b w:val="0"/>
                <w:noProof/>
                <w:sz w:val="20"/>
                <w:szCs w:val="20"/>
              </w:rPr>
              <w:t>2018)</w:t>
            </w:r>
            <w:r w:rsidRPr="0098685F">
              <w:rPr>
                <w:rFonts w:ascii="Arial" w:hAnsi="Arial" w:cs="Arial"/>
                <w:sz w:val="20"/>
                <w:szCs w:val="20"/>
              </w:rPr>
              <w:fldChar w:fldCharType="end"/>
            </w:r>
          </w:p>
        </w:tc>
        <w:tc>
          <w:tcPr>
            <w:tcW w:w="1794" w:type="dxa"/>
            <w:shd w:val="clear" w:color="auto" w:fill="auto"/>
            <w:noWrap/>
            <w:hideMark/>
          </w:tcPr>
          <w:p w14:paraId="288F525C" w14:textId="77777777"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Global</w:t>
            </w:r>
          </w:p>
        </w:tc>
        <w:tc>
          <w:tcPr>
            <w:tcW w:w="1794" w:type="dxa"/>
            <w:shd w:val="clear" w:color="auto" w:fill="auto"/>
            <w:hideMark/>
          </w:tcPr>
          <w:p w14:paraId="1D5767F2" w14:textId="77777777"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Global</w:t>
            </w:r>
          </w:p>
        </w:tc>
        <w:tc>
          <w:tcPr>
            <w:tcW w:w="3544" w:type="dxa"/>
            <w:shd w:val="clear" w:color="auto" w:fill="auto"/>
            <w:noWrap/>
            <w:hideMark/>
          </w:tcPr>
          <w:p w14:paraId="3D3B5E32" w14:textId="77777777"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Electricity generation including renewables and fossil fuels</w:t>
            </w:r>
          </w:p>
        </w:tc>
      </w:tr>
      <w:tr w:rsidR="00190C62" w:rsidRPr="00F47DE9" w14:paraId="796C7ABA"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99DA4C7" w14:textId="39A4251D" w:rsidR="00190C62" w:rsidRPr="0098685F" w:rsidRDefault="00190C62" w:rsidP="00190C62">
            <w:pPr>
              <w:rPr>
                <w:rFonts w:ascii="Arial" w:hAnsi="Arial" w:cs="Arial"/>
                <w:sz w:val="20"/>
                <w:szCs w:val="20"/>
              </w:rPr>
            </w:pPr>
            <w:r w:rsidRPr="0098685F">
              <w:rPr>
                <w:rFonts w:ascii="Arial" w:hAnsi="Arial" w:cs="Arial"/>
                <w:sz w:val="20"/>
                <w:szCs w:val="20"/>
              </w:rPr>
              <w:fldChar w:fldCharType="begin" w:fldLock="1"/>
            </w:r>
            <w:r w:rsidRPr="0098685F">
              <w:rPr>
                <w:rFonts w:ascii="Arial" w:hAnsi="Arial" w:cs="Arial"/>
                <w:sz w:val="20"/>
                <w:szCs w:val="20"/>
              </w:rPr>
              <w:instrText>ADDIN CSL_CITATION {"citationItems":[{"id":"ITEM-1","itemData":{"DOI":"https://doi.org/10.1111/ilr.12118","ISSN":"0020-7780","abstract":"Abstract The Paris Agreement lays out the objective of keeping global warming below 2 °C. The goal can be achieved by increasing both the share of renewables in the energy mix and energy efficiency. Such action entails a transformation of the energy sector, which, given its linkages with the rest of the economy, will have a knock-on effect on other sectors. Using scenarios based on a multiregional input?output database, this article explores the economy-wide and worldwide employment impact of such a transition. Findings suggest that by 2030 most economies will experience net job creation and reallocation across industries. Job creation is driven by the construction, manufacturing and renewables sectors.","author":[{"dropping-particle":"","family":"Montt","given":"Guillermo","non-dropping-particle":"","parse-names":false,"suffix":""},{"dropping-particle":"","family":"WIEBE","given":"Kirsten S","non-dropping-particle":"","parse-names":false,"suffix":""},{"dropping-particle":"","family":"HARSDORFF","given":"Marek","non-dropping-particle":"","parse-names":false,"suffix":""},{"dropping-particle":"","family":"SIMAS","given":"Moana","non-dropping-particle":"","parse-names":false,"suffix":""},{"dropping-particle":"","family":"BONNET","given":"Antoine","non-dropping-particle":"","parse-names":false,"suffix":""},{"dropping-particle":"","family":"WOOD","given":"Richard","non-dropping-particle":"","parse-names":false,"suffix":""}],"container-title":"International Labour Review","id":"ITEM-1","issue":"4","issued":{"date-parts":[["2018","12","1"]]},"note":"https://doi.org/10.1111/ilr.12118","page":"519-556","publisher":"John Wiley &amp; Sons, Ltd","title":"Does climate action destroy jobs? An assessment of the employment implications of the 2-degree goal","type":"article-journal","volume":"157"},"uris":["http://www.mendeley.com/documents/?uuid=2e40afd5-2f18-452b-b8b2-a118010e5d17"]}],"mendeley":{"formattedCitation":"(Montt &lt;i&gt;et al.&lt;/i&gt;, 2018)","manualFormatting":"Montt et al. (2018)","plainTextFormattedCitation":"(Montt et al., 2018)","previouslyFormattedCitation":"(Montt &lt;i&gt;et al.&lt;/i&gt;, 2018)"},"properties":{"noteIndex":0},"schema":"https://github.com/citation-style-language/schema/raw/master/csl-citation.json"}</w:instrText>
            </w:r>
            <w:r w:rsidRPr="0098685F">
              <w:rPr>
                <w:rFonts w:ascii="Arial" w:hAnsi="Arial" w:cs="Arial"/>
                <w:sz w:val="20"/>
                <w:szCs w:val="20"/>
              </w:rPr>
              <w:fldChar w:fldCharType="separate"/>
            </w:r>
            <w:r w:rsidRPr="0098685F">
              <w:rPr>
                <w:rFonts w:ascii="Arial" w:hAnsi="Arial" w:cs="Arial"/>
                <w:b w:val="0"/>
                <w:noProof/>
                <w:sz w:val="20"/>
                <w:szCs w:val="20"/>
              </w:rPr>
              <w:t xml:space="preserve">Montt </w:t>
            </w:r>
            <w:r w:rsidRPr="0098685F">
              <w:rPr>
                <w:rFonts w:ascii="Arial" w:hAnsi="Arial" w:cs="Arial"/>
                <w:b w:val="0"/>
                <w:i/>
                <w:noProof/>
                <w:sz w:val="20"/>
                <w:szCs w:val="20"/>
              </w:rPr>
              <w:t>et al.</w:t>
            </w:r>
            <w:r w:rsidRPr="0098685F">
              <w:rPr>
                <w:rFonts w:ascii="Arial" w:hAnsi="Arial" w:cs="Arial"/>
                <w:b w:val="0"/>
                <w:noProof/>
                <w:sz w:val="20"/>
                <w:szCs w:val="20"/>
              </w:rPr>
              <w:t xml:space="preserve"> (2018)</w:t>
            </w:r>
            <w:r w:rsidRPr="0098685F">
              <w:rPr>
                <w:rFonts w:ascii="Arial" w:hAnsi="Arial" w:cs="Arial"/>
                <w:sz w:val="20"/>
                <w:szCs w:val="20"/>
              </w:rPr>
              <w:fldChar w:fldCharType="end"/>
            </w:r>
          </w:p>
        </w:tc>
        <w:tc>
          <w:tcPr>
            <w:tcW w:w="1794" w:type="dxa"/>
            <w:shd w:val="clear" w:color="auto" w:fill="auto"/>
            <w:hideMark/>
          </w:tcPr>
          <w:p w14:paraId="1730D8E6" w14:textId="44D00C8C"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 xml:space="preserve">44 countries and five rest-of-the-world regions </w:t>
            </w:r>
          </w:p>
        </w:tc>
        <w:tc>
          <w:tcPr>
            <w:tcW w:w="1794" w:type="dxa"/>
            <w:shd w:val="clear" w:color="auto" w:fill="auto"/>
            <w:hideMark/>
          </w:tcPr>
          <w:p w14:paraId="47FDBB4F" w14:textId="6DB2990B"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Global</w:t>
            </w:r>
          </w:p>
        </w:tc>
        <w:tc>
          <w:tcPr>
            <w:tcW w:w="3544" w:type="dxa"/>
            <w:shd w:val="clear" w:color="auto" w:fill="auto"/>
            <w:hideMark/>
          </w:tcPr>
          <w:p w14:paraId="6C0791AD" w14:textId="77777777" w:rsidR="00190C62" w:rsidRPr="0098685F"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8685F">
              <w:rPr>
                <w:rFonts w:ascii="Arial" w:hAnsi="Arial" w:cs="Arial"/>
                <w:sz w:val="20"/>
                <w:szCs w:val="20"/>
              </w:rPr>
              <w:t xml:space="preserve">Climate change mitigation and energy system decarbonisation including renewable electricity, heat, construction, </w:t>
            </w:r>
            <w:proofErr w:type="gramStart"/>
            <w:r w:rsidRPr="0098685F">
              <w:rPr>
                <w:rFonts w:ascii="Arial" w:hAnsi="Arial" w:cs="Arial"/>
                <w:sz w:val="20"/>
                <w:szCs w:val="20"/>
              </w:rPr>
              <w:t>industry</w:t>
            </w:r>
            <w:proofErr w:type="gramEnd"/>
            <w:r w:rsidRPr="0098685F">
              <w:rPr>
                <w:rFonts w:ascii="Arial" w:hAnsi="Arial" w:cs="Arial"/>
                <w:sz w:val="20"/>
                <w:szCs w:val="20"/>
              </w:rPr>
              <w:t xml:space="preserve"> and transport</w:t>
            </w:r>
          </w:p>
        </w:tc>
      </w:tr>
      <w:tr w:rsidR="00190C62" w:rsidRPr="00F47DE9" w14:paraId="22C57CAE"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AE3FCCC" w14:textId="7239A151"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{"citationItems":[{"id":"ITEM-1","itemData":{"DOI":"10.1016/j.apenergy.2017.10.086","ISSN":"03062619","abstract":"Employment impacts are one of the most important social impacts associated with the development of renewable energy, and are also one of the key concerns for policy makers designing renewable energy policies. Current studies tend to focus on the direct job changes in renewable sectors per se and on the indirect job changes along value chains of renewable energy, therefore depicting a picture of prosperity with large amounts of “green jobs”. However, the induced job changes in other sectors that are not directly in the value chains but are still influenced by electricity price changes and related financial resource transfers have usually been neglected, resulting in an incomplete and potentially biased understanding of this specific category of social impact. By using a computable general equilibrium (CGE) model of China that incorporates detailed renewable power generation technologies and considers labor market imperfections, our study tries to fill this gap and quantifies the full scope of job changes (direct, indirect and induced) brought by renewable energy development in China. Results show that per 1 TW h expansion of solar PV and wind power would create up to 45.1 thousand and 15.8 thousand, respectively, direct and indirect jobs in China. However, the scale of induced job changes is quite significant and may even lead to net job losses in the whole economy in some cases. We have further revealed the sectoral contributors to total job changes. In all, there are no assured conclusions on the occurrence of green jobs when developing renewable energy. The impacts are highly dependent on the species of renewable energy, the financing mechanisms for renewable subsidies, and the scopes of employment impacts. We suggest that full-scope employment impacts should be carefully considered and the detailed supporting policies should be carefully designed by decision makers when promoting renewable energy.","author":[{"dropping-particle":"","family":"Mu","given":"Yaqian","non-dropping-particle":"","parse-names":false,"suffix":""},{"dropping-particle":"","family":"Cai","given":"Wenjia","non-dropping-particle":"","parse-names":false,"suffix":""},{"dropping-particle":"","family":"Evans","given":"Samuel","non-dropping-particle":"","parse-names":false,"suffix":""},{"dropping-particle":"","family":"Wang","given":"Can","non-dropping-particle":"","parse-names":false,"suffix":""},{"dropping-particle":"","family":"Roland-Holst","given":"David","non-dropping-particle":"","parse-names":false,"suffix":""}],"container-title":"Applied Energy","id":"ITEM-1","issued":{"date-parts":[["2018","1","15"]]},"page":"256-267","publisher":"Elsevier Ltd","title":"Employment impacts of renewable energy policies in China: A decomposition analysis based on a CGE modeling framework","type":"article-journal","volume":"210"},"uris":["http://www.mendeley.com/documents/?uuid=fc562abc-f4f7-3362-9f50-372ce51c69b4"]}],"mendeley":{"formattedCitation":"(Mu &lt;i&gt;et al.&lt;/i&gt;, 2018)","manualFormatting":"Mu et al. (2018)","plainTextFormattedCitation":"(Mu et al., 2018)","previouslyFormattedCitation":"(Mu &lt;i&gt;et al.&lt;/i&gt;, 2018)"},"properties":{"noteIndex":0},"schema":"https://github.com/citation-style-language/schema/raw/master/csl-citation.json"}</w:instrText>
            </w:r>
            <w:r>
              <w:rPr>
                <w:rFonts w:ascii="Arial" w:hAnsi="Arial" w:cs="Arial"/>
                <w:sz w:val="20"/>
                <w:szCs w:val="20"/>
              </w:rPr>
              <w:fldChar w:fldCharType="separate"/>
            </w:r>
            <w:r w:rsidRPr="006B64C7">
              <w:rPr>
                <w:rFonts w:ascii="Arial" w:hAnsi="Arial" w:cs="Arial"/>
                <w:b w:val="0"/>
                <w:noProof/>
                <w:sz w:val="20"/>
                <w:szCs w:val="20"/>
              </w:rPr>
              <w:t xml:space="preserve">Mu </w:t>
            </w:r>
            <w:r w:rsidRPr="006B64C7">
              <w:rPr>
                <w:rFonts w:ascii="Arial" w:hAnsi="Arial" w:cs="Arial"/>
                <w:b w:val="0"/>
                <w:i/>
                <w:noProof/>
                <w:sz w:val="20"/>
                <w:szCs w:val="20"/>
              </w:rPr>
              <w:t>et al.</w:t>
            </w:r>
            <w:r>
              <w:rPr>
                <w:rFonts w:ascii="Arial" w:hAnsi="Arial" w:cs="Arial"/>
                <w:b w:val="0"/>
                <w:noProof/>
                <w:sz w:val="20"/>
                <w:szCs w:val="20"/>
              </w:rPr>
              <w:t xml:space="preserve"> (</w:t>
            </w:r>
            <w:r w:rsidRPr="006B64C7">
              <w:rPr>
                <w:rFonts w:ascii="Arial" w:hAnsi="Arial" w:cs="Arial"/>
                <w:b w:val="0"/>
                <w:noProof/>
                <w:sz w:val="20"/>
                <w:szCs w:val="20"/>
              </w:rPr>
              <w:t>2018)</w:t>
            </w:r>
            <w:r>
              <w:rPr>
                <w:rFonts w:ascii="Arial" w:hAnsi="Arial" w:cs="Arial"/>
                <w:sz w:val="20"/>
                <w:szCs w:val="20"/>
              </w:rPr>
              <w:fldChar w:fldCharType="end"/>
            </w:r>
          </w:p>
        </w:tc>
        <w:tc>
          <w:tcPr>
            <w:tcW w:w="1794" w:type="dxa"/>
            <w:shd w:val="clear" w:color="auto" w:fill="auto"/>
            <w:noWrap/>
            <w:hideMark/>
          </w:tcPr>
          <w:p w14:paraId="130C602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China</w:t>
            </w:r>
          </w:p>
        </w:tc>
        <w:tc>
          <w:tcPr>
            <w:tcW w:w="1794" w:type="dxa"/>
            <w:shd w:val="clear" w:color="auto" w:fill="auto"/>
            <w:noWrap/>
            <w:hideMark/>
          </w:tcPr>
          <w:p w14:paraId="5CD207B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noWrap/>
            <w:hideMark/>
          </w:tcPr>
          <w:p w14:paraId="007EFD3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6188E4C3"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B75550B" w14:textId="5638DDDD" w:rsidR="00190C62" w:rsidRPr="00F21627" w:rsidRDefault="00190C62" w:rsidP="00190C62">
            <w:pPr>
              <w:rPr>
                <w:rFonts w:ascii="Arial" w:hAnsi="Arial" w:cs="Arial"/>
                <w:b w:val="0"/>
                <w:bCs w:val="0"/>
                <w:sz w:val="20"/>
                <w:szCs w:val="20"/>
              </w:rPr>
            </w:pPr>
            <w:r w:rsidRPr="00F21627">
              <w:rPr>
                <w:rFonts w:ascii="Arial" w:hAnsi="Arial" w:cs="Arial"/>
                <w:sz w:val="20"/>
                <w:szCs w:val="20"/>
              </w:rPr>
              <w:fldChar w:fldCharType="begin" w:fldLock="1"/>
            </w:r>
            <w:r w:rsidRPr="00F21627">
              <w:rPr>
                <w:rFonts w:ascii="Arial" w:hAnsi="Arial" w:cs="Arial"/>
                <w:b w:val="0"/>
                <w:bCs w:val="0"/>
                <w:sz w:val="20"/>
                <w:szCs w:val="20"/>
              </w:rPr>
              <w:instrText>ADDIN CSL_CITATION {"citationItems":[{"id":"ITEM-1","itemData":{"DOI":"10.1016/j.rser.2014.10.060","ISSN":"13640321","abstract":"The paper provides a comprehensive empirical assessment of American stimulus policies aimed at renewable energy (RE) technologies. We use an indicator-based methodology to assess progress with respect to energy, environmental and socio-economic issues resulting from RE stimulus programs linked to the American Recovery and Reinvestment Act, and review and analyze the emerging but scattered literature. Overall, our results indicate that stimulus programs have had a positive effect on the RE sector. This is despite the fact that they were originally planned to work in combination with a greenhouse gas 'cap-and-trade' system, which has not been implemented. From the methodological perspective, our approach is resource-intensive and our analysis highlights numerous challenges, notably related to causality and additionality. Despite these limitations, this research improves our understanding of the broad effects and impacts of RE stimulus programs.","author":[{"dropping-particle":"","family":"Mundaca","given":"Luis","non-dropping-particle":"","parse-names":false,"suffix":""},{"dropping-particle":"","family":"Luth Richter","given":"Jessika","non-dropping-particle":"","parse-names":false,"suffix":""}],"container-title":"Renewable and Sustainable Energy Reviews","id":"ITEM-1","issued":{"date-parts":[["2015","2","1"]]},"page":"1174-1186","publisher":"Elsevier Ltd","title":"Assessing 'green energy economy' stimulus packages: Evidence from the U.S. programs targeting renewable energy","type":"article","volume":"42"},"uris":["http://www.mendeley.com/documents/?uuid=296b7ef5-3c9f-344c-b343-d79a472ee50b"]}],"mendeley":{"formattedCitation":"(Mundaca and Luth Richter, 2015)","manualFormatting":"Mundaca and Luth Richter (2015)","plainTextFormattedCitation":"(Mundaca and Luth Richter, 2015)","previouslyFormattedCitation":"(Mundaca and Luth Richter, 2015)"},"properties":{"noteIndex":0},"schema":"https://github.com/citation-style-language/schema/raw/master/csl-citation.json"}</w:instrText>
            </w:r>
            <w:r w:rsidRPr="00F21627">
              <w:rPr>
                <w:rFonts w:ascii="Arial" w:hAnsi="Arial" w:cs="Arial"/>
                <w:sz w:val="20"/>
                <w:szCs w:val="20"/>
              </w:rPr>
              <w:fldChar w:fldCharType="separate"/>
            </w:r>
            <w:r w:rsidRPr="00F21627">
              <w:rPr>
                <w:rFonts w:ascii="Arial" w:hAnsi="Arial" w:cs="Arial"/>
                <w:b w:val="0"/>
                <w:bCs w:val="0"/>
                <w:noProof/>
                <w:sz w:val="20"/>
                <w:szCs w:val="20"/>
              </w:rPr>
              <w:t>Mundaca and Luth Richter (2015)</w:t>
            </w:r>
            <w:r w:rsidRPr="00F21627">
              <w:rPr>
                <w:rFonts w:ascii="Arial" w:hAnsi="Arial" w:cs="Arial"/>
                <w:sz w:val="20"/>
                <w:szCs w:val="20"/>
              </w:rPr>
              <w:fldChar w:fldCharType="end"/>
            </w:r>
          </w:p>
        </w:tc>
        <w:tc>
          <w:tcPr>
            <w:tcW w:w="1794" w:type="dxa"/>
            <w:shd w:val="clear" w:color="auto" w:fill="auto"/>
            <w:noWrap/>
            <w:hideMark/>
          </w:tcPr>
          <w:p w14:paraId="65859B5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US</w:t>
            </w:r>
          </w:p>
        </w:tc>
        <w:tc>
          <w:tcPr>
            <w:tcW w:w="1794" w:type="dxa"/>
            <w:shd w:val="clear" w:color="auto" w:fill="auto"/>
            <w:noWrap/>
            <w:hideMark/>
          </w:tcPr>
          <w:p w14:paraId="51A57AD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noWrap/>
            <w:hideMark/>
          </w:tcPr>
          <w:p w14:paraId="5465D42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53873996"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BEE5244" w14:textId="79989C2E"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{"citationItems":[{"id":"ITEM-1","itemData":{"DOI":"10.1016/J.JCLEPRO.2020.120262","ISSN":"0959-6526","abstract":"Following India's efforts to mitigate the emission of greenhouse gases, there has been a transition from fossil fuels to clean energy sources, such as solar and wind, in the energy portfolio. The renewable energy sector is widely acknowledged as a fertile ground for employment creation, as it is labour-intensive. Against this backdrop, the main objective of this paper is to provide an empirical explanation of how the growth of renewable energy sources, particularly solar photovoltaic (PV) technology, affects employment creation in India. The findings reveal that, despite a substantial investment in India's solar PV technology, the number of jobs created by the sector declined marginally from 164000 in 2017–114000 in 2018. India's estimated employment elasticity is just 0.004, implying that the level of employment does not show a significant positive response to changes in installed capacity. Almost 60 per cent of the global solar PV workforce is in China, which has become the leading country both in terms of installed capacity of global solar PV technology and manufacturing of solar PV cells and modules. The wide disparity in solar PV employment between India and China is explained by the former's excessive dependence on China for solar PV cells. Alongside climate conservation, India should, therefore, place more emphasis on revitalising the domestic solar manufacturing industry to bring about efficient use of the nation's untapped resources.","author":[{"dropping-particle":"","family":"Muniyoor","given":"Krishna","non-dropping-particle":"","parse-names":false,"suffix":""}],"container-title":"Journal of Cleaner Production","id":"ITEM-1","issued":{"date-parts":[["2020","5","10"]]},"page":"120262","publisher":"Elsevier","title":"Is there a trade-off between energy consumption and employment: Evidence from India","type":"article-journal","volume":"255"},"uris":["http://www.mendeley.com/documents/?uuid=f403acb9-740c-3f33-9dac-e81ed4a9aa4c"]}],"mendeley":{"formattedCitation":"(Muniyoor, 2020)","plainTextFormattedCitation":"(Muniyoor, 2020)","previouslyFormattedCitation":"(Muniyoor, 2020)"},"properties":{"noteIndex":0},"schema":"https://github.com/citation-style-language/schema/raw/master/csl-citation.json"}</w:instrText>
            </w:r>
            <w:r>
              <w:rPr>
                <w:rFonts w:ascii="Arial" w:hAnsi="Arial" w:cs="Arial"/>
                <w:sz w:val="20"/>
                <w:szCs w:val="20"/>
              </w:rPr>
              <w:fldChar w:fldCharType="separate"/>
            </w:r>
            <w:r w:rsidRPr="00A808AD">
              <w:rPr>
                <w:rFonts w:ascii="Arial" w:hAnsi="Arial" w:cs="Arial"/>
                <w:b w:val="0"/>
                <w:noProof/>
                <w:sz w:val="20"/>
                <w:szCs w:val="20"/>
              </w:rPr>
              <w:t>Muniyoor</w:t>
            </w:r>
            <w:r>
              <w:rPr>
                <w:rFonts w:ascii="Arial" w:hAnsi="Arial" w:cs="Arial"/>
                <w:b w:val="0"/>
                <w:noProof/>
                <w:sz w:val="20"/>
                <w:szCs w:val="20"/>
              </w:rPr>
              <w:t xml:space="preserve"> (</w:t>
            </w:r>
            <w:r w:rsidRPr="00A808AD">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noWrap/>
            <w:hideMark/>
          </w:tcPr>
          <w:p w14:paraId="5B78AA9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India, China, Global</w:t>
            </w:r>
          </w:p>
        </w:tc>
        <w:tc>
          <w:tcPr>
            <w:tcW w:w="1794" w:type="dxa"/>
            <w:shd w:val="clear" w:color="auto" w:fill="auto"/>
            <w:hideMark/>
          </w:tcPr>
          <w:p w14:paraId="3F35027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noWrap/>
            <w:hideMark/>
          </w:tcPr>
          <w:p w14:paraId="6FACCED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Solar PV / renewable energy</w:t>
            </w:r>
          </w:p>
        </w:tc>
      </w:tr>
      <w:tr w:rsidR="00190C62" w:rsidRPr="00F47DE9" w14:paraId="142D0A59"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0555AD0" w14:textId="1874CD81"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{"citationItems":[{"id":"ITEM-1","itemData":{"DOI":"10.1016/J.ENERGY.2021.120410","ISSN":"0360-5442","abstract":"Over the last few years, Chile has witnessed an extraordinary energy transformation that has turned the country into one of the largest renewable energy markets in South America. This study examines the impact of renewable energy (RE) technologies from the perspective of job creation opportunities in Chile. For this purpose, the study introduces an analytical assessment model that will be used to assess the direct impacts on employment generated by several policy scenarios aimed at reducing CO2 emissions. The direct impacts on employment in Chile were calculated up to 2026 according to three energy scenarios constructed using the SWITCH-Chile energy model. The empirical results show that RE technologies (solar PV, wind, hydro) can generate more employment per unit of energy than coal and natural gas. According to the scenario projecting the largest reduction of CO2 emissions, which features a dominant participation of renewable energies, up to 20,958 jobs can be created in the Chilean energy sector by 2026. The proposed model can be used to design energy programs as a direct stimulus of employment in the RE industry. Furthermore, policy recommendations are provided based on the results to effectively address changes in employment perspectives for the RE industry.","author":[{"dropping-particle":"","family":"Nasirov","given":"Shahriyar","non-dropping-particle":"","parse-names":false,"suffix":""},{"dropping-particle":"","family":"Girard","given":"Aymeric","non-dropping-particle":"","parse-names":false,"suffix":""},{"dropping-particle":"","family":"Peña","given":"Cristobal","non-dropping-particle":"","parse-names":false,"suffix":""},{"dropping-particle":"","family":"Salazar","given":"Felipe","non-dropping-particle":"","parse-names":false,"suffix":""},{"dropping-particle":"","family":"Simon","given":"François","non-dropping-particle":"","parse-names":false,"suffix":""}],"container-title":"Energy","id":"ITEM-1","issued":{"date-parts":[["2021","7","1"]]},"page":"120410","publisher":"Pergamon","title":"Expansion of renewable energy in Chile: Analysis of the effects on employment","type":"article-journal","volume":"226"},"uris":["http://www.mendeley.com/documents/?uuid=559bd138-dadc-3b7e-9951-7fe1b2b7f97f"]}],"mendeley":{"formattedCitation":"(Nasirov &lt;i&gt;et al.&lt;/i&gt;, 2021)","manualFormatting":"Nasirov et al. (2021)","plainTextFormattedCitation":"(Nasirov et al., 2021)","previouslyFormattedCitation":"(Nasirov &lt;i&gt;et al.&lt;/i&gt;, 2021)"},"properties":{"noteIndex":0},"schema":"https://github.com/citation-style-language/schema/raw/master/csl-citation.json"}</w:instrText>
            </w:r>
            <w:r>
              <w:rPr>
                <w:rFonts w:ascii="Arial" w:hAnsi="Arial" w:cs="Arial"/>
                <w:sz w:val="20"/>
                <w:szCs w:val="20"/>
              </w:rPr>
              <w:fldChar w:fldCharType="separate"/>
            </w:r>
            <w:r w:rsidRPr="006B64C7">
              <w:rPr>
                <w:rFonts w:ascii="Arial" w:hAnsi="Arial" w:cs="Arial"/>
                <w:b w:val="0"/>
                <w:noProof/>
                <w:sz w:val="20"/>
                <w:szCs w:val="20"/>
              </w:rPr>
              <w:t xml:space="preserve">Nasirov </w:t>
            </w:r>
            <w:r w:rsidRPr="006B64C7">
              <w:rPr>
                <w:rFonts w:ascii="Arial" w:hAnsi="Arial" w:cs="Arial"/>
                <w:b w:val="0"/>
                <w:i/>
                <w:noProof/>
                <w:sz w:val="20"/>
                <w:szCs w:val="20"/>
              </w:rPr>
              <w:t>et al.</w:t>
            </w:r>
            <w:r>
              <w:rPr>
                <w:rFonts w:ascii="Arial" w:hAnsi="Arial" w:cs="Arial"/>
                <w:b w:val="0"/>
                <w:noProof/>
                <w:sz w:val="20"/>
                <w:szCs w:val="20"/>
              </w:rPr>
              <w:t xml:space="preserve"> (</w:t>
            </w:r>
            <w:r w:rsidRPr="006B64C7">
              <w:rPr>
                <w:rFonts w:ascii="Arial" w:hAnsi="Arial" w:cs="Arial"/>
                <w:b w:val="0"/>
                <w:noProof/>
                <w:sz w:val="20"/>
                <w:szCs w:val="20"/>
              </w:rPr>
              <w:t>2021)</w:t>
            </w:r>
            <w:r>
              <w:rPr>
                <w:rFonts w:ascii="Arial" w:hAnsi="Arial" w:cs="Arial"/>
                <w:sz w:val="20"/>
                <w:szCs w:val="20"/>
              </w:rPr>
              <w:fldChar w:fldCharType="end"/>
            </w:r>
          </w:p>
        </w:tc>
        <w:tc>
          <w:tcPr>
            <w:tcW w:w="1794" w:type="dxa"/>
            <w:shd w:val="clear" w:color="auto" w:fill="auto"/>
            <w:noWrap/>
            <w:hideMark/>
          </w:tcPr>
          <w:p w14:paraId="67D55D9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Chile</w:t>
            </w:r>
          </w:p>
        </w:tc>
        <w:tc>
          <w:tcPr>
            <w:tcW w:w="1794" w:type="dxa"/>
            <w:shd w:val="clear" w:color="auto" w:fill="auto"/>
            <w:hideMark/>
          </w:tcPr>
          <w:p w14:paraId="7F753CC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South America</w:t>
            </w:r>
          </w:p>
        </w:tc>
        <w:tc>
          <w:tcPr>
            <w:tcW w:w="3544" w:type="dxa"/>
            <w:shd w:val="clear" w:color="auto" w:fill="auto"/>
            <w:noWrap/>
            <w:hideMark/>
          </w:tcPr>
          <w:p w14:paraId="4FA8A77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 fossil fuel power generation</w:t>
            </w:r>
          </w:p>
        </w:tc>
      </w:tr>
      <w:tr w:rsidR="00190C62" w:rsidRPr="00F47DE9" w14:paraId="724D68B3"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6F5AC48" w14:textId="419B7E17"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{"citationItems":[{"id":"ITEM-1","itemData":{"author":[{"dropping-particle":"","family":"National Grid","given":"","non-dropping-particle":"","parse-names":false,"suffix":""}],"id":"ITEM-1","issued":{"date-parts":[["2020"]]},"publisher-place":"Warwick, UK","title":"Building the net zero energy workforce","type":"report"},"uris":["http://www.mendeley.com/documents/?uuid=61786620-c338-3329-bfe9-a501efe9a03b"]}],"mendeley":{"formattedCitation":"(National Grid, 2020)","manualFormatting":"National Grid (2020)","plainTextFormattedCitation":"(National Grid, 2020)","previouslyFormattedCitation":"(National Grid, 2020)"},"properties":{"noteIndex":0},"schema":"https://github.com/citation-style-language/schema/raw/master/csl-citation.json"}</w:instrText>
            </w:r>
            <w:r>
              <w:rPr>
                <w:rFonts w:ascii="Arial" w:hAnsi="Arial" w:cs="Arial"/>
                <w:sz w:val="20"/>
                <w:szCs w:val="20"/>
              </w:rPr>
              <w:fldChar w:fldCharType="separate"/>
            </w:r>
            <w:r w:rsidRPr="006B64C7">
              <w:rPr>
                <w:rFonts w:ascii="Arial" w:hAnsi="Arial" w:cs="Arial"/>
                <w:b w:val="0"/>
                <w:noProof/>
                <w:sz w:val="20"/>
                <w:szCs w:val="20"/>
              </w:rPr>
              <w:t>National Grid</w:t>
            </w:r>
            <w:r>
              <w:rPr>
                <w:rFonts w:ascii="Arial" w:hAnsi="Arial" w:cs="Arial"/>
                <w:b w:val="0"/>
                <w:noProof/>
                <w:sz w:val="20"/>
                <w:szCs w:val="20"/>
              </w:rPr>
              <w:t xml:space="preserve"> (</w:t>
            </w:r>
            <w:r w:rsidRPr="006B64C7">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hideMark/>
          </w:tcPr>
          <w:p w14:paraId="4758F4C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UK   </w:t>
            </w:r>
          </w:p>
        </w:tc>
        <w:tc>
          <w:tcPr>
            <w:tcW w:w="1794" w:type="dxa"/>
            <w:shd w:val="clear" w:color="auto" w:fill="auto"/>
            <w:hideMark/>
          </w:tcPr>
          <w:p w14:paraId="3AB37B3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128ACFA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Upgrading and operating energy generation, </w:t>
            </w:r>
            <w:proofErr w:type="gramStart"/>
            <w:r w:rsidRPr="00F47DE9">
              <w:rPr>
                <w:rFonts w:ascii="Arial" w:hAnsi="Arial" w:cs="Arial"/>
                <w:sz w:val="20"/>
                <w:szCs w:val="20"/>
              </w:rPr>
              <w:t>transmission</w:t>
            </w:r>
            <w:proofErr w:type="gramEnd"/>
            <w:r w:rsidRPr="00F47DE9">
              <w:rPr>
                <w:rFonts w:ascii="Arial" w:hAnsi="Arial" w:cs="Arial"/>
                <w:sz w:val="20"/>
                <w:szCs w:val="20"/>
              </w:rPr>
              <w:t xml:space="preserve"> and distribution network infrastructure to meet net zero </w:t>
            </w:r>
          </w:p>
        </w:tc>
      </w:tr>
      <w:tr w:rsidR="00190C62" w:rsidRPr="00F47DE9" w14:paraId="3F4D2D8C"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1458765" w14:textId="7BFE6896"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{"citationItems":[{"id":"ITEM-1","itemData":{"DOI":"10.1016/J.ENERGY.2015.08.061","ISSN":"0360-5442","abstract":"There has been an intense debate on the quantification of the employment effects of renewable electricity deployment in the European Union. However, most studies carried out in the past have focused on specific countries and those with a European-wide scope have not provided disaggregated results per country. Furthermore, differences between importing and exporting countries have not been considered. This paper aims to cover those gaps. It presents a novel methodology which integrates the aforementioned considerations in order to calculate the employment effects of renewable energy deployment. The methodology is useful to calculate dynamic employment factors (considering technology learning effects) and the specific capacity (based on trade effects) to which these factors should be applied. It is applied to three renewable energy technologies - photovoltaics, wind on-shore and wind off-shore- in the European Union Member States in the 2008-2012 period. The results using this novel methodology broadly confirm the figures provided in other contributions in the literature. The proposed methodology can be instrumental in assessing the socio-economic effects of policies and investment programmes targeting the deployment of renewable energy technologies.","author":[{"dropping-particle":"","family":"Ortega","given":"Margarita","non-dropping-particle":"","parse-names":false,"suffix":""},{"dropping-particle":"del","family":"Río","given":"Pablo","non-dropping-particle":"","parse-names":false,"suffix":""},{"dropping-particle":"","family":"Ruiz","given":"Pablo","non-dropping-particle":"","parse-names":false,"suffix":""},{"dropping-particle":"","family":"Thiel","given":"Christian","non-dropping-particle":"","parse-names":false,"suffix":""}],"container-title":"Energy","id":"ITEM-1","issued":{"date-parts":[["2015","11","1"]]},"page":"940-951","publisher":"Pergamon","title":"Employment effects of renewable electricity deployment. A novel methodology","type":"article-journal","volume":"91"},"uris":["http://www.mendeley.com/documents/?uuid=2d3aab20-0f25-3a83-8506-832316d9a58c"]}],"mendeley":{"formattedCitation":"(Ortega &lt;i&gt;et al.&lt;/i&gt;, 2015)","manualFormatting":"Ortega et al. (2015)","plainTextFormattedCitation":"(Ortega et al., 2015)","previouslyFormattedCitation":"(Ortega &lt;i&gt;et al.&lt;/i&gt;, 2015)"},"properties":{"noteIndex":0},"schema":"https://github.com/citation-style-language/schema/raw/master/csl-citation.json"}</w:instrText>
            </w:r>
            <w:r>
              <w:rPr>
                <w:rFonts w:ascii="Arial" w:hAnsi="Arial" w:cs="Arial"/>
                <w:sz w:val="20"/>
                <w:szCs w:val="20"/>
              </w:rPr>
              <w:fldChar w:fldCharType="separate"/>
            </w:r>
            <w:r w:rsidRPr="006B64C7">
              <w:rPr>
                <w:rFonts w:ascii="Arial" w:hAnsi="Arial" w:cs="Arial"/>
                <w:b w:val="0"/>
                <w:noProof/>
                <w:sz w:val="20"/>
                <w:szCs w:val="20"/>
              </w:rPr>
              <w:t xml:space="preserve">Ortega </w:t>
            </w:r>
            <w:r w:rsidRPr="006B64C7">
              <w:rPr>
                <w:rFonts w:ascii="Arial" w:hAnsi="Arial" w:cs="Arial"/>
                <w:b w:val="0"/>
                <w:i/>
                <w:noProof/>
                <w:sz w:val="20"/>
                <w:szCs w:val="20"/>
              </w:rPr>
              <w:t>et al.</w:t>
            </w:r>
            <w:r>
              <w:rPr>
                <w:rFonts w:ascii="Arial" w:hAnsi="Arial" w:cs="Arial"/>
                <w:b w:val="0"/>
                <w:noProof/>
                <w:sz w:val="20"/>
                <w:szCs w:val="20"/>
              </w:rPr>
              <w:t xml:space="preserve"> (</w:t>
            </w:r>
            <w:r w:rsidRPr="006B64C7">
              <w:rPr>
                <w:rFonts w:ascii="Arial" w:hAnsi="Arial" w:cs="Arial"/>
                <w:b w:val="0"/>
                <w:noProof/>
                <w:sz w:val="20"/>
                <w:szCs w:val="20"/>
              </w:rPr>
              <w:t>2015)</w:t>
            </w:r>
            <w:r>
              <w:rPr>
                <w:rFonts w:ascii="Arial" w:hAnsi="Arial" w:cs="Arial"/>
                <w:sz w:val="20"/>
                <w:szCs w:val="20"/>
              </w:rPr>
              <w:fldChar w:fldCharType="end"/>
            </w:r>
          </w:p>
        </w:tc>
        <w:tc>
          <w:tcPr>
            <w:tcW w:w="1794" w:type="dxa"/>
            <w:shd w:val="clear" w:color="auto" w:fill="auto"/>
            <w:noWrap/>
            <w:hideMark/>
          </w:tcPr>
          <w:p w14:paraId="33FD7E4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w:t>
            </w:r>
          </w:p>
        </w:tc>
        <w:tc>
          <w:tcPr>
            <w:tcW w:w="1794" w:type="dxa"/>
            <w:shd w:val="clear" w:color="auto" w:fill="auto"/>
            <w:hideMark/>
          </w:tcPr>
          <w:p w14:paraId="1EE1F52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Europe</w:t>
            </w:r>
          </w:p>
        </w:tc>
        <w:tc>
          <w:tcPr>
            <w:tcW w:w="3544" w:type="dxa"/>
            <w:shd w:val="clear" w:color="auto" w:fill="auto"/>
            <w:noWrap/>
            <w:hideMark/>
          </w:tcPr>
          <w:p w14:paraId="5D87D6E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Solar PV and wind power</w:t>
            </w:r>
          </w:p>
        </w:tc>
      </w:tr>
      <w:tr w:rsidR="00190C62" w:rsidRPr="00F47DE9" w14:paraId="26464506"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91A9A29" w14:textId="1DDFC23D"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{"citationItems":[{"id":"ITEM-1","itemData":{"DOI":"10.1016/J.RSER.2019.109657","ISSN":"1364-0321","abstract":"Job creation is arguably an important socioeconomic benefit of renewable energy deployment. In turn, this employment creation may be contingent upon the influence of some key factors, including technology learning, trade effects and policies and may affect different renewable energy technologies and activities of the renewable energy value chain in different ways. This paper estimates the gross employment stemming from the deployment of three renewable electricity technologies – photovoltaics (PV), wind on-shore and wind off-shore – up to 2050 for all Member States of the European Union. It uses a novel analytical methodology which is able to capture the influence of technology learning and internal and external trade. Additionally, it provides highly disaggregated results per activity in the supply chain (manufacturing, installation and O&amp;M), year and country for different technology and policy scenarios. The results show that the employment created by those three technologies can be significant but considerable differences across technologies, activities and countries can be observed. In the analyzed period (2014–2050), most employment will be created in the PV sector, in the operation and maintenance activities and it will be highly geographically concentrated in a few countries. However, job creation will strongly depend on the scenarios and assumptions being made. In particular our findings suggest that the availability of carbon capture and storage will have a considerable influence on the number of jobs being created. In contrast, changes in other assumptions have limited effects on the results: a variable (vs. a constant) learning rate, more restrictive emissions targets by 2050 and higher PV costs.","author":[{"dropping-particle":"","family":"Ortega","given":"Margarita","non-dropping-particle":"","parse-names":false,"suffix":""},{"dropping-particle":"del","family":"Río","given":"Pablo","non-dropping-particle":"","parse-names":false,"suffix":""},{"dropping-particle":"","family":"Ruiz","given":"Pablo","non-dropping-particle":"","parse-names":false,"suffix":""},{"dropping-particle":"","family":"Nijs","given":"Wouter","non-dropping-particle":"","parse-names":false,"suffix":""},{"dropping-particle":"","family":"Politis","given":"Savvas","non-dropping-particle":"","parse-names":false,"suffix":""}],"container-title":"Renewable and Sustainable Energy Reviews","id":"ITEM-1","issued":{"date-parts":[["2020","4","1"]]},"page":"109657","publisher":"Pergamon","title":"Analysing the influence of trade, technology learning and policy on the employment prospects of wind and solar energy deployment: The EU case","type":"article-journal","volume":"122"},"uris":["http://www.mendeley.com/documents/?uuid=eecd8f72-7f54-38ab-aba4-c375c20a6c8f"]}],"mendeley":{"formattedCitation":"(Ortega &lt;i&gt;et al.&lt;/i&gt;, 2020)","manualFormatting":"Ortega et al. (2020)","plainTextFormattedCitation":"(Ortega et al., 2020)","previouslyFormattedCitation":"(Ortega &lt;i&gt;et al.&lt;/i&gt;, 2020)"},"properties":{"noteIndex":0},"schema":"https://github.com/citation-style-language/schema/raw/master/csl-citation.json"}</w:instrText>
            </w:r>
            <w:r>
              <w:rPr>
                <w:rFonts w:ascii="Arial" w:hAnsi="Arial" w:cs="Arial"/>
                <w:sz w:val="20"/>
                <w:szCs w:val="20"/>
              </w:rPr>
              <w:fldChar w:fldCharType="separate"/>
            </w:r>
            <w:r w:rsidRPr="006B64C7">
              <w:rPr>
                <w:rFonts w:ascii="Arial" w:hAnsi="Arial" w:cs="Arial"/>
                <w:b w:val="0"/>
                <w:noProof/>
                <w:sz w:val="20"/>
                <w:szCs w:val="20"/>
              </w:rPr>
              <w:t xml:space="preserve">Ortega </w:t>
            </w:r>
            <w:r w:rsidRPr="006B64C7">
              <w:rPr>
                <w:rFonts w:ascii="Arial" w:hAnsi="Arial" w:cs="Arial"/>
                <w:b w:val="0"/>
                <w:i/>
                <w:noProof/>
                <w:sz w:val="20"/>
                <w:szCs w:val="20"/>
              </w:rPr>
              <w:t>et al.</w:t>
            </w:r>
            <w:r>
              <w:rPr>
                <w:rFonts w:ascii="Arial" w:hAnsi="Arial" w:cs="Arial"/>
                <w:b w:val="0"/>
                <w:noProof/>
                <w:sz w:val="20"/>
                <w:szCs w:val="20"/>
              </w:rPr>
              <w:t xml:space="preserve"> (</w:t>
            </w:r>
            <w:r w:rsidRPr="006B64C7">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noWrap/>
            <w:hideMark/>
          </w:tcPr>
          <w:p w14:paraId="602B615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w:t>
            </w:r>
          </w:p>
        </w:tc>
        <w:tc>
          <w:tcPr>
            <w:tcW w:w="1794" w:type="dxa"/>
            <w:shd w:val="clear" w:color="auto" w:fill="auto"/>
            <w:hideMark/>
          </w:tcPr>
          <w:p w14:paraId="7B427D3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Europe</w:t>
            </w:r>
          </w:p>
        </w:tc>
        <w:tc>
          <w:tcPr>
            <w:tcW w:w="3544" w:type="dxa"/>
            <w:shd w:val="clear" w:color="auto" w:fill="auto"/>
            <w:noWrap/>
            <w:hideMark/>
          </w:tcPr>
          <w:p w14:paraId="40CA26F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Solar PV and wind power</w:t>
            </w:r>
          </w:p>
        </w:tc>
      </w:tr>
      <w:tr w:rsidR="00190C62" w:rsidRPr="00F47DE9" w14:paraId="2CA18845"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0E90BA0" w14:textId="1CFD4D4B"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{"citationItems":[{"id":"ITEM-1","itemData":{"DOI":"10.1016/j.solener.2019.09.039","ISSN":"0038092X","abstract":"Transition to a cost effective and fossil carbon-free energy system is imminent for South Africa, so is the mitigation of issues associated with the ‘water-energy nexus’ and their consequent impacts on the climate. The country's key fossil carbon mitigation option lies in the energy sector, especially in shifting away from the coal-dependent power system. Pathways towards a fully decarbonised and least cost electricity system are investigated for South Africa. The energy transition is simulated for five scenarios, assessing the impact of various factors such as sector coupling, with and without greenhouse gas (GHG) emission costs. South Africa's energy transition is simulated using an hourly resolved model until 2050. This modelling approach synthesises and reflects in-depth insights of how the demand from the power sector can be met. The optimisation for each 5-year time period is carried out based on assumed costs and technological status until 2050. The modelling outcomes reveal that solar PV and wind energy, supplying about 71% and 28% of the demand respectively in the Best Policy Scenario for 2050, can overcome coal dependency of the power sector. The levelised cost of electricity increases just slightly from 49.2 €/MWh in 2015 to 50.8 €/MWh in the Best Policy Scenario, whereas it increases significantly to 104.9 €/MWh in the Current Policy Scenario by 2050. Further, without considering GHG emissions costs, the cost of electricity slightly increases from 44.1 €/MWh in 2015 to 47.1 €/MWh in the Best Policy Scenario and increases up to 62.8 €/MWh in the Current Policy Scenario by 2050. The cost of electricity is 25% lower in the Best Policy Scenario than in the Current Policy Scenario without factoring in GHG emissions costs and further declined to 50% with GHG emissions costs. The Best Policy Scenario without GHG emissions costs led to 96% renewables and the remaining 4% is supplied by coal and gas turbines, indicating pure market economics. The results indicate that a 100% renewable energy system is the least-cost, least-water intensive, least-GHG-emitting and most job-rich option for the South African energy system in the mid-term future. No new coal and nuclear power plants are installed in the least-cost pathway, and existing fossil fuel capacities are phased out based on their technical lifetime.","author":[{"dropping-particle":"","family":"Oyewo","given":"Ayobami Solomon","non-dropping-particle":"","parse-names":false,"suffix":""},{"dropping-particle":"","family":"Aghahosseini","given":"Arman","non-dropping-particle":"","parse-names":false,"suffix":""},{"dropping-particle":"","family":"Ram","given":"Manish","non-dropping-particle":"","parse-names":false,"suffix":""},{"dropping-particle":"","family":"Lohrmann","given":"Alena","non-dropping-particle":"","parse-names":false,"suffix":""},{"dropping-particle":"","family":"Breyer","given":"Christian","non-dropping-particle":"","parse-names":false,"suffix":""}],"container-title":"Solar Energy","id":"ITEM-1","issued":{"date-parts":[["2019","10","1"]]},"page":"549-565","publisher":"Elsevier Ltd","title":"Pathway towards achieving 100% renewable electricity by 2050 for South Africa","type":"article-journal","volume":"191"},"uris":["http://www.mendeley.com/documents/?uuid=55b3d9ec-1e23-3197-9f6c-c80109c2edf2"]}],"mendeley":{"formattedCitation":"(Oyewo &lt;i&gt;et al.&lt;/i&gt;, 2019)","manualFormatting":"Oyewo et al. (2019)","plainTextFormattedCitation":"(Oyewo et al., 2019)","previouslyFormattedCitation":"(Oyewo &lt;i&gt;et al.&lt;/i&gt;, 2019)"},"properties":{"noteIndex":0},"schema":"https://github.com/citation-style-language/schema/raw/master/csl-citation.json"}</w:instrText>
            </w:r>
            <w:r>
              <w:rPr>
                <w:rFonts w:ascii="Arial" w:hAnsi="Arial" w:cs="Arial"/>
                <w:sz w:val="20"/>
                <w:szCs w:val="20"/>
              </w:rPr>
              <w:fldChar w:fldCharType="separate"/>
            </w:r>
            <w:r w:rsidRPr="006B64C7">
              <w:rPr>
                <w:rFonts w:ascii="Arial" w:hAnsi="Arial" w:cs="Arial"/>
                <w:b w:val="0"/>
                <w:noProof/>
                <w:sz w:val="20"/>
                <w:szCs w:val="20"/>
              </w:rPr>
              <w:t xml:space="preserve">Oyewo </w:t>
            </w:r>
            <w:r w:rsidRPr="006B64C7">
              <w:rPr>
                <w:rFonts w:ascii="Arial" w:hAnsi="Arial" w:cs="Arial"/>
                <w:b w:val="0"/>
                <w:i/>
                <w:noProof/>
                <w:sz w:val="20"/>
                <w:szCs w:val="20"/>
              </w:rPr>
              <w:t>et al.</w:t>
            </w:r>
            <w:r>
              <w:rPr>
                <w:rFonts w:ascii="Arial" w:hAnsi="Arial" w:cs="Arial"/>
                <w:b w:val="0"/>
                <w:noProof/>
                <w:sz w:val="20"/>
                <w:szCs w:val="20"/>
              </w:rPr>
              <w:t xml:space="preserve"> (</w:t>
            </w:r>
            <w:r w:rsidRPr="006B64C7">
              <w:rPr>
                <w:rFonts w:ascii="Arial" w:hAnsi="Arial" w:cs="Arial"/>
                <w:b w:val="0"/>
                <w:noProof/>
                <w:sz w:val="20"/>
                <w:szCs w:val="20"/>
              </w:rPr>
              <w:t>2019)</w:t>
            </w:r>
            <w:r>
              <w:rPr>
                <w:rFonts w:ascii="Arial" w:hAnsi="Arial" w:cs="Arial"/>
                <w:sz w:val="20"/>
                <w:szCs w:val="20"/>
              </w:rPr>
              <w:fldChar w:fldCharType="end"/>
            </w:r>
          </w:p>
        </w:tc>
        <w:tc>
          <w:tcPr>
            <w:tcW w:w="1794" w:type="dxa"/>
            <w:shd w:val="clear" w:color="auto" w:fill="auto"/>
            <w:noWrap/>
            <w:hideMark/>
          </w:tcPr>
          <w:p w14:paraId="593AF27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South Africa</w:t>
            </w:r>
          </w:p>
        </w:tc>
        <w:tc>
          <w:tcPr>
            <w:tcW w:w="1794" w:type="dxa"/>
            <w:shd w:val="clear" w:color="auto" w:fill="auto"/>
            <w:noWrap/>
            <w:hideMark/>
          </w:tcPr>
          <w:p w14:paraId="4574AD7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Africa</w:t>
            </w:r>
          </w:p>
        </w:tc>
        <w:tc>
          <w:tcPr>
            <w:tcW w:w="3544" w:type="dxa"/>
            <w:shd w:val="clear" w:color="auto" w:fill="auto"/>
            <w:noWrap/>
            <w:hideMark/>
          </w:tcPr>
          <w:p w14:paraId="282EF60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4FBF03C7"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5304E6AE" w14:textId="739F5EE3"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{"citationItems":[{"id":"ITEM-1","itemData":{"DOI":"10.1016/J.RSER.2017.04.061","ISSN":"1364-0321","abstract":"Driven by global competition for economic growth, green industries and green jobs have become an important economic engine for sustainable and environmentally-friendly development. Most of the existing literature on green industries has focused on defining the green industry and its economic impacts. However, little empirical research has been conducted on the spatial patterns of green industries, such as their locational preferences. We examined the spatial patterns of green industries in South Korea over time and across municipal-level administrative units (si-gun-gu) using the Survey of Business Activities (2006–2012), which includes longitudinal, establishment-level employment data collected by the Korea National Statistical Office. We employed a panel data regression model to analyze green industries and their locational decisions. The spatial analysis showed that green industries tend to locate in areas where conventional manufacturing industries were previously concentrated. We also identified a new, emerging geographic cluster of green industries. The panel regression models indicated that some green industries, such as the advanced green city industry sector, tend to locate either within or near big cities. In contrast, the renewable energy industry sector tends to locate far from major cities. In addition, we confirmed that the 2009 “Framework Act on Low Carbon and Green Growth” law enacted by the Korean government had a significant impact on the growth of the green industry. However, the act's impact ceased after 2010, indicating the importance of both subsequent policy initiatives and the creation of a private market for green industries and green jobs.","author":[{"dropping-particle":"Il","family":"Park","given":"Jeong","non-dropping-particle":"","parse-names":false,"suffix":""},{"dropping-particle":"","family":"Lee","given":"Sugie","non-dropping-particle":"","parse-names":false,"suffix":""}],"container-title":"Renewable and Sustainable Energy Reviews","id":"ITEM-1","issued":{"date-parts":[["2017","10","1"]]},"page":"614-623","publisher":"Pergamon","title":"Examining the spatial patterns of green industries and the role of government policies in South Korea: Application of a panel regression model (2006–2012)","type":"article-journal","volume":"78"},"uris":["http://www.mendeley.com/documents/?uuid=1f1e6898-027a-3a90-9719-750a4f00523d"]}],"mendeley":{"formattedCitation":"(Park and Lee, 2017)","manualFormatting":"Park and Lee (2017)","plainTextFormattedCitation":"(Park and Lee, 2017)","previouslyFormattedCitation":"(Park and Lee, 2017)"},"properties":{"noteIndex":0},"schema":"https://github.com/citation-style-language/schema/raw/master/csl-citation.json"}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Park and Lee</w:t>
            </w:r>
            <w:r>
              <w:rPr>
                <w:rFonts w:ascii="Arial" w:hAnsi="Arial" w:cs="Arial"/>
                <w:b w:val="0"/>
                <w:noProof/>
                <w:sz w:val="20"/>
                <w:szCs w:val="20"/>
              </w:rPr>
              <w:t xml:space="preserve"> (</w:t>
            </w:r>
            <w:r w:rsidRPr="00016CD3">
              <w:rPr>
                <w:rFonts w:ascii="Arial" w:hAnsi="Arial" w:cs="Arial"/>
                <w:b w:val="0"/>
                <w:noProof/>
                <w:sz w:val="20"/>
                <w:szCs w:val="20"/>
              </w:rPr>
              <w:t>2017)</w:t>
            </w:r>
            <w:r>
              <w:rPr>
                <w:rFonts w:ascii="Arial" w:hAnsi="Arial" w:cs="Arial"/>
                <w:sz w:val="20"/>
                <w:szCs w:val="20"/>
              </w:rPr>
              <w:fldChar w:fldCharType="end"/>
            </w:r>
          </w:p>
        </w:tc>
        <w:tc>
          <w:tcPr>
            <w:tcW w:w="1794" w:type="dxa"/>
            <w:shd w:val="clear" w:color="auto" w:fill="auto"/>
            <w:noWrap/>
            <w:hideMark/>
          </w:tcPr>
          <w:p w14:paraId="54FAC50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South Korea</w:t>
            </w:r>
          </w:p>
        </w:tc>
        <w:tc>
          <w:tcPr>
            <w:tcW w:w="1794" w:type="dxa"/>
            <w:shd w:val="clear" w:color="auto" w:fill="auto"/>
            <w:noWrap/>
            <w:hideMark/>
          </w:tcPr>
          <w:p w14:paraId="336504F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noWrap/>
            <w:hideMark/>
          </w:tcPr>
          <w:p w14:paraId="457C61C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Green industries and green jobs</w:t>
            </w:r>
          </w:p>
        </w:tc>
      </w:tr>
      <w:tr w:rsidR="00190C62" w:rsidRPr="00F47DE9" w14:paraId="1E31259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B02C3EC" w14:textId="24E3D753"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{"citationItems":[{"id":"ITEM-1","itemData":{"author":[{"dropping-particle":"","family":"Pinninti","given":"K R","non-dropping-particle":"","parse-names":false,"suffix":""}],"container-title":"Greener Skills and Jobs ","id":"ITEM-1","issued":{"date-parts":[["2014"]]},"publisher":"OECD Publishing","publisher-place":"Paris","title":"Climate change adaptation and local development: The new imperatives for green skills development","type":"chapter"},"uris":["http://www.mendeley.com/documents/?uuid=7d48dac4-bd32-3d03-8354-ffe1aa42693b"]}],"mendeley":{"formattedCitation":"(Pinninti, 2014)","manualFormatting":"Pinninti (2014)","plainTextFormattedCitation":"(Pinninti, 2014)","previouslyFormattedCitation":"(Pinninti, 2014)"},"properties":{"noteIndex":0},"schema":"https://github.com/citation-style-language/schema/raw/master/csl-citation.json"}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Pinninti</w:t>
            </w:r>
            <w:r>
              <w:rPr>
                <w:rFonts w:ascii="Arial" w:hAnsi="Arial" w:cs="Arial"/>
                <w:b w:val="0"/>
                <w:noProof/>
                <w:sz w:val="20"/>
                <w:szCs w:val="20"/>
              </w:rPr>
              <w:t xml:space="preserve"> (</w:t>
            </w:r>
            <w:r w:rsidRPr="00016CD3">
              <w:rPr>
                <w:rFonts w:ascii="Arial" w:hAnsi="Arial" w:cs="Arial"/>
                <w:b w:val="0"/>
                <w:noProof/>
                <w:sz w:val="20"/>
                <w:szCs w:val="20"/>
              </w:rPr>
              <w:t>2014)</w:t>
            </w:r>
            <w:r>
              <w:rPr>
                <w:rFonts w:ascii="Arial" w:hAnsi="Arial" w:cs="Arial"/>
                <w:sz w:val="20"/>
                <w:szCs w:val="20"/>
              </w:rPr>
              <w:fldChar w:fldCharType="end"/>
            </w:r>
          </w:p>
        </w:tc>
        <w:tc>
          <w:tcPr>
            <w:tcW w:w="1794" w:type="dxa"/>
            <w:shd w:val="clear" w:color="auto" w:fill="auto"/>
            <w:noWrap/>
            <w:hideMark/>
          </w:tcPr>
          <w:p w14:paraId="16DF24F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US</w:t>
            </w:r>
          </w:p>
        </w:tc>
        <w:tc>
          <w:tcPr>
            <w:tcW w:w="1794" w:type="dxa"/>
            <w:shd w:val="clear" w:color="auto" w:fill="auto"/>
            <w:noWrap/>
            <w:hideMark/>
          </w:tcPr>
          <w:p w14:paraId="0999C0D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hideMark/>
          </w:tcPr>
          <w:p w14:paraId="6A88D3C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Green jobs / skills / low carbon economies</w:t>
            </w:r>
          </w:p>
        </w:tc>
      </w:tr>
      <w:tr w:rsidR="00190C62" w:rsidRPr="00F47DE9" w14:paraId="22133715"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FA014B1" w14:textId="577387B3" w:rsidR="00190C62" w:rsidRPr="001F76D0" w:rsidRDefault="00190C62" w:rsidP="00190C62">
            <w:pPr>
              <w:rPr>
                <w:rFonts w:ascii="Arial" w:hAnsi="Arial" w:cs="Arial"/>
                <w:b w:val="0"/>
                <w:bCs w:val="0"/>
                <w:sz w:val="20"/>
                <w:szCs w:val="20"/>
              </w:rPr>
            </w:pPr>
            <w:r w:rsidRPr="001F76D0">
              <w:rPr>
                <w:rFonts w:ascii="Arial" w:hAnsi="Arial" w:cs="Arial"/>
                <w:sz w:val="20"/>
                <w:szCs w:val="20"/>
              </w:rPr>
              <w:fldChar w:fldCharType="begin" w:fldLock="1"/>
            </w:r>
            <w:r w:rsidRPr="001F76D0">
              <w:rPr>
                <w:rFonts w:ascii="Arial" w:hAnsi="Arial" w:cs="Arial"/>
                <w:b w:val="0"/>
                <w:bCs w:val="0"/>
                <w:sz w:val="20"/>
                <w:szCs w:val="20"/>
              </w:rPr>
              <w:instrText>ADDIN CSL_CITATION {"citationItems":[{"id":"ITEM-1","itemData":{"author":[{"dropping-particle":"","family":"Pollin","given":"R.","non-dropping-particle":"","parse-names":false,"suffix":""},{"dropping-particle":"","family":"Garrett-Peltier","given":"H.","non-dropping-particle":"","parse-names":false,"suffix":""}],"id":"ITEM-1","issued":{"date-parts":[["2009"]]},"publisher-place":"Amherst, MA, US","title":"Building the green economy: Employment effects of green energy investments for Ontario","type":"report"},"uris":["http://www.mendeley.com/documents/?uuid=4fcbaf8d-6bcd-4162-ace4-8cad7e9fe2ad"]}],"mendeley":{"formattedCitation":"(Pollin and Garrett-Peltier, 2009)","manualFormatting":"Pollin and Garrett-Peltier (2009)","plainTextFormattedCitation":"(Pollin and Garrett-Peltier, 2009)","previouslyFormattedCitation":"(Pollin and Garrett-Peltier, 2009)"},"properties":{"noteIndex":0},"schema":"https://github.com/citation-style-language/schema/raw/master/csl-citation.json"}</w:instrText>
            </w:r>
            <w:r w:rsidRPr="001F76D0">
              <w:rPr>
                <w:rFonts w:ascii="Arial" w:hAnsi="Arial" w:cs="Arial"/>
                <w:sz w:val="20"/>
                <w:szCs w:val="20"/>
              </w:rPr>
              <w:fldChar w:fldCharType="separate"/>
            </w:r>
            <w:r w:rsidRPr="001F76D0">
              <w:rPr>
                <w:rFonts w:ascii="Arial" w:hAnsi="Arial" w:cs="Arial"/>
                <w:b w:val="0"/>
                <w:bCs w:val="0"/>
                <w:noProof/>
                <w:sz w:val="20"/>
                <w:szCs w:val="20"/>
              </w:rPr>
              <w:t>Pollin and Garrett-Peltier (2009)</w:t>
            </w:r>
            <w:r w:rsidRPr="001F76D0">
              <w:rPr>
                <w:rFonts w:ascii="Arial" w:hAnsi="Arial" w:cs="Arial"/>
                <w:sz w:val="20"/>
                <w:szCs w:val="20"/>
              </w:rPr>
              <w:fldChar w:fldCharType="end"/>
            </w:r>
          </w:p>
        </w:tc>
        <w:tc>
          <w:tcPr>
            <w:tcW w:w="1794" w:type="dxa"/>
            <w:shd w:val="clear" w:color="auto" w:fill="auto"/>
          </w:tcPr>
          <w:p w14:paraId="5368B4BD" w14:textId="3B6BDD89"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04D38">
              <w:rPr>
                <w:rFonts w:ascii="Arial" w:hAnsi="Arial" w:cs="Arial"/>
                <w:sz w:val="18"/>
                <w:szCs w:val="18"/>
              </w:rPr>
              <w:t>Ontario, US</w:t>
            </w:r>
          </w:p>
        </w:tc>
        <w:tc>
          <w:tcPr>
            <w:tcW w:w="1794" w:type="dxa"/>
            <w:shd w:val="clear" w:color="auto" w:fill="auto"/>
          </w:tcPr>
          <w:p w14:paraId="72EA8735" w14:textId="6A59DEAF" w:rsidR="00190C62" w:rsidRPr="005112D6"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112D6">
              <w:rPr>
                <w:rFonts w:ascii="Arial" w:hAnsi="Arial" w:cs="Arial"/>
                <w:color w:val="000000" w:themeColor="text1"/>
                <w:sz w:val="20"/>
                <w:szCs w:val="20"/>
              </w:rPr>
              <w:t>North America</w:t>
            </w:r>
          </w:p>
        </w:tc>
        <w:tc>
          <w:tcPr>
            <w:tcW w:w="3544" w:type="dxa"/>
            <w:shd w:val="clear" w:color="auto" w:fill="auto"/>
          </w:tcPr>
          <w:p w14:paraId="2A51E036" w14:textId="0127EDF1" w:rsidR="00190C62" w:rsidRPr="005112D6"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112D6">
              <w:rPr>
                <w:rFonts w:ascii="Arial" w:hAnsi="Arial" w:cs="Arial"/>
                <w:color w:val="000000" w:themeColor="text1"/>
                <w:sz w:val="20"/>
                <w:szCs w:val="20"/>
              </w:rPr>
              <w:t>Wind energy</w:t>
            </w:r>
          </w:p>
        </w:tc>
      </w:tr>
      <w:tr w:rsidR="00190C62" w:rsidRPr="00F47DE9" w14:paraId="70CDB273"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0B683179" w14:textId="33A6BFE8" w:rsidR="00190C62" w:rsidRPr="001F76D0" w:rsidRDefault="00190C62" w:rsidP="00190C62">
            <w:pPr>
              <w:rPr>
                <w:rFonts w:ascii="Arial" w:hAnsi="Arial" w:cs="Arial"/>
                <w:b w:val="0"/>
                <w:bCs w:val="0"/>
                <w:sz w:val="20"/>
                <w:szCs w:val="20"/>
              </w:rPr>
            </w:pPr>
            <w:r w:rsidRPr="001F76D0">
              <w:rPr>
                <w:rFonts w:ascii="Arial" w:hAnsi="Arial" w:cs="Arial"/>
                <w:sz w:val="20"/>
                <w:szCs w:val="20"/>
              </w:rPr>
              <w:fldChar w:fldCharType="begin" w:fldLock="1"/>
            </w:r>
            <w:r w:rsidRPr="001F76D0">
              <w:rPr>
                <w:rFonts w:ascii="Arial" w:hAnsi="Arial" w:cs="Arial"/>
                <w:b w:val="0"/>
                <w:bCs w:val="0"/>
                <w:sz w:val="20"/>
                <w:szCs w:val="20"/>
              </w:rPr>
              <w:instrText>ADDIN CSL_CITATION {"citationItems":[{"id":"ITEM-1","itemData":{"author":[{"dropping-particle":"","family":"Pollin","given":"Robert","non-dropping-particle":"","parse-names":false,"suffix":""},{"dropping-particle":"","family":"Garrett-Peltier","given":"Heidi","non-dropping-particle":"","parse-names":false,"suffix":""},{"dropping-particle":"","family":"Heintz","given":"James","non-dropping-particle":"","parse-names":false,"suffix":""},{"dropping-particle":"","family":"Hendricks","given":"Bracken","non-dropping-particle":"","parse-names":false,"suffix":""}],"id":"ITEM-1","issued":{"date-parts":[["2014"]]},"publisher-place":"Washington, DC, US","title":"Green growth: A U.S. program for controlling climate change and expanding job opportunities","type":"report"},"uris":["http://www.mendeley.com/documents/?uuid=b559750c-0738-43a6-b623-67d19fc857cd"]}],"mendeley":{"formattedCitation":"(Pollin &lt;i&gt;et al.&lt;/i&gt;, 2014)","manualFormatting":"Pollin et al. (2014)","plainTextFormattedCitation":"(Pollin et al., 2014)","previouslyFormattedCitation":"(Pollin &lt;i&gt;et al.&lt;/i&gt;, 2014)"},"properties":{"noteIndex":0},"schema":"https://github.com/citation-style-language/schema/raw/master/csl-citation.json"}</w:instrText>
            </w:r>
            <w:r w:rsidRPr="001F76D0">
              <w:rPr>
                <w:rFonts w:ascii="Arial" w:hAnsi="Arial" w:cs="Arial"/>
                <w:sz w:val="20"/>
                <w:szCs w:val="20"/>
              </w:rPr>
              <w:fldChar w:fldCharType="separate"/>
            </w:r>
            <w:r w:rsidRPr="001F76D0">
              <w:rPr>
                <w:rFonts w:ascii="Arial" w:hAnsi="Arial" w:cs="Arial"/>
                <w:b w:val="0"/>
                <w:bCs w:val="0"/>
                <w:noProof/>
                <w:sz w:val="20"/>
                <w:szCs w:val="20"/>
              </w:rPr>
              <w:t xml:space="preserve">Pollin </w:t>
            </w:r>
            <w:r w:rsidRPr="001F76D0">
              <w:rPr>
                <w:rFonts w:ascii="Arial" w:hAnsi="Arial" w:cs="Arial"/>
                <w:b w:val="0"/>
                <w:bCs w:val="0"/>
                <w:i/>
                <w:noProof/>
                <w:sz w:val="20"/>
                <w:szCs w:val="20"/>
              </w:rPr>
              <w:t>et al.</w:t>
            </w:r>
            <w:r w:rsidRPr="001F76D0">
              <w:rPr>
                <w:rFonts w:ascii="Arial" w:hAnsi="Arial" w:cs="Arial"/>
                <w:b w:val="0"/>
                <w:bCs w:val="0"/>
                <w:noProof/>
                <w:sz w:val="20"/>
                <w:szCs w:val="20"/>
              </w:rPr>
              <w:t xml:space="preserve"> (2014)</w:t>
            </w:r>
            <w:r w:rsidRPr="001F76D0">
              <w:rPr>
                <w:rFonts w:ascii="Arial" w:hAnsi="Arial" w:cs="Arial"/>
                <w:sz w:val="20"/>
                <w:szCs w:val="20"/>
              </w:rPr>
              <w:fldChar w:fldCharType="end"/>
            </w:r>
          </w:p>
        </w:tc>
        <w:tc>
          <w:tcPr>
            <w:tcW w:w="1794" w:type="dxa"/>
            <w:shd w:val="clear" w:color="auto" w:fill="auto"/>
          </w:tcPr>
          <w:p w14:paraId="51E4274E" w14:textId="474FB3BB"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US</w:t>
            </w:r>
          </w:p>
        </w:tc>
        <w:tc>
          <w:tcPr>
            <w:tcW w:w="1794" w:type="dxa"/>
            <w:shd w:val="clear" w:color="auto" w:fill="auto"/>
          </w:tcPr>
          <w:p w14:paraId="38C4ACC9" w14:textId="4614B4D2" w:rsidR="00190C62" w:rsidRPr="005112D6"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North America</w:t>
            </w:r>
          </w:p>
        </w:tc>
        <w:tc>
          <w:tcPr>
            <w:tcW w:w="3544" w:type="dxa"/>
            <w:shd w:val="clear" w:color="auto" w:fill="auto"/>
          </w:tcPr>
          <w:p w14:paraId="6C255F80" w14:textId="0A42F708" w:rsidR="00190C62" w:rsidRPr="005112D6"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112D6">
              <w:rPr>
                <w:rFonts w:ascii="Arial" w:hAnsi="Arial" w:cs="Arial"/>
                <w:color w:val="000000" w:themeColor="text1"/>
                <w:sz w:val="20"/>
                <w:szCs w:val="20"/>
              </w:rPr>
              <w:t>Electricity generation including renewables, nuclear and fossil fuels; energy efficiency</w:t>
            </w:r>
          </w:p>
        </w:tc>
      </w:tr>
      <w:tr w:rsidR="00190C62" w:rsidRPr="00F47DE9" w14:paraId="4A68CBF3"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0B4CE83" w14:textId="0BCF97B5"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{"citationItems":[{"id":"ITEM-1","itemData":{"DOI":"10.1016/J.RSER.2021.111186","ISSN":"1364-0321","abstract":"In order to achieve the goal of a carbon neutral EU by 2050 and meet the climate targets of the Paris Agreement, a sustainable, efficient, competitive and secure energy system needs to be developed. This paper presents the synthesis of sustainable renewable energy supply networks within the EU-27, proposing a stepwise energy transition in the transport and power sectors, achieving a carbon net neutral target by 2050. A multi-period mixed-integer programming model is developed, with the objective of maximizing sustainability net present value, considering different biomass and waste resources for the production of biofuels, renewable electricity, hydrogen, food and bioproducts, employing different types of technologies. The results show that, with further development of existing technologies, the goal of a carbon-neutral EU can be achieved without compromising food production. Wind farms have proven to be the most promising solution at present for the rapid expansion of electricity generation from renewable energy sources, while the importance of solar photovoltaics is increasing over the years, reaching the 43% share of electricity generation from RES in 2050. Moreover, the energy transition within the EU could have a significant positive impact on the economic, environmental and also social aspects of sustainability, with more than 1.5 million new job opportunities created across the EU over the next 30 years.","author":[{"dropping-particle":"","family":"Potrč","given":"Sanja","non-dropping-particle":"","parse-names":false,"suffix":""},{"dropping-particle":"","family":"Čuček","given":"Lidija","non-dropping-particle":"","parse-names":false,"suffix":""},{"dropping-particle":"","family":"Martin","given":"Mariano","non-dropping-particle":"","parse-names":false,"suffix":""},{"dropping-particle":"","family":"Kravanja","given":"Zdravko","non-dropping-particle":"","parse-names":false,"suffix":""}],"container-title":"Renewable and Sustainable Energy Reviews","id":"ITEM-1","issued":{"date-parts":[["2021","8","1"]]},"page":"111186","publisher":"Pergamon","title":"Sustainable renewable energy supply networks optimization – The gradual transition to a renewable energy system within the European Union by 2050","type":"article-journal","volume":"146"},"uris":["http://www.mendeley.com/documents/?uuid=d8831ddf-0f5a-3862-af8a-152ededf6f47"]}],"mendeley":{"formattedCitation":"(Potrč &lt;i&gt;et al.&lt;/i&gt;, 2021)","manualFormatting":"Potrč et al. (2021)","plainTextFormattedCitation":"(Potrč et al., 2021)","previouslyFormattedCitation":"(Potrč &lt;i&gt;et al.&lt;/i&gt;, 2021)"},"properties":{"noteIndex":0},"schema":"https://github.com/citation-style-language/schema/raw/master/csl-citation.json"}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 xml:space="preserve">Potrč </w:t>
            </w:r>
            <w:r w:rsidRPr="00016CD3">
              <w:rPr>
                <w:rFonts w:ascii="Arial" w:hAnsi="Arial" w:cs="Arial"/>
                <w:b w:val="0"/>
                <w:i/>
                <w:noProof/>
                <w:sz w:val="20"/>
                <w:szCs w:val="20"/>
              </w:rPr>
              <w:t>et al.</w:t>
            </w:r>
            <w:r>
              <w:rPr>
                <w:rFonts w:ascii="Arial" w:hAnsi="Arial" w:cs="Arial"/>
                <w:b w:val="0"/>
                <w:noProof/>
                <w:sz w:val="20"/>
                <w:szCs w:val="20"/>
              </w:rPr>
              <w:t xml:space="preserve"> (</w:t>
            </w:r>
            <w:r w:rsidRPr="00016CD3">
              <w:rPr>
                <w:rFonts w:ascii="Arial" w:hAnsi="Arial" w:cs="Arial"/>
                <w:b w:val="0"/>
                <w:noProof/>
                <w:sz w:val="20"/>
                <w:szCs w:val="20"/>
              </w:rPr>
              <w:t>2021)</w:t>
            </w:r>
            <w:r>
              <w:rPr>
                <w:rFonts w:ascii="Arial" w:hAnsi="Arial" w:cs="Arial"/>
                <w:sz w:val="20"/>
                <w:szCs w:val="20"/>
              </w:rPr>
              <w:fldChar w:fldCharType="end"/>
            </w:r>
          </w:p>
        </w:tc>
        <w:tc>
          <w:tcPr>
            <w:tcW w:w="1794" w:type="dxa"/>
            <w:shd w:val="clear" w:color="auto" w:fill="auto"/>
            <w:hideMark/>
          </w:tcPr>
          <w:p w14:paraId="064C5B1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EU-27</w:t>
            </w:r>
          </w:p>
        </w:tc>
        <w:tc>
          <w:tcPr>
            <w:tcW w:w="1794" w:type="dxa"/>
            <w:shd w:val="clear" w:color="auto" w:fill="auto"/>
            <w:hideMark/>
          </w:tcPr>
          <w:p w14:paraId="3A4FFC5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Europe</w:t>
            </w:r>
          </w:p>
        </w:tc>
        <w:tc>
          <w:tcPr>
            <w:tcW w:w="3544" w:type="dxa"/>
            <w:shd w:val="clear" w:color="auto" w:fill="auto"/>
            <w:hideMark/>
          </w:tcPr>
          <w:p w14:paraId="299168A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Renewables and biofuels for electricity supply and road transport</w:t>
            </w:r>
          </w:p>
        </w:tc>
      </w:tr>
      <w:tr w:rsidR="00190C62" w:rsidRPr="00F47DE9" w14:paraId="037C9EDA"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0043B65" w14:textId="6A823F1F"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{"citationItems":[{"id":"ITEM-1","itemData":{"DOI":"10.1016/J.EGYR.2019.09.029","ISSN":"2352-4847","abstract":"Renewable energy promotion has been one of the key driving forces of the world's climate change mitigation strategy. Policymakers have argued that the transition towards a low-carbon energy system has sound economic and social reasoning, since generates economic growth and employment. This central premise has not, however, been consensual in literature, which requires additional research. In this context, the goal of this paper is to analyze and provide empirical evidence of the relationship between renewable energy deployment and job creation, by employing econometric methods from panel data analysis. The research is focused on European Union's 28 member states, analyzing the relationship between historical values of renewable power generation installed capacity and employment over the period 2000–2016. Results suggest a positive relationship between these two variables, showing an increase of 0.48% in employment for each 1% increase in renewable power generation capacity. The outcomes of the present analysis enable better understanding of the social context of renewables, providing relevant insights that can constitute an auxiliary instrument to support decision-making.","author":[{"dropping-particle":"","family":"Proença","given":"Sara","non-dropping-particle":"","parse-names":false,"suffix":""},{"dropping-particle":"","family":"Fortes","given":"Patricia","non-dropping-particle":"","parse-names":false,"suffix":""}],"container-title":"Energy Reports","id":"ITEM-1","issued":{"date-parts":[["2020","2","1"]]},"page":"581-586","publisher":"Elsevier","title":"The social face of renewables: Econometric analysis of the relationship between renewables and employment","type":"article-journal","volume":"6"},"uris":["http://www.mendeley.com/documents/?uuid=90bb4833-a5b9-3acb-8e39-f2b74ef803eb"]}],"mendeley":{"formattedCitation":"(Proença and Fortes, 2020)","plainTextFormattedCitation":"(Proença and Fortes, 2020)","previouslyFormattedCitation":"(Proença and Fortes, 2020)"},"properties":{"noteIndex":0},"schema":"https://github.com/citation-style-language/schema/raw/master/csl-citation.json"}</w:instrText>
            </w:r>
            <w:r>
              <w:rPr>
                <w:rFonts w:ascii="Arial" w:hAnsi="Arial" w:cs="Arial"/>
                <w:sz w:val="20"/>
                <w:szCs w:val="20"/>
              </w:rPr>
              <w:fldChar w:fldCharType="separate"/>
            </w:r>
            <w:r w:rsidRPr="00137D56">
              <w:rPr>
                <w:rFonts w:ascii="Arial" w:hAnsi="Arial" w:cs="Arial"/>
                <w:b w:val="0"/>
                <w:noProof/>
                <w:sz w:val="20"/>
                <w:szCs w:val="20"/>
              </w:rPr>
              <w:t>Proença and Fortes</w:t>
            </w:r>
            <w:r>
              <w:rPr>
                <w:rFonts w:ascii="Arial" w:hAnsi="Arial" w:cs="Arial"/>
                <w:b w:val="0"/>
                <w:noProof/>
                <w:sz w:val="20"/>
                <w:szCs w:val="20"/>
              </w:rPr>
              <w:t xml:space="preserve"> (</w:t>
            </w:r>
            <w:r w:rsidRPr="00137D56">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noWrap/>
            <w:hideMark/>
          </w:tcPr>
          <w:p w14:paraId="3C001C5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1794" w:type="dxa"/>
            <w:shd w:val="clear" w:color="auto" w:fill="auto"/>
            <w:noWrap/>
            <w:hideMark/>
          </w:tcPr>
          <w:p w14:paraId="6B4D0C1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Europe</w:t>
            </w:r>
          </w:p>
        </w:tc>
        <w:tc>
          <w:tcPr>
            <w:tcW w:w="3544" w:type="dxa"/>
            <w:shd w:val="clear" w:color="auto" w:fill="auto"/>
            <w:noWrap/>
            <w:hideMark/>
          </w:tcPr>
          <w:p w14:paraId="05D6260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461C3C45"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082454C" w14:textId="44EA05BE"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{"citationItems":[{"id":"ITEM-1","itemData":{"DOI":"10.1016/j.techfore.2019.06.008","ISSN":"00401625","abstract":"Aside from reducing the energy sector's negative impacts on the environment, renewable power generation technologies are creating new wealth and becoming important job creators for the 21st century. Employment creation over the duration of the global energy transition is an important aspect to explore, which could have policy ramifications around the world. This research focuses on the employment impact of an accelerated uptake of renewable electricity generation that sees the world derive 100% of its electricity from renewable sources by 2050, in order to meet the goals set by the Paris Agreement. An analytical job creation assessment for the global power sector from 2015 to 2050 is estimated and presented on a regional basis. It is found that the global direct jobs associated with the electricity sector increases from about 21 million in 2015 to nearly 35 million in 2050. Solar PV, batteries and wind power are the major job creating technologies during the energy transition from 2015 to 2050. This is the first global study presenting job creation projections for energy storage. The results indicate that a global energy transition will have an overall positive impact on the future stability and growth of economies around the world.","author":[{"dropping-particle":"","family":"Ram","given":"Manish","non-dropping-particle":"","parse-names":false,"suffix":""},{"dropping-particle":"","family":"Aghahosseini","given":"Arman","non-dropping-particle":"","parse-names":false,"suffix":""},{"dropping-particle":"","family":"Breyer","given":"Christian","non-dropping-particle":"","parse-names":false,"suffix":""}],"container-title":"Technological Forecasting and Social Change","id":"ITEM-1","issued":{"date-parts":[["2020","2","1"]]},"page":"119682","publisher":"Elsevier Inc.","title":"Job creation during the global energy transition towards 100% renewable power system by 2050","type":"article-journal","volume":"151"},"uris":["http://www.mendeley.com/documents/?uuid=278e53cd-1ad1-3f32-9492-8828da56a9dd"]}],"mendeley":{"formattedCitation":"(Ram, Aghahosseini and Breyer, 2020)","manualFormatting":"Ram, Aghahosseini and Breyer (2020)","plainTextFormattedCitation":"(Ram, Aghahosseini and Breyer, 2020)","previouslyFormattedCitation":"(Ram, Aghahosseini and Breyer, 2020)"},"properties":{"noteIndex":0},"schema":"https://github.com/citation-style-language/schema/raw/master/csl-citation.json"}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Ram, Aghahosseini and Breyer</w:t>
            </w:r>
            <w:r>
              <w:rPr>
                <w:rFonts w:ascii="Arial" w:hAnsi="Arial" w:cs="Arial"/>
                <w:b w:val="0"/>
                <w:noProof/>
                <w:sz w:val="20"/>
                <w:szCs w:val="20"/>
              </w:rPr>
              <w:t xml:space="preserve"> (</w:t>
            </w:r>
            <w:r w:rsidRPr="00016CD3">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noWrap/>
            <w:hideMark/>
          </w:tcPr>
          <w:p w14:paraId="139BE1F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1794" w:type="dxa"/>
            <w:shd w:val="clear" w:color="auto" w:fill="auto"/>
            <w:noWrap/>
            <w:hideMark/>
          </w:tcPr>
          <w:p w14:paraId="5E37DE4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3544" w:type="dxa"/>
            <w:shd w:val="clear" w:color="auto" w:fill="auto"/>
            <w:noWrap/>
            <w:hideMark/>
          </w:tcPr>
          <w:p w14:paraId="205709B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w:t>
            </w:r>
          </w:p>
        </w:tc>
      </w:tr>
      <w:tr w:rsidR="00190C62" w:rsidRPr="00F47DE9" w14:paraId="5EAC4742"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DEB3BA9" w14:textId="3486EEC2"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{"citationItems":[{"id":"ITEM-1","itemData":{"DOI":"10.1016/J.ENERGY.2021.121690","ISSN":"0360-5442","abstract":"Driven by climate mitigation goals countries around the world are prioritising low-cost renewables for economic growth and recovery from the aftermath of the global pandemic. It is quite clear that sustainable technology choices result in broader socioeconomic benefits, as is shown by countries that have been early movers in transitioning their energy sectors towards higher shares of renewables. There is growing interest in better understanding the direct impact on employment by energy transitions with concerns over jobs lost in the conventional energy sectors, which will be crucial in informing decision making around the world. This research focuses on the net employment impacts of an accelerated uptake of renewable energy that envisages the world deriving 100 % of its energy from renewable sources by 2050, compatible with the ambitious goals of the Paris Agreement. Direct energy jobs associated with the power, heat, transport, and desalination sectors increase substantially from about 57 million in 2020 to nearly 134 million by 2050. Value chains in renewables and sustainable technologies are found to be more labour intensive than extractive fossil fuels. The results indicate that a global energy transition will have positive impacts on future stability and growth of economies around the world.","author":[{"dropping-particle":"","family":"Ram","given":"Manish","non-dropping-particle":"","parse-names":false,"suffix":""},{"dropping-particle":"","family":"Osorio-Aravena","given":"Juan Carlos","non-dropping-particle":"","parse-names":false,"suffix":""},{"dropping-particle":"","family":"Aghahosseini","given":"Arman","non-dropping-particle":"","parse-names":false,"suffix":""},{"dropping-particle":"","family":"Bogdanov","given":"Dmitrii","non-dropping-particle":"","parse-names":false,"suffix":""},{"dropping-particle":"","family":"Breyer","given":"Christian","non-dropping-particle":"","parse-names":false,"suffix":""}],"container-title":"Energy","id":"ITEM-1","issued":{"date-parts":[["2022","1","1"]]},"page":"121690","publisher":"Pergamon","title":"Job creation during a climate compliant global energy transition across the power, heat, transport, and desalination sectors by 2050","type":"article-journal","volume":"238"},"uris":["http://www.mendeley.com/documents/?uuid=2c121a98-a478-319a-8748-dfcc0f25ca01"]}],"mendeley":{"formattedCitation":"(Ram &lt;i&gt;et al.&lt;/i&gt;, 2022)","manualFormatting":"Ram et al. (2022)","plainTextFormattedCitation":"(Ram et al., 2022)","previouslyFormattedCitation":"(Ram &lt;i&gt;et al.&lt;/i&gt;, 2022)"},"properties":{"noteIndex":0},"schema":"https://github.com/citation-style-language/schema/raw/master/csl-citation.json"}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 xml:space="preserve">Ram </w:t>
            </w:r>
            <w:r w:rsidRPr="00016CD3">
              <w:rPr>
                <w:rFonts w:ascii="Arial" w:hAnsi="Arial" w:cs="Arial"/>
                <w:b w:val="0"/>
                <w:i/>
                <w:noProof/>
                <w:sz w:val="20"/>
                <w:szCs w:val="20"/>
              </w:rPr>
              <w:t>et al.</w:t>
            </w:r>
            <w:r>
              <w:rPr>
                <w:rFonts w:ascii="Arial" w:hAnsi="Arial" w:cs="Arial"/>
                <w:b w:val="0"/>
                <w:noProof/>
                <w:sz w:val="20"/>
                <w:szCs w:val="20"/>
              </w:rPr>
              <w:t xml:space="preserve"> (</w:t>
            </w:r>
            <w:r w:rsidRPr="00016CD3">
              <w:rPr>
                <w:rFonts w:ascii="Arial" w:hAnsi="Arial" w:cs="Arial"/>
                <w:b w:val="0"/>
                <w:noProof/>
                <w:sz w:val="20"/>
                <w:szCs w:val="20"/>
              </w:rPr>
              <w:t>2022)</w:t>
            </w:r>
            <w:r>
              <w:rPr>
                <w:rFonts w:ascii="Arial" w:hAnsi="Arial" w:cs="Arial"/>
                <w:sz w:val="20"/>
                <w:szCs w:val="20"/>
              </w:rPr>
              <w:fldChar w:fldCharType="end"/>
            </w:r>
          </w:p>
        </w:tc>
        <w:tc>
          <w:tcPr>
            <w:tcW w:w="1794" w:type="dxa"/>
            <w:shd w:val="clear" w:color="auto" w:fill="auto"/>
            <w:noWrap/>
            <w:hideMark/>
          </w:tcPr>
          <w:p w14:paraId="4C187C5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1794" w:type="dxa"/>
            <w:shd w:val="clear" w:color="auto" w:fill="auto"/>
            <w:hideMark/>
          </w:tcPr>
          <w:p w14:paraId="62676D9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Global</w:t>
            </w:r>
          </w:p>
        </w:tc>
        <w:tc>
          <w:tcPr>
            <w:tcW w:w="3544" w:type="dxa"/>
            <w:shd w:val="clear" w:color="auto" w:fill="auto"/>
            <w:noWrap/>
            <w:hideMark/>
          </w:tcPr>
          <w:p w14:paraId="34E5604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Power, heat, transport, and desalination sectors and 100% renewable energy system by 2050</w:t>
            </w:r>
          </w:p>
        </w:tc>
      </w:tr>
      <w:tr w:rsidR="00190C62" w:rsidRPr="00F47DE9" w14:paraId="7D87CC24"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66C45F9" w14:textId="106D0B48" w:rsidR="00190C62" w:rsidRPr="00F21627" w:rsidRDefault="00190C62" w:rsidP="00190C62">
            <w:pPr>
              <w:rPr>
                <w:rFonts w:ascii="Arial" w:hAnsi="Arial" w:cs="Arial"/>
                <w:b w:val="0"/>
                <w:bCs w:val="0"/>
                <w:sz w:val="20"/>
                <w:szCs w:val="20"/>
              </w:rPr>
            </w:pPr>
            <w:r w:rsidRPr="00F21627">
              <w:rPr>
                <w:rFonts w:ascii="Arial" w:hAnsi="Arial" w:cs="Arial"/>
                <w:sz w:val="20"/>
                <w:szCs w:val="20"/>
              </w:rPr>
              <w:fldChar w:fldCharType="begin" w:fldLock="1"/>
            </w:r>
            <w:r w:rsidRPr="00F21627">
              <w:rPr>
                <w:rFonts w:ascii="Arial" w:hAnsi="Arial" w:cs="Arial"/>
                <w:b w:val="0"/>
                <w:bCs w:val="0"/>
                <w:sz w:val="20"/>
                <w:szCs w:val="20"/>
              </w:rPr>
              <w:instrText>ADDIN CSL_CITATION {"citationItems":[{"id":"ITEM-1","itemData":{"DOI":"10.1016/j.renene.2016.02.027","ISSN":"18790682","abstract":"The transition to a clean and green energy system is an economic and social transformation that is exciting as well as challenging. The world today faces a formidable challenge in transforming its economy from being driven primarily by fossil fuels, which are non-renewable and a major source of global pollution, to becoming an economy that can function effectively using renewable energy sources and by achieving high energy efficiency levels. In the present study, a green economy scenario is developed for India using a bottom-up approach. The results show that significant resource savings can be achieved by 2030 through the introduction of energy-efficient and green technologies. The building of a green energy economy can also serve another purpose: to develop new 'pathways out of poverty' by creating more than 10 million jobs and thus raise the standard of living of low-income people. The differences between the baseline and green energy scenarios are not so much the consequence of the diffusion of various technologies. It is the result of the active roles of different actors and the drivers that become dominant.","author":[{"dropping-particle":"","family":"Reddy","given":"B. Sudhakara","non-dropping-particle":"","parse-names":false,"suffix":""}],"container-title":"Renewable Energy","id":"ITEM-1","issued":{"date-parts":[["2016","7","1"]]},"page":"293-302","publisher":"Elsevier Ltd","title":"India's energy system transition - Survival of the greenest","type":"article-journal","volume":"92"},"uris":["http://www.mendeley.com/documents/?uuid=62bd57d7-a6cf-306b-8013-d3b359a728c4"]}],"mendeley":{"formattedCitation":"(Reddy, 2016)","manualFormatting":"Reddy (2016)","plainTextFormattedCitation":"(Reddy, 2016)","previouslyFormattedCitation":"(Reddy, 2016)"},"properties":{"noteIndex":0},"schema":"https://github.com/citation-style-language/schema/raw/master/csl-citation.json"}</w:instrText>
            </w:r>
            <w:r w:rsidRPr="00F21627">
              <w:rPr>
                <w:rFonts w:ascii="Arial" w:hAnsi="Arial" w:cs="Arial"/>
                <w:sz w:val="20"/>
                <w:szCs w:val="20"/>
              </w:rPr>
              <w:fldChar w:fldCharType="separate"/>
            </w:r>
            <w:r w:rsidRPr="00F21627">
              <w:rPr>
                <w:rFonts w:ascii="Arial" w:hAnsi="Arial" w:cs="Arial"/>
                <w:b w:val="0"/>
                <w:bCs w:val="0"/>
                <w:noProof/>
                <w:sz w:val="20"/>
                <w:szCs w:val="20"/>
              </w:rPr>
              <w:t>Reddy (2016)</w:t>
            </w:r>
            <w:r w:rsidRPr="00F21627">
              <w:rPr>
                <w:rFonts w:ascii="Arial" w:hAnsi="Arial" w:cs="Arial"/>
                <w:sz w:val="20"/>
                <w:szCs w:val="20"/>
              </w:rPr>
              <w:fldChar w:fldCharType="end"/>
            </w:r>
          </w:p>
        </w:tc>
        <w:tc>
          <w:tcPr>
            <w:tcW w:w="1794" w:type="dxa"/>
            <w:shd w:val="clear" w:color="auto" w:fill="auto"/>
            <w:noWrap/>
            <w:hideMark/>
          </w:tcPr>
          <w:p w14:paraId="4D270E7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India</w:t>
            </w:r>
          </w:p>
        </w:tc>
        <w:tc>
          <w:tcPr>
            <w:tcW w:w="1794" w:type="dxa"/>
            <w:shd w:val="clear" w:color="auto" w:fill="auto"/>
            <w:noWrap/>
            <w:hideMark/>
          </w:tcPr>
          <w:p w14:paraId="6E63824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hideMark/>
          </w:tcPr>
          <w:p w14:paraId="7A893A20"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Power sector including renewables</w:t>
            </w:r>
          </w:p>
        </w:tc>
      </w:tr>
      <w:tr w:rsidR="00190C62" w:rsidRPr="00F47DE9" w14:paraId="02916502"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452CB647" w14:textId="5DEE94BF" w:rsidR="00190C62" w:rsidRPr="00F21627" w:rsidRDefault="00190C62" w:rsidP="00190C62">
            <w:pPr>
              <w:rPr>
                <w:rFonts w:ascii="Arial" w:hAnsi="Arial" w:cs="Arial"/>
                <w:b w:val="0"/>
                <w:bCs w:val="0"/>
                <w:sz w:val="20"/>
                <w:szCs w:val="20"/>
              </w:rPr>
            </w:pPr>
            <w:r w:rsidRPr="00F21627">
              <w:rPr>
                <w:rFonts w:ascii="Arial" w:hAnsi="Arial" w:cs="Arial"/>
                <w:sz w:val="20"/>
                <w:szCs w:val="20"/>
              </w:rPr>
              <w:fldChar w:fldCharType="begin" w:fldLock="1"/>
            </w:r>
            <w:r w:rsidRPr="00F21627">
              <w:rPr>
                <w:rFonts w:ascii="Arial" w:hAnsi="Arial" w:cs="Arial"/>
                <w:b w:val="0"/>
                <w:bCs w:val="0"/>
                <w:sz w:val="20"/>
                <w:szCs w:val="20"/>
              </w:rPr>
              <w:instrText>ADDIN CSL_CITATION {"citationItems":[{"id":"ITEM-1","itemData":{"DOI":"10.1016/J.ENPOL.2014.08.007","ISSN":"0301-4215","abstract":"Programmes supporting the installation of energy efficiency measures typically incur a cost in the form of subsidies as well as lost VAT income due to reduced energy consumption. Those costs are to some extent offset by the tax receipts and other revenue streams generated as a result of the activities promoted under the programme. In this paper we analyse the budgetary effects of energy efficiency programmes focusing on the example of solid wall insulation in the UK. Three distinct subsidy options have been defined and modelled for the purpose of this research including two policies with varying degrees of direct subsidy and a low interest loan scheme. Our analysis shows that a significant amount of the cost of a scheme funding solid wall insulation would be offset by increased revenues and savings. A loan scheme, due to the high leverage, achieves not only budget neutrality but generates additional revenue for the Exchequer.","author":[{"dropping-particle":"","family":"Rosenow","given":"Jan","non-dropping-particle":"","parse-names":false,"suffix":""},{"dropping-particle":"","family":"Platt","given":"Reg","non-dropping-particle":"","parse-names":false,"suffix":""},{"dropping-particle":"","family":"Demurtas","given":"Andrea","non-dropping-particle":"","parse-names":false,"suffix":""}],"container-title":"Energy Policy","id":"ITEM-1","issue":"C","issued":{"date-parts":[["2014","11","1"]]},"page":"610-620","publisher":"Elsevier","title":"Fiscal impacts of energy efficiency programmes - The example of solid wall insulation investment in the UK","type":"article-journal","volume":"74"},"uris":["http://www.mendeley.com/documents/?uuid=c9b5bbb0-23b0-3547-825f-cf10475b5391"]}],"mendeley":{"formattedCitation":"(Rosenow, Platt and Demurtas, 2014)","manualFormatting":"Rosenow, Platt and Demurtas (2014)","plainTextFormattedCitation":"(Rosenow, Platt and Demurtas, 2014)","previouslyFormattedCitation":"(Rosenow, Platt and Demurtas, 2014)"},"properties":{"noteIndex":0},"schema":"https://github.com/citation-style-language/schema/raw/master/csl-citation.json"}</w:instrText>
            </w:r>
            <w:r w:rsidRPr="00F21627">
              <w:rPr>
                <w:rFonts w:ascii="Arial" w:hAnsi="Arial" w:cs="Arial"/>
                <w:sz w:val="20"/>
                <w:szCs w:val="20"/>
              </w:rPr>
              <w:fldChar w:fldCharType="separate"/>
            </w:r>
            <w:r w:rsidRPr="00F21627">
              <w:rPr>
                <w:rFonts w:ascii="Arial" w:hAnsi="Arial" w:cs="Arial"/>
                <w:b w:val="0"/>
                <w:bCs w:val="0"/>
                <w:noProof/>
                <w:sz w:val="20"/>
                <w:szCs w:val="20"/>
              </w:rPr>
              <w:t>Rosenow, Platt and Demurtas (2014)</w:t>
            </w:r>
            <w:r w:rsidRPr="00F21627">
              <w:rPr>
                <w:rFonts w:ascii="Arial" w:hAnsi="Arial" w:cs="Arial"/>
                <w:sz w:val="20"/>
                <w:szCs w:val="20"/>
              </w:rPr>
              <w:fldChar w:fldCharType="end"/>
            </w:r>
          </w:p>
        </w:tc>
        <w:tc>
          <w:tcPr>
            <w:tcW w:w="1794" w:type="dxa"/>
            <w:shd w:val="clear" w:color="auto" w:fill="auto"/>
            <w:noWrap/>
          </w:tcPr>
          <w:p w14:paraId="204CE3CA" w14:textId="0EFE46BB"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UK</w:t>
            </w:r>
          </w:p>
        </w:tc>
        <w:tc>
          <w:tcPr>
            <w:tcW w:w="1794" w:type="dxa"/>
            <w:shd w:val="clear" w:color="auto" w:fill="auto"/>
          </w:tcPr>
          <w:p w14:paraId="40CB7BEC" w14:textId="1446CD04"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Europe</w:t>
            </w:r>
          </w:p>
        </w:tc>
        <w:tc>
          <w:tcPr>
            <w:tcW w:w="3544" w:type="dxa"/>
            <w:shd w:val="clear" w:color="auto" w:fill="auto"/>
            <w:noWrap/>
          </w:tcPr>
          <w:p w14:paraId="595DE7C5" w14:textId="53DBDB0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Energy efficiency</w:t>
            </w:r>
          </w:p>
        </w:tc>
      </w:tr>
      <w:tr w:rsidR="00190C62" w:rsidRPr="00F47DE9" w14:paraId="3BBDB198"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09410E61" w14:textId="18294CCC"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{"citationItems":[{"id":"ITEM-1","itemData":{"DOI":"10.1016/J.SBSPRO.2016.07.142","ISSN":"1877-0428","abstract":"In this study, types of renewable energy resources and usage level of these types based on countries were investigated. Usage of renewable energy systems and various countries using these systems are discussed in the study. Various information are also provided about the problems arise from energy needs of developing countries and preference of renewable energy resources by countries based on these problems. Economic, educational and environmental effects of developed and developing countries are also mentioned based on the types of renewable energy resources used in these countries. In the light of these information, advantages and disadvantages of the existing renewable energy resources for countries are discussed. Embodiment of these mentioned factors in the society is also discussed based on this information. Various business areas arise from the use of renewable energy resources in the countries and sectorial distribution of business areas are explained based on numerical data of the countries. In line with these explanations, steps of the business areas which are constituted through renewable energy resources, employment data provided by these steps and the mechanism of employment as a result of data in a sustainable manner are also explained. In this study, renewable energy resources of developed countries, sustainable employment vision and policy convenient for predicted renewable energy resources are also provided.","author":[{"dropping-particle":"","family":"Sari","given":"Arif","non-dropping-particle":"","parse-names":false,"suffix":""},{"dropping-particle":"","family":"Akkaya","given":"Murat","non-dropping-particle":"","parse-names":false,"suffix":""}],"container-title":"Procedia - Social and Behavioral Sciences","id":"ITEM-1","issued":{"date-parts":[["2016","8","19"]]},"page":"316-325","publisher":"Elsevier","title":"Contribution of Renewable Energy Potential to Sustainable Employment","type":"article-journal","volume":"229"},"uris":["http://www.mendeley.com/documents/?uuid=c6cb3879-a302-3fd8-8952-9f022662bda2"]}],"mendeley":{"formattedCitation":"(Sari and Akkaya, 2016)","plainTextFormattedCitation":"(Sari and Akkaya, 2016)","previouslyFormattedCitation":"(Sari and Akkaya, 2016)"},"properties":{"noteIndex":0},"schema":"https://github.com/citation-style-language/schema/raw/master/csl-citation.json"}</w:instrText>
            </w:r>
            <w:r>
              <w:rPr>
                <w:rFonts w:ascii="Arial" w:hAnsi="Arial" w:cs="Arial"/>
                <w:sz w:val="20"/>
                <w:szCs w:val="20"/>
              </w:rPr>
              <w:fldChar w:fldCharType="separate"/>
            </w:r>
            <w:r w:rsidRPr="00137D56">
              <w:rPr>
                <w:rFonts w:ascii="Arial" w:hAnsi="Arial" w:cs="Arial"/>
                <w:b w:val="0"/>
                <w:noProof/>
                <w:sz w:val="20"/>
                <w:szCs w:val="20"/>
              </w:rPr>
              <w:t>Sari and Akkaya</w:t>
            </w:r>
            <w:r>
              <w:rPr>
                <w:rFonts w:ascii="Arial" w:hAnsi="Arial" w:cs="Arial"/>
                <w:b w:val="0"/>
                <w:noProof/>
                <w:sz w:val="20"/>
                <w:szCs w:val="20"/>
              </w:rPr>
              <w:t xml:space="preserve"> (</w:t>
            </w:r>
            <w:r w:rsidRPr="00137D56">
              <w:rPr>
                <w:rFonts w:ascii="Arial" w:hAnsi="Arial" w:cs="Arial"/>
                <w:b w:val="0"/>
                <w:noProof/>
                <w:sz w:val="20"/>
                <w:szCs w:val="20"/>
              </w:rPr>
              <w:t>2016)</w:t>
            </w:r>
            <w:r>
              <w:rPr>
                <w:rFonts w:ascii="Arial" w:hAnsi="Arial" w:cs="Arial"/>
                <w:sz w:val="20"/>
                <w:szCs w:val="20"/>
              </w:rPr>
              <w:fldChar w:fldCharType="end"/>
            </w:r>
          </w:p>
        </w:tc>
        <w:tc>
          <w:tcPr>
            <w:tcW w:w="1794" w:type="dxa"/>
            <w:shd w:val="clear" w:color="auto" w:fill="auto"/>
            <w:noWrap/>
          </w:tcPr>
          <w:p w14:paraId="3FE586E1" w14:textId="646F50FF"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Europe </w:t>
            </w:r>
          </w:p>
        </w:tc>
        <w:tc>
          <w:tcPr>
            <w:tcW w:w="1794" w:type="dxa"/>
            <w:shd w:val="clear" w:color="auto" w:fill="auto"/>
          </w:tcPr>
          <w:p w14:paraId="637442A6" w14:textId="1D834604"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Europe</w:t>
            </w:r>
          </w:p>
        </w:tc>
        <w:tc>
          <w:tcPr>
            <w:tcW w:w="3544" w:type="dxa"/>
            <w:shd w:val="clear" w:color="auto" w:fill="auto"/>
            <w:noWrap/>
          </w:tcPr>
          <w:p w14:paraId="7E2DBD22" w14:textId="5021D933"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 solar, wind</w:t>
            </w:r>
          </w:p>
        </w:tc>
      </w:tr>
      <w:tr w:rsidR="00190C62" w:rsidRPr="00F47DE9" w14:paraId="4B7071EC"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96A32F1" w14:textId="6A1F42D3"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{"citationItems":[{"id":"ITEM-1","itemData":{"DOI":"10.1016/J.RENENE.2017.11.058","ISSN":"0960-1481","abstract":"This paper presents the optimal hybrid power system design including various configurations of renewable energy generation. To decide the optimal configuration of parameters a new multi-objective function with six separate objectives of hybrid renewable system is presented using GA, PSO, BFPSO and TLBO optimization techniques. The different parameters namely technical (LPSP, Renewable factor), economical (COE, Penalty &amp; Fuel consumption) and social (Job creation, HDI &amp; PM) features are investigated as objectives simultaneously for optimal design of hybrid system. The design consideration of hybrid system using a novel PM factor, human health impacts are directly shown whereas pollutant emission is measured in the hybrid system design. Based on the minimum value of multi-objective function optimal values are decided for objective indices. For optimal configuration including various combinations of wind, PV, diesel generator, biomass and battery bank, separate cases from I to VI of hybrid system are tested. Performance of TLBO is found to be better than BFPSO, PSO and GA as per the analysis of results for individual cases. Also the case I found to be the most efficient solution among all cases.","author":[{"dropping-particle":"","family":"Sawle","given":"Yashwant","non-dropping-particle":"","parse-names":false,"suffix":""},{"dropping-particle":"","family":"Gupta","given":"S. C.","non-dropping-particle":"","parse-names":false,"suffix":""},{"dropping-particle":"","family":"Bohre","given":"Aashish Kumar","non-dropping-particle":"","parse-names":false,"suffix":""}],"container-title":"Renewable Energy","id":"ITEM-1","issued":{"date-parts":[["2018","4","1"]]},"page":"459-472","publisher":"Pergamon","title":"Socio-techno-economic design of hybrid renewable energy system using optimization techniques","type":"article-journal","volume":"119"},"uris":["http://www.mendeley.com/documents/?uuid=07b2f90a-1405-35b3-9dce-69eba7f3e607"]}],"mendeley":{"formattedCitation":"(Sawle, Gupta and Bohre, 2018)","plainTextFormattedCitation":"(Sawle, Gupta and Bohre, 2018)","previouslyFormattedCitation":"(Sawle, Gupta and Bohre, 2018)"},"properties":{"noteIndex":0},"schema":"https://github.com/citation-style-language/schema/raw/master/csl-citation.json"}</w:instrText>
            </w:r>
            <w:r>
              <w:rPr>
                <w:rFonts w:ascii="Arial" w:hAnsi="Arial" w:cs="Arial"/>
                <w:sz w:val="20"/>
                <w:szCs w:val="20"/>
              </w:rPr>
              <w:fldChar w:fldCharType="separate"/>
            </w:r>
            <w:r w:rsidRPr="00137D56">
              <w:rPr>
                <w:rFonts w:ascii="Arial" w:hAnsi="Arial" w:cs="Arial"/>
                <w:b w:val="0"/>
                <w:noProof/>
                <w:sz w:val="20"/>
                <w:szCs w:val="20"/>
              </w:rPr>
              <w:t>Sawle, Gupta and Bohre</w:t>
            </w:r>
            <w:r>
              <w:rPr>
                <w:rFonts w:ascii="Arial" w:hAnsi="Arial" w:cs="Arial"/>
                <w:b w:val="0"/>
                <w:noProof/>
                <w:sz w:val="20"/>
                <w:szCs w:val="20"/>
              </w:rPr>
              <w:t xml:space="preserve"> (</w:t>
            </w:r>
            <w:r w:rsidRPr="00137D56">
              <w:rPr>
                <w:rFonts w:ascii="Arial" w:hAnsi="Arial" w:cs="Arial"/>
                <w:b w:val="0"/>
                <w:noProof/>
                <w:sz w:val="20"/>
                <w:szCs w:val="20"/>
              </w:rPr>
              <w:t>2018)</w:t>
            </w:r>
            <w:r>
              <w:rPr>
                <w:rFonts w:ascii="Arial" w:hAnsi="Arial" w:cs="Arial"/>
                <w:sz w:val="20"/>
                <w:szCs w:val="20"/>
              </w:rPr>
              <w:fldChar w:fldCharType="end"/>
            </w:r>
          </w:p>
        </w:tc>
        <w:tc>
          <w:tcPr>
            <w:tcW w:w="1794" w:type="dxa"/>
            <w:shd w:val="clear" w:color="auto" w:fill="auto"/>
            <w:noWrap/>
            <w:hideMark/>
          </w:tcPr>
          <w:p w14:paraId="235F05E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India</w:t>
            </w:r>
          </w:p>
        </w:tc>
        <w:tc>
          <w:tcPr>
            <w:tcW w:w="1794" w:type="dxa"/>
            <w:shd w:val="clear" w:color="auto" w:fill="auto"/>
            <w:hideMark/>
          </w:tcPr>
          <w:p w14:paraId="0F71FB8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noWrap/>
            <w:hideMark/>
          </w:tcPr>
          <w:p w14:paraId="22CA717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Hybrid power system - solar PV, wind, biomass, diesel generation, battery bank</w:t>
            </w:r>
          </w:p>
        </w:tc>
      </w:tr>
      <w:tr w:rsidR="00190C62" w:rsidRPr="00F47DE9" w14:paraId="0DC08D42"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54BD7B3" w14:textId="3B099B81"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{"citationItems":[{"id":"ITEM-1","itemData":{"DOI":"10.1016/J.ENPOL.2021.112289","ISSN":"0301-4215","abstract":"As part of the sustainable energy transition in Germany, substantial investments in power grid infrastructure are planned. They are intended to provide flexibility to an electricity system increasingly relying on variable renewable energy sources, and on European interconnection. While much research has been done on the benefits of renewables, the economic impact of the necessary grid investments so far remains widely unclear. This paper presents a macroeconomic assessment of the planned investments in power grid infrastructure in Germany. By performing a static input-output analysis, the investigation reveals how multiplier effects of the grid investments impact macroeconomic outcomes – in terms of output, value added, employment and fiscal income. Net multiplier effects on outputs are found to be positive, ranging between €47.3 bn and €55.8 bn, while other effects turn out to be negative. A net decrease in value added of between €10.1 bn and €12.7 bn, in fiscal income between €962 million and €1354 million, and reductions in employment of between 130,170 and 158,940 jobs are found to be attributable to the grid investments. Hence, from a national perspective, the planned investments are found to have mixed macroeconomic effects and are not necessarily 100% 'no-regret'. Flexibility investments for the energy transition provided by power grids should therefore be realized with caution, and at least cost, if negative effects on national value added, tax revenues and employment are to be minimized. For policy guidance, more research is needed on the relative merits of the flexibility options available for accomodating high shares of renewables, and on the overall economic net benefits of sustainable energy transitions.","author":[{"dropping-particle":"","family":"Schreiner","given":"Lena","non-dropping-particle":"","parse-names":false,"suffix":""},{"dropping-particle":"","family":"Madlener","given":"Reinhard","non-dropping-particle":"","parse-names":false,"suffix":""}],"container-title":"Energy Policy","id":"ITEM-1","issued":{"date-parts":[["2021","9","1"]]},"page":"112289","publisher":"Elsevier","title":"A pathway to green growth? Macroeconomic impacts of power grid infrastructure investments in Germany","type":"article-journal","volume":"156"},"uris":["http://www.mendeley.com/documents/?uuid=8eaebf4a-daa4-31bb-a521-6305a63f44a7"]}],"mendeley":{"formattedCitation":"(Schreiner and Madlener, 2021)","manualFormatting":"Schreiner and Madlener (2021)","plainTextFormattedCitation":"(Schreiner and Madlener, 2021)","previouslyFormattedCitation":"(Schreiner and Madlener, 2021)"},"properties":{"noteIndex":0},"schema":"https://github.com/citation-style-language/schema/raw/master/csl-citation.json"}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Schreiner and Madlener</w:t>
            </w:r>
            <w:r>
              <w:rPr>
                <w:rFonts w:ascii="Arial" w:hAnsi="Arial" w:cs="Arial"/>
                <w:b w:val="0"/>
                <w:noProof/>
                <w:sz w:val="20"/>
                <w:szCs w:val="20"/>
              </w:rPr>
              <w:t xml:space="preserve"> (</w:t>
            </w:r>
            <w:r w:rsidRPr="00016CD3">
              <w:rPr>
                <w:rFonts w:ascii="Arial" w:hAnsi="Arial" w:cs="Arial"/>
                <w:b w:val="0"/>
                <w:noProof/>
                <w:sz w:val="20"/>
                <w:szCs w:val="20"/>
              </w:rPr>
              <w:t>2021)</w:t>
            </w:r>
            <w:r>
              <w:rPr>
                <w:rFonts w:ascii="Arial" w:hAnsi="Arial" w:cs="Arial"/>
                <w:sz w:val="20"/>
                <w:szCs w:val="20"/>
              </w:rPr>
              <w:fldChar w:fldCharType="end"/>
            </w:r>
          </w:p>
        </w:tc>
        <w:tc>
          <w:tcPr>
            <w:tcW w:w="1794" w:type="dxa"/>
            <w:shd w:val="clear" w:color="auto" w:fill="auto"/>
            <w:hideMark/>
          </w:tcPr>
          <w:p w14:paraId="3D51E3F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Germany</w:t>
            </w:r>
          </w:p>
        </w:tc>
        <w:tc>
          <w:tcPr>
            <w:tcW w:w="1794" w:type="dxa"/>
            <w:shd w:val="clear" w:color="auto" w:fill="auto"/>
            <w:hideMark/>
          </w:tcPr>
          <w:p w14:paraId="09A2979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3D9EBCD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Power grid infrastructure</w:t>
            </w:r>
          </w:p>
        </w:tc>
      </w:tr>
      <w:tr w:rsidR="00190C62" w:rsidRPr="00F47DE9" w14:paraId="2B7EE8FB"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E736D97" w14:textId="6DB74470"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{"citationItems":[{"id":"ITEM-1","itemData":{"DOI":"10.1016/J.RENENE.2014.10.045","ISSN":"0960-1481","abstract":"Multi-Criteria Decision Making (MCDM) techniques are gaining popularity in energy supply systems. The aim of this paper is to develop the multi-criteria decision support framework for ranking renewable energy supply systems in Turkey. Given the selection of renewable energy supply systems involves many conflicting criteria, multi criteria decision methods (Fuzzy TOPSIS) were employed for the analysis. The Interval Shannon's Entropy methodology was used to determine weight values of the criteria. In this study, α=0.1, 0.5 and 0.9 values based sensitivity analysis were performed. Three α-cutting levels were identical to the sequence of alternatives. According to result, the first criterion in preference ranking of renewable energy sources in Turkey is the Amount of Energy Produced, followed by the ranking systems Land use, Operation and maintenance cost, Installed capacity, Efficiency, Payback period, Investment cost, Job creation, and Value of CO2 emission. Thus the multi-criteria analysis showed that the Hydro Power Station is determined to be the most renewable energy supply system in Turkey. Additionally, the Geothermal Power Station, Regulator and Wind Power Station are determined to be the second, third and fourth, respectively. The government of Turkey should invest, in order of priority, in these systems. The government should also evaluate the projects, which are related to these renewable energy resources.","author":[{"dropping-particle":"","family":"Şengül","given":"Ümran","non-dropping-particle":"","parse-names":false,"suffix":""},{"dropping-particle":"","family":"Eren","given":"Miraç","non-dropping-particle":"","parse-names":false,"suffix":""},{"dropping-particle":"","family":"Eslamian Shiraz","given":"Seyedhadi","non-dropping-particle":"","parse-names":false,"suffix":""},{"dropping-particle":"","family":"Gezder","given":"Volkan","non-dropping-particle":"","parse-names":false,"suffix":""},{"dropping-particle":"","family":"Sengül","given":"Ahmet Bilal","non-dropping-particle":"","parse-names":false,"suffix":""}],"container-title":"Renewable Energy","id":"ITEM-1","issued":{"date-parts":[["2015","3","1"]]},"page":"617-625","publisher":"Pergamon","title":"Fuzzy TOPSIS method for ranking renewable energy supply systems in Turkey","type":"article-journal","volume":"75"},"uris":["http://www.mendeley.com/documents/?uuid=34c0e76a-bfc6-3c48-9e79-f6d5a55ba0db"]}],"mendeley":{"formattedCitation":"(Şengül &lt;i&gt;et al.&lt;/i&gt;, 2015)","plainTextFormattedCitation":"(Şengül et al., 2015)","previouslyFormattedCitation":"(Şengül &lt;i&gt;et al.&lt;/i&gt;, 2015)"},"properties":{"noteIndex":0},"schema":"https://github.com/citation-style-language/schema/raw/master/csl-citation.json"}</w:instrText>
            </w:r>
            <w:r>
              <w:rPr>
                <w:rFonts w:ascii="Arial" w:hAnsi="Arial" w:cs="Arial"/>
                <w:sz w:val="20"/>
                <w:szCs w:val="20"/>
              </w:rPr>
              <w:fldChar w:fldCharType="separate"/>
            </w:r>
            <w:r w:rsidRPr="004C7908">
              <w:rPr>
                <w:rFonts w:ascii="Arial" w:hAnsi="Arial" w:cs="Arial"/>
                <w:b w:val="0"/>
                <w:noProof/>
                <w:sz w:val="20"/>
                <w:szCs w:val="20"/>
              </w:rPr>
              <w:t xml:space="preserve">Şengül </w:t>
            </w:r>
            <w:r w:rsidRPr="004C7908">
              <w:rPr>
                <w:rFonts w:ascii="Arial" w:hAnsi="Arial" w:cs="Arial"/>
                <w:b w:val="0"/>
                <w:i/>
                <w:noProof/>
                <w:sz w:val="20"/>
                <w:szCs w:val="20"/>
              </w:rPr>
              <w:t>et al.</w:t>
            </w:r>
            <w:r>
              <w:rPr>
                <w:rFonts w:ascii="Arial" w:hAnsi="Arial" w:cs="Arial"/>
                <w:b w:val="0"/>
                <w:i/>
                <w:noProof/>
                <w:sz w:val="20"/>
                <w:szCs w:val="20"/>
              </w:rPr>
              <w:t xml:space="preserve"> </w:t>
            </w:r>
            <w:r>
              <w:rPr>
                <w:rFonts w:ascii="Arial" w:hAnsi="Arial" w:cs="Arial"/>
                <w:b w:val="0"/>
                <w:noProof/>
                <w:sz w:val="20"/>
                <w:szCs w:val="20"/>
              </w:rPr>
              <w:t>(</w:t>
            </w:r>
            <w:r w:rsidRPr="004C7908">
              <w:rPr>
                <w:rFonts w:ascii="Arial" w:hAnsi="Arial" w:cs="Arial"/>
                <w:b w:val="0"/>
                <w:noProof/>
                <w:sz w:val="20"/>
                <w:szCs w:val="20"/>
              </w:rPr>
              <w:t>2015)</w:t>
            </w:r>
            <w:r>
              <w:rPr>
                <w:rFonts w:ascii="Arial" w:hAnsi="Arial" w:cs="Arial"/>
                <w:sz w:val="20"/>
                <w:szCs w:val="20"/>
              </w:rPr>
              <w:fldChar w:fldCharType="end"/>
            </w:r>
          </w:p>
        </w:tc>
        <w:tc>
          <w:tcPr>
            <w:tcW w:w="1794" w:type="dxa"/>
            <w:shd w:val="clear" w:color="auto" w:fill="auto"/>
            <w:noWrap/>
            <w:hideMark/>
          </w:tcPr>
          <w:p w14:paraId="0EE9E4F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Turkey</w:t>
            </w:r>
          </w:p>
        </w:tc>
        <w:tc>
          <w:tcPr>
            <w:tcW w:w="1794" w:type="dxa"/>
            <w:shd w:val="clear" w:color="auto" w:fill="auto"/>
            <w:hideMark/>
          </w:tcPr>
          <w:p w14:paraId="3E019B5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 / Asia</w:t>
            </w:r>
          </w:p>
        </w:tc>
        <w:tc>
          <w:tcPr>
            <w:tcW w:w="3544" w:type="dxa"/>
            <w:shd w:val="clear" w:color="auto" w:fill="auto"/>
            <w:noWrap/>
            <w:hideMark/>
          </w:tcPr>
          <w:p w14:paraId="5EB0461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 hydro / wind / geothermal power generation</w:t>
            </w:r>
          </w:p>
        </w:tc>
      </w:tr>
      <w:tr w:rsidR="00190C62" w:rsidRPr="00F47DE9" w14:paraId="2D267FC5"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39B310EB" w14:textId="0F909816"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{"citationItems":[{"id":"ITEM-1","itemData":{"DOI":"10.1016/J.ENPOL.2021.112158","ISSN":"0301-4215","abstract":"This paper presents an analytical framework to study the spatial distribution of the labor impacts of clean energy transitions. While there exists optimism about the job creation potential of clean energy industries, just transitions literature has emphasized that the costs and benefits of energy transitions will not be distributed equally. Aggregate labor estimates hide the regional inequalities that might surface sub-nationally. We use the analytical framework to study India's power sector. Our results suggest that Indian government's 2022 target of 100 GW solar capacity will generate jobs primarily in western and southern parts of India as 60% of the total jobs will be located in the states of Maharashtra, Rajasthan, Gujarat, Tamil Nadu, Andhra Pradesh, and Karnataka. If solar capacity addition targets are accompanied by retirement of thermal capacity, net employment impact will be negative with job losses being concentrated in the coal-mining states located in eastern India. Policy-makers can use this framework to identify the sub-national regions – states, districts, and counties – that will experience job losses due to energy transitions and estimate the number of jobs or economic compensation required for the negatively impacted communities. This framework can be applied to other industries and regions as well.","author":[{"dropping-particle":"","family":"Sharma","given":"Anjali","non-dropping-particle":"","parse-names":false,"suffix":""},{"dropping-particle":"","family":"Banerjee","given":"Rangan","non-dropping-particle":"","parse-names":false,"suffix":""}],"container-title":"Energy Policy","id":"ITEM-1","issued":{"date-parts":[["2021","3","1"]]},"page":"112158","publisher":"Elsevier","title":"Framework to analyze the spatial distribution of the labor impacts of clean energy transitions","type":"article-journal","volume":"150"},"uris":["http://www.mendeley.com/documents/?uuid=63f82a70-2827-3694-aeff-b208380b7c06"]}],"mendeley":{"formattedCitation":"(Sharma and Banerjee, 2021)","manualFormatting":"Sharma and Banerjee (2021)","plainTextFormattedCitation":"(Sharma and Banerjee, 2021)","previouslyFormattedCitation":"(Sharma and Banerjee, 2021)"},"properties":{"noteIndex":0},"schema":"https://github.com/citation-style-language/schema/raw/master/csl-citation.json"}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Sharma and Banerjee</w:t>
            </w:r>
            <w:r>
              <w:rPr>
                <w:rFonts w:ascii="Arial" w:hAnsi="Arial" w:cs="Arial"/>
                <w:b w:val="0"/>
                <w:noProof/>
                <w:sz w:val="20"/>
                <w:szCs w:val="20"/>
              </w:rPr>
              <w:t xml:space="preserve"> (</w:t>
            </w:r>
            <w:r w:rsidRPr="00016CD3">
              <w:rPr>
                <w:rFonts w:ascii="Arial" w:hAnsi="Arial" w:cs="Arial"/>
                <w:b w:val="0"/>
                <w:noProof/>
                <w:sz w:val="20"/>
                <w:szCs w:val="20"/>
              </w:rPr>
              <w:t>2021)</w:t>
            </w:r>
            <w:r>
              <w:rPr>
                <w:rFonts w:ascii="Arial" w:hAnsi="Arial" w:cs="Arial"/>
                <w:sz w:val="20"/>
                <w:szCs w:val="20"/>
              </w:rPr>
              <w:fldChar w:fldCharType="end"/>
            </w:r>
          </w:p>
        </w:tc>
        <w:tc>
          <w:tcPr>
            <w:tcW w:w="1794" w:type="dxa"/>
            <w:shd w:val="clear" w:color="auto" w:fill="auto"/>
            <w:hideMark/>
          </w:tcPr>
          <w:p w14:paraId="680B11A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India</w:t>
            </w:r>
          </w:p>
        </w:tc>
        <w:tc>
          <w:tcPr>
            <w:tcW w:w="1794" w:type="dxa"/>
            <w:shd w:val="clear" w:color="auto" w:fill="auto"/>
            <w:hideMark/>
          </w:tcPr>
          <w:p w14:paraId="0BB02E3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hideMark/>
          </w:tcPr>
          <w:p w14:paraId="00EA074B" w14:textId="0933410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Power sector: solar PV; land use change resulting from siting new solar power plants; thermal power plants (coal power stations and coal mining).</w:t>
            </w:r>
          </w:p>
        </w:tc>
      </w:tr>
      <w:tr w:rsidR="00190C62" w:rsidRPr="00F47DE9" w14:paraId="2DB66E41"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C212DED" w14:textId="684B1439"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{"citationItems":[{"id":"ITEM-1","itemData":{"DOI":"10.1016/J.ECOLECON.2019.02.017","ISSN":"0921-8009","abstract":"Macroeconomic impacts such as changes in economic structures and employment are very important when evaluating the energy transition in societal terms. We employ a macroeconomic model that accounts for regional, economic and sectoral features. The model results show how the overall positive net impacts of the energy transition in Germany – energy efficiency and renewable energies - on economic growth and employment up to 2030 are distributed across sectors and regions. The biggest relative increases in value added occur in construction, real estate and electricity generation; the biggest decrease is in mining of lignite. Significant effects mainly result from changes in the heat and transport sectors, while the transition in the electricity sector entails smaller impacts. The latter are, however, relevant to the regional distribution: The model results suggest that especially northern and eastern German federal states will benefit economically from the energy transition because they offer attractive locations for investments. At the same time, these states are less affected by decreasing conventional energy generation. Moreover, the impact of rising electricity prices is less negative here than in the other federal states because of their lower electricity intensity in production. In summary, the energy transition represents an opportunity for these regions to strengthen their economies.","author":[{"dropping-particle":"","family":"Sievers","given":"Luisa","non-dropping-particle":"","parse-names":false,"suffix":""},{"dropping-particle":"","family":"Breitschopf","given":"Barbara","non-dropping-particle":"","parse-names":false,"suffix":""},{"dropping-particle":"","family":"Pfaff","given":"Matthias","non-dropping-particle":"","parse-names":false,"suffix":""},{"dropping-particle":"","family":"Schaffer","given":"Axel","non-dropping-particle":"","parse-names":false,"suffix":""}],"container-title":"Ecological Economics","id":"ITEM-1","issued":{"date-parts":[["2019","6","1"]]},"page":"191-204","publisher":"Elsevier","title":"Macroeconomic impact of the German energy transition and its distribution by sectors and regions","type":"article-journal","volume":"160"},"uris":["http://www.mendeley.com/documents/?uuid=41035c10-a458-3adf-a8d2-3c7cd131cb55"]}],"mendeley":{"formattedCitation":"(Sievers &lt;i&gt;et al.&lt;/i&gt;, 2019)","manualFormatting":"Sievers et al. (2019)","plainTextFormattedCitation":"(Sievers et al., 2019)","previouslyFormattedCitation":"(Sievers &lt;i&gt;et al.&lt;/i&gt;, 2019)"},"properties":{"noteIndex":0},"schema":"https://github.com/citation-style-language/schema/raw/master/csl-citation.json"}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 xml:space="preserve">Sievers </w:t>
            </w:r>
            <w:r w:rsidRPr="00016CD3">
              <w:rPr>
                <w:rFonts w:ascii="Arial" w:hAnsi="Arial" w:cs="Arial"/>
                <w:b w:val="0"/>
                <w:i/>
                <w:noProof/>
                <w:sz w:val="20"/>
                <w:szCs w:val="20"/>
              </w:rPr>
              <w:t>et al.</w:t>
            </w:r>
            <w:r>
              <w:rPr>
                <w:rFonts w:ascii="Arial" w:hAnsi="Arial" w:cs="Arial"/>
                <w:b w:val="0"/>
                <w:noProof/>
                <w:sz w:val="20"/>
                <w:szCs w:val="20"/>
              </w:rPr>
              <w:t xml:space="preserve"> (</w:t>
            </w:r>
            <w:r w:rsidRPr="00016CD3">
              <w:rPr>
                <w:rFonts w:ascii="Arial" w:hAnsi="Arial" w:cs="Arial"/>
                <w:b w:val="0"/>
                <w:noProof/>
                <w:sz w:val="20"/>
                <w:szCs w:val="20"/>
              </w:rPr>
              <w:t>2019)</w:t>
            </w:r>
            <w:r>
              <w:rPr>
                <w:rFonts w:ascii="Arial" w:hAnsi="Arial" w:cs="Arial"/>
                <w:sz w:val="20"/>
                <w:szCs w:val="20"/>
              </w:rPr>
              <w:fldChar w:fldCharType="end"/>
            </w:r>
          </w:p>
        </w:tc>
        <w:tc>
          <w:tcPr>
            <w:tcW w:w="1794" w:type="dxa"/>
            <w:shd w:val="clear" w:color="auto" w:fill="auto"/>
            <w:hideMark/>
          </w:tcPr>
          <w:p w14:paraId="294E1BD0"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Germany</w:t>
            </w:r>
          </w:p>
        </w:tc>
        <w:tc>
          <w:tcPr>
            <w:tcW w:w="1794" w:type="dxa"/>
            <w:shd w:val="clear" w:color="auto" w:fill="auto"/>
            <w:hideMark/>
          </w:tcPr>
          <w:p w14:paraId="348DC44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3DB040E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Power sector, buildings heating and transport, industry, renewable energy and energy efficiency, fossil fuels, nuclear</w:t>
            </w:r>
          </w:p>
        </w:tc>
      </w:tr>
      <w:tr w:rsidR="00190C62" w:rsidRPr="00F47DE9" w14:paraId="4FDCC8F5"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A211E6A" w14:textId="3A4E1033"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{"citationItems":[{"id":"ITEM-1","itemData":{"DOI":"10.1016/J.RSER.2013.11.046","ISSN":"1364-0321","abstract":"Environmental concerns and the search for climate change mitigation have led to the deployment of renewable energy technologies (RET) in several countries. The adoption of incentive policies, especially those based on heavy subsides, has motivated the discussion of social and economic benefits brought about by these technologies, mainly on the impact on employment rates. In this context, several studies have been conducted to quantify job creation by RET, concluding that the latter are more labor intensive than traditional fossil fueled technologies. However, results for different assessments vary largely due to distinct methodological approaches, and are frequently highly aggregated. Thus, results are not comparable or applicable to other contexts. Previous studies have failed to quantify the effects of imports and exports of RET equipment in total employment, usually associating employment and installed capacity in the year studied. This study has aimed to address these issues, creating an index for employment quantification based on production, instead of installed, capacity. We have estimated both direct jobs in manufacture, construction, and operation and management, and indirect jobs both in the upstream supply chains of materials and inputs to manufacture of wind turbines and construction of wind farms. We have also performed an assessment of jobs created in wind energy projects which are expected to begin operation in Brazil until 2017. The resulting job potential in Brazil corresponds to13.5 persons-year equivalent for each MW installed between manufacture and first year of operation of a wind power plant, and 24.5 persons-year equivalent over the wind farm lifetime. Results show that major contribution from wind power for job creation are in the construction stage and, despite of the low amount of jobs created in operation and maintenance relative to new installed capacity, those stable jobs stand out as they persist over the entire wind farm's life time. CrownCopyright © 2013 PublishedbyElsevierLtd.Allrightsreserved.","author":[{"dropping-particle":"","family":"Simas","given":"Moana","non-dropping-particle":"","parse-names":false,"suffix":""},{"dropping-particle":"","family":"Pacca","given":"Sergio","non-dropping-particle":"","parse-names":false,"suffix":""}],"container-title":"Renewable and Sustainable Energy Reviews","id":"ITEM-1","issued":{"date-parts":[["2014","3","1"]]},"page":"83-90","publisher":"Pergamon","title":"Assessing employment in renewable energy technologies: A case study for wind power in Brazil","type":"article-journal","volume":"31"},"uris":["http://www.mendeley.com/documents/?uuid=978ddbd6-6da1-3e22-a41a-f6d00040b0c3"]}],"mendeley":{"formattedCitation":"(Simas and Pacca, 2014)","manualFormatting":"Simas and Pacca (2014)","plainTextFormattedCitation":"(Simas and Pacca, 2014)","previouslyFormattedCitation":"(Simas and Pacca, 2014)"},"properties":{"noteIndex":0},"schema":"https://github.com/citation-style-language/schema/raw/master/csl-citation.json"}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Simas and Pacca</w:t>
            </w:r>
            <w:r>
              <w:rPr>
                <w:rFonts w:ascii="Arial" w:hAnsi="Arial" w:cs="Arial"/>
                <w:b w:val="0"/>
                <w:noProof/>
                <w:sz w:val="20"/>
                <w:szCs w:val="20"/>
              </w:rPr>
              <w:t xml:space="preserve"> (</w:t>
            </w:r>
            <w:r w:rsidRPr="00016CD3">
              <w:rPr>
                <w:rFonts w:ascii="Arial" w:hAnsi="Arial" w:cs="Arial"/>
                <w:b w:val="0"/>
                <w:noProof/>
                <w:sz w:val="20"/>
                <w:szCs w:val="20"/>
              </w:rPr>
              <w:t>2014)</w:t>
            </w:r>
            <w:r>
              <w:rPr>
                <w:rFonts w:ascii="Arial" w:hAnsi="Arial" w:cs="Arial"/>
                <w:sz w:val="20"/>
                <w:szCs w:val="20"/>
              </w:rPr>
              <w:fldChar w:fldCharType="end"/>
            </w:r>
          </w:p>
        </w:tc>
        <w:tc>
          <w:tcPr>
            <w:tcW w:w="1794" w:type="dxa"/>
            <w:shd w:val="clear" w:color="auto" w:fill="auto"/>
            <w:noWrap/>
            <w:hideMark/>
          </w:tcPr>
          <w:p w14:paraId="1956152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Brazil</w:t>
            </w:r>
          </w:p>
        </w:tc>
        <w:tc>
          <w:tcPr>
            <w:tcW w:w="1794" w:type="dxa"/>
            <w:shd w:val="clear" w:color="auto" w:fill="auto"/>
            <w:hideMark/>
          </w:tcPr>
          <w:p w14:paraId="1677084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South America</w:t>
            </w:r>
          </w:p>
        </w:tc>
        <w:tc>
          <w:tcPr>
            <w:tcW w:w="3544" w:type="dxa"/>
            <w:shd w:val="clear" w:color="auto" w:fill="auto"/>
            <w:noWrap/>
            <w:hideMark/>
          </w:tcPr>
          <w:p w14:paraId="6F84AC8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Wind power; renewable energy and fossil fuels</w:t>
            </w:r>
          </w:p>
        </w:tc>
      </w:tr>
      <w:tr w:rsidR="00190C62" w:rsidRPr="00F47DE9" w14:paraId="01B12EAD"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33582A58" w14:textId="7639A1B4"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{"citationItems":[{"id":"ITEM-1","itemData":{"DOI":"10.1080/01430750.2019.1653974","abstract":" The current capacity of electricity production by renewable sources in Iran is 660, and 420 MW is under construction. The wind power plants are responsible for more than 40\\% of total renewable electricity production. One of the substantial advantages of utilising renewable energies is job creation. In this study, the employment information is collected from Iranian wind power plants. Then, collected information is compared with the result of another research carried out at Kahak wind power plant. After that, direct and indirect job coefficients are calculated and compared with previous studies. Thereafter, using the statistical data of electricity consumption from 1967 to 2016, the required electricity generation capacity in 2050 is predicted. Finally, three energy use scenarios are defined, and job creation rate by wind energy is calculated. Based on the results, it is realised that 3 million direct and indirect jobs will be created if only 2.5\\% of the nominal capacity is allocated to the wind power plants in 2050. ","author":[{"dropping-particle":"","family":"Sohrab","given":"Teeka","non-dropping-particle":"","parse-names":false,"suffix":""},{"dropping-particle":"","family":"Rafiee","given":"Mehdi","non-dropping-particle":"","parse-names":false,"suffix":""},{"dropping-particle":"","family":"Karkoodi","given":"Sadaf","non-dropping-particle":"","parse-names":false,"suffix":""},{"dropping-particle":"","family":"Parvin","given":"Maryam","non-dropping-particle":"","parse-names":false,"suffix":""}],"container-title":"International Journal of Ambient Energy","id":"ITEM-1","issue":"1","issued":{"date-parts":[["2022"]]},"page":"603-609","publisher":"Taylor &amp; Francis","title":"Estimation of the employment rate of wind power plants in Iran in the horizon of 2050","type":"article-journal","volume":"43"},"uris":["http://www.mendeley.com/documents/?uuid=77e0dfcf-140e-4ef4-b855-c6362e85b306"]}],"mendeley":{"formattedCitation":"(Sohrab &lt;i&gt;et al.&lt;/i&gt;, 2022)","plainTextFormattedCitation":"(Sohrab et al., 2022)","previouslyFormattedCitation":"(Sohrab &lt;i&gt;et al.&lt;/i&gt;, 2022)"},"properties":{"noteIndex":0},"schema":"https://github.com/citation-style-language/schema/raw/master/csl-citation.json"}</w:instrText>
            </w:r>
            <w:r>
              <w:rPr>
                <w:rFonts w:ascii="Arial" w:hAnsi="Arial" w:cs="Arial"/>
                <w:sz w:val="20"/>
                <w:szCs w:val="20"/>
              </w:rPr>
              <w:fldChar w:fldCharType="separate"/>
            </w:r>
            <w:r w:rsidRPr="004C7908">
              <w:rPr>
                <w:rFonts w:ascii="Arial" w:hAnsi="Arial" w:cs="Arial"/>
                <w:b w:val="0"/>
                <w:noProof/>
                <w:sz w:val="20"/>
                <w:szCs w:val="20"/>
              </w:rPr>
              <w:t xml:space="preserve">Sohrab </w:t>
            </w:r>
            <w:r w:rsidRPr="004C7908">
              <w:rPr>
                <w:rFonts w:ascii="Arial" w:hAnsi="Arial" w:cs="Arial"/>
                <w:b w:val="0"/>
                <w:i/>
                <w:noProof/>
                <w:sz w:val="20"/>
                <w:szCs w:val="20"/>
              </w:rPr>
              <w:t>et al.</w:t>
            </w:r>
            <w:r>
              <w:rPr>
                <w:rFonts w:ascii="Arial" w:hAnsi="Arial" w:cs="Arial"/>
                <w:b w:val="0"/>
                <w:noProof/>
                <w:sz w:val="20"/>
                <w:szCs w:val="20"/>
              </w:rPr>
              <w:t xml:space="preserve"> (</w:t>
            </w:r>
            <w:r w:rsidRPr="004C7908">
              <w:rPr>
                <w:rFonts w:ascii="Arial" w:hAnsi="Arial" w:cs="Arial"/>
                <w:b w:val="0"/>
                <w:noProof/>
                <w:sz w:val="20"/>
                <w:szCs w:val="20"/>
              </w:rPr>
              <w:t>2022)</w:t>
            </w:r>
            <w:r>
              <w:rPr>
                <w:rFonts w:ascii="Arial" w:hAnsi="Arial" w:cs="Arial"/>
                <w:sz w:val="20"/>
                <w:szCs w:val="20"/>
              </w:rPr>
              <w:fldChar w:fldCharType="end"/>
            </w:r>
          </w:p>
        </w:tc>
        <w:tc>
          <w:tcPr>
            <w:tcW w:w="1794" w:type="dxa"/>
            <w:shd w:val="clear" w:color="auto" w:fill="auto"/>
            <w:noWrap/>
            <w:hideMark/>
          </w:tcPr>
          <w:p w14:paraId="3DF07913"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Iran</w:t>
            </w:r>
          </w:p>
        </w:tc>
        <w:tc>
          <w:tcPr>
            <w:tcW w:w="1794" w:type="dxa"/>
            <w:shd w:val="clear" w:color="auto" w:fill="auto"/>
            <w:hideMark/>
          </w:tcPr>
          <w:p w14:paraId="4D61978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noWrap/>
            <w:hideMark/>
          </w:tcPr>
          <w:p w14:paraId="340011A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Wind power</w:t>
            </w:r>
          </w:p>
        </w:tc>
      </w:tr>
      <w:tr w:rsidR="00190C62" w:rsidRPr="00F47DE9" w14:paraId="1C36702B"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EBA3513" w14:textId="6566E755"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{"citationItems":[{"id":"ITEM-1","itemData":{"DOI":"10.1016/j.rser.2015.07.143","ISSN":"18790690","abstract":"Job creation is an important component of the socio-economic effects associated with the development and deployment of renewable energy (RE) and energy efficiency (EE) technologies. The potential contribution of the RE and EE sectors in creating new jobs affect the public policy as well as the allocation of public resources to promote related activities. This paper provides an overview on the job creation potential along the value chains of key RE and EE technologies by skill set, technological category and the stage in the life cycle of the development and deployment process. We summarize the existing approaches to estimate job creation effects of the RE and EE sectors and report the existing estimations of job creation figures by technology and capacity. The paper concludes with the cases studies on Germany, Spain, the United States and the Middle Eastern region to showcase the variation of job creation potential in different regions.","author":[{"dropping-particle":"","family":"Sooriyaarachchi","given":"Thilanka M.","non-dropping-particle":"","parse-names":false,"suffix":""},{"dropping-particle":"","family":"Tsai","given":"I. Tsung","non-dropping-particle":"","parse-names":false,"suffix":""},{"dropping-particle":"","family":"Khatib","given":"Sameh","non-dropping-particle":"El","parse-names":false,"suffix":""},{"dropping-particle":"","family":"Farid","given":"Amro M.","non-dropping-particle":"","parse-names":false,"suffix":""},{"dropping-particle":"","family":"Mezher","given":"Toufic","non-dropping-particle":"","parse-names":false,"suffix":""}],"container-title":"Renewable and Sustainable Energy Reviews","id":"ITEM-1","issued":{"date-parts":[["2015","8","22"]]},"page":"653-668","publisher":"Elsevier Ltd","title":"Job creation potentials and skill requirements in, PV, CSP, wind, water-to-energy and energy efficiency value chains","type":"article-journal","volume":"52"},"uris":["http://www.mendeley.com/documents/?uuid=951f0a3f-0d71-3c96-981e-4b1dbf129392"]}],"mendeley":{"formattedCitation":"(Sooriyaarachchi &lt;i&gt;et al.&lt;/i&gt;, 2015)","manualFormatting":"Sooriyaarachchi et al. (2015)","plainTextFormattedCitation":"(Sooriyaarachchi et al., 2015)","previouslyFormattedCitation":"(Sooriyaarachchi &lt;i&gt;et al.&lt;/i&gt;, 2015)"},"properties":{"noteIndex":0},"schema":"https://github.com/citation-style-language/schema/raw/master/csl-citation.json"}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 xml:space="preserve">Sooriyaarachchi </w:t>
            </w:r>
            <w:r w:rsidRPr="00016CD3">
              <w:rPr>
                <w:rFonts w:ascii="Arial" w:hAnsi="Arial" w:cs="Arial"/>
                <w:b w:val="0"/>
                <w:i/>
                <w:noProof/>
                <w:sz w:val="20"/>
                <w:szCs w:val="20"/>
              </w:rPr>
              <w:t>et al.</w:t>
            </w:r>
            <w:r>
              <w:rPr>
                <w:rFonts w:ascii="Arial" w:hAnsi="Arial" w:cs="Arial"/>
                <w:b w:val="0"/>
                <w:noProof/>
                <w:sz w:val="20"/>
                <w:szCs w:val="20"/>
              </w:rPr>
              <w:t xml:space="preserve"> (</w:t>
            </w:r>
            <w:r w:rsidRPr="00016CD3">
              <w:rPr>
                <w:rFonts w:ascii="Arial" w:hAnsi="Arial" w:cs="Arial"/>
                <w:b w:val="0"/>
                <w:noProof/>
                <w:sz w:val="20"/>
                <w:szCs w:val="20"/>
              </w:rPr>
              <w:t>2015)</w:t>
            </w:r>
            <w:r>
              <w:rPr>
                <w:rFonts w:ascii="Arial" w:hAnsi="Arial" w:cs="Arial"/>
                <w:sz w:val="20"/>
                <w:szCs w:val="20"/>
              </w:rPr>
              <w:fldChar w:fldCharType="end"/>
            </w:r>
          </w:p>
        </w:tc>
        <w:tc>
          <w:tcPr>
            <w:tcW w:w="1794" w:type="dxa"/>
            <w:shd w:val="clear" w:color="auto" w:fill="auto"/>
            <w:hideMark/>
          </w:tcPr>
          <w:p w14:paraId="4A4CC4C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Germany; Spain; EU; US; Middle East</w:t>
            </w:r>
          </w:p>
        </w:tc>
        <w:tc>
          <w:tcPr>
            <w:tcW w:w="1794" w:type="dxa"/>
            <w:shd w:val="clear" w:color="auto" w:fill="auto"/>
            <w:hideMark/>
          </w:tcPr>
          <w:p w14:paraId="7E2535D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hideMark/>
          </w:tcPr>
          <w:p w14:paraId="748E8FF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energy efficiency</w:t>
            </w:r>
          </w:p>
        </w:tc>
      </w:tr>
      <w:tr w:rsidR="00190C62" w:rsidRPr="00F47DE9" w14:paraId="7438DDBE"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337BA0EF" w14:textId="36C11AC8"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{"citationItems":[{"id":"ITEM-1","itemData":{"DOI":"10.1016/J.TEJ.2023.107274","ISSN":"1040-6190","abstract":"Job creation is paramount when considering global transitions to low-carbon, clean-energy solutions. The building sector, critical to reducing greenhouse gas emissions on a global scale, has technologies available that rely on electricity rather than fossil fuels for energy and indoor heating and cooling. Solar photovoltaic, energy storage in the form of prosumer batteries, and heat pumps represent three readily deployable solutions to reduce carbon emissions in both new and retrofitted buildings. This study investigates the creation of jobs for each solution and then for all three combined across key countries in North America, Europe, and Asia. While other studies have explored aggregated job creation within nations, regions or globally, this first-of-a-kind study employs a micro-level approach examining six individual building archetypes: residential, hospital, hotel, office, retail, and education. Using the best available data as of 2022, the first-order assessment finds that more than 2 million new jobs and more than 141 million job years can be generated in Europe and the United States alone during the transition to net zero living.","author":[{"dropping-particle":"","family":"Sovacool","given":"Benjamin K.","non-dropping-particle":"","parse-names":false,"suffix":""},{"dropping-particle":"","family":"Evensen","given":"Darrick","non-dropping-particle":"","parse-names":false,"suffix":""},{"dropping-particle":"","family":"Kwan","given":"Thomas A.","non-dropping-particle":"","parse-names":false,"suffix":""},{"dropping-particle":"","family":"Petit","given":"Vincent","non-dropping-particle":"","parse-names":false,"suffix":""}],"container-title":"The Electricity Journal","id":"ITEM-1","issue":"5","issued":{"date-parts":[["2023","6","1"]]},"page":"107274","publisher":"Elsevier","title":"Building a green future: Examining the job creation potential of electricity, heating, and storage in low-carbon buildings","type":"article-journal","volume":"36"},"uris":["http://www.mendeley.com/documents/?uuid=a949b7e6-969a-34a5-83e8-bf8c46175117"]}],"mendeley":{"formattedCitation":"(Sovacool &lt;i&gt;et al.&lt;/i&gt;, 2023)","manualFormatting":"Sovacool et al. (2023)","plainTextFormattedCitation":"(Sovacool et al., 2023)","previouslyFormattedCitation":"(Sovacool &lt;i&gt;et al.&lt;/i&gt;, 2023)"},"properties":{"noteIndex":0},"schema":"https://github.com/citation-style-language/schema/raw/master/csl-citation.json"}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 xml:space="preserve">Sovacool </w:t>
            </w:r>
            <w:r w:rsidRPr="00016CD3">
              <w:rPr>
                <w:rFonts w:ascii="Arial" w:hAnsi="Arial" w:cs="Arial"/>
                <w:b w:val="0"/>
                <w:i/>
                <w:noProof/>
                <w:sz w:val="20"/>
                <w:szCs w:val="20"/>
              </w:rPr>
              <w:t>et al.</w:t>
            </w:r>
            <w:r>
              <w:rPr>
                <w:rFonts w:ascii="Arial" w:hAnsi="Arial" w:cs="Arial"/>
                <w:b w:val="0"/>
                <w:noProof/>
                <w:sz w:val="20"/>
                <w:szCs w:val="20"/>
              </w:rPr>
              <w:t xml:space="preserve"> (</w:t>
            </w:r>
            <w:r w:rsidRPr="00016CD3">
              <w:rPr>
                <w:rFonts w:ascii="Arial" w:hAnsi="Arial" w:cs="Arial"/>
                <w:b w:val="0"/>
                <w:noProof/>
                <w:sz w:val="20"/>
                <w:szCs w:val="20"/>
              </w:rPr>
              <w:t>2023)</w:t>
            </w:r>
            <w:r>
              <w:rPr>
                <w:rFonts w:ascii="Arial" w:hAnsi="Arial" w:cs="Arial"/>
                <w:sz w:val="20"/>
                <w:szCs w:val="20"/>
              </w:rPr>
              <w:fldChar w:fldCharType="end"/>
            </w:r>
          </w:p>
        </w:tc>
        <w:tc>
          <w:tcPr>
            <w:tcW w:w="1794" w:type="dxa"/>
            <w:shd w:val="clear" w:color="auto" w:fill="auto"/>
            <w:noWrap/>
            <w:hideMark/>
          </w:tcPr>
          <w:p w14:paraId="03FA9410"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US and selected countries in Europe and Asia</w:t>
            </w:r>
          </w:p>
        </w:tc>
        <w:tc>
          <w:tcPr>
            <w:tcW w:w="1794" w:type="dxa"/>
            <w:shd w:val="clear" w:color="auto" w:fill="auto"/>
            <w:hideMark/>
          </w:tcPr>
          <w:p w14:paraId="3F0ECA4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noWrap/>
            <w:hideMark/>
          </w:tcPr>
          <w:p w14:paraId="3572126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Building sector: solar PV, battery energy storage and heat pumps</w:t>
            </w:r>
          </w:p>
        </w:tc>
      </w:tr>
      <w:tr w:rsidR="00190C62" w:rsidRPr="00F47DE9" w14:paraId="3C29F6DE"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584578A" w14:textId="4ABF0550"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{"citationItems":[{"id":"ITEM-1","itemData":{"DOI":"10.3390/en14248537","ISBN":"1996-1073","abstract":"As more economies are transitioning away from fossil fuels for their electricity production and towards greener alternatives, many socioeconomic implications of this shift remain actively debated. The present paper attempts to assess the economic impact of investments in renewable energy sources (RESs) for Greece and whether the broader effects of this transition can offset the negative impact that will occur due to the targeted phase-out of lignite plants by 2028, which constitute the predominant power source for Greece. Our methodological approach builds on input&amp;ndash;output analysis and the creation of composite RES industries for the estimation of the net effects of a series of monetary shocks that correspond to Greece&amp;rsquo;s phase-out investment plan, utilizing the most recent national input&amp;ndash;output tables and satellite structural business statistics. We focus on the structural effects of these shocks on a series of socioeconomic indicators, including GDP, employment, wages, government income (through taxes), and capital formation. The results indicate that even though lignite power production still provides a significant contribution to the Greek economy, investing in renewables presents a significant opportunity for value added and job creation.","author":[{"dropping-particle":"","family":"Stamopoulos","given":"Dimitrios","non-dropping-particle":"","parse-names":false,"suffix":""},{"dropping-particle":"","family":"Dimas","given":"Petros","non-dropping-particle":"","parse-names":false,"suffix":""},{"dropping-particle":"","family":"Sebos","given":"Ioannis","non-dropping-particle":"","parse-names":false,"suffix":""},{"dropping-particle":"","family":"Tsakanikas","given":"Aggelos","non-dropping-particle":"","parse-names":false,"suffix":""}],"container-title":"Energies","id":"ITEM-1","issue":"24","issued":{"date-parts":[["2021"]]},"title":"Does investing in renewable energy sources contribute to growth? A preliminary study on Greece's national energy and climate plan","type":"article","volume":"14"},"uris":["http://www.mendeley.com/documents/?uuid=5c3f1a49-cccd-4e45-8170-ac2b97c509ce"]}],"mendeley":{"formattedCitation":"(Stamopoulos &lt;i&gt;et al.&lt;/i&gt;, 2021)","manualFormatting":"Stamopoulos et al. (2021)","plainTextFormattedCitation":"(Stamopoulos et al., 2021)","previouslyFormattedCitation":"(Stamopoulos &lt;i&gt;et al.&lt;/i&gt;, 2021)"},"properties":{"noteIndex":0},"schema":"https://github.com/citation-style-language/schema/raw/master/csl-citation.json"}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 xml:space="preserve">Stamopoulos </w:t>
            </w:r>
            <w:r w:rsidRPr="00016CD3">
              <w:rPr>
                <w:rFonts w:ascii="Arial" w:hAnsi="Arial" w:cs="Arial"/>
                <w:b w:val="0"/>
                <w:i/>
                <w:noProof/>
                <w:sz w:val="20"/>
                <w:szCs w:val="20"/>
              </w:rPr>
              <w:t>et al.</w:t>
            </w:r>
            <w:r>
              <w:rPr>
                <w:rFonts w:ascii="Arial" w:hAnsi="Arial" w:cs="Arial"/>
                <w:b w:val="0"/>
                <w:noProof/>
                <w:sz w:val="20"/>
                <w:szCs w:val="20"/>
              </w:rPr>
              <w:t xml:space="preserve"> (</w:t>
            </w:r>
            <w:r w:rsidRPr="00016CD3">
              <w:rPr>
                <w:rFonts w:ascii="Arial" w:hAnsi="Arial" w:cs="Arial"/>
                <w:b w:val="0"/>
                <w:noProof/>
                <w:sz w:val="20"/>
                <w:szCs w:val="20"/>
              </w:rPr>
              <w:t>2021)</w:t>
            </w:r>
            <w:r>
              <w:rPr>
                <w:rFonts w:ascii="Arial" w:hAnsi="Arial" w:cs="Arial"/>
                <w:sz w:val="20"/>
                <w:szCs w:val="20"/>
              </w:rPr>
              <w:fldChar w:fldCharType="end"/>
            </w:r>
          </w:p>
        </w:tc>
        <w:tc>
          <w:tcPr>
            <w:tcW w:w="1794" w:type="dxa"/>
            <w:shd w:val="clear" w:color="auto" w:fill="auto"/>
            <w:hideMark/>
          </w:tcPr>
          <w:p w14:paraId="157AF10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Greece</w:t>
            </w:r>
          </w:p>
        </w:tc>
        <w:tc>
          <w:tcPr>
            <w:tcW w:w="1794" w:type="dxa"/>
            <w:shd w:val="clear" w:color="auto" w:fill="auto"/>
            <w:hideMark/>
          </w:tcPr>
          <w:p w14:paraId="287D386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66EA0E0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Transition from fossil fuels to renewable energy for electricity production including phase out of lignite power generation by 2028.</w:t>
            </w:r>
          </w:p>
        </w:tc>
      </w:tr>
      <w:tr w:rsidR="00190C62" w:rsidRPr="00F47DE9" w14:paraId="03E24162"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E041A1C" w14:textId="2F6115F1"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{"citationItems":[{"id":"ITEM-1","itemData":{"author":[{"dropping-particle":"","family":"Stands","given":"Sarah Reed","non-dropping-particle":"","parse-names":false,"suffix":""}],"id":"ITEM-1","issued":{"date-parts":[["2015"]]},"title":"Utility-scale renewable energy job creation : an investigation of the South African Renewable Energy Independent Power Producer Procurement Programme (REIPPPP)","type":"paper-conference"},"uris":["http://www.mendeley.com/documents/?uuid=728d0398-e43e-4043-b5a0-18c1171583c3"]}],"mendeley":{"formattedCitation":"(Stands, 2015)","plainTextFormattedCitation":"(Stands, 2015)","previouslyFormattedCitation":"(Stands, 2015)"},"properties":{"noteIndex":0},"schema":"https://github.com/citation-style-language/schema/raw/master/csl-citation.json"}</w:instrText>
            </w:r>
            <w:r>
              <w:rPr>
                <w:rFonts w:ascii="Arial" w:hAnsi="Arial" w:cs="Arial"/>
                <w:sz w:val="20"/>
                <w:szCs w:val="20"/>
              </w:rPr>
              <w:fldChar w:fldCharType="separate"/>
            </w:r>
            <w:r w:rsidRPr="00524EB6">
              <w:rPr>
                <w:rFonts w:ascii="Arial" w:hAnsi="Arial" w:cs="Arial"/>
                <w:b w:val="0"/>
                <w:noProof/>
                <w:sz w:val="20"/>
                <w:szCs w:val="20"/>
              </w:rPr>
              <w:t>Stands</w:t>
            </w:r>
            <w:r>
              <w:rPr>
                <w:rFonts w:ascii="Arial" w:hAnsi="Arial" w:cs="Arial"/>
                <w:b w:val="0"/>
                <w:noProof/>
                <w:sz w:val="20"/>
                <w:szCs w:val="20"/>
              </w:rPr>
              <w:t xml:space="preserve"> (</w:t>
            </w:r>
            <w:r w:rsidRPr="00524EB6">
              <w:rPr>
                <w:rFonts w:ascii="Arial" w:hAnsi="Arial" w:cs="Arial"/>
                <w:b w:val="0"/>
                <w:noProof/>
                <w:sz w:val="20"/>
                <w:szCs w:val="20"/>
              </w:rPr>
              <w:t>2015)</w:t>
            </w:r>
            <w:r>
              <w:rPr>
                <w:rFonts w:ascii="Arial" w:hAnsi="Arial" w:cs="Arial"/>
                <w:sz w:val="20"/>
                <w:szCs w:val="20"/>
              </w:rPr>
              <w:fldChar w:fldCharType="end"/>
            </w:r>
          </w:p>
        </w:tc>
        <w:tc>
          <w:tcPr>
            <w:tcW w:w="1794" w:type="dxa"/>
            <w:shd w:val="clear" w:color="auto" w:fill="auto"/>
            <w:noWrap/>
            <w:hideMark/>
          </w:tcPr>
          <w:p w14:paraId="36F2334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South Africa  </w:t>
            </w:r>
          </w:p>
        </w:tc>
        <w:tc>
          <w:tcPr>
            <w:tcW w:w="1794" w:type="dxa"/>
            <w:shd w:val="clear" w:color="auto" w:fill="auto"/>
            <w:hideMark/>
          </w:tcPr>
          <w:p w14:paraId="04A547F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Africa</w:t>
            </w:r>
          </w:p>
        </w:tc>
        <w:tc>
          <w:tcPr>
            <w:tcW w:w="3544" w:type="dxa"/>
            <w:shd w:val="clear" w:color="auto" w:fill="auto"/>
            <w:noWrap/>
            <w:hideMark/>
          </w:tcPr>
          <w:p w14:paraId="53C6922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 wind, solar PV, CSP</w:t>
            </w:r>
          </w:p>
        </w:tc>
      </w:tr>
      <w:tr w:rsidR="00190C62" w:rsidRPr="00F47DE9" w14:paraId="107792C6"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92728FC" w14:textId="5C1707EA"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{"citationItems":[{"id":"ITEM-1","itemData":{"DOI":"10.1016/J.ENPOL.2019.111047","ISSN":"0301-4215","abstract":"By conducting a meta-analysis of the empirical literature on the net employment effects of renewable energy, we explore the extent to which the reported net employment effects are driven by the applied methodology. We find that the reported conclusions on net employment effects are to a large extent driven by the methodology that is applied, where computable general equilibrium (CGE) and I/O methods that include induced effects and studies that consider only the near future in their study period (up to 2020) are generally less optimistic about net employment creation in the wake of the energy transition. In addition, we found that policy reports have a greater tendency to report a positive net employment effect than academic studies.","author":[{"dropping-particle":"","family":"Stavropoulos","given":"S.","non-dropping-particle":"","parse-names":false,"suffix":""},{"dropping-particle":"","family":"Burger","given":"M. J.","non-dropping-particle":"","parse-names":false,"suffix":""}],"container-title":"Energy Policy","id":"ITEM-1","issued":{"date-parts":[["2020","1","1"]]},"page":"111047","publisher":"Elsevier","title":"Modelling strategy and net employment effects of renewable energy and energy efficiency: A meta-regression","type":"article-journal","volume":"136"},"uris":["http://www.mendeley.com/documents/?uuid=4bae916e-bb18-3ae9-ae36-4048b57a96f4"]}],"mendeley":{"formattedCitation":"(Stavropoulos and Burger, 2020)","manualFormatting":"Stavropoulos and Burger (2020)","plainTextFormattedCitation":"(Stavropoulos and Burger, 2020)","previouslyFormattedCitation":"(Stavropoulos and Burger, 2020)"},"properties":{"noteIndex":0},"schema":"https://github.com/citation-style-language/schema/raw/master/csl-citation.json"}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Stavropoulos and Burger</w:t>
            </w:r>
            <w:r>
              <w:rPr>
                <w:rFonts w:ascii="Arial" w:hAnsi="Arial" w:cs="Arial"/>
                <w:b w:val="0"/>
                <w:noProof/>
                <w:sz w:val="20"/>
                <w:szCs w:val="20"/>
              </w:rPr>
              <w:t xml:space="preserve"> (</w:t>
            </w:r>
            <w:r w:rsidRPr="00016CD3">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hideMark/>
          </w:tcPr>
          <w:p w14:paraId="65DD1724"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Germany and US in particular</w:t>
            </w:r>
          </w:p>
        </w:tc>
        <w:tc>
          <w:tcPr>
            <w:tcW w:w="1794" w:type="dxa"/>
            <w:shd w:val="clear" w:color="auto" w:fill="auto"/>
            <w:hideMark/>
          </w:tcPr>
          <w:p w14:paraId="6DCDB05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International - various</w:t>
            </w:r>
          </w:p>
        </w:tc>
        <w:tc>
          <w:tcPr>
            <w:tcW w:w="3544" w:type="dxa"/>
            <w:shd w:val="clear" w:color="auto" w:fill="auto"/>
            <w:hideMark/>
          </w:tcPr>
          <w:p w14:paraId="06F2176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energy and energy efficiency</w:t>
            </w:r>
          </w:p>
        </w:tc>
      </w:tr>
      <w:tr w:rsidR="00190C62" w:rsidRPr="00F47DE9" w14:paraId="6C3BE12F"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B6B8E03" w14:textId="66CE4DA7"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Unsworth","given":"Sam","non-dropping-particle":"","parse-names":false,"suffix":""},{"dropping-particle":"","family":"Andres","given":"Pia","non-dropping-particle":"","parse-names":false,"suffix":""},{"dropping-particle":"","family":"Cecchinato","given":"Giorgia","non-dropping-particle":"","parse-names":false,"suffix":""},{"dropping-particle":"","family":"Mealy","given":"Penny","non-dropping-particle":"","parse-names":false,"suffix":""},{"dropping-particle":"","family":"Taylor","given":"Charlotte","non-dropping-particle":"","parse-names":false,"suffix":""},{"dropping-particle":"","family":"Valero","given":"Anna","non-dropping-particle":"","parse-names":false,"suffix":""}],"id":"ITEM-1","issued":{"date-parts":[["2020"]]},"publisher-place":"London, UK","title":"Jobs for a strong and sustainable recovery from Covid-19: A CEP Covid-19 analysis","type":"report"},"uris":["http://www.mendeley.com/documents/?uuid=ca375fad-364a-4175-b28c-334b25d56d41"]}],"mendeley":{"formattedCitation":"(Unsworth &lt;i&gt;et al.&lt;/i&gt;, 2020)","plainTextFormattedCitation":"(Unsworth et al., 2020)","previouslyFormattedCitation":"(Unsworth &lt;i&gt;et al.&lt;/i&gt;, 2020)"},"properties":{"noteIndex":0},"schema":"https://github.com/citation-style-language/schema/raw/master/csl-citation.json"}</w:instrText>
            </w:r>
            <w:r>
              <w:rPr>
                <w:rFonts w:ascii="Arial" w:hAnsi="Arial" w:cs="Arial"/>
                <w:sz w:val="20"/>
                <w:szCs w:val="20"/>
              </w:rPr>
              <w:fldChar w:fldCharType="separate"/>
            </w:r>
            <w:r w:rsidRPr="00A808AD">
              <w:rPr>
                <w:rFonts w:ascii="Arial" w:hAnsi="Arial" w:cs="Arial"/>
                <w:b w:val="0"/>
                <w:noProof/>
                <w:sz w:val="20"/>
                <w:szCs w:val="20"/>
              </w:rPr>
              <w:t xml:space="preserve">Unsworth </w:t>
            </w:r>
            <w:r w:rsidRPr="00A808AD">
              <w:rPr>
                <w:rFonts w:ascii="Arial" w:hAnsi="Arial" w:cs="Arial"/>
                <w:b w:val="0"/>
                <w:i/>
                <w:noProof/>
                <w:sz w:val="20"/>
                <w:szCs w:val="20"/>
              </w:rPr>
              <w:t>et al.</w:t>
            </w:r>
            <w:r>
              <w:rPr>
                <w:rFonts w:ascii="Arial" w:hAnsi="Arial" w:cs="Arial"/>
                <w:b w:val="0"/>
                <w:noProof/>
                <w:sz w:val="20"/>
                <w:szCs w:val="20"/>
              </w:rPr>
              <w:t xml:space="preserve"> (</w:t>
            </w:r>
            <w:r w:rsidRPr="00A808AD">
              <w:rPr>
                <w:rFonts w:ascii="Arial" w:hAnsi="Arial" w:cs="Arial"/>
                <w:b w:val="0"/>
                <w:noProof/>
                <w:sz w:val="20"/>
                <w:szCs w:val="20"/>
              </w:rPr>
              <w:t>2020)</w:t>
            </w:r>
            <w:r>
              <w:rPr>
                <w:rFonts w:ascii="Arial" w:hAnsi="Arial" w:cs="Arial"/>
                <w:sz w:val="20"/>
                <w:szCs w:val="20"/>
              </w:rPr>
              <w:fldChar w:fldCharType="end"/>
            </w:r>
          </w:p>
        </w:tc>
        <w:tc>
          <w:tcPr>
            <w:tcW w:w="1794" w:type="dxa"/>
            <w:shd w:val="clear" w:color="auto" w:fill="auto"/>
            <w:hideMark/>
          </w:tcPr>
          <w:p w14:paraId="2BEFD8C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UK</w:t>
            </w:r>
          </w:p>
        </w:tc>
        <w:tc>
          <w:tcPr>
            <w:tcW w:w="1794" w:type="dxa"/>
            <w:shd w:val="clear" w:color="auto" w:fill="auto"/>
            <w:hideMark/>
          </w:tcPr>
          <w:p w14:paraId="2B5B1FF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Europe</w:t>
            </w:r>
          </w:p>
        </w:tc>
        <w:tc>
          <w:tcPr>
            <w:tcW w:w="3544" w:type="dxa"/>
            <w:shd w:val="clear" w:color="auto" w:fill="auto"/>
            <w:hideMark/>
          </w:tcPr>
          <w:p w14:paraId="61E6BF0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Net-zero jobs e.g. electric vehicles, hydrogen and CCUS, renewable energy and building energy efficiency; active travel and natural capital</w:t>
            </w:r>
          </w:p>
        </w:tc>
      </w:tr>
      <w:tr w:rsidR="00190C62" w:rsidRPr="00F47DE9" w14:paraId="686000F2"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0E0F188E" w14:textId="6015E3CC"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{"citationItems":[{"id":"ITEM-1","itemData":{"DOI":"10.1016/J.RSER.2014.08.049","ISSN":"1364-0321","abstract":"South Africa's Renewable Energy Independent Power Producers Procurement Programme (the REI4P) is an extensive initiative to install 17.8 GW of electricity generation capacity from renewables - wind, solar, biomass, biogas and hydropower - over the period 2012-2030. Although at the outset the REI4P seemed an expensive option, designed only to deflect criticism of South Africa's high carbon footprint and excessive dependence on coal-based electricity generation, the escalating costs of the latter, the rapidly falling costs of photovoltaic and wind power, and the increasingly competitive bidding process of the REI4P have changed this prospect. At the conclusion of round three, the weighted cost of energy has reached a 23% discount to the cost of new coal-based generation and a 28% discount to global renewable energy prices. The bidders' commitments to local employment creation have similarly increased from 11 to 18 jobs/MW. The programme is now well placed to deliver on a broad range of objectives, including regional development and black economic empowerment. However, maximum benefit from the REI4P will not be secured without some revision to aspects of the bidding and procurement process. More specifically, the local content provisions need to be tightened to drive higher levels of local manufacturing.","author":[{"dropping-particle":"","family":"Walwyn","given":"David Richard","non-dropping-particle":"","parse-names":false,"suffix":""},{"dropping-particle":"","family":"Brent","given":"Alan Colin","non-dropping-particle":"","parse-names":false,"suffix":""}],"container-title":"Renewable and Sustainable Energy Reviews","id":"ITEM-1","issued":{"date-parts":[["2015","1","1"]]},"page":"390-401","publisher":"Pergamon","title":"Renewable energy gathers steam in South Africa","type":"article-journal","volume":"41"},"uris":["http://www.mendeley.com/documents/?uuid=8d63cb2d-8648-3e78-bb58-f76a2d483af8"]}],"mendeley":{"formattedCitation":"(Walwyn and Brent, 2015)","plainTextFormattedCitation":"(Walwyn and Brent, 2015)","previouslyFormattedCitation":"(Walwyn and Brent, 2015)"},"properties":{"noteIndex":0},"schema":"https://github.com/citation-style-language/schema/raw/master/csl-citation.json"}</w:instrText>
            </w:r>
            <w:r>
              <w:rPr>
                <w:rFonts w:ascii="Arial" w:hAnsi="Arial" w:cs="Arial"/>
                <w:sz w:val="20"/>
                <w:szCs w:val="20"/>
              </w:rPr>
              <w:fldChar w:fldCharType="separate"/>
            </w:r>
            <w:r w:rsidRPr="00524EB6">
              <w:rPr>
                <w:rFonts w:ascii="Arial" w:hAnsi="Arial" w:cs="Arial"/>
                <w:b w:val="0"/>
                <w:noProof/>
                <w:sz w:val="20"/>
                <w:szCs w:val="20"/>
              </w:rPr>
              <w:t>Walwyn and Brent</w:t>
            </w:r>
            <w:r>
              <w:rPr>
                <w:rFonts w:ascii="Arial" w:hAnsi="Arial" w:cs="Arial"/>
                <w:b w:val="0"/>
                <w:noProof/>
                <w:sz w:val="20"/>
                <w:szCs w:val="20"/>
              </w:rPr>
              <w:t xml:space="preserve"> (</w:t>
            </w:r>
            <w:r w:rsidRPr="00524EB6">
              <w:rPr>
                <w:rFonts w:ascii="Arial" w:hAnsi="Arial" w:cs="Arial"/>
                <w:b w:val="0"/>
                <w:noProof/>
                <w:sz w:val="20"/>
                <w:szCs w:val="20"/>
              </w:rPr>
              <w:t>2015)</w:t>
            </w:r>
            <w:r>
              <w:rPr>
                <w:rFonts w:ascii="Arial" w:hAnsi="Arial" w:cs="Arial"/>
                <w:sz w:val="20"/>
                <w:szCs w:val="20"/>
              </w:rPr>
              <w:fldChar w:fldCharType="end"/>
            </w:r>
          </w:p>
        </w:tc>
        <w:tc>
          <w:tcPr>
            <w:tcW w:w="1794" w:type="dxa"/>
            <w:shd w:val="clear" w:color="auto" w:fill="auto"/>
            <w:noWrap/>
            <w:hideMark/>
          </w:tcPr>
          <w:p w14:paraId="596A1771"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South Africa</w:t>
            </w:r>
          </w:p>
        </w:tc>
        <w:tc>
          <w:tcPr>
            <w:tcW w:w="1794" w:type="dxa"/>
            <w:shd w:val="clear" w:color="auto" w:fill="auto"/>
            <w:hideMark/>
          </w:tcPr>
          <w:p w14:paraId="56121CF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Africa</w:t>
            </w:r>
          </w:p>
        </w:tc>
        <w:tc>
          <w:tcPr>
            <w:tcW w:w="3544" w:type="dxa"/>
            <w:shd w:val="clear" w:color="auto" w:fill="auto"/>
            <w:noWrap/>
            <w:hideMark/>
          </w:tcPr>
          <w:p w14:paraId="0FEF3F6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Renewable / low carbon energy</w:t>
            </w:r>
          </w:p>
        </w:tc>
      </w:tr>
      <w:tr w:rsidR="00190C62" w:rsidRPr="00F47DE9" w14:paraId="5117BF57"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E682196" w14:textId="65BFD639"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{"citationItems":[{"id":"ITEM-1","itemData":{"abstract":"Innovations in hydraulic fracturing have led to oil and gas booms in various shale plays across the U.S. The economic impact of shale development has been estimated previously with varying results. The results are often used to justify supporting the industry. Thus, a precise estimate of the economic impact to communities is important. A county level analysis of the lower 48 states from 2001-2011 provides an estimate of the local economic impact as well as the labor market restructuring occurring due to the recent shale boom and can provide insight into the mechanisms behind the “natural resource curse.” Results suggest that the im-pact of shale development on employment is modest, with the impact on earnings growth ap-proximately double that of the impact on employment, though the growth effects seem to wane over time. The employment multiplier from oil and gas development is estimated to be approximately 1.3.","author":[{"dropping-particle":"","family":"Weinstein","given":"Amanda","non-dropping-particle":"","parse-names":false,"suffix":""}],"container-title":"Journal of Regional Analysis and Policy","id":"ITEM-1","issue":"1","issued":{"date-parts":[["2014"]]},"page":"243965","title":"Local Labor Market Restructuring in the Shale Boom","type":"article-journal","volume":"44"},"uris":["http://www.mendeley.com/documents/?uuid=020f4f1e-5d42-46e9-be44-4255512038e2"]}],"mendeley":{"formattedCitation":"(Weinstein, 2014)","plainTextFormattedCitation":"(Weinstein, 2014)","previouslyFormattedCitation":"(Weinstein, 2014)"},"properties":{"noteIndex":0},"schema":"https://github.com/citation-style-language/schema/raw/master/csl-citation.json"}</w:instrText>
            </w:r>
            <w:r>
              <w:rPr>
                <w:rFonts w:ascii="Arial" w:hAnsi="Arial" w:cs="Arial"/>
                <w:sz w:val="20"/>
                <w:szCs w:val="20"/>
              </w:rPr>
              <w:fldChar w:fldCharType="separate"/>
            </w:r>
            <w:r w:rsidRPr="00524EB6">
              <w:rPr>
                <w:rFonts w:ascii="Arial" w:hAnsi="Arial" w:cs="Arial"/>
                <w:b w:val="0"/>
                <w:noProof/>
                <w:sz w:val="20"/>
                <w:szCs w:val="20"/>
              </w:rPr>
              <w:t>Weinstein</w:t>
            </w:r>
            <w:r>
              <w:rPr>
                <w:rFonts w:ascii="Arial" w:hAnsi="Arial" w:cs="Arial"/>
                <w:b w:val="0"/>
                <w:noProof/>
                <w:sz w:val="20"/>
                <w:szCs w:val="20"/>
              </w:rPr>
              <w:t xml:space="preserve"> (</w:t>
            </w:r>
            <w:r w:rsidRPr="00524EB6">
              <w:rPr>
                <w:rFonts w:ascii="Arial" w:hAnsi="Arial" w:cs="Arial"/>
                <w:b w:val="0"/>
                <w:noProof/>
                <w:sz w:val="20"/>
                <w:szCs w:val="20"/>
              </w:rPr>
              <w:t>2014)</w:t>
            </w:r>
            <w:r>
              <w:rPr>
                <w:rFonts w:ascii="Arial" w:hAnsi="Arial" w:cs="Arial"/>
                <w:sz w:val="20"/>
                <w:szCs w:val="20"/>
              </w:rPr>
              <w:fldChar w:fldCharType="end"/>
            </w:r>
          </w:p>
        </w:tc>
        <w:tc>
          <w:tcPr>
            <w:tcW w:w="1794" w:type="dxa"/>
            <w:shd w:val="clear" w:color="auto" w:fill="auto"/>
            <w:noWrap/>
            <w:hideMark/>
          </w:tcPr>
          <w:p w14:paraId="6AC0BB4D"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US</w:t>
            </w:r>
          </w:p>
        </w:tc>
        <w:tc>
          <w:tcPr>
            <w:tcW w:w="1794" w:type="dxa"/>
            <w:shd w:val="clear" w:color="auto" w:fill="auto"/>
            <w:hideMark/>
          </w:tcPr>
          <w:p w14:paraId="7EDE562E"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noWrap/>
            <w:hideMark/>
          </w:tcPr>
          <w:p w14:paraId="329D216A"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Shale oil and gas booms</w:t>
            </w:r>
          </w:p>
        </w:tc>
      </w:tr>
      <w:tr w:rsidR="00190C62" w:rsidRPr="00F47DE9" w14:paraId="73EBDEFC"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708004C4" w14:textId="305A5883"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{"citationItems":[{"id":"ITEM-1","itemData":{"DOI":"10.1016/J.ENERGY.2018.01.115","ISSN":"0360-5442","abstract":"Under the global implementation of low-carbon economy, the development of renewable energy becomes an important way of energy saving and emission reduction. Multi-criteria decision-making (MCDM) techniques are gaining popularity in renewable power sources (RPS) evaluation since this process involves many conflicting criteria. Classical MCDM techniques assume that decisions are conducted in a deterministic environment and decision-makers (DMs) are completely rational while facing with investment risks. However, these hypotheses are not supported in the RPS selection. Fortunately, fuzzy set theory enables to cope with vagueness of evaluations in decision-making process, and cumulative prospect theory can reflect the risk preference of DMs and describe the actual behavior of them. Therefore, in this paper, a fuzzy MCDM technique based on cumulative prospect theory is proposed for selecting the most appropriate RPS in China. A case study in China is carried out to illustrate the rationality and feasibility of the proposed method. The results show that the solar PV is determined to be the best one in China, but the optimal alternative is sensitive to the prospect parameters. This research provides insightful information for the public investors with different risk preferences to evaluate the RPS and select the most appropriate one under uncertain environment.","author":[{"dropping-particle":"","family":"Wu","given":"Yunna","non-dropping-particle":"","parse-names":false,"suffix":""},{"dropping-particle":"","family":"Xu","given":"Chuanbo","non-dropping-particle":"","parse-names":false,"suffix":""},{"dropping-particle":"","family":"Zhang","given":"Ting","non-dropping-particle":"","parse-names":false,"suffix":""}],"container-title":"Energy","id":"ITEM-1","issued":{"date-parts":[["2018","3","15"]]},"page":"1227-1239","publisher":"Pergamon","title":"Evaluation of renewable power sources using a fuzzy MCDM based on cumulative prospect theory: A case in China","type":"article-journal","volume":"147"},"uris":["http://www.mendeley.com/documents/?uuid=7f4dbcb7-773a-3fbe-9e33-28fdcd70ce39"]}],"mendeley":{"formattedCitation":"(Wu, Xu and Zhang, 2018)","plainTextFormattedCitation":"(Wu, Xu and Zhang, 2018)","previouslyFormattedCitation":"(Wu, Xu and Zhang, 2018)"},"properties":{"noteIndex":0},"schema":"https://github.com/citation-style-language/schema/raw/master/csl-citation.json"}</w:instrText>
            </w:r>
            <w:r>
              <w:rPr>
                <w:rFonts w:ascii="Arial" w:hAnsi="Arial" w:cs="Arial"/>
                <w:sz w:val="20"/>
                <w:szCs w:val="20"/>
              </w:rPr>
              <w:fldChar w:fldCharType="separate"/>
            </w:r>
            <w:r w:rsidRPr="00524EB6">
              <w:rPr>
                <w:rFonts w:ascii="Arial" w:hAnsi="Arial" w:cs="Arial"/>
                <w:b w:val="0"/>
                <w:noProof/>
                <w:sz w:val="20"/>
                <w:szCs w:val="20"/>
              </w:rPr>
              <w:t>Wu, Xu and Zhang</w:t>
            </w:r>
            <w:r>
              <w:rPr>
                <w:rFonts w:ascii="Arial" w:hAnsi="Arial" w:cs="Arial"/>
                <w:b w:val="0"/>
                <w:noProof/>
                <w:sz w:val="20"/>
                <w:szCs w:val="20"/>
              </w:rPr>
              <w:t xml:space="preserve"> (</w:t>
            </w:r>
            <w:r w:rsidRPr="00524EB6">
              <w:rPr>
                <w:rFonts w:ascii="Arial" w:hAnsi="Arial" w:cs="Arial"/>
                <w:b w:val="0"/>
                <w:noProof/>
                <w:sz w:val="20"/>
                <w:szCs w:val="20"/>
              </w:rPr>
              <w:t>2018)</w:t>
            </w:r>
            <w:r>
              <w:rPr>
                <w:rFonts w:ascii="Arial" w:hAnsi="Arial" w:cs="Arial"/>
                <w:sz w:val="20"/>
                <w:szCs w:val="20"/>
              </w:rPr>
              <w:fldChar w:fldCharType="end"/>
            </w:r>
          </w:p>
        </w:tc>
        <w:tc>
          <w:tcPr>
            <w:tcW w:w="1794" w:type="dxa"/>
            <w:shd w:val="clear" w:color="auto" w:fill="auto"/>
            <w:noWrap/>
            <w:hideMark/>
          </w:tcPr>
          <w:p w14:paraId="2228BCE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China</w:t>
            </w:r>
          </w:p>
        </w:tc>
        <w:tc>
          <w:tcPr>
            <w:tcW w:w="1794" w:type="dxa"/>
            <w:shd w:val="clear" w:color="auto" w:fill="auto"/>
            <w:hideMark/>
          </w:tcPr>
          <w:p w14:paraId="0FE2E7E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noWrap/>
            <w:hideMark/>
          </w:tcPr>
          <w:p w14:paraId="0EE7F69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Renewable energy (hydropower, solar PV, solar thermal </w:t>
            </w:r>
            <w:proofErr w:type="spellStart"/>
            <w:proofErr w:type="gramStart"/>
            <w:r w:rsidRPr="00F47DE9">
              <w:rPr>
                <w:rFonts w:ascii="Arial" w:hAnsi="Arial" w:cs="Arial"/>
                <w:sz w:val="20"/>
                <w:szCs w:val="20"/>
              </w:rPr>
              <w:t>power,wind</w:t>
            </w:r>
            <w:proofErr w:type="spellEnd"/>
            <w:proofErr w:type="gramEnd"/>
            <w:r w:rsidRPr="00F47DE9">
              <w:rPr>
                <w:rFonts w:ascii="Arial" w:hAnsi="Arial" w:cs="Arial"/>
                <w:sz w:val="20"/>
                <w:szCs w:val="20"/>
              </w:rPr>
              <w:t xml:space="preserve"> power and biomass power)</w:t>
            </w:r>
          </w:p>
        </w:tc>
      </w:tr>
      <w:tr w:rsidR="00190C62" w:rsidRPr="00F47DE9" w14:paraId="3119255D"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07CC44B" w14:textId="15C26013"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{"citationItems":[{"id":"ITEM-1","itemData":{"DOI":"10.1016/J.ENERGY.2014.02.044","ISSN":"0360-5442","abstract":"In a clean energy economy, green businesses play a central role by utilizing renewable energy technologies and employing green labor forces to provide clean energy services and goods. This paper aims at analyzing factors driving the growth and survival of green businesses in the U.S. states, with hypotheses proposed on the impacts from clean energy policies and tax incentives, labor market conditions, and economic and political environments. A fixed effect regression analysis is applied with a panel data set of 48 continental states from 1998 to 2007 in the United States. The statistical analysis with a longitudinal data set reveals that the adoption of renewable energy policies, the permission of renewable energy credits imports, the stringency of minimum wage legislations, and presence of clean energy business associations are the major driving forces of the green business development in the U.S. states. © 2014 Elsevier Ltd.","author":[{"dropping-particle":"","family":"Yi","given":"Hongtao","non-dropping-particle":"","parse-names":false,"suffix":""}],"container-title":"Energy","id":"ITEM-1","issued":{"date-parts":[["2014","4","15"]]},"page":"922-929","publisher":"Pergamon","title":"Green businesses in a clean energy economy: Analyzing drivers of green business growth in U.S. states","type":"article-journal","volume":"68"},"uris":["http://www.mendeley.com/documents/?uuid=34ec3c84-d2af-3e22-bcf3-5289517e4715"]}],"mendeley":{"formattedCitation":"(Yi, 2014)","plainTextFormattedCitation":"(Yi, 2014)","previouslyFormattedCitation":"(Yi, 2014)"},"properties":{"noteIndex":0},"schema":"https://github.com/citation-style-language/schema/raw/master/csl-citation.json"}</w:instrText>
            </w:r>
            <w:r>
              <w:rPr>
                <w:rFonts w:ascii="Arial" w:hAnsi="Arial" w:cs="Arial"/>
                <w:sz w:val="20"/>
                <w:szCs w:val="20"/>
              </w:rPr>
              <w:fldChar w:fldCharType="separate"/>
            </w:r>
            <w:r w:rsidRPr="00524EB6">
              <w:rPr>
                <w:rFonts w:ascii="Arial" w:hAnsi="Arial" w:cs="Arial"/>
                <w:b w:val="0"/>
                <w:noProof/>
                <w:sz w:val="20"/>
                <w:szCs w:val="20"/>
              </w:rPr>
              <w:t>Yi</w:t>
            </w:r>
            <w:r>
              <w:rPr>
                <w:rFonts w:ascii="Arial" w:hAnsi="Arial" w:cs="Arial"/>
                <w:b w:val="0"/>
                <w:noProof/>
                <w:sz w:val="20"/>
                <w:szCs w:val="20"/>
              </w:rPr>
              <w:t xml:space="preserve"> (</w:t>
            </w:r>
            <w:r w:rsidRPr="00524EB6">
              <w:rPr>
                <w:rFonts w:ascii="Arial" w:hAnsi="Arial" w:cs="Arial"/>
                <w:b w:val="0"/>
                <w:noProof/>
                <w:sz w:val="20"/>
                <w:szCs w:val="20"/>
              </w:rPr>
              <w:t>2014)</w:t>
            </w:r>
            <w:r>
              <w:rPr>
                <w:rFonts w:ascii="Arial" w:hAnsi="Arial" w:cs="Arial"/>
                <w:sz w:val="20"/>
                <w:szCs w:val="20"/>
              </w:rPr>
              <w:fldChar w:fldCharType="end"/>
            </w:r>
          </w:p>
        </w:tc>
        <w:tc>
          <w:tcPr>
            <w:tcW w:w="1794" w:type="dxa"/>
            <w:shd w:val="clear" w:color="auto" w:fill="auto"/>
            <w:noWrap/>
            <w:hideMark/>
          </w:tcPr>
          <w:p w14:paraId="50A354CB"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US</w:t>
            </w:r>
          </w:p>
        </w:tc>
        <w:tc>
          <w:tcPr>
            <w:tcW w:w="1794" w:type="dxa"/>
            <w:shd w:val="clear" w:color="auto" w:fill="auto"/>
            <w:noWrap/>
            <w:hideMark/>
          </w:tcPr>
          <w:p w14:paraId="24F8DE58"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hideMark/>
          </w:tcPr>
          <w:p w14:paraId="7A768D5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Green businesses, clean energy, renewable energy</w:t>
            </w:r>
          </w:p>
        </w:tc>
      </w:tr>
      <w:tr w:rsidR="00190C62" w:rsidRPr="00F47DE9" w14:paraId="763992EA"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59426B11" w14:textId="1B95F9AC"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{"citationItems":[{"id":"ITEM-1","itemData":{"DOI":"10.1016/J.GLOENVCHA.2014.12.001","ISSN":"0959-3780","abstract":"For policy makers in China, the development of a green economy presents opportunities and challenges not only for the central government, but also for provincial and city governments. This study measures clean energy economy at the city level in China, by counting green jobs and firms through an analytical approach. As shown in this study, green jobs and green firms are distributed unevenly across different regions in China. This study also quantifies provincial clean energy policies in China and finds significant variations in clean energy policy actions. Spatial error model (SEM) analyses indicate that local clean energy policies, along with socio-economic factors such as population, per capita gross domestic product, educational attainment, emissions of sulfur dioxide, and marketization of the regional economy, explain the variation in green economy across cities. Cities located in a province with clean energy policies have 54.3% more green jobs and 61.8% more green businesses, compared with cities located in a province without such policies.","author":[{"dropping-particle":"","family":"Yi","given":"Hongtao","non-dropping-particle":"","parse-names":false,"suffix":""},{"dropping-particle":"","family":"Liu","given":"Yuan","non-dropping-particle":"","parse-names":false,"suffix":""}],"container-title":"Global Environmental Change","id":"ITEM-1","issued":{"date-parts":[["2015","3","1"]]},"page":"11-19","publisher":"Pergamon","title":"Green economy in China: Regional variations and policy drivers","type":"article-journal","volume":"31"},"uris":["http://www.mendeley.com/documents/?uuid=05224f5c-b1f5-3b4d-9f2a-64e1a3689cf2"]}],"mendeley":{"formattedCitation":"(Yi and Liu, 2015)","manualFormatting":"Yi and Liu (2015)","plainTextFormattedCitation":"(Yi and Liu, 2015)","previouslyFormattedCitation":"(Yi and Liu, 2015)"},"properties":{"noteIndex":0},"schema":"https://github.com/citation-style-language/schema/raw/master/csl-citation.json"}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Yi and Liu</w:t>
            </w:r>
            <w:r>
              <w:rPr>
                <w:rFonts w:ascii="Arial" w:hAnsi="Arial" w:cs="Arial"/>
                <w:b w:val="0"/>
                <w:noProof/>
                <w:sz w:val="20"/>
                <w:szCs w:val="20"/>
              </w:rPr>
              <w:t xml:space="preserve"> (</w:t>
            </w:r>
            <w:r w:rsidRPr="00016CD3">
              <w:rPr>
                <w:rFonts w:ascii="Arial" w:hAnsi="Arial" w:cs="Arial"/>
                <w:b w:val="0"/>
                <w:noProof/>
                <w:sz w:val="20"/>
                <w:szCs w:val="20"/>
              </w:rPr>
              <w:t>2015)</w:t>
            </w:r>
            <w:r>
              <w:rPr>
                <w:rFonts w:ascii="Arial" w:hAnsi="Arial" w:cs="Arial"/>
                <w:sz w:val="20"/>
                <w:szCs w:val="20"/>
              </w:rPr>
              <w:fldChar w:fldCharType="end"/>
            </w:r>
          </w:p>
        </w:tc>
        <w:tc>
          <w:tcPr>
            <w:tcW w:w="1794" w:type="dxa"/>
            <w:shd w:val="clear" w:color="auto" w:fill="auto"/>
            <w:noWrap/>
            <w:hideMark/>
          </w:tcPr>
          <w:p w14:paraId="62E32315"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China (city level)</w:t>
            </w:r>
          </w:p>
        </w:tc>
        <w:tc>
          <w:tcPr>
            <w:tcW w:w="1794" w:type="dxa"/>
            <w:shd w:val="clear" w:color="auto" w:fill="auto"/>
            <w:noWrap/>
            <w:hideMark/>
          </w:tcPr>
          <w:p w14:paraId="3EC5CB2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hideMark/>
          </w:tcPr>
          <w:p w14:paraId="450F4792"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Green jobs, clean energy</w:t>
            </w:r>
          </w:p>
        </w:tc>
      </w:tr>
      <w:tr w:rsidR="00190C62" w:rsidRPr="00F47DE9" w14:paraId="121C5365"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2099E9EF" w14:textId="5D42E1B9" w:rsidR="00190C62" w:rsidRPr="00F1624D" w:rsidRDefault="00190C62" w:rsidP="00190C62">
            <w:pPr>
              <w:rPr>
                <w:rFonts w:ascii="Arial" w:hAnsi="Arial" w:cs="Arial"/>
                <w:b w:val="0"/>
                <w:bCs w:val="0"/>
                <w:sz w:val="20"/>
                <w:szCs w:val="20"/>
              </w:rPr>
            </w:pPr>
            <w:r w:rsidRPr="00F1624D">
              <w:rPr>
                <w:rFonts w:ascii="Arial" w:hAnsi="Arial" w:cs="Arial"/>
                <w:sz w:val="20"/>
                <w:szCs w:val="20"/>
              </w:rPr>
              <w:fldChar w:fldCharType="begin" w:fldLock="1"/>
            </w:r>
            <w:r w:rsidRPr="00F1624D">
              <w:rPr>
                <w:rFonts w:ascii="Arial" w:hAnsi="Arial" w:cs="Arial"/>
                <w:b w:val="0"/>
                <w:bCs w:val="0"/>
                <w:sz w:val="20"/>
                <w:szCs w:val="20"/>
              </w:rPr>
              <w:instrText>ADDIN CSL_CITATION {"citationItems":[{"id":"ITEM-1","itemData":{"author":[{"dropping-particle":"","family":"Zabin","given":"Carol","non-dropping-particle":"","parse-names":false,"suffix":""},{"dropping-particle":"","family":"Scott","given":"Megan Emiko","non-dropping-particle":"","parse-names":false,"suffix":""}],"id":"ITEM-1","issued":{"date-parts":[["2013"]]},"publisher-place":"Berkeley, CA, US","title":"Proposition 39: Jobs and training for California’s workforce","type":"report"},"uris":["http://www.mendeley.com/documents/?uuid=067dd418-703a-44c4-b961-103d0c426c18"]}],"mendeley":{"formattedCitation":"(Zabin and Scott, 2013)","manualFormatting":"Zabin and Scott (2013)","plainTextFormattedCitation":"(Zabin and Scott, 2013)","previouslyFormattedCitation":"(Zabin and Scott, 2013)"},"properties":{"noteIndex":0},"schema":"https://github.com/citation-style-language/schema/raw/master/csl-citation.json"}</w:instrText>
            </w:r>
            <w:r w:rsidRPr="00F1624D">
              <w:rPr>
                <w:rFonts w:ascii="Arial" w:hAnsi="Arial" w:cs="Arial"/>
                <w:sz w:val="20"/>
                <w:szCs w:val="20"/>
              </w:rPr>
              <w:fldChar w:fldCharType="separate"/>
            </w:r>
            <w:r w:rsidRPr="00F1624D">
              <w:rPr>
                <w:rFonts w:ascii="Arial" w:hAnsi="Arial" w:cs="Arial"/>
                <w:b w:val="0"/>
                <w:bCs w:val="0"/>
                <w:noProof/>
                <w:sz w:val="20"/>
                <w:szCs w:val="20"/>
              </w:rPr>
              <w:t>Zabin and Scott (2013)</w:t>
            </w:r>
            <w:r w:rsidRPr="00F1624D">
              <w:rPr>
                <w:rFonts w:ascii="Arial" w:hAnsi="Arial" w:cs="Arial"/>
                <w:sz w:val="20"/>
                <w:szCs w:val="20"/>
              </w:rPr>
              <w:fldChar w:fldCharType="end"/>
            </w:r>
          </w:p>
        </w:tc>
        <w:tc>
          <w:tcPr>
            <w:tcW w:w="1794" w:type="dxa"/>
            <w:shd w:val="clear" w:color="auto" w:fill="auto"/>
            <w:noWrap/>
          </w:tcPr>
          <w:p w14:paraId="6D2E625C" w14:textId="1F33ABFD" w:rsidR="00190C62" w:rsidRPr="006567B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567B9">
              <w:rPr>
                <w:rFonts w:ascii="Arial" w:hAnsi="Arial" w:cs="Arial"/>
                <w:sz w:val="20"/>
                <w:szCs w:val="20"/>
              </w:rPr>
              <w:t>California, US</w:t>
            </w:r>
          </w:p>
        </w:tc>
        <w:tc>
          <w:tcPr>
            <w:tcW w:w="1794" w:type="dxa"/>
            <w:shd w:val="clear" w:color="auto" w:fill="auto"/>
          </w:tcPr>
          <w:p w14:paraId="278051CB" w14:textId="346E604E"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North America</w:t>
            </w:r>
          </w:p>
        </w:tc>
        <w:tc>
          <w:tcPr>
            <w:tcW w:w="3544" w:type="dxa"/>
            <w:shd w:val="clear" w:color="auto" w:fill="auto"/>
            <w:noWrap/>
          </w:tcPr>
          <w:p w14:paraId="00CEA1A8" w14:textId="46139775"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Energy efficiency</w:t>
            </w:r>
          </w:p>
        </w:tc>
      </w:tr>
      <w:tr w:rsidR="00190C62" w:rsidRPr="00F47DE9" w14:paraId="4B20207C"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6DFAB16E" w14:textId="0E1D9E9C"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{"citationItems":[{"id":"ITEM-1","itemData":{"DOI":"10.1016/J.APENERGY.2021.118401","ISSN":"0306-2619","abstract":"To meet the 2060 carbon neutrality target, China will need to phase out existing coal-fired power plants by 2050 or before. The electricity supply sector directly employs over 2 million and an additional 2 million when indirect employment including product and machinery production are included. To investigate the policy options and pathways available to meet the national climate goal while transitioning this jobs-intensive and economically powerful sector, we developed a plant-level job accounting model, and combine it with a power sector optimization model to assess job loss in the coal sector, as well as job creation in the burgeoning renewable power sector in China. We find that national and provincial policy actions to support an early and managed transition help to ensure a job-rich and both geographically and socioeconomically equitable shift from coal to clean energy. Specifically, the projected decline in fossil-fuel jobs can be fully offset by job new creation in the expanding renewable energy sector. Current COVID-19 economic stimulus plans include a potential new coal boom, where China could build up to 247 GW of additional plants, and thus delay the transition by a decade or more. We find that this action would result in up to 90% of coal-fired workers losing jobs between 2030 and 2040 without a clear pathway to absorb these workers in what will be an already mature clean energy economy. Provinces with massive coal fleets and limited renewable energy resources, notably Anhui, Henan, Hebei and Shandong, etc., would face a particularly disruptive mismatch of job gains and losses.","author":[{"dropping-particle":"","family":"Zhang","given":"Xiaoli","non-dropping-particle":"","parse-names":false,"suffix":""},{"dropping-particle":"","family":"Cui","given":"Xueqin","non-dropping-particle":"","parse-names":false,"suffix":""},{"dropping-particle":"","family":"Li","given":"Bo","non-dropping-particle":"","parse-names":false,"suffix":""},{"dropping-particle":"","family":"Hidalgo-Gonzalez","given":"Patricia","non-dropping-particle":"","parse-names":false,"suffix":""},{"dropping-particle":"","family":"Kammen","given":"Daniel M.","non-dropping-particle":"","parse-names":false,"suffix":""},{"dropping-particle":"","family":"Zou","given":"Ji","non-dropping-particle":"","parse-names":false,"suffix":""},{"dropping-particle":"","family":"Wang","given":"Ke","non-dropping-particle":"","parse-names":false,"suffix":""}],"container-title":"Applied Energy","id":"ITEM-1","issued":{"date-parts":[["2022","2","15"]]},"page":"118401","publisher":"Elsevier","title":"Immediate actions on coal phaseout enable a just low-carbon transition in China’s power sector","type":"article-journal","volume":"308"},"uris":["http://www.mendeley.com/documents/?uuid=da1e484a-eb0d-3244-a24f-6bbb98a6edb5"]}],"mendeley":{"formattedCitation":"(Zhang &lt;i&gt;et al.&lt;/i&gt;, 2022)","manualFormatting":"Zhang et al. (2022)","plainTextFormattedCitation":"(Zhang et al., 2022)","previouslyFormattedCitation":"(Zhang &lt;i&gt;et al.&lt;/i&gt;, 2022)"},"properties":{"noteIndex":0},"schema":"https://github.com/citation-style-language/schema/raw/master/csl-citation.json"}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 xml:space="preserve">Zhang </w:t>
            </w:r>
            <w:r w:rsidRPr="00016CD3">
              <w:rPr>
                <w:rFonts w:ascii="Arial" w:hAnsi="Arial" w:cs="Arial"/>
                <w:b w:val="0"/>
                <w:i/>
                <w:noProof/>
                <w:sz w:val="20"/>
                <w:szCs w:val="20"/>
              </w:rPr>
              <w:t>et al.</w:t>
            </w:r>
            <w:r>
              <w:rPr>
                <w:rFonts w:ascii="Arial" w:hAnsi="Arial" w:cs="Arial"/>
                <w:b w:val="0"/>
                <w:noProof/>
                <w:sz w:val="20"/>
                <w:szCs w:val="20"/>
              </w:rPr>
              <w:t xml:space="preserve"> (</w:t>
            </w:r>
            <w:r w:rsidRPr="00016CD3">
              <w:rPr>
                <w:rFonts w:ascii="Arial" w:hAnsi="Arial" w:cs="Arial"/>
                <w:b w:val="0"/>
                <w:noProof/>
                <w:sz w:val="20"/>
                <w:szCs w:val="20"/>
              </w:rPr>
              <w:t>2022)</w:t>
            </w:r>
            <w:r>
              <w:rPr>
                <w:rFonts w:ascii="Arial" w:hAnsi="Arial" w:cs="Arial"/>
                <w:sz w:val="20"/>
                <w:szCs w:val="20"/>
              </w:rPr>
              <w:fldChar w:fldCharType="end"/>
            </w:r>
          </w:p>
        </w:tc>
        <w:tc>
          <w:tcPr>
            <w:tcW w:w="1794" w:type="dxa"/>
            <w:shd w:val="clear" w:color="auto" w:fill="auto"/>
            <w:noWrap/>
            <w:hideMark/>
          </w:tcPr>
          <w:p w14:paraId="101A849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China</w:t>
            </w:r>
          </w:p>
        </w:tc>
        <w:tc>
          <w:tcPr>
            <w:tcW w:w="1794" w:type="dxa"/>
            <w:shd w:val="clear" w:color="auto" w:fill="auto"/>
            <w:hideMark/>
          </w:tcPr>
          <w:p w14:paraId="645D9C06"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noWrap/>
            <w:hideMark/>
          </w:tcPr>
          <w:p w14:paraId="76378617"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 xml:space="preserve">Power sector decarbonisation; coal phase out and renewables </w:t>
            </w:r>
          </w:p>
        </w:tc>
      </w:tr>
      <w:tr w:rsidR="00190C62" w:rsidRPr="00F47DE9" w14:paraId="4738CD86" w14:textId="77777777" w:rsidTr="0098685F">
        <w:trPr>
          <w:trHeight w:val="370"/>
        </w:trPr>
        <w:tc>
          <w:tcPr>
            <w:cnfStyle w:val="001000000000" w:firstRow="0" w:lastRow="0" w:firstColumn="1" w:lastColumn="0" w:oddVBand="0" w:evenVBand="0" w:oddHBand="0" w:evenHBand="0" w:firstRowFirstColumn="0" w:firstRowLastColumn="0" w:lastRowFirstColumn="0" w:lastRowLastColumn="0"/>
            <w:tcW w:w="1794" w:type="dxa"/>
            <w:shd w:val="clear" w:color="auto" w:fill="auto"/>
          </w:tcPr>
          <w:p w14:paraId="1607ADDC" w14:textId="2B8A1B28" w:rsidR="00190C62" w:rsidRPr="00F47DE9" w:rsidRDefault="00190C62" w:rsidP="00190C62">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{"citationItems":[{"id":"ITEM-1","itemData":{"DOI":"10.1088/1748-9326/ac5769","ISSN":"1748-9326","abstract":"China’s power sector, as the major CO2 emitter, has experienced significant restructuring that has had profound impacts on employment in both power and its upstream sectors. Combining input–output and structural path analysis, we quantified the direct and indirect impacts of power transformation on employment in China between 2012 and 2017. Direct employment in the power generation sector witnessed a net growth of 0.12 million, while over 10 times that number of jobs (1.40 million) have been lost in the upstream sectors, mainly in coal mining and washing, finance, oil and gas extraction and transportation. Among the top 10 critical paths, the share of employment driven by solar and wind power increased to 12.31% in 2017, more than nine times that in 2012. Furthermore, three scenarios have been set up to evaluate the employment patterns in 2030 and 2050. Under the 1.5 °C scenario, projection shows that the power sector could support over 5 million jobs in 2050, with more than 80% of these being related to renewable energy. Policy suggestions for a just transition, such as resettlement of laid-off workers and job transfer in upstream industries, are comprehensively discussed.","author":[{"dropping-particle":"","family":"Zhou","given":"Sili","non-dropping-particle":"","parse-names":false,"suffix":""},{"dropping-particle":"","family":"Chen","given":"Bin","non-dropping-particle":"","parse-names":false,"suffix":""},{"dropping-particle":"","family":"Wei","given":"Wendong","non-dropping-particle":"","parse-names":false,"suffix":""},{"dropping-particle":"","family":"Liu","given":"Zhaohui","non-dropping-particle":"","parse-names":false,"suffix":""},{"dropping-particle":"","family":"Song","given":"Song","non-dropping-particle":"","parse-names":false,"suffix":""},{"dropping-particle":"","family":"Feng","given":"Kuishuang","non-dropping-particle":"","parse-names":false,"suffix":""},{"dropping-particle":"","family":"Li","given":"Jiashuo","non-dropping-particle":"","parse-names":false,"suffix":""}],"container-title":"Environmental Research Letters","id":"ITEM-1","issue":"6","issued":{"date-parts":[["2022"]]},"page":"65005","publisher":"IOP Publishing","title":"China’s power transformation may drastically change employment patterns in the power sector and its upstream supply chains","type":"article-journal","volume":"17"},"uris":["http://www.mendeley.com/documents/?uuid=bdb72157-e7ae-417a-a5a5-b0260644f7d4"]}],"mendeley":{"formattedCitation":"(Zhou &lt;i&gt;et al.&lt;/i&gt;, 2022)","manualFormatting":"Zhou et al. (2022)","plainTextFormattedCitation":"(Zhou et al., 2022)","previouslyFormattedCitation":"(Zhou &lt;i&gt;et al.&lt;/i&gt;, 2022)"},"properties":{"noteIndex":0},"schema":"https://github.com/citation-style-language/schema/raw/master/csl-citation.json"}</w:instrText>
            </w:r>
            <w:r>
              <w:rPr>
                <w:rFonts w:ascii="Arial" w:hAnsi="Arial" w:cs="Arial"/>
                <w:sz w:val="20"/>
                <w:szCs w:val="20"/>
              </w:rPr>
              <w:fldChar w:fldCharType="separate"/>
            </w:r>
            <w:r w:rsidRPr="00016CD3">
              <w:rPr>
                <w:rFonts w:ascii="Arial" w:hAnsi="Arial" w:cs="Arial"/>
                <w:b w:val="0"/>
                <w:noProof/>
                <w:sz w:val="20"/>
                <w:szCs w:val="20"/>
              </w:rPr>
              <w:t xml:space="preserve">Zhou </w:t>
            </w:r>
            <w:r w:rsidRPr="00016CD3">
              <w:rPr>
                <w:rFonts w:ascii="Arial" w:hAnsi="Arial" w:cs="Arial"/>
                <w:b w:val="0"/>
                <w:i/>
                <w:noProof/>
                <w:sz w:val="20"/>
                <w:szCs w:val="20"/>
              </w:rPr>
              <w:t>et al.</w:t>
            </w:r>
            <w:r>
              <w:rPr>
                <w:rFonts w:ascii="Arial" w:hAnsi="Arial" w:cs="Arial"/>
                <w:b w:val="0"/>
                <w:noProof/>
                <w:sz w:val="20"/>
                <w:szCs w:val="20"/>
              </w:rPr>
              <w:t xml:space="preserve"> (</w:t>
            </w:r>
            <w:r w:rsidRPr="00016CD3">
              <w:rPr>
                <w:rFonts w:ascii="Arial" w:hAnsi="Arial" w:cs="Arial"/>
                <w:b w:val="0"/>
                <w:noProof/>
                <w:sz w:val="20"/>
                <w:szCs w:val="20"/>
              </w:rPr>
              <w:t>2022)</w:t>
            </w:r>
            <w:r>
              <w:rPr>
                <w:rFonts w:ascii="Arial" w:hAnsi="Arial" w:cs="Arial"/>
                <w:sz w:val="20"/>
                <w:szCs w:val="20"/>
              </w:rPr>
              <w:fldChar w:fldCharType="end"/>
            </w:r>
          </w:p>
        </w:tc>
        <w:tc>
          <w:tcPr>
            <w:tcW w:w="1794" w:type="dxa"/>
            <w:shd w:val="clear" w:color="auto" w:fill="auto"/>
            <w:hideMark/>
          </w:tcPr>
          <w:p w14:paraId="2400357C"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China</w:t>
            </w:r>
          </w:p>
        </w:tc>
        <w:tc>
          <w:tcPr>
            <w:tcW w:w="1794" w:type="dxa"/>
            <w:shd w:val="clear" w:color="auto" w:fill="auto"/>
            <w:hideMark/>
          </w:tcPr>
          <w:p w14:paraId="37108939"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Asia</w:t>
            </w:r>
          </w:p>
        </w:tc>
        <w:tc>
          <w:tcPr>
            <w:tcW w:w="3544" w:type="dxa"/>
            <w:shd w:val="clear" w:color="auto" w:fill="auto"/>
            <w:hideMark/>
          </w:tcPr>
          <w:p w14:paraId="106D2BDF" w14:textId="77777777" w:rsidR="00190C62" w:rsidRPr="00F47DE9" w:rsidRDefault="00190C62" w:rsidP="00190C6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7DE9">
              <w:rPr>
                <w:rFonts w:ascii="Arial" w:hAnsi="Arial" w:cs="Arial"/>
                <w:sz w:val="20"/>
                <w:szCs w:val="20"/>
              </w:rPr>
              <w:t>Power generation sector</w:t>
            </w:r>
          </w:p>
        </w:tc>
      </w:tr>
    </w:tbl>
    <w:p w14:paraId="59F907BE" w14:textId="77777777" w:rsidR="00F47DE9" w:rsidRDefault="00F47DE9" w:rsidP="00F37087">
      <w:pPr>
        <w:rPr>
          <w:rFonts w:ascii="Arial" w:hAnsi="Arial" w:cs="Arial"/>
          <w:b/>
          <w:bCs/>
          <w:sz w:val="24"/>
          <w:szCs w:val="24"/>
        </w:rPr>
      </w:pPr>
    </w:p>
    <w:p w14:paraId="15A72BFF" w14:textId="77777777" w:rsidR="00F37087" w:rsidRDefault="00F37087" w:rsidP="00F37087">
      <w:pPr>
        <w:rPr>
          <w:rFonts w:ascii="Arial" w:hAnsi="Arial" w:cs="Arial"/>
          <w:b/>
          <w:bCs/>
          <w:sz w:val="24"/>
          <w:szCs w:val="24"/>
        </w:rPr>
      </w:pPr>
    </w:p>
    <w:p w14:paraId="1A389638" w14:textId="77777777" w:rsidR="00F37087" w:rsidRDefault="00F37087" w:rsidP="006E66A0">
      <w:pPr>
        <w:rPr>
          <w:rFonts w:ascii="Arial" w:hAnsi="Arial" w:cs="Arial"/>
          <w:b/>
          <w:bCs/>
          <w:sz w:val="24"/>
          <w:szCs w:val="24"/>
        </w:rPr>
      </w:pPr>
    </w:p>
    <w:p w14:paraId="1429A0D7" w14:textId="77777777" w:rsidR="00F37087" w:rsidRDefault="00F37087">
      <w:pPr>
        <w:rPr>
          <w:rFonts w:ascii="Arial" w:hAnsi="Arial" w:cs="Arial"/>
          <w:b/>
          <w:bCs/>
          <w:sz w:val="24"/>
          <w:szCs w:val="24"/>
        </w:rPr>
      </w:pPr>
      <w:r>
        <w:rPr>
          <w:rFonts w:ascii="Arial" w:hAnsi="Arial" w:cs="Arial"/>
          <w:b/>
          <w:bCs/>
          <w:sz w:val="24"/>
          <w:szCs w:val="24"/>
        </w:rPr>
        <w:br w:type="page"/>
      </w:r>
    </w:p>
    <w:p w14:paraId="75F3799D" w14:textId="7DAA952B" w:rsidR="006E66A0" w:rsidRDefault="003B7077" w:rsidP="006E66A0">
      <w:pPr>
        <w:rPr>
          <w:rFonts w:ascii="Arial" w:hAnsi="Arial" w:cs="Arial"/>
          <w:b/>
          <w:bCs/>
          <w:sz w:val="24"/>
          <w:szCs w:val="24"/>
        </w:rPr>
      </w:pPr>
      <w:r>
        <w:rPr>
          <w:rFonts w:ascii="Arial" w:hAnsi="Arial" w:cs="Arial"/>
          <w:b/>
          <w:bCs/>
          <w:sz w:val="24"/>
          <w:szCs w:val="24"/>
        </w:rPr>
        <w:t>Supplementary r</w:t>
      </w:r>
      <w:r w:rsidR="00E540C1">
        <w:rPr>
          <w:rFonts w:ascii="Arial" w:hAnsi="Arial" w:cs="Arial"/>
          <w:b/>
          <w:bCs/>
          <w:sz w:val="24"/>
          <w:szCs w:val="24"/>
        </w:rPr>
        <w:t>eferences</w:t>
      </w:r>
    </w:p>
    <w:p w14:paraId="6D1F9598" w14:textId="10AD2221" w:rsidR="008A0A1A" w:rsidRPr="008A0A1A" w:rsidRDefault="00E540C1" w:rsidP="008A0A1A">
      <w:pPr>
        <w:widowControl w:val="0"/>
        <w:autoSpaceDE w:val="0"/>
        <w:autoSpaceDN w:val="0"/>
        <w:adjustRightInd w:val="0"/>
        <w:spacing w:line="240" w:lineRule="auto"/>
        <w:rPr>
          <w:rFonts w:ascii="Arial" w:hAnsi="Arial" w:cs="Arial"/>
          <w:noProof/>
          <w:kern w:val="0"/>
          <w:sz w:val="20"/>
          <w:szCs w:val="24"/>
        </w:rPr>
      </w:pPr>
      <w:r w:rsidRPr="00E540C1">
        <w:rPr>
          <w:rFonts w:ascii="Arial" w:hAnsi="Arial" w:cs="Arial"/>
          <w:b/>
          <w:bCs/>
          <w:sz w:val="20"/>
          <w:szCs w:val="20"/>
        </w:rPr>
        <w:fldChar w:fldCharType="begin" w:fldLock="1"/>
      </w:r>
      <w:r w:rsidRPr="00E540C1">
        <w:rPr>
          <w:rFonts w:ascii="Arial" w:hAnsi="Arial" w:cs="Arial"/>
          <w:b/>
          <w:bCs/>
          <w:sz w:val="20"/>
          <w:szCs w:val="20"/>
        </w:rPr>
        <w:instrText xml:space="preserve">ADDIN Mendeley Bibliography CSL_BIBLIOGRAPHY </w:instrText>
      </w:r>
      <w:r w:rsidRPr="00E540C1">
        <w:rPr>
          <w:rFonts w:ascii="Arial" w:hAnsi="Arial" w:cs="Arial"/>
          <w:b/>
          <w:bCs/>
          <w:sz w:val="20"/>
          <w:szCs w:val="20"/>
        </w:rPr>
        <w:fldChar w:fldCharType="separate"/>
      </w:r>
      <w:r w:rsidR="008A0A1A" w:rsidRPr="008A0A1A">
        <w:rPr>
          <w:rFonts w:ascii="Arial" w:hAnsi="Arial" w:cs="Arial"/>
          <w:noProof/>
          <w:kern w:val="0"/>
          <w:sz w:val="20"/>
          <w:szCs w:val="24"/>
        </w:rPr>
        <w:t xml:space="preserve">Acar, S. </w:t>
      </w:r>
      <w:r w:rsidR="008A0A1A" w:rsidRPr="008A0A1A">
        <w:rPr>
          <w:rFonts w:ascii="Arial" w:hAnsi="Arial" w:cs="Arial"/>
          <w:i/>
          <w:iCs/>
          <w:noProof/>
          <w:kern w:val="0"/>
          <w:sz w:val="20"/>
          <w:szCs w:val="24"/>
        </w:rPr>
        <w:t>et al.</w:t>
      </w:r>
      <w:r w:rsidR="008A0A1A" w:rsidRPr="008A0A1A">
        <w:rPr>
          <w:rFonts w:ascii="Arial" w:hAnsi="Arial" w:cs="Arial"/>
          <w:noProof/>
          <w:kern w:val="0"/>
          <w:sz w:val="20"/>
          <w:szCs w:val="24"/>
        </w:rPr>
        <w:t xml:space="preserve"> (2023) ‘Transforming Türkiye’s power system: An assessment of economic, social, and external impacts of an energy transition by 2030’, </w:t>
      </w:r>
      <w:r w:rsidR="008A0A1A" w:rsidRPr="008A0A1A">
        <w:rPr>
          <w:rFonts w:ascii="Arial" w:hAnsi="Arial" w:cs="Arial"/>
          <w:i/>
          <w:iCs/>
          <w:noProof/>
          <w:kern w:val="0"/>
          <w:sz w:val="20"/>
          <w:szCs w:val="24"/>
        </w:rPr>
        <w:t>Cleaner Energy Systems</w:t>
      </w:r>
      <w:r w:rsidR="008A0A1A" w:rsidRPr="008A0A1A">
        <w:rPr>
          <w:rFonts w:ascii="Arial" w:hAnsi="Arial" w:cs="Arial"/>
          <w:noProof/>
          <w:kern w:val="0"/>
          <w:sz w:val="20"/>
          <w:szCs w:val="24"/>
        </w:rPr>
        <w:t>, 4, p. 100064. doi: 10.1016/J.CLES.2023.100064.</w:t>
      </w:r>
    </w:p>
    <w:p w14:paraId="6FBAE499"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Aldieri, L.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(2020) ‘Wind Power and Job Creation’, </w:t>
      </w:r>
      <w:r w:rsidRPr="008A0A1A">
        <w:rPr>
          <w:rFonts w:ascii="Arial" w:hAnsi="Arial" w:cs="Arial"/>
          <w:i/>
          <w:iCs/>
          <w:noProof/>
          <w:kern w:val="0"/>
          <w:sz w:val="20"/>
          <w:szCs w:val="24"/>
        </w:rPr>
        <w:t>Sustainability</w:t>
      </w:r>
      <w:r w:rsidRPr="008A0A1A">
        <w:rPr>
          <w:rFonts w:ascii="Arial" w:hAnsi="Arial" w:cs="Arial"/>
          <w:noProof/>
          <w:kern w:val="0"/>
          <w:sz w:val="20"/>
          <w:szCs w:val="24"/>
        </w:rPr>
        <w:t>. doi: 10.3390/su12010045.</w:t>
      </w:r>
    </w:p>
    <w:p w14:paraId="6FE0AF80"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Allan, J.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(2020) </w:t>
      </w:r>
      <w:r w:rsidRPr="008A0A1A">
        <w:rPr>
          <w:rFonts w:ascii="Arial" w:hAnsi="Arial" w:cs="Arial"/>
          <w:i/>
          <w:iCs/>
          <w:noProof/>
          <w:kern w:val="0"/>
          <w:sz w:val="20"/>
          <w:szCs w:val="24"/>
        </w:rPr>
        <w:t>A net-zero emissions economic recovery from COVID-19</w:t>
      </w:r>
      <w:r w:rsidRPr="008A0A1A">
        <w:rPr>
          <w:rFonts w:ascii="Arial" w:hAnsi="Arial" w:cs="Arial"/>
          <w:noProof/>
          <w:kern w:val="0"/>
          <w:sz w:val="20"/>
          <w:szCs w:val="24"/>
        </w:rPr>
        <w:t>. COP26 Universities Network Briefing, May 2020. Available at: https://www.imperial.ac.uk/grantham/publications/a-net-zero-emissions-economic-recovery-from-covid-19.php.</w:t>
      </w:r>
    </w:p>
    <w:p w14:paraId="19B9AD5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Arvanitopoulos, T. and Agnolucci, P. (2020) ‘The long-term effect of renewable electricity on employment in the United Kingdom’,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134, p. 110322. doi: 10.1016/j.rser.2020.110322.</w:t>
      </w:r>
    </w:p>
    <w:p w14:paraId="033B0B51"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Atilgan, B. and Azapagic, A. (2016) ‘An integrated life cycle sustainability assessment of electricity generation in Turkey’, </w:t>
      </w:r>
      <w:r w:rsidRPr="008A0A1A">
        <w:rPr>
          <w:rFonts w:ascii="Arial" w:hAnsi="Arial" w:cs="Arial"/>
          <w:i/>
          <w:iCs/>
          <w:noProof/>
          <w:kern w:val="0"/>
          <w:sz w:val="20"/>
          <w:szCs w:val="24"/>
        </w:rPr>
        <w:t>Energy Policy</w:t>
      </w:r>
      <w:r w:rsidRPr="008A0A1A">
        <w:rPr>
          <w:rFonts w:ascii="Arial" w:hAnsi="Arial" w:cs="Arial"/>
          <w:noProof/>
          <w:kern w:val="0"/>
          <w:sz w:val="20"/>
          <w:szCs w:val="24"/>
        </w:rPr>
        <w:t>, 93, pp. 168–186. doi: 10.1016/J.ENPOL.2016.02.055.</w:t>
      </w:r>
    </w:p>
    <w:p w14:paraId="0B2DE4D1"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Azretbergenova, G.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(2021) ‘The Relationship between Renewable Energy Production and Employment in European Union Countries: Panel Data Analysis’, </w:t>
      </w:r>
      <w:r w:rsidRPr="008A0A1A">
        <w:rPr>
          <w:rFonts w:ascii="Arial" w:hAnsi="Arial" w:cs="Arial"/>
          <w:i/>
          <w:iCs/>
          <w:noProof/>
          <w:kern w:val="0"/>
          <w:sz w:val="20"/>
          <w:szCs w:val="24"/>
        </w:rPr>
        <w:t>International Journal of Energy Economics and Policy</w:t>
      </w:r>
      <w:r w:rsidRPr="008A0A1A">
        <w:rPr>
          <w:rFonts w:ascii="Arial" w:hAnsi="Arial" w:cs="Arial"/>
          <w:noProof/>
          <w:kern w:val="0"/>
          <w:sz w:val="20"/>
          <w:szCs w:val="24"/>
        </w:rPr>
        <w:t>, 11(3 SE-Articles), pp. 20–26. Available at: https://econjournals.com/index.php/ijeep/article/view/10744.</w:t>
      </w:r>
    </w:p>
    <w:p w14:paraId="7AAFD6DA"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Baer, P., Brown, M. A. and Kim, G. (2015) ‘The job generation impacts of expanding industrial cogeneration’, </w:t>
      </w:r>
      <w:r w:rsidRPr="008A0A1A">
        <w:rPr>
          <w:rFonts w:ascii="Arial" w:hAnsi="Arial" w:cs="Arial"/>
          <w:i/>
          <w:iCs/>
          <w:noProof/>
          <w:kern w:val="0"/>
          <w:sz w:val="20"/>
          <w:szCs w:val="24"/>
        </w:rPr>
        <w:t>Ecological Economics</w:t>
      </w:r>
      <w:r w:rsidRPr="008A0A1A">
        <w:rPr>
          <w:rFonts w:ascii="Arial" w:hAnsi="Arial" w:cs="Arial"/>
          <w:noProof/>
          <w:kern w:val="0"/>
          <w:sz w:val="20"/>
          <w:szCs w:val="24"/>
        </w:rPr>
        <w:t>, 110, pp. 141–153. doi: 10.1016/j.ecolecon.2014.12.007.</w:t>
      </w:r>
    </w:p>
    <w:p w14:paraId="46D2717B"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Bagheri, M.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(2018) ‘Green growth planning: A multi-factor energy input-output analysis of the Canadian economy’, </w:t>
      </w:r>
      <w:r w:rsidRPr="008A0A1A">
        <w:rPr>
          <w:rFonts w:ascii="Arial" w:hAnsi="Arial" w:cs="Arial"/>
          <w:i/>
          <w:iCs/>
          <w:noProof/>
          <w:kern w:val="0"/>
          <w:sz w:val="20"/>
          <w:szCs w:val="24"/>
        </w:rPr>
        <w:t>Energy Economics</w:t>
      </w:r>
      <w:r w:rsidRPr="008A0A1A">
        <w:rPr>
          <w:rFonts w:ascii="Arial" w:hAnsi="Arial" w:cs="Arial"/>
          <w:noProof/>
          <w:kern w:val="0"/>
          <w:sz w:val="20"/>
          <w:szCs w:val="24"/>
        </w:rPr>
        <w:t>, 74, pp. 708–720. doi: 10.1016/j.eneco.2018.07.015.</w:t>
      </w:r>
    </w:p>
    <w:p w14:paraId="125855D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Bali Swain, R., Karimu, A. and Gråd, E. (2022) ‘Sustainable development, renewable energy transformation and employment impact in the EU’, </w:t>
      </w:r>
      <w:r w:rsidRPr="008A0A1A">
        <w:rPr>
          <w:rFonts w:ascii="Arial" w:hAnsi="Arial" w:cs="Arial"/>
          <w:i/>
          <w:iCs/>
          <w:noProof/>
          <w:kern w:val="0"/>
          <w:sz w:val="20"/>
          <w:szCs w:val="24"/>
        </w:rPr>
        <w:t>International Journal of Sustainable Development &amp; World Ecology</w:t>
      </w:r>
      <w:r w:rsidRPr="008A0A1A">
        <w:rPr>
          <w:rFonts w:ascii="Arial" w:hAnsi="Arial" w:cs="Arial"/>
          <w:noProof/>
          <w:kern w:val="0"/>
          <w:sz w:val="20"/>
          <w:szCs w:val="24"/>
        </w:rPr>
        <w:t>, 29(8), pp. 695–708. doi: 10.1080/13504509.2022.2078902.</w:t>
      </w:r>
    </w:p>
    <w:p w14:paraId="61E146D5"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Baran, J., Szpor, A. and Witajewski-Baltvilks, J. (2020) ‘Low-carbon transition in a coal-producing country: A labour market perspective’, </w:t>
      </w:r>
      <w:r w:rsidRPr="008A0A1A">
        <w:rPr>
          <w:rFonts w:ascii="Arial" w:hAnsi="Arial" w:cs="Arial"/>
          <w:i/>
          <w:iCs/>
          <w:noProof/>
          <w:kern w:val="0"/>
          <w:sz w:val="20"/>
          <w:szCs w:val="24"/>
        </w:rPr>
        <w:t>Energy Policy</w:t>
      </w:r>
      <w:r w:rsidRPr="008A0A1A">
        <w:rPr>
          <w:rFonts w:ascii="Arial" w:hAnsi="Arial" w:cs="Arial"/>
          <w:noProof/>
          <w:kern w:val="0"/>
          <w:sz w:val="20"/>
          <w:szCs w:val="24"/>
        </w:rPr>
        <w:t>, 147, p. 111878. doi: 10.1016/J.ENPOL.2020.111878.</w:t>
      </w:r>
    </w:p>
    <w:p w14:paraId="1A6748A6"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Bastidas, D. and Mc Isaac, F. (2019) ‘Reaching Brazil’s Nationally Determined Contributions: An assessment of the key transitions in final demand and employment’, </w:t>
      </w:r>
      <w:r w:rsidRPr="008A0A1A">
        <w:rPr>
          <w:rFonts w:ascii="Arial" w:hAnsi="Arial" w:cs="Arial"/>
          <w:i/>
          <w:iCs/>
          <w:noProof/>
          <w:kern w:val="0"/>
          <w:sz w:val="20"/>
          <w:szCs w:val="24"/>
        </w:rPr>
        <w:t>Energy Policy</w:t>
      </w:r>
      <w:r w:rsidRPr="008A0A1A">
        <w:rPr>
          <w:rFonts w:ascii="Arial" w:hAnsi="Arial" w:cs="Arial"/>
          <w:noProof/>
          <w:kern w:val="0"/>
          <w:sz w:val="20"/>
          <w:szCs w:val="24"/>
        </w:rPr>
        <w:t>, 135, p. 110983. doi: 10.1016/J.ENPOL.2019.110983.</w:t>
      </w:r>
    </w:p>
    <w:p w14:paraId="075AD808"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Behrens, A.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(2014) </w:t>
      </w:r>
      <w:r w:rsidRPr="008A0A1A">
        <w:rPr>
          <w:rFonts w:ascii="Arial" w:hAnsi="Arial" w:cs="Arial"/>
          <w:i/>
          <w:iCs/>
          <w:noProof/>
          <w:kern w:val="0"/>
          <w:sz w:val="20"/>
          <w:szCs w:val="24"/>
        </w:rPr>
        <w:t>Impact of the decarbonisation of the energy system on employment in Europe. CEPS Special Report No. 82</w:t>
      </w:r>
      <w:r w:rsidRPr="008A0A1A">
        <w:rPr>
          <w:rFonts w:ascii="Arial" w:hAnsi="Arial" w:cs="Arial"/>
          <w:noProof/>
          <w:kern w:val="0"/>
          <w:sz w:val="20"/>
          <w:szCs w:val="24"/>
        </w:rPr>
        <w:t>. Available at: https://ssrn.com/abstract=2395116.</w:t>
      </w:r>
    </w:p>
    <w:p w14:paraId="431E689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BEIS (2019) </w:t>
      </w:r>
      <w:r w:rsidRPr="008A0A1A">
        <w:rPr>
          <w:rFonts w:ascii="Arial" w:hAnsi="Arial" w:cs="Arial"/>
          <w:i/>
          <w:iCs/>
          <w:noProof/>
          <w:kern w:val="0"/>
          <w:sz w:val="20"/>
          <w:szCs w:val="24"/>
        </w:rPr>
        <w:t>Energy innovation needs assessment: Overview report</w:t>
      </w:r>
      <w:r w:rsidRPr="008A0A1A">
        <w:rPr>
          <w:rFonts w:ascii="Arial" w:hAnsi="Arial" w:cs="Arial"/>
          <w:noProof/>
          <w:kern w:val="0"/>
          <w:sz w:val="20"/>
          <w:szCs w:val="24"/>
        </w:rPr>
        <w:t>. London, UK.</w:t>
      </w:r>
    </w:p>
    <w:p w14:paraId="009E95B0"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BEIS (2020) </w:t>
      </w:r>
      <w:r w:rsidRPr="008A0A1A">
        <w:rPr>
          <w:rFonts w:ascii="Arial" w:hAnsi="Arial" w:cs="Arial"/>
          <w:i/>
          <w:iCs/>
          <w:noProof/>
          <w:kern w:val="0"/>
          <w:sz w:val="20"/>
          <w:szCs w:val="24"/>
        </w:rPr>
        <w:t>Energy White Paper - Powering our Net Zero Future</w:t>
      </w:r>
      <w:r w:rsidRPr="008A0A1A">
        <w:rPr>
          <w:rFonts w:ascii="Arial" w:hAnsi="Arial" w:cs="Arial"/>
          <w:noProof/>
          <w:kern w:val="0"/>
          <w:sz w:val="20"/>
          <w:szCs w:val="24"/>
        </w:rPr>
        <w:t>. London, UK: Department for Business, Energy and Industrial Strategy. Available at: https://assets.publishing.service.gov.uk/government/uploads/system/uploads/attachment_data/file/945899/201216_BEIS_EWP_Command_Paper_Accessible.pdf.</w:t>
      </w:r>
    </w:p>
    <w:p w14:paraId="5EE142F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Bell, C. (2014) ‘Understanding the true benefits of both energy efficiency and job creation’, </w:t>
      </w:r>
      <w:r w:rsidRPr="008A0A1A">
        <w:rPr>
          <w:rFonts w:ascii="Arial" w:hAnsi="Arial" w:cs="Arial"/>
          <w:i/>
          <w:iCs/>
          <w:noProof/>
          <w:kern w:val="0"/>
          <w:sz w:val="20"/>
          <w:szCs w:val="24"/>
        </w:rPr>
        <w:t>Community Development Innovation Review, Federal Reserve Bank of San Francisco</w:t>
      </w:r>
      <w:r w:rsidRPr="008A0A1A">
        <w:rPr>
          <w:rFonts w:ascii="Arial" w:hAnsi="Arial" w:cs="Arial"/>
          <w:noProof/>
          <w:kern w:val="0"/>
          <w:sz w:val="20"/>
          <w:szCs w:val="24"/>
        </w:rPr>
        <w:t>, (1), pp. 109–116.</w:t>
      </w:r>
    </w:p>
    <w:p w14:paraId="02D23F18"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Bell, C., Barrett, J. and McNerney, M. (2015) </w:t>
      </w:r>
      <w:r w:rsidRPr="008A0A1A">
        <w:rPr>
          <w:rFonts w:ascii="Arial" w:hAnsi="Arial" w:cs="Arial"/>
          <w:i/>
          <w:iCs/>
          <w:noProof/>
          <w:kern w:val="0"/>
          <w:sz w:val="20"/>
          <w:szCs w:val="24"/>
        </w:rPr>
        <w:t>Verifying energy efficiency job creation: Current practices and recommendations</w:t>
      </w:r>
      <w:r w:rsidRPr="008A0A1A">
        <w:rPr>
          <w:rFonts w:ascii="Arial" w:hAnsi="Arial" w:cs="Arial"/>
          <w:noProof/>
          <w:kern w:val="0"/>
          <w:sz w:val="20"/>
          <w:szCs w:val="24"/>
        </w:rPr>
        <w:t>. Washington, DC, US.</w:t>
      </w:r>
    </w:p>
    <w:p w14:paraId="56CB405A"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Blyth, W.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(2014) </w:t>
      </w:r>
      <w:r w:rsidRPr="008A0A1A">
        <w:rPr>
          <w:rFonts w:ascii="Arial" w:hAnsi="Arial" w:cs="Arial"/>
          <w:i/>
          <w:iCs/>
          <w:noProof/>
          <w:kern w:val="0"/>
          <w:sz w:val="20"/>
          <w:szCs w:val="24"/>
        </w:rPr>
        <w:t>Low carbon jobs: The evidence for net job creation from policy support for energy efficiency and renewable energy</w:t>
      </w:r>
      <w:r w:rsidRPr="008A0A1A">
        <w:rPr>
          <w:rFonts w:ascii="Arial" w:hAnsi="Arial" w:cs="Arial"/>
          <w:noProof/>
          <w:kern w:val="0"/>
          <w:sz w:val="20"/>
          <w:szCs w:val="24"/>
        </w:rPr>
        <w:t xml:space="preserve">, </w:t>
      </w:r>
      <w:r w:rsidRPr="008A0A1A">
        <w:rPr>
          <w:rFonts w:ascii="Arial" w:hAnsi="Arial" w:cs="Arial"/>
          <w:i/>
          <w:iCs/>
          <w:noProof/>
          <w:kern w:val="0"/>
          <w:sz w:val="20"/>
          <w:szCs w:val="24"/>
        </w:rPr>
        <w:t>UK Energy Research Centre</w:t>
      </w:r>
      <w:r w:rsidRPr="008A0A1A">
        <w:rPr>
          <w:rFonts w:ascii="Arial" w:hAnsi="Arial" w:cs="Arial"/>
          <w:noProof/>
          <w:kern w:val="0"/>
          <w:sz w:val="20"/>
          <w:szCs w:val="24"/>
        </w:rPr>
        <w:t>. London. Available at: https://ukerc.ac.uk/publications/low-carbon-jobs-the-evidence-for-net-job-creation-from-policy-support-for-energy-efficiency-and-renewable-energy/.</w:t>
      </w:r>
    </w:p>
    <w:p w14:paraId="4E70A539"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Bowen, A. and Kuralbayeva, K. (2015) ‘Looking for green jobs: the impact of green growth on employment’, in. Available at: https://api.semanticscholar.org/CorpusID:154693932.</w:t>
      </w:r>
    </w:p>
    <w:p w14:paraId="527F5518"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Brown, M. A., Soni, A. and Li, Y. (2020) ‘Estimating employment from energy-efficiency investments’, </w:t>
      </w:r>
      <w:r w:rsidRPr="008A0A1A">
        <w:rPr>
          <w:rFonts w:ascii="Arial" w:hAnsi="Arial" w:cs="Arial"/>
          <w:i/>
          <w:iCs/>
          <w:noProof/>
          <w:kern w:val="0"/>
          <w:sz w:val="20"/>
          <w:szCs w:val="24"/>
        </w:rPr>
        <w:t>MethodsX</w:t>
      </w:r>
      <w:r w:rsidRPr="008A0A1A">
        <w:rPr>
          <w:rFonts w:ascii="Arial" w:hAnsi="Arial" w:cs="Arial"/>
          <w:noProof/>
          <w:kern w:val="0"/>
          <w:sz w:val="20"/>
          <w:szCs w:val="24"/>
        </w:rPr>
        <w:t>, 7, p. 100955. doi: 10.1016/j.mex.2020.100955.</w:t>
      </w:r>
    </w:p>
    <w:p w14:paraId="79F06E4E"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Bulavskaya, T. and Reynès, F. (2018) ‘Job creation and economic impact of renewable energy in the Netherlands’, </w:t>
      </w:r>
      <w:r w:rsidRPr="008A0A1A">
        <w:rPr>
          <w:rFonts w:ascii="Arial" w:hAnsi="Arial" w:cs="Arial"/>
          <w:i/>
          <w:iCs/>
          <w:noProof/>
          <w:kern w:val="0"/>
          <w:sz w:val="20"/>
          <w:szCs w:val="24"/>
        </w:rPr>
        <w:t>Renewable Energy</w:t>
      </w:r>
      <w:r w:rsidRPr="008A0A1A">
        <w:rPr>
          <w:rFonts w:ascii="Arial" w:hAnsi="Arial" w:cs="Arial"/>
          <w:noProof/>
          <w:kern w:val="0"/>
          <w:sz w:val="20"/>
          <w:szCs w:val="24"/>
        </w:rPr>
        <w:t>, 119, pp. 528–538. doi: 10.1016/J.RENENE.2017.09.039.</w:t>
      </w:r>
    </w:p>
    <w:p w14:paraId="17C49874"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Cai, M.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(2017) ‘A comprehensive ex-post assessment of RES deployment in Italy: Jobs, value added and import leakages’, </w:t>
      </w:r>
      <w:r w:rsidRPr="008A0A1A">
        <w:rPr>
          <w:rFonts w:ascii="Arial" w:hAnsi="Arial" w:cs="Arial"/>
          <w:i/>
          <w:iCs/>
          <w:noProof/>
          <w:kern w:val="0"/>
          <w:sz w:val="20"/>
          <w:szCs w:val="24"/>
        </w:rPr>
        <w:t>Energy Policy</w:t>
      </w:r>
      <w:r w:rsidRPr="008A0A1A">
        <w:rPr>
          <w:rFonts w:ascii="Arial" w:hAnsi="Arial" w:cs="Arial"/>
          <w:noProof/>
          <w:kern w:val="0"/>
          <w:sz w:val="20"/>
          <w:szCs w:val="24"/>
        </w:rPr>
        <w:t>, 110, pp. 234–245. doi: 10.1016/J.ENPOL.2017.08.013.</w:t>
      </w:r>
    </w:p>
    <w:p w14:paraId="6C196631"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Cai, W.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(2014) ‘Distributional employment impacts of renewable and new energy–A case study of China’,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39, pp. 1155–1163. doi: 10.1016/J.RSER.2014.07.136.</w:t>
      </w:r>
    </w:p>
    <w:p w14:paraId="25724DA7"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Calzadilla, A.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(2014) </w:t>
      </w:r>
      <w:r w:rsidRPr="008A0A1A">
        <w:rPr>
          <w:rFonts w:ascii="Arial" w:hAnsi="Arial" w:cs="Arial"/>
          <w:i/>
          <w:iCs/>
          <w:noProof/>
          <w:kern w:val="0"/>
          <w:sz w:val="20"/>
          <w:szCs w:val="24"/>
        </w:rPr>
        <w:t>Desert Power 2050: Regional and sectoral impacts of renewable electricity production in Europe, the Middle East and North Africa</w:t>
      </w:r>
      <w:r w:rsidRPr="008A0A1A">
        <w:rPr>
          <w:rFonts w:ascii="Arial" w:hAnsi="Arial" w:cs="Arial"/>
          <w:noProof/>
          <w:kern w:val="0"/>
          <w:sz w:val="20"/>
          <w:szCs w:val="24"/>
        </w:rPr>
        <w:t>. Department of Agricultural Economics, Purdue University, West Lafayette, IN: Global Trade Analysis Project (GTAP). Available at: https://www.gtap.agecon.purdue.edu/resources/res_display.asp?RecordID=4422.</w:t>
      </w:r>
    </w:p>
    <w:p w14:paraId="2D19D038"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Cambridge Econometrics (2015) </w:t>
      </w:r>
      <w:r w:rsidRPr="008A0A1A">
        <w:rPr>
          <w:rFonts w:ascii="Arial" w:hAnsi="Arial" w:cs="Arial"/>
          <w:i/>
          <w:iCs/>
          <w:noProof/>
          <w:kern w:val="0"/>
          <w:sz w:val="20"/>
          <w:szCs w:val="24"/>
        </w:rPr>
        <w:t>Assessing the employment and social impact of energy efficiency. Final report, volume 1: Main report</w:t>
      </w:r>
      <w:r w:rsidRPr="008A0A1A">
        <w:rPr>
          <w:rFonts w:ascii="Arial" w:hAnsi="Arial" w:cs="Arial"/>
          <w:noProof/>
          <w:kern w:val="0"/>
          <w:sz w:val="20"/>
          <w:szCs w:val="24"/>
        </w:rPr>
        <w:t>. Cambridge, UK.</w:t>
      </w:r>
    </w:p>
    <w:p w14:paraId="5255B1EF"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Cameron, L. and Van Der Zwaan, B. (2015) ‘Employment factors for wind and solar energy technologies: A literature review’,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45, pp. 160–172. doi: 10.1016/j.rser.2015.01.001.</w:t>
      </w:r>
    </w:p>
    <w:p w14:paraId="3C980381"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Cantore, N.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(2017) ‘Promoting renewable energy and energy efficiency in Africa: a framework to evaluate employment generation and cost effectiveness’, </w:t>
      </w:r>
      <w:r w:rsidRPr="008A0A1A">
        <w:rPr>
          <w:rFonts w:ascii="Arial" w:hAnsi="Arial" w:cs="Arial"/>
          <w:i/>
          <w:iCs/>
          <w:noProof/>
          <w:kern w:val="0"/>
          <w:sz w:val="20"/>
          <w:szCs w:val="24"/>
        </w:rPr>
        <w:t>Environmental Research Letters</w:t>
      </w:r>
      <w:r w:rsidRPr="008A0A1A">
        <w:rPr>
          <w:rFonts w:ascii="Arial" w:hAnsi="Arial" w:cs="Arial"/>
          <w:noProof/>
          <w:kern w:val="0"/>
          <w:sz w:val="20"/>
          <w:szCs w:val="24"/>
        </w:rPr>
        <w:t>, 12(3), p. 035008. doi: 10.1088/1748-9326/aa51da.</w:t>
      </w:r>
    </w:p>
    <w:p w14:paraId="2ECB31FF"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Cartelle Barros, J. J.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(2017) ‘Comparative analysis of direct employment generated by renewable and non-renewable power plants’, </w:t>
      </w:r>
      <w:r w:rsidRPr="008A0A1A">
        <w:rPr>
          <w:rFonts w:ascii="Arial" w:hAnsi="Arial" w:cs="Arial"/>
          <w:i/>
          <w:iCs/>
          <w:noProof/>
          <w:kern w:val="0"/>
          <w:sz w:val="20"/>
          <w:szCs w:val="24"/>
        </w:rPr>
        <w:t>Energy</w:t>
      </w:r>
      <w:r w:rsidRPr="008A0A1A">
        <w:rPr>
          <w:rFonts w:ascii="Arial" w:hAnsi="Arial" w:cs="Arial"/>
          <w:noProof/>
          <w:kern w:val="0"/>
          <w:sz w:val="20"/>
          <w:szCs w:val="24"/>
        </w:rPr>
        <w:t>, 139, pp. 542–554. doi: 10.1016/J.ENERGY.2017.08.025.</w:t>
      </w:r>
    </w:p>
    <w:p w14:paraId="4449DE1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CCC (2020) </w:t>
      </w:r>
      <w:r w:rsidRPr="008A0A1A">
        <w:rPr>
          <w:rFonts w:ascii="Arial" w:hAnsi="Arial" w:cs="Arial"/>
          <w:i/>
          <w:iCs/>
          <w:noProof/>
          <w:kern w:val="0"/>
          <w:sz w:val="20"/>
          <w:szCs w:val="24"/>
        </w:rPr>
        <w:t>The Sixth Carbon Budget: The UK’s path to Net Zero</w:t>
      </w:r>
      <w:r w:rsidRPr="008A0A1A">
        <w:rPr>
          <w:rFonts w:ascii="Arial" w:hAnsi="Arial" w:cs="Arial"/>
          <w:noProof/>
          <w:kern w:val="0"/>
          <w:sz w:val="20"/>
          <w:szCs w:val="24"/>
        </w:rPr>
        <w:t>. London, UK: Committee on Climate Change. Available at: https://www.theccc.org.uk/wp-content/uploads/2020/12/The-Sixth-Carbon-Budget-The-UKs-path-to-Net-Zero.pdf.</w:t>
      </w:r>
    </w:p>
    <w:p w14:paraId="60D961F5"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Cervantes Barron, K., Hakker, M. E. and Cullen, J. M. (2022) ‘Material requirements for future low-carbon electricity projections in Africa’, </w:t>
      </w:r>
      <w:r w:rsidRPr="008A0A1A">
        <w:rPr>
          <w:rFonts w:ascii="Arial" w:hAnsi="Arial" w:cs="Arial"/>
          <w:i/>
          <w:iCs/>
          <w:noProof/>
          <w:kern w:val="0"/>
          <w:sz w:val="20"/>
          <w:szCs w:val="24"/>
        </w:rPr>
        <w:t>Energy Strategy Reviews</w:t>
      </w:r>
      <w:r w:rsidRPr="008A0A1A">
        <w:rPr>
          <w:rFonts w:ascii="Arial" w:hAnsi="Arial" w:cs="Arial"/>
          <w:noProof/>
          <w:kern w:val="0"/>
          <w:sz w:val="20"/>
          <w:szCs w:val="24"/>
        </w:rPr>
        <w:t>, 44, p. 100890. doi: 10.1016/J.ESR.2022.100890.</w:t>
      </w:r>
    </w:p>
    <w:p w14:paraId="0E8FD2CB"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Chen, T.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(2023) ‘How does energy efficiency affect employment? Evidence from Chinese cities’, </w:t>
      </w:r>
      <w:r w:rsidRPr="008A0A1A">
        <w:rPr>
          <w:rFonts w:ascii="Arial" w:hAnsi="Arial" w:cs="Arial"/>
          <w:i/>
          <w:iCs/>
          <w:noProof/>
          <w:kern w:val="0"/>
          <w:sz w:val="20"/>
          <w:szCs w:val="24"/>
        </w:rPr>
        <w:t>Energy</w:t>
      </w:r>
      <w:r w:rsidRPr="008A0A1A">
        <w:rPr>
          <w:rFonts w:ascii="Arial" w:hAnsi="Arial" w:cs="Arial"/>
          <w:noProof/>
          <w:kern w:val="0"/>
          <w:sz w:val="20"/>
          <w:szCs w:val="24"/>
        </w:rPr>
        <w:t>, 280, p. 128071. doi: 10.1016/J.ENERGY.2023.128071.</w:t>
      </w:r>
    </w:p>
    <w:p w14:paraId="3E96609B"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Chen, Y. (2019) ‘Renewable energy investment and employment in China’, </w:t>
      </w:r>
      <w:r w:rsidRPr="008A0A1A">
        <w:rPr>
          <w:rFonts w:ascii="Arial" w:hAnsi="Arial" w:cs="Arial"/>
          <w:i/>
          <w:iCs/>
          <w:noProof/>
          <w:kern w:val="0"/>
          <w:sz w:val="20"/>
          <w:szCs w:val="24"/>
        </w:rPr>
        <w:t>International Review of Applied Economics</w:t>
      </w:r>
      <w:r w:rsidRPr="008A0A1A">
        <w:rPr>
          <w:rFonts w:ascii="Arial" w:hAnsi="Arial" w:cs="Arial"/>
          <w:noProof/>
          <w:kern w:val="0"/>
          <w:sz w:val="20"/>
          <w:szCs w:val="24"/>
        </w:rPr>
        <w:t>, 33(3), pp. 314–334. doi: 10.1080/02692171.2018.1513458.</w:t>
      </w:r>
    </w:p>
    <w:p w14:paraId="2A04F041"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Connolly, K., Allan, G. J. and McIntyre, S. G. (2016) ‘The evolution of green jobs in Scotland: A hybrid approach’, </w:t>
      </w:r>
      <w:r w:rsidRPr="008A0A1A">
        <w:rPr>
          <w:rFonts w:ascii="Arial" w:hAnsi="Arial" w:cs="Arial"/>
          <w:i/>
          <w:iCs/>
          <w:noProof/>
          <w:kern w:val="0"/>
          <w:sz w:val="20"/>
          <w:szCs w:val="24"/>
        </w:rPr>
        <w:t>Energy Policy</w:t>
      </w:r>
      <w:r w:rsidRPr="008A0A1A">
        <w:rPr>
          <w:rFonts w:ascii="Arial" w:hAnsi="Arial" w:cs="Arial"/>
          <w:noProof/>
          <w:kern w:val="0"/>
          <w:sz w:val="20"/>
          <w:szCs w:val="24"/>
        </w:rPr>
        <w:t>, 88, pp. 355–360. doi: 10.1016/j.enpol.2015.10.044.</w:t>
      </w:r>
    </w:p>
    <w:p w14:paraId="1A81AE34"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Costantini, V., Crespi, F. and Paglialunga, E. (2018) ‘The employment impact of private and public actions for energy efficiency: Evidence from European industries’, </w:t>
      </w:r>
      <w:r w:rsidRPr="008A0A1A">
        <w:rPr>
          <w:rFonts w:ascii="Arial" w:hAnsi="Arial" w:cs="Arial"/>
          <w:i/>
          <w:iCs/>
          <w:noProof/>
          <w:kern w:val="0"/>
          <w:sz w:val="20"/>
          <w:szCs w:val="24"/>
        </w:rPr>
        <w:t>Energy Policy</w:t>
      </w:r>
      <w:r w:rsidRPr="008A0A1A">
        <w:rPr>
          <w:rFonts w:ascii="Arial" w:hAnsi="Arial" w:cs="Arial"/>
          <w:noProof/>
          <w:kern w:val="0"/>
          <w:sz w:val="20"/>
          <w:szCs w:val="24"/>
        </w:rPr>
        <w:t>, 119, pp. 250–267. doi: 10.1016/J.ENPOL.2018.04.035.</w:t>
      </w:r>
    </w:p>
    <w:p w14:paraId="7C04CA64"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Dell’Anna, F. (2021) ‘Green jobs and energy efficiency as strategies for economic growth and the reduction of environmental impacts’, </w:t>
      </w:r>
      <w:r w:rsidRPr="008A0A1A">
        <w:rPr>
          <w:rFonts w:ascii="Arial" w:hAnsi="Arial" w:cs="Arial"/>
          <w:i/>
          <w:iCs/>
          <w:noProof/>
          <w:kern w:val="0"/>
          <w:sz w:val="20"/>
          <w:szCs w:val="24"/>
        </w:rPr>
        <w:t>Energy Policy</w:t>
      </w:r>
      <w:r w:rsidRPr="008A0A1A">
        <w:rPr>
          <w:rFonts w:ascii="Arial" w:hAnsi="Arial" w:cs="Arial"/>
          <w:noProof/>
          <w:kern w:val="0"/>
          <w:sz w:val="20"/>
          <w:szCs w:val="24"/>
        </w:rPr>
        <w:t>, 149, p. 112031. doi: 10.1016/J.ENPOL.2020.112031.</w:t>
      </w:r>
    </w:p>
    <w:p w14:paraId="5ED565CC"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Dominish, E.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(2019) </w:t>
      </w:r>
      <w:r w:rsidRPr="008A0A1A">
        <w:rPr>
          <w:rFonts w:ascii="Arial" w:hAnsi="Arial" w:cs="Arial"/>
          <w:i/>
          <w:iCs/>
          <w:noProof/>
          <w:kern w:val="0"/>
          <w:sz w:val="20"/>
          <w:szCs w:val="24"/>
        </w:rPr>
        <w:t>Just transition: Employment projections for the 2.0 °C and 1.5 °C scenarios. In: Teske, S. (Ed.) Achieving the Paris climate agreement goals.</w:t>
      </w:r>
      <w:r w:rsidRPr="008A0A1A">
        <w:rPr>
          <w:rFonts w:ascii="Arial" w:hAnsi="Arial" w:cs="Arial"/>
          <w:noProof/>
          <w:kern w:val="0"/>
          <w:sz w:val="20"/>
          <w:szCs w:val="24"/>
        </w:rPr>
        <w:t xml:space="preserve"> Cham, Switzerland: Springer. doi: 10.1007/978-3-030-05843-2_10.</w:t>
      </w:r>
    </w:p>
    <w:p w14:paraId="3BAF2C89"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Dsouza, J. (2015) ‘The Environmental Revolution: But does Labour Reap the Benefit from Green Jobs?’, </w:t>
      </w:r>
      <w:r w:rsidRPr="008A0A1A">
        <w:rPr>
          <w:rFonts w:ascii="Arial" w:hAnsi="Arial" w:cs="Arial"/>
          <w:i/>
          <w:iCs/>
          <w:noProof/>
          <w:kern w:val="0"/>
          <w:sz w:val="20"/>
          <w:szCs w:val="24"/>
        </w:rPr>
        <w:t>E-Journal of International and Comparative Labour Studies</w:t>
      </w:r>
      <w:r w:rsidRPr="008A0A1A">
        <w:rPr>
          <w:rFonts w:ascii="Arial" w:hAnsi="Arial" w:cs="Arial"/>
          <w:noProof/>
          <w:kern w:val="0"/>
          <w:sz w:val="20"/>
          <w:szCs w:val="24"/>
        </w:rPr>
        <w:t>, 4(2).</w:t>
      </w:r>
    </w:p>
    <w:p w14:paraId="4A4C4D0D"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Dufo-López, R., Cristóbal-Monreal, I. R. and Yusta, J. M. (2016) ‘Optimisation of PV-wind-diesel-battery stand-alone systems to minimise cost and maximise human development index and job creation’, </w:t>
      </w:r>
      <w:r w:rsidRPr="008A0A1A">
        <w:rPr>
          <w:rFonts w:ascii="Arial" w:hAnsi="Arial" w:cs="Arial"/>
          <w:i/>
          <w:iCs/>
          <w:noProof/>
          <w:kern w:val="0"/>
          <w:sz w:val="20"/>
          <w:szCs w:val="24"/>
        </w:rPr>
        <w:t>Renewable Energy</w:t>
      </w:r>
      <w:r w:rsidRPr="008A0A1A">
        <w:rPr>
          <w:rFonts w:ascii="Arial" w:hAnsi="Arial" w:cs="Arial"/>
          <w:noProof/>
          <w:kern w:val="0"/>
          <w:sz w:val="20"/>
          <w:szCs w:val="24"/>
        </w:rPr>
        <w:t>, 94, pp. 280–293. doi: 10.1016/J.RENENE.2016.03.065.</w:t>
      </w:r>
    </w:p>
    <w:p w14:paraId="6C34B7EC"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Dvořák, P.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(2017) ‘Renewable energy investment and job creation; a cross-sectoral assessment for the Czech Republic with reference to EU benchmarks’,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Elsevier Ltd, pp. 360–368. doi: 10.1016/j.rser.2016.11.158.</w:t>
      </w:r>
    </w:p>
    <w:p w14:paraId="3D80CE86"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Ecuity Consulting (2020) </w:t>
      </w:r>
      <w:r w:rsidRPr="008A0A1A">
        <w:rPr>
          <w:rFonts w:ascii="Arial" w:hAnsi="Arial" w:cs="Arial"/>
          <w:i/>
          <w:iCs/>
          <w:noProof/>
          <w:kern w:val="0"/>
          <w:sz w:val="20"/>
          <w:szCs w:val="24"/>
        </w:rPr>
        <w:t>Local green jobs – accelerating a sustainable economic recovery</w:t>
      </w:r>
      <w:r w:rsidRPr="008A0A1A">
        <w:rPr>
          <w:rFonts w:ascii="Arial" w:hAnsi="Arial" w:cs="Arial"/>
          <w:noProof/>
          <w:kern w:val="0"/>
          <w:sz w:val="20"/>
          <w:szCs w:val="24"/>
        </w:rPr>
        <w:t>. London, UK: Local Government Association. Available at: https://www.ecuity.com/wp-content/uploads/2020/06/Local-green-jobs-accelerating-a-sustainable-economic-recovery_final.pdf.</w:t>
      </w:r>
    </w:p>
    <w:p w14:paraId="117FB2D7"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Element Energy (2019) </w:t>
      </w:r>
      <w:r w:rsidRPr="008A0A1A">
        <w:rPr>
          <w:rFonts w:ascii="Arial" w:hAnsi="Arial" w:cs="Arial"/>
          <w:i/>
          <w:iCs/>
          <w:noProof/>
          <w:kern w:val="0"/>
          <w:sz w:val="20"/>
          <w:szCs w:val="24"/>
        </w:rPr>
        <w:t>Hy-Impact Series Study 1: Hydrogen for economic growth</w:t>
      </w:r>
      <w:r w:rsidRPr="008A0A1A">
        <w:rPr>
          <w:rFonts w:ascii="Arial" w:hAnsi="Arial" w:cs="Arial"/>
          <w:noProof/>
          <w:kern w:val="0"/>
          <w:sz w:val="20"/>
          <w:szCs w:val="24"/>
        </w:rPr>
        <w:t>. Equinor. Available at: http://www.element-energy.co.uk/wordpress/wp-content/uploads/2019/11/Element-Energy-Hy-Impact-Series-Study-1-Hydrogen-for-Economic-Growth.pdf.</w:t>
      </w:r>
    </w:p>
    <w:p w14:paraId="6AFC9282"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Emenekwe, C. C.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(2022) ‘Macroeconomics of decarbonization strategies of selected global south countries: A systematic review   ’, </w:t>
      </w:r>
      <w:r w:rsidRPr="008A0A1A">
        <w:rPr>
          <w:rFonts w:ascii="Arial" w:hAnsi="Arial" w:cs="Arial"/>
          <w:i/>
          <w:iCs/>
          <w:noProof/>
          <w:kern w:val="0"/>
          <w:sz w:val="20"/>
          <w:szCs w:val="24"/>
        </w:rPr>
        <w:t xml:space="preserve">Frontiers in Environmental Science  </w:t>
      </w:r>
      <w:r w:rsidRPr="008A0A1A">
        <w:rPr>
          <w:rFonts w:ascii="Arial" w:hAnsi="Arial" w:cs="Arial"/>
          <w:noProof/>
          <w:kern w:val="0"/>
          <w:sz w:val="20"/>
          <w:szCs w:val="24"/>
        </w:rPr>
        <w:t>. Available at: https://www.frontiersin.org/articles/10.3389/fenvs.2022.938017.</w:t>
      </w:r>
    </w:p>
    <w:p w14:paraId="768D6C1A"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Eurostat (2023) </w:t>
      </w:r>
      <w:r w:rsidRPr="008A0A1A">
        <w:rPr>
          <w:rFonts w:ascii="Arial" w:hAnsi="Arial" w:cs="Arial"/>
          <w:i/>
          <w:iCs/>
          <w:noProof/>
          <w:kern w:val="0"/>
          <w:sz w:val="20"/>
          <w:szCs w:val="24"/>
        </w:rPr>
        <w:t>ECU/EUR exchange rates versus national currencies</w:t>
      </w:r>
      <w:r w:rsidRPr="008A0A1A">
        <w:rPr>
          <w:rFonts w:ascii="Arial" w:hAnsi="Arial" w:cs="Arial"/>
          <w:noProof/>
          <w:kern w:val="0"/>
          <w:sz w:val="20"/>
          <w:szCs w:val="24"/>
        </w:rPr>
        <w:t>. Available at: https://ec.europa.eu/eurostat/databrowser/product/page/TEC00033 (Accessed: 2 January 2023).</w:t>
      </w:r>
    </w:p>
    <w:p w14:paraId="2A790A6C"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Fragkos, P. and Paroussos, L. (2018) ‘Employment creation in EU related to renewables expansion’, </w:t>
      </w:r>
      <w:r w:rsidRPr="008A0A1A">
        <w:rPr>
          <w:rFonts w:ascii="Arial" w:hAnsi="Arial" w:cs="Arial"/>
          <w:i/>
          <w:iCs/>
          <w:noProof/>
          <w:kern w:val="0"/>
          <w:sz w:val="20"/>
          <w:szCs w:val="24"/>
        </w:rPr>
        <w:t>Applied Energy</w:t>
      </w:r>
      <w:r w:rsidRPr="008A0A1A">
        <w:rPr>
          <w:rFonts w:ascii="Arial" w:hAnsi="Arial" w:cs="Arial"/>
          <w:noProof/>
          <w:kern w:val="0"/>
          <w:sz w:val="20"/>
          <w:szCs w:val="24"/>
        </w:rPr>
        <w:t>, 230, pp. 935–945. doi: 10.1016/j.apenergy.2018.09.032.</w:t>
      </w:r>
    </w:p>
    <w:p w14:paraId="00919726"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García-García, P., Carpintero, Ó. and Buendía, L. (2020) ‘Just energy transitions to low carbon economies: A review of the concept and its effects on labour and income’, </w:t>
      </w:r>
      <w:r w:rsidRPr="008A0A1A">
        <w:rPr>
          <w:rFonts w:ascii="Arial" w:hAnsi="Arial" w:cs="Arial"/>
          <w:i/>
          <w:iCs/>
          <w:noProof/>
          <w:kern w:val="0"/>
          <w:sz w:val="20"/>
          <w:szCs w:val="24"/>
        </w:rPr>
        <w:t>Energy Research &amp; Social Science</w:t>
      </w:r>
      <w:r w:rsidRPr="008A0A1A">
        <w:rPr>
          <w:rFonts w:ascii="Arial" w:hAnsi="Arial" w:cs="Arial"/>
          <w:noProof/>
          <w:kern w:val="0"/>
          <w:sz w:val="20"/>
          <w:szCs w:val="24"/>
        </w:rPr>
        <w:t>, 70, p. 101664. doi: 10.1016/J.ERSS.2020.101664.</w:t>
      </w:r>
    </w:p>
    <w:p w14:paraId="6C602BF9"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Garrett-Peltier, H. (2017) ‘Green versus brown: Comparing the employment impacts of energy efficiency, renewable energy, and fossil fuels using an input-output model’, </w:t>
      </w:r>
      <w:r w:rsidRPr="008A0A1A">
        <w:rPr>
          <w:rFonts w:ascii="Arial" w:hAnsi="Arial" w:cs="Arial"/>
          <w:i/>
          <w:iCs/>
          <w:noProof/>
          <w:kern w:val="0"/>
          <w:sz w:val="20"/>
          <w:szCs w:val="24"/>
        </w:rPr>
        <w:t>Economic Modelling</w:t>
      </w:r>
      <w:r w:rsidRPr="008A0A1A">
        <w:rPr>
          <w:rFonts w:ascii="Arial" w:hAnsi="Arial" w:cs="Arial"/>
          <w:noProof/>
          <w:kern w:val="0"/>
          <w:sz w:val="20"/>
          <w:szCs w:val="24"/>
        </w:rPr>
        <w:t>, 61, pp. 439–447. doi: 10.1016/j.econmod.2016.11.012.</w:t>
      </w:r>
    </w:p>
    <w:p w14:paraId="4083DEE0"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Ge, Y. and Zhi, Q. (2016) ‘Literature Review: The Green Economy, Clean Energy Policy and Employment’, </w:t>
      </w:r>
      <w:r w:rsidRPr="008A0A1A">
        <w:rPr>
          <w:rFonts w:ascii="Arial" w:hAnsi="Arial" w:cs="Arial"/>
          <w:i/>
          <w:iCs/>
          <w:noProof/>
          <w:kern w:val="0"/>
          <w:sz w:val="20"/>
          <w:szCs w:val="24"/>
        </w:rPr>
        <w:t>Energy Procedia</w:t>
      </w:r>
      <w:r w:rsidRPr="008A0A1A">
        <w:rPr>
          <w:rFonts w:ascii="Arial" w:hAnsi="Arial" w:cs="Arial"/>
          <w:noProof/>
          <w:kern w:val="0"/>
          <w:sz w:val="20"/>
          <w:szCs w:val="24"/>
        </w:rPr>
        <w:t>, 88, pp. 257–264. doi: 10.1016/J.EGYPRO.2016.06.159.</w:t>
      </w:r>
    </w:p>
    <w:p w14:paraId="1E0A20A7"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Gkatsou, S.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(2014) ‘The Impact of Green Energy on Employment: A Preliminary Analysis’, </w:t>
      </w:r>
      <w:r w:rsidRPr="008A0A1A">
        <w:rPr>
          <w:rFonts w:ascii="Arial" w:hAnsi="Arial" w:cs="Arial"/>
          <w:i/>
          <w:iCs/>
          <w:noProof/>
          <w:kern w:val="0"/>
          <w:sz w:val="20"/>
          <w:szCs w:val="24"/>
        </w:rPr>
        <w:t>International Journal of Business and Social Science</w:t>
      </w:r>
      <w:r w:rsidRPr="008A0A1A">
        <w:rPr>
          <w:rFonts w:ascii="Arial" w:hAnsi="Arial" w:cs="Arial"/>
          <w:noProof/>
          <w:kern w:val="0"/>
          <w:sz w:val="20"/>
          <w:szCs w:val="24"/>
        </w:rPr>
        <w:t>, 5(1), pp. 29–41.</w:t>
      </w:r>
    </w:p>
    <w:p w14:paraId="05936204"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Godinho, C. (2022) ‘What do we know about the employment impacts of climate policies? A review of the ex post literature’, </w:t>
      </w:r>
      <w:r w:rsidRPr="008A0A1A">
        <w:rPr>
          <w:rFonts w:ascii="Arial" w:hAnsi="Arial" w:cs="Arial"/>
          <w:i/>
          <w:iCs/>
          <w:noProof/>
          <w:kern w:val="0"/>
          <w:sz w:val="20"/>
          <w:szCs w:val="24"/>
        </w:rPr>
        <w:t>WIREs Climate Change</w:t>
      </w:r>
      <w:r w:rsidRPr="008A0A1A">
        <w:rPr>
          <w:rFonts w:ascii="Arial" w:hAnsi="Arial" w:cs="Arial"/>
          <w:noProof/>
          <w:kern w:val="0"/>
          <w:sz w:val="20"/>
          <w:szCs w:val="24"/>
        </w:rPr>
        <w:t>, 13(6), p. e794. doi: https://doi.org/10.1002/wcc.794.</w:t>
      </w:r>
    </w:p>
    <w:p w14:paraId="0223E18A"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Heideier, R.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(2020) ‘Impacts of photovoltaic distributed generation and energy efficiency measures on the electricity market of three representative Brazilian distribution utilities’, </w:t>
      </w:r>
      <w:r w:rsidRPr="008A0A1A">
        <w:rPr>
          <w:rFonts w:ascii="Arial" w:hAnsi="Arial" w:cs="Arial"/>
          <w:i/>
          <w:iCs/>
          <w:noProof/>
          <w:kern w:val="0"/>
          <w:sz w:val="20"/>
          <w:szCs w:val="24"/>
        </w:rPr>
        <w:t>Energy for Sustainable Development</w:t>
      </w:r>
      <w:r w:rsidRPr="008A0A1A">
        <w:rPr>
          <w:rFonts w:ascii="Arial" w:hAnsi="Arial" w:cs="Arial"/>
          <w:noProof/>
          <w:kern w:val="0"/>
          <w:sz w:val="20"/>
          <w:szCs w:val="24"/>
        </w:rPr>
        <w:t>, 54, pp. 60–71. doi: 10.1016/J.ESD.2019.10.007.</w:t>
      </w:r>
    </w:p>
    <w:p w14:paraId="35901372"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Henriques, C. O., Coelho, D. H. and Cassidy, N. L. (2016) ‘Employment impact assessment of renewable energy targets for electricity generation by 2020—An IO LCA approach’, </w:t>
      </w:r>
      <w:r w:rsidRPr="008A0A1A">
        <w:rPr>
          <w:rFonts w:ascii="Arial" w:hAnsi="Arial" w:cs="Arial"/>
          <w:i/>
          <w:iCs/>
          <w:noProof/>
          <w:kern w:val="0"/>
          <w:sz w:val="20"/>
          <w:szCs w:val="24"/>
        </w:rPr>
        <w:t>Sustainable Cities and Society</w:t>
      </w:r>
      <w:r w:rsidRPr="008A0A1A">
        <w:rPr>
          <w:rFonts w:ascii="Arial" w:hAnsi="Arial" w:cs="Arial"/>
          <w:noProof/>
          <w:kern w:val="0"/>
          <w:sz w:val="20"/>
          <w:szCs w:val="24"/>
        </w:rPr>
        <w:t>, 26, pp. 519–530. doi: 10.1016/J.SCS.2016.05.013.</w:t>
      </w:r>
    </w:p>
    <w:p w14:paraId="7346CB9D"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HM Treasury (2020) ‘Net Zero Review: Interim report’. London, UK: HM Treasury. Available at: https://assets.publishing.service.gov.uk/government/uploads/system/uploads/attachment_data/file/945827/Net_Zero_Review_interim_report.pdf.</w:t>
      </w:r>
    </w:p>
    <w:p w14:paraId="7DFE36A6"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Hondo, H. and Moriizumi, Y. (2017) ‘Employment creation potential of renewable power generation technologies: A life cycle approach’,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79, pp. 128–136. doi: 10.1016/J.RSER.2017.05.039.</w:t>
      </w:r>
    </w:p>
    <w:p w14:paraId="1C837ECF"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ILO (2018) </w:t>
      </w:r>
      <w:r w:rsidRPr="008A0A1A">
        <w:rPr>
          <w:rFonts w:ascii="Arial" w:hAnsi="Arial" w:cs="Arial"/>
          <w:i/>
          <w:iCs/>
          <w:noProof/>
          <w:kern w:val="0"/>
          <w:sz w:val="20"/>
          <w:szCs w:val="24"/>
        </w:rPr>
        <w:t>World employment and social outlook 2018: Greening with jobs</w:t>
      </w:r>
      <w:r w:rsidRPr="008A0A1A">
        <w:rPr>
          <w:rFonts w:ascii="Arial" w:hAnsi="Arial" w:cs="Arial"/>
          <w:noProof/>
          <w:kern w:val="0"/>
          <w:sz w:val="20"/>
          <w:szCs w:val="24"/>
        </w:rPr>
        <w:t>. International Labour Organisation, Geneva, Switzerland.</w:t>
      </w:r>
    </w:p>
    <w:p w14:paraId="7BA49274"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Jacobson, M. Z.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(2017) ‘100% clean and renewable wind, water, and sunlight all-sector energy roadmaps for 139 countries of the world’, </w:t>
      </w:r>
      <w:r w:rsidRPr="008A0A1A">
        <w:rPr>
          <w:rFonts w:ascii="Arial" w:hAnsi="Arial" w:cs="Arial"/>
          <w:i/>
          <w:iCs/>
          <w:noProof/>
          <w:kern w:val="0"/>
          <w:sz w:val="20"/>
          <w:szCs w:val="24"/>
        </w:rPr>
        <w:t>Joule</w:t>
      </w:r>
      <w:r w:rsidRPr="008A0A1A">
        <w:rPr>
          <w:rFonts w:ascii="Arial" w:hAnsi="Arial" w:cs="Arial"/>
          <w:noProof/>
          <w:kern w:val="0"/>
          <w:sz w:val="20"/>
          <w:szCs w:val="24"/>
        </w:rPr>
        <w:t>, 1(1), pp. 108–121. doi: 10.1016/J.JOULE.2017.07.005.</w:t>
      </w:r>
    </w:p>
    <w:p w14:paraId="73936260"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Johns, M. and Longlands, S. (2020) </w:t>
      </w:r>
      <w:r w:rsidRPr="008A0A1A">
        <w:rPr>
          <w:rFonts w:ascii="Arial" w:hAnsi="Arial" w:cs="Arial"/>
          <w:i/>
          <w:iCs/>
          <w:noProof/>
          <w:kern w:val="0"/>
          <w:sz w:val="20"/>
          <w:szCs w:val="24"/>
        </w:rPr>
        <w:t>Northern powerhomes: A green recovery plan to decarbonise homes in the North</w:t>
      </w:r>
      <w:r w:rsidRPr="008A0A1A">
        <w:rPr>
          <w:rFonts w:ascii="Arial" w:hAnsi="Arial" w:cs="Arial"/>
          <w:noProof/>
          <w:kern w:val="0"/>
          <w:sz w:val="20"/>
          <w:szCs w:val="24"/>
        </w:rPr>
        <w:t>. Manchester and Newcastle, UK: Institute for Public Policy Research North. Available at: https://www.ippr.org/files/2020-11/decarbonising-housing-nov-20.pdf.</w:t>
      </w:r>
    </w:p>
    <w:p w14:paraId="7831EEFD"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Ju, Y.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(2022) ‘Job creation in response to Japan’s energy transition towards deep mitigation: An extension of partial equilibrium integrated assessment models’, </w:t>
      </w:r>
      <w:r w:rsidRPr="008A0A1A">
        <w:rPr>
          <w:rFonts w:ascii="Arial" w:hAnsi="Arial" w:cs="Arial"/>
          <w:i/>
          <w:iCs/>
          <w:noProof/>
          <w:kern w:val="0"/>
          <w:sz w:val="20"/>
          <w:szCs w:val="24"/>
        </w:rPr>
        <w:t>Applied Energy</w:t>
      </w:r>
      <w:r w:rsidRPr="008A0A1A">
        <w:rPr>
          <w:rFonts w:ascii="Arial" w:hAnsi="Arial" w:cs="Arial"/>
          <w:noProof/>
          <w:kern w:val="0"/>
          <w:sz w:val="20"/>
          <w:szCs w:val="24"/>
        </w:rPr>
        <w:t>, 318, p. 119178. doi: 10.1016/J.APENERGY.2022.119178.</w:t>
      </w:r>
    </w:p>
    <w:p w14:paraId="2EAA5254"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Jung, Y.-M. (2015) ‘Is South Korea’s green job policy sustainable?’, </w:t>
      </w:r>
      <w:r w:rsidRPr="008A0A1A">
        <w:rPr>
          <w:rFonts w:ascii="Arial" w:hAnsi="Arial" w:cs="Arial"/>
          <w:i/>
          <w:iCs/>
          <w:noProof/>
          <w:kern w:val="0"/>
          <w:sz w:val="20"/>
          <w:szCs w:val="24"/>
        </w:rPr>
        <w:t>Sustainability</w:t>
      </w:r>
      <w:r w:rsidRPr="008A0A1A">
        <w:rPr>
          <w:rFonts w:ascii="Arial" w:hAnsi="Arial" w:cs="Arial"/>
          <w:noProof/>
          <w:kern w:val="0"/>
          <w:sz w:val="20"/>
          <w:szCs w:val="24"/>
        </w:rPr>
        <w:t>, 7(7). doi: 10.3390/su7078748.</w:t>
      </w:r>
    </w:p>
    <w:p w14:paraId="57252214"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Kahouli, S. and Martin, J. C. (2018) ‘Can Offshore Wind Energy Be a Lever for Job Creation in France? Some Insights from a Local Case Study’, </w:t>
      </w:r>
      <w:r w:rsidRPr="008A0A1A">
        <w:rPr>
          <w:rFonts w:ascii="Arial" w:hAnsi="Arial" w:cs="Arial"/>
          <w:i/>
          <w:iCs/>
          <w:noProof/>
          <w:kern w:val="0"/>
          <w:sz w:val="20"/>
          <w:szCs w:val="24"/>
        </w:rPr>
        <w:t>Environmental Modeling &amp; Assessment</w:t>
      </w:r>
      <w:r w:rsidRPr="008A0A1A">
        <w:rPr>
          <w:rFonts w:ascii="Arial" w:hAnsi="Arial" w:cs="Arial"/>
          <w:noProof/>
          <w:kern w:val="0"/>
          <w:sz w:val="20"/>
          <w:szCs w:val="24"/>
        </w:rPr>
        <w:t>, 23(3), pp. 203–227. doi: 10.1007/s10666-017-9580-4.</w:t>
      </w:r>
    </w:p>
    <w:p w14:paraId="469930A2"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Kamidelivand, M.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(2018) ‘A comparative analysis of substituting imported gas and coal for electricity with renewables – An input-output simulation’, </w:t>
      </w:r>
      <w:r w:rsidRPr="008A0A1A">
        <w:rPr>
          <w:rFonts w:ascii="Arial" w:hAnsi="Arial" w:cs="Arial"/>
          <w:i/>
          <w:iCs/>
          <w:noProof/>
          <w:kern w:val="0"/>
          <w:sz w:val="20"/>
          <w:szCs w:val="24"/>
        </w:rPr>
        <w:t>Sustainable Energy Technologies and Assessments</w:t>
      </w:r>
      <w:r w:rsidRPr="008A0A1A">
        <w:rPr>
          <w:rFonts w:ascii="Arial" w:hAnsi="Arial" w:cs="Arial"/>
          <w:noProof/>
          <w:kern w:val="0"/>
          <w:sz w:val="20"/>
          <w:szCs w:val="24"/>
        </w:rPr>
        <w:t>, 30, pp. 1–10. doi: 10.1016/j.seta.2018.08.003.</w:t>
      </w:r>
    </w:p>
    <w:p w14:paraId="7DEB88BF"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Kis, Z., Pandya, N. and Koppelaar, R. H. E. M. (2018) ‘Electricity generation technologies: Comparison of materials use, energy return on investment, jobs creation and CO2 emissions reduction’, </w:t>
      </w:r>
      <w:r w:rsidRPr="008A0A1A">
        <w:rPr>
          <w:rFonts w:ascii="Arial" w:hAnsi="Arial" w:cs="Arial"/>
          <w:i/>
          <w:iCs/>
          <w:noProof/>
          <w:kern w:val="0"/>
          <w:sz w:val="20"/>
          <w:szCs w:val="24"/>
        </w:rPr>
        <w:t>Energy Policy</w:t>
      </w:r>
      <w:r w:rsidRPr="008A0A1A">
        <w:rPr>
          <w:rFonts w:ascii="Arial" w:hAnsi="Arial" w:cs="Arial"/>
          <w:noProof/>
          <w:kern w:val="0"/>
          <w:sz w:val="20"/>
          <w:szCs w:val="24"/>
        </w:rPr>
        <w:t>, 120, pp. 144–157. doi: 10.1016/J.ENPOL.2018.05.033.</w:t>
      </w:r>
    </w:p>
    <w:p w14:paraId="4FE9F5AE"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Klein, S. J. W. and Whalley, S. (2015) ‘Comparing the sustainability of U.S. electricity options through multi-criteria decision analysis’, </w:t>
      </w:r>
      <w:r w:rsidRPr="008A0A1A">
        <w:rPr>
          <w:rFonts w:ascii="Arial" w:hAnsi="Arial" w:cs="Arial"/>
          <w:i/>
          <w:iCs/>
          <w:noProof/>
          <w:kern w:val="0"/>
          <w:sz w:val="20"/>
          <w:szCs w:val="24"/>
        </w:rPr>
        <w:t>Energy Policy</w:t>
      </w:r>
      <w:r w:rsidRPr="008A0A1A">
        <w:rPr>
          <w:rFonts w:ascii="Arial" w:hAnsi="Arial" w:cs="Arial"/>
          <w:noProof/>
          <w:kern w:val="0"/>
          <w:sz w:val="20"/>
          <w:szCs w:val="24"/>
        </w:rPr>
        <w:t>, 79, pp. 127–149. doi: 10.1016/J.ENPOL.2015.01.007.</w:t>
      </w:r>
    </w:p>
    <w:p w14:paraId="5D82FC6F"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Kuriyama, A. and Abe, N. (2021) ‘Decarbonisation of the power sector to engender a “Just transition” in Japan: Quantifying local employment impacts’,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137, p. 110610. doi: 10.1016/J.RSER.2020.110610.</w:t>
      </w:r>
    </w:p>
    <w:p w14:paraId="051B2191"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Lambert, R. J. and Silva, P. P. (2012) ‘The challenges of determining the employment effects of renewable energy’,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16(7), pp. 4667–4674. doi: 10.1016/J.RSER.2012.03.072.</w:t>
      </w:r>
    </w:p>
    <w:p w14:paraId="7CE37916"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Lavidas, G. (2019) ‘Energy and socio-economic benefits from the development of wave energy in Greece’, </w:t>
      </w:r>
      <w:r w:rsidRPr="008A0A1A">
        <w:rPr>
          <w:rFonts w:ascii="Arial" w:hAnsi="Arial" w:cs="Arial"/>
          <w:i/>
          <w:iCs/>
          <w:noProof/>
          <w:kern w:val="0"/>
          <w:sz w:val="20"/>
          <w:szCs w:val="24"/>
        </w:rPr>
        <w:t>Renewable Energy</w:t>
      </w:r>
      <w:r w:rsidRPr="008A0A1A">
        <w:rPr>
          <w:rFonts w:ascii="Arial" w:hAnsi="Arial" w:cs="Arial"/>
          <w:noProof/>
          <w:kern w:val="0"/>
          <w:sz w:val="20"/>
          <w:szCs w:val="24"/>
        </w:rPr>
        <w:t>, 132, pp. 1290–1300. doi: 10.1016/J.RENENE.2018.09.007.</w:t>
      </w:r>
    </w:p>
    <w:p w14:paraId="3DA930C9"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Lee, S.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(2022) ‘Impact on the power mix and economy of Japan under a 2050 carbon-neutral scenario: Analysis using the E3ME macro-econometric model’, </w:t>
      </w:r>
      <w:r w:rsidRPr="008A0A1A">
        <w:rPr>
          <w:rFonts w:ascii="Arial" w:hAnsi="Arial" w:cs="Arial"/>
          <w:i/>
          <w:iCs/>
          <w:noProof/>
          <w:kern w:val="0"/>
          <w:sz w:val="20"/>
          <w:szCs w:val="24"/>
        </w:rPr>
        <w:t>Climate Policy</w:t>
      </w:r>
      <w:r w:rsidRPr="008A0A1A">
        <w:rPr>
          <w:rFonts w:ascii="Arial" w:hAnsi="Arial" w:cs="Arial"/>
          <w:noProof/>
          <w:kern w:val="0"/>
          <w:sz w:val="20"/>
          <w:szCs w:val="24"/>
        </w:rPr>
        <w:t>, 22(7), pp. 823–833. doi: 10.1080/14693062.2022.2061406.</w:t>
      </w:r>
    </w:p>
    <w:p w14:paraId="1EC16929"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Lee, T. (2017) ‘The effect of clean energy regulations and incentives on green jobs: panel analysis of the United States, 1998–2007’, </w:t>
      </w:r>
      <w:r w:rsidRPr="008A0A1A">
        <w:rPr>
          <w:rFonts w:ascii="Arial" w:hAnsi="Arial" w:cs="Arial"/>
          <w:i/>
          <w:iCs/>
          <w:noProof/>
          <w:kern w:val="0"/>
          <w:sz w:val="20"/>
          <w:szCs w:val="24"/>
        </w:rPr>
        <w:t>Nat Resour Forum</w:t>
      </w:r>
      <w:r w:rsidRPr="008A0A1A">
        <w:rPr>
          <w:rFonts w:ascii="Arial" w:hAnsi="Arial" w:cs="Arial"/>
          <w:noProof/>
          <w:kern w:val="0"/>
          <w:sz w:val="20"/>
          <w:szCs w:val="24"/>
        </w:rPr>
        <w:t>, 41, pp. 145–155. Available at: https://doi.org/10.1111/1477-8947.12125.</w:t>
      </w:r>
    </w:p>
    <w:p w14:paraId="7CEC111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Leigland, J. and Eberhard, A. (2018) ‘Localisation barriers to trade: The case of South Africa’s renewable energy independent power program’, </w:t>
      </w:r>
      <w:r w:rsidRPr="008A0A1A">
        <w:rPr>
          <w:rFonts w:ascii="Arial" w:hAnsi="Arial" w:cs="Arial"/>
          <w:i/>
          <w:iCs/>
          <w:noProof/>
          <w:kern w:val="0"/>
          <w:sz w:val="20"/>
          <w:szCs w:val="24"/>
        </w:rPr>
        <w:t>Development Southern Africa</w:t>
      </w:r>
      <w:r w:rsidRPr="008A0A1A">
        <w:rPr>
          <w:rFonts w:ascii="Arial" w:hAnsi="Arial" w:cs="Arial"/>
          <w:noProof/>
          <w:kern w:val="0"/>
          <w:sz w:val="20"/>
          <w:szCs w:val="24"/>
        </w:rPr>
        <w:t>, 35(4), pp. 569–588. doi: 10.1080/0376835X.2018.1487829.</w:t>
      </w:r>
    </w:p>
    <w:p w14:paraId="0757F52D"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Lucchesi, A.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(2017) ‘Long-term effects of structural changes in the Brazilian electricity matrix’, </w:t>
      </w:r>
      <w:r w:rsidRPr="008A0A1A">
        <w:rPr>
          <w:rFonts w:ascii="Arial" w:hAnsi="Arial" w:cs="Arial"/>
          <w:i/>
          <w:iCs/>
          <w:noProof/>
          <w:kern w:val="0"/>
          <w:sz w:val="20"/>
          <w:szCs w:val="24"/>
        </w:rPr>
        <w:t>Clean Technologies and Environmental Policy</w:t>
      </w:r>
      <w:r w:rsidRPr="008A0A1A">
        <w:rPr>
          <w:rFonts w:ascii="Arial" w:hAnsi="Arial" w:cs="Arial"/>
          <w:noProof/>
          <w:kern w:val="0"/>
          <w:sz w:val="20"/>
          <w:szCs w:val="24"/>
        </w:rPr>
        <w:t>, 19(6), pp. 1589–1605. doi: 10.1007/s10098-017-1362-9.</w:t>
      </w:r>
    </w:p>
    <w:p w14:paraId="546568C8"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MacCallum, A. M. (2016) </w:t>
      </w:r>
      <w:r w:rsidRPr="008A0A1A">
        <w:rPr>
          <w:rFonts w:ascii="Arial" w:hAnsi="Arial" w:cs="Arial"/>
          <w:i/>
          <w:iCs/>
          <w:noProof/>
          <w:kern w:val="0"/>
          <w:sz w:val="20"/>
          <w:szCs w:val="24"/>
        </w:rPr>
        <w:t>Employment associated with renewable and sustainable energy development in the Kingston region</w:t>
      </w:r>
      <w:r w:rsidRPr="008A0A1A">
        <w:rPr>
          <w:rFonts w:ascii="Arial" w:hAnsi="Arial" w:cs="Arial"/>
          <w:noProof/>
          <w:kern w:val="0"/>
          <w:sz w:val="20"/>
          <w:szCs w:val="24"/>
        </w:rPr>
        <w:t>. Queen’s University, Kingston, Canada. Available at: http://hdl.handle.net/1974/13921.</w:t>
      </w:r>
    </w:p>
    <w:p w14:paraId="5171ABA7"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Malerba, D. and Wiebe, K. S. (2021) ‘Analysing the effect of climate policies on poverty through employment channels’, </w:t>
      </w:r>
      <w:r w:rsidRPr="008A0A1A">
        <w:rPr>
          <w:rFonts w:ascii="Arial" w:hAnsi="Arial" w:cs="Arial"/>
          <w:i/>
          <w:iCs/>
          <w:noProof/>
          <w:kern w:val="0"/>
          <w:sz w:val="20"/>
          <w:szCs w:val="24"/>
        </w:rPr>
        <w:t>Environmental Research Letters</w:t>
      </w:r>
      <w:r w:rsidRPr="008A0A1A">
        <w:rPr>
          <w:rFonts w:ascii="Arial" w:hAnsi="Arial" w:cs="Arial"/>
          <w:noProof/>
          <w:kern w:val="0"/>
          <w:sz w:val="20"/>
          <w:szCs w:val="24"/>
        </w:rPr>
        <w:t>, 16(3), p. 35013. doi: 10.1088/1748-9326/abd3d3.</w:t>
      </w:r>
    </w:p>
    <w:p w14:paraId="10D30E32"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Malik, A.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(2021) ‘Climate policy accelerates structural changes in energy employment’, </w:t>
      </w:r>
      <w:r w:rsidRPr="008A0A1A">
        <w:rPr>
          <w:rFonts w:ascii="Arial" w:hAnsi="Arial" w:cs="Arial"/>
          <w:i/>
          <w:iCs/>
          <w:noProof/>
          <w:kern w:val="0"/>
          <w:sz w:val="20"/>
          <w:szCs w:val="24"/>
        </w:rPr>
        <w:t>Energy Policy</w:t>
      </w:r>
      <w:r w:rsidRPr="008A0A1A">
        <w:rPr>
          <w:rFonts w:ascii="Arial" w:hAnsi="Arial" w:cs="Arial"/>
          <w:noProof/>
          <w:kern w:val="0"/>
          <w:sz w:val="20"/>
          <w:szCs w:val="24"/>
        </w:rPr>
        <w:t>, 159, p. 112642. doi: 10.1016/J.ENPOL.2021.112642.</w:t>
      </w:r>
    </w:p>
    <w:p w14:paraId="0BD4568E"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Markaki, M.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(2013) ‘The impact of clean energy investments on the Greek economy: An input–output analysis (2010–2020)’, </w:t>
      </w:r>
      <w:r w:rsidRPr="008A0A1A">
        <w:rPr>
          <w:rFonts w:ascii="Arial" w:hAnsi="Arial" w:cs="Arial"/>
          <w:i/>
          <w:iCs/>
          <w:noProof/>
          <w:kern w:val="0"/>
          <w:sz w:val="20"/>
          <w:szCs w:val="24"/>
        </w:rPr>
        <w:t>Energy Policy</w:t>
      </w:r>
      <w:r w:rsidRPr="008A0A1A">
        <w:rPr>
          <w:rFonts w:ascii="Arial" w:hAnsi="Arial" w:cs="Arial"/>
          <w:noProof/>
          <w:kern w:val="0"/>
          <w:sz w:val="20"/>
          <w:szCs w:val="24"/>
        </w:rPr>
        <w:t>, 57, pp. 263–275. doi: 10.1016/J.ENPOL.2013.01.047.</w:t>
      </w:r>
    </w:p>
    <w:p w14:paraId="6C09368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Markandya, A.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(2016) ‘Towards a green energy economy? Tracking the employment effects of low-carbon technologies in the European Union’, </w:t>
      </w:r>
      <w:r w:rsidRPr="008A0A1A">
        <w:rPr>
          <w:rFonts w:ascii="Arial" w:hAnsi="Arial" w:cs="Arial"/>
          <w:i/>
          <w:iCs/>
          <w:noProof/>
          <w:kern w:val="0"/>
          <w:sz w:val="20"/>
          <w:szCs w:val="24"/>
        </w:rPr>
        <w:t>Applied Energy</w:t>
      </w:r>
      <w:r w:rsidRPr="008A0A1A">
        <w:rPr>
          <w:rFonts w:ascii="Arial" w:hAnsi="Arial" w:cs="Arial"/>
          <w:noProof/>
          <w:kern w:val="0"/>
          <w:sz w:val="20"/>
          <w:szCs w:val="24"/>
        </w:rPr>
        <w:t>, 179, pp. 1342–1350. doi: 10.1016/J.APENERGY.2016.02.122.</w:t>
      </w:r>
    </w:p>
    <w:p w14:paraId="387D30E2"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McDaid, L. (2016) </w:t>
      </w:r>
      <w:r w:rsidRPr="008A0A1A">
        <w:rPr>
          <w:rFonts w:ascii="Arial" w:hAnsi="Arial" w:cs="Arial"/>
          <w:i/>
          <w:iCs/>
          <w:noProof/>
          <w:kern w:val="0"/>
          <w:sz w:val="20"/>
          <w:szCs w:val="24"/>
        </w:rPr>
        <w:t>Renewable energy independent power producer procurement programme review 2016: a critique of process of implementation of socio-economic benefits including job creation.</w:t>
      </w:r>
    </w:p>
    <w:p w14:paraId="35C91A28"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Meyer, I. and Sommer, M. (2014) ‘Employment Effects of Renewable Energy Supply - A Meta Analysis’, in. Available at: https://api.semanticscholar.org/CorpusID:152985833.</w:t>
      </w:r>
    </w:p>
    <w:p w14:paraId="7EFD3204"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Meyer, I. and Sommer, M. (2016) ‘Employment effects of renewable energy deployment - a review’, </w:t>
      </w:r>
      <w:r w:rsidRPr="008A0A1A">
        <w:rPr>
          <w:rFonts w:ascii="Arial" w:hAnsi="Arial" w:cs="Arial"/>
          <w:i/>
          <w:iCs/>
          <w:noProof/>
          <w:kern w:val="0"/>
          <w:sz w:val="20"/>
          <w:szCs w:val="24"/>
        </w:rPr>
        <w:t>International Journal of Sustainable Development</w:t>
      </w:r>
      <w:r w:rsidRPr="008A0A1A">
        <w:rPr>
          <w:rFonts w:ascii="Arial" w:hAnsi="Arial" w:cs="Arial"/>
          <w:noProof/>
          <w:kern w:val="0"/>
          <w:sz w:val="20"/>
          <w:szCs w:val="24"/>
        </w:rPr>
        <w:t>, 19, pp. 217–245. Available at: https://api.semanticscholar.org/CorpusID:157382710.</w:t>
      </w:r>
    </w:p>
    <w:p w14:paraId="5274BA37"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Mikulić, D., Bakarić, I. R. and Slijepčević, S. (2016) ‘The economic impact of energy saving retrofits of residential and public buildings in Croatia’, </w:t>
      </w:r>
      <w:r w:rsidRPr="008A0A1A">
        <w:rPr>
          <w:rFonts w:ascii="Arial" w:hAnsi="Arial" w:cs="Arial"/>
          <w:i/>
          <w:iCs/>
          <w:noProof/>
          <w:kern w:val="0"/>
          <w:sz w:val="20"/>
          <w:szCs w:val="24"/>
        </w:rPr>
        <w:t>Energy Policy</w:t>
      </w:r>
      <w:r w:rsidRPr="008A0A1A">
        <w:rPr>
          <w:rFonts w:ascii="Arial" w:hAnsi="Arial" w:cs="Arial"/>
          <w:noProof/>
          <w:kern w:val="0"/>
          <w:sz w:val="20"/>
          <w:szCs w:val="24"/>
        </w:rPr>
        <w:t>, 96, pp. 630–644. doi: 10.1016/J.ENPOL.2016.06.040.</w:t>
      </w:r>
    </w:p>
    <w:p w14:paraId="6318A612"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Mirasgedis, S.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(2014) ‘A methodological framework for assessing the employment effects associated with energy efficiency interventions in buildings’, </w:t>
      </w:r>
      <w:r w:rsidRPr="008A0A1A">
        <w:rPr>
          <w:rFonts w:ascii="Arial" w:hAnsi="Arial" w:cs="Arial"/>
          <w:i/>
          <w:iCs/>
          <w:noProof/>
          <w:kern w:val="0"/>
          <w:sz w:val="20"/>
          <w:szCs w:val="24"/>
        </w:rPr>
        <w:t>Energy and Buildings</w:t>
      </w:r>
      <w:r w:rsidRPr="008A0A1A">
        <w:rPr>
          <w:rFonts w:ascii="Arial" w:hAnsi="Arial" w:cs="Arial"/>
          <w:noProof/>
          <w:kern w:val="0"/>
          <w:sz w:val="20"/>
          <w:szCs w:val="24"/>
        </w:rPr>
        <w:t>, 82, pp. 275–286. doi: 10.1016/J.ENBUILD.2014.07.027.</w:t>
      </w:r>
    </w:p>
    <w:p w14:paraId="43A7F56D"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Mohd Chachuli, F. S.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(2021) ‘Transition of renewable energy policies in Malaysia: Benchmarking with data envelopment analysis’,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150, p. 111456. doi: 10.1016/J.RSER.2021.111456.</w:t>
      </w:r>
    </w:p>
    <w:p w14:paraId="1D7F3E3A"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Montt, G.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(2018) ‘Does climate action destroy jobs? An assessment of the employment implications of the 2-degree goal’, </w:t>
      </w:r>
      <w:r w:rsidRPr="008A0A1A">
        <w:rPr>
          <w:rFonts w:ascii="Arial" w:hAnsi="Arial" w:cs="Arial"/>
          <w:i/>
          <w:iCs/>
          <w:noProof/>
          <w:kern w:val="0"/>
          <w:sz w:val="20"/>
          <w:szCs w:val="24"/>
        </w:rPr>
        <w:t>International Labour Review</w:t>
      </w:r>
      <w:r w:rsidRPr="008A0A1A">
        <w:rPr>
          <w:rFonts w:ascii="Arial" w:hAnsi="Arial" w:cs="Arial"/>
          <w:noProof/>
          <w:kern w:val="0"/>
          <w:sz w:val="20"/>
          <w:szCs w:val="24"/>
        </w:rPr>
        <w:t>, 157(4), pp. 519–556. doi: https://doi.org/10.1111/ilr.12118.</w:t>
      </w:r>
    </w:p>
    <w:p w14:paraId="3582F290"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Montt, G., Maître, N. and Amo-Agyei, S. (2018) </w:t>
      </w:r>
      <w:r w:rsidRPr="008A0A1A">
        <w:rPr>
          <w:rFonts w:ascii="Arial" w:hAnsi="Arial" w:cs="Arial"/>
          <w:i/>
          <w:iCs/>
          <w:noProof/>
          <w:kern w:val="0"/>
          <w:sz w:val="20"/>
          <w:szCs w:val="24"/>
        </w:rPr>
        <w:t>The transition in play: Worldwide employment trends in the electricity sector</w:t>
      </w:r>
      <w:r w:rsidRPr="008A0A1A">
        <w:rPr>
          <w:rFonts w:ascii="Arial" w:hAnsi="Arial" w:cs="Arial"/>
          <w:noProof/>
          <w:kern w:val="0"/>
          <w:sz w:val="20"/>
          <w:szCs w:val="24"/>
        </w:rPr>
        <w:t>. Geneva, Switzerland.</w:t>
      </w:r>
    </w:p>
    <w:p w14:paraId="7BA060B1"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Mu, Y.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(2018) ‘Employment impacts of renewable energy policies in China: A decomposition analysis based on a CGE modeling framework’, </w:t>
      </w:r>
      <w:r w:rsidRPr="008A0A1A">
        <w:rPr>
          <w:rFonts w:ascii="Arial" w:hAnsi="Arial" w:cs="Arial"/>
          <w:i/>
          <w:iCs/>
          <w:noProof/>
          <w:kern w:val="0"/>
          <w:sz w:val="20"/>
          <w:szCs w:val="24"/>
        </w:rPr>
        <w:t>Applied Energy</w:t>
      </w:r>
      <w:r w:rsidRPr="008A0A1A">
        <w:rPr>
          <w:rFonts w:ascii="Arial" w:hAnsi="Arial" w:cs="Arial"/>
          <w:noProof/>
          <w:kern w:val="0"/>
          <w:sz w:val="20"/>
          <w:szCs w:val="24"/>
        </w:rPr>
        <w:t>, 210, pp. 256–267. doi: 10.1016/j.apenergy.2017.10.086.</w:t>
      </w:r>
    </w:p>
    <w:p w14:paraId="52AA5319"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Mundaca, L. and Luth Richter, J. (2015) ‘Assessing “green energy economy” stimulus packages: Evidence from the U.S. programs targeting renewable energy’,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Elsevier Ltd, pp. 1174–1186. doi: 10.1016/j.rser.2014.10.060.</w:t>
      </w:r>
    </w:p>
    <w:p w14:paraId="6B42B607"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Muniyoor, K. (2020) ‘Is there a trade-off between energy consumption and employment: Evidence from India’, </w:t>
      </w:r>
      <w:r w:rsidRPr="008A0A1A">
        <w:rPr>
          <w:rFonts w:ascii="Arial" w:hAnsi="Arial" w:cs="Arial"/>
          <w:i/>
          <w:iCs/>
          <w:noProof/>
          <w:kern w:val="0"/>
          <w:sz w:val="20"/>
          <w:szCs w:val="24"/>
        </w:rPr>
        <w:t>Journal of Cleaner Production</w:t>
      </w:r>
      <w:r w:rsidRPr="008A0A1A">
        <w:rPr>
          <w:rFonts w:ascii="Arial" w:hAnsi="Arial" w:cs="Arial"/>
          <w:noProof/>
          <w:kern w:val="0"/>
          <w:sz w:val="20"/>
          <w:szCs w:val="24"/>
        </w:rPr>
        <w:t>, 255, p. 120262. doi: 10.1016/J.JCLEPRO.2020.120262.</w:t>
      </w:r>
    </w:p>
    <w:p w14:paraId="794E2379"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Nasirov, S.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(2021) ‘Expansion of renewable energy in Chile: Analysis of the effects on employment’, </w:t>
      </w:r>
      <w:r w:rsidRPr="008A0A1A">
        <w:rPr>
          <w:rFonts w:ascii="Arial" w:hAnsi="Arial" w:cs="Arial"/>
          <w:i/>
          <w:iCs/>
          <w:noProof/>
          <w:kern w:val="0"/>
          <w:sz w:val="20"/>
          <w:szCs w:val="24"/>
        </w:rPr>
        <w:t>Energy</w:t>
      </w:r>
      <w:r w:rsidRPr="008A0A1A">
        <w:rPr>
          <w:rFonts w:ascii="Arial" w:hAnsi="Arial" w:cs="Arial"/>
          <w:noProof/>
          <w:kern w:val="0"/>
          <w:sz w:val="20"/>
          <w:szCs w:val="24"/>
        </w:rPr>
        <w:t>, 226, p. 120410. doi: 10.1016/J.ENERGY.2021.120410.</w:t>
      </w:r>
    </w:p>
    <w:p w14:paraId="45B3DFC1"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National Grid (2020) </w:t>
      </w:r>
      <w:r w:rsidRPr="008A0A1A">
        <w:rPr>
          <w:rFonts w:ascii="Arial" w:hAnsi="Arial" w:cs="Arial"/>
          <w:i/>
          <w:iCs/>
          <w:noProof/>
          <w:kern w:val="0"/>
          <w:sz w:val="20"/>
          <w:szCs w:val="24"/>
        </w:rPr>
        <w:t>Building the net zero energy workforce</w:t>
      </w:r>
      <w:r w:rsidRPr="008A0A1A">
        <w:rPr>
          <w:rFonts w:ascii="Arial" w:hAnsi="Arial" w:cs="Arial"/>
          <w:noProof/>
          <w:kern w:val="0"/>
          <w:sz w:val="20"/>
          <w:szCs w:val="24"/>
        </w:rPr>
        <w:t>. Warwick, UK. Available at: https://www.nationalgrid.com/document/126256/download.</w:t>
      </w:r>
    </w:p>
    <w:p w14:paraId="209BC04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OECD (2023) </w:t>
      </w:r>
      <w:r w:rsidRPr="008A0A1A">
        <w:rPr>
          <w:rFonts w:ascii="Arial" w:hAnsi="Arial" w:cs="Arial"/>
          <w:i/>
          <w:iCs/>
          <w:noProof/>
          <w:kern w:val="0"/>
          <w:sz w:val="20"/>
          <w:szCs w:val="24"/>
        </w:rPr>
        <w:t>OECD Data: Exchange rates</w:t>
      </w:r>
      <w:r w:rsidRPr="008A0A1A">
        <w:rPr>
          <w:rFonts w:ascii="Arial" w:hAnsi="Arial" w:cs="Arial"/>
          <w:noProof/>
          <w:kern w:val="0"/>
          <w:sz w:val="20"/>
          <w:szCs w:val="24"/>
        </w:rPr>
        <w:t>. Available at: https://data.oecd.org/conversion/exchange-rates.htm (Accessed: 2 January 2023).</w:t>
      </w:r>
    </w:p>
    <w:p w14:paraId="122B9951"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Ortega, M.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(2015) ‘Employment effects of renewable electricity deployment. A novel methodology’, </w:t>
      </w:r>
      <w:r w:rsidRPr="008A0A1A">
        <w:rPr>
          <w:rFonts w:ascii="Arial" w:hAnsi="Arial" w:cs="Arial"/>
          <w:i/>
          <w:iCs/>
          <w:noProof/>
          <w:kern w:val="0"/>
          <w:sz w:val="20"/>
          <w:szCs w:val="24"/>
        </w:rPr>
        <w:t>Energy</w:t>
      </w:r>
      <w:r w:rsidRPr="008A0A1A">
        <w:rPr>
          <w:rFonts w:ascii="Arial" w:hAnsi="Arial" w:cs="Arial"/>
          <w:noProof/>
          <w:kern w:val="0"/>
          <w:sz w:val="20"/>
          <w:szCs w:val="24"/>
        </w:rPr>
        <w:t>, 91, pp. 940–951. doi: 10.1016/J.ENERGY.2015.08.061.</w:t>
      </w:r>
    </w:p>
    <w:p w14:paraId="2DA57D2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Ortega, M.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(2020) ‘Analysing the influence of trade, technology learning and policy on the employment prospects of wind and solar energy deployment: The EU case’,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122, p. 109657. doi: 10.1016/J.RSER.2019.109657.</w:t>
      </w:r>
    </w:p>
    <w:p w14:paraId="40BE70D8"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Oyewo, A. S.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(2019) ‘Pathway towards achieving 100% renewable electricity by 2050 for South Africa’, </w:t>
      </w:r>
      <w:r w:rsidRPr="008A0A1A">
        <w:rPr>
          <w:rFonts w:ascii="Arial" w:hAnsi="Arial" w:cs="Arial"/>
          <w:i/>
          <w:iCs/>
          <w:noProof/>
          <w:kern w:val="0"/>
          <w:sz w:val="20"/>
          <w:szCs w:val="24"/>
        </w:rPr>
        <w:t>Solar Energy</w:t>
      </w:r>
      <w:r w:rsidRPr="008A0A1A">
        <w:rPr>
          <w:rFonts w:ascii="Arial" w:hAnsi="Arial" w:cs="Arial"/>
          <w:noProof/>
          <w:kern w:val="0"/>
          <w:sz w:val="20"/>
          <w:szCs w:val="24"/>
        </w:rPr>
        <w:t>, 191, pp. 549–565. doi: 10.1016/j.solener.2019.09.039.</w:t>
      </w:r>
    </w:p>
    <w:p w14:paraId="64FBF318"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Park, J. Il and Lee, S. (2017) ‘Examining the spatial patterns of green industries and the role of government policies in South Korea: Application of a panel regression model (2006–2012)’,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78, pp. 614–623. doi: 10.1016/J.RSER.2017.04.061.</w:t>
      </w:r>
    </w:p>
    <w:p w14:paraId="30A9DDC0"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Pinninti, K. R. (2014) ‘Climate change adaptation and local development: The new imperatives for green skills development’, in </w:t>
      </w:r>
      <w:r w:rsidRPr="008A0A1A">
        <w:rPr>
          <w:rFonts w:ascii="Arial" w:hAnsi="Arial" w:cs="Arial"/>
          <w:i/>
          <w:iCs/>
          <w:noProof/>
          <w:kern w:val="0"/>
          <w:sz w:val="20"/>
          <w:szCs w:val="24"/>
        </w:rPr>
        <w:t xml:space="preserve">Greener Skills and Jobs </w:t>
      </w:r>
      <w:r w:rsidRPr="008A0A1A">
        <w:rPr>
          <w:rFonts w:ascii="Arial" w:hAnsi="Arial" w:cs="Arial"/>
          <w:noProof/>
          <w:kern w:val="0"/>
          <w:sz w:val="20"/>
          <w:szCs w:val="24"/>
        </w:rPr>
        <w:t>. Paris: OECD Publishing. Available at: https://doi.org/10.1787/9789264208704-16-en.</w:t>
      </w:r>
    </w:p>
    <w:p w14:paraId="7FACD627"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Pollin, R.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(2014) </w:t>
      </w:r>
      <w:r w:rsidRPr="008A0A1A">
        <w:rPr>
          <w:rFonts w:ascii="Arial" w:hAnsi="Arial" w:cs="Arial"/>
          <w:i/>
          <w:iCs/>
          <w:noProof/>
          <w:kern w:val="0"/>
          <w:sz w:val="20"/>
          <w:szCs w:val="24"/>
        </w:rPr>
        <w:t>Green growth: A U.S. program for controlling climate change and expanding job opportunities</w:t>
      </w:r>
      <w:r w:rsidRPr="008A0A1A">
        <w:rPr>
          <w:rFonts w:ascii="Arial" w:hAnsi="Arial" w:cs="Arial"/>
          <w:noProof/>
          <w:kern w:val="0"/>
          <w:sz w:val="20"/>
          <w:szCs w:val="24"/>
        </w:rPr>
        <w:t>. Washington, DC, US.</w:t>
      </w:r>
    </w:p>
    <w:p w14:paraId="24A09A58"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Pollin, R. and Garrett-Peltier, H. (2009) </w:t>
      </w:r>
      <w:r w:rsidRPr="008A0A1A">
        <w:rPr>
          <w:rFonts w:ascii="Arial" w:hAnsi="Arial" w:cs="Arial"/>
          <w:i/>
          <w:iCs/>
          <w:noProof/>
          <w:kern w:val="0"/>
          <w:sz w:val="20"/>
          <w:szCs w:val="24"/>
        </w:rPr>
        <w:t>Building the green economy: Employment effects of green energy investments for Ontario</w:t>
      </w:r>
      <w:r w:rsidRPr="008A0A1A">
        <w:rPr>
          <w:rFonts w:ascii="Arial" w:hAnsi="Arial" w:cs="Arial"/>
          <w:noProof/>
          <w:kern w:val="0"/>
          <w:sz w:val="20"/>
          <w:szCs w:val="24"/>
        </w:rPr>
        <w:t>. Amherst, MA, US.</w:t>
      </w:r>
    </w:p>
    <w:p w14:paraId="404DE554"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Potrč, S.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(2021) ‘Sustainable renewable energy supply networks optimization – The gradual transition to a renewable energy system within the European Union by 2050’,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146, p. 111186. doi: 10.1016/J.RSER.2021.111186.</w:t>
      </w:r>
    </w:p>
    <w:p w14:paraId="0763ACAC"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Proença, S. and Fortes, P. (2020) ‘The social face of renewables: Econometric analysis of the relationship between renewables and employment’, </w:t>
      </w:r>
      <w:r w:rsidRPr="008A0A1A">
        <w:rPr>
          <w:rFonts w:ascii="Arial" w:hAnsi="Arial" w:cs="Arial"/>
          <w:i/>
          <w:iCs/>
          <w:noProof/>
          <w:kern w:val="0"/>
          <w:sz w:val="20"/>
          <w:szCs w:val="24"/>
        </w:rPr>
        <w:t>Energy Reports</w:t>
      </w:r>
      <w:r w:rsidRPr="008A0A1A">
        <w:rPr>
          <w:rFonts w:ascii="Arial" w:hAnsi="Arial" w:cs="Arial"/>
          <w:noProof/>
          <w:kern w:val="0"/>
          <w:sz w:val="20"/>
          <w:szCs w:val="24"/>
        </w:rPr>
        <w:t>, 6, pp. 581–586. doi: 10.1016/J.EGYR.2019.09.029.</w:t>
      </w:r>
    </w:p>
    <w:p w14:paraId="15E3FE35"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Ram, M.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(2022) ‘Job creation during a climate compliant global energy transition across the power, heat, transport, and desalination sectors by 2050’, </w:t>
      </w:r>
      <w:r w:rsidRPr="008A0A1A">
        <w:rPr>
          <w:rFonts w:ascii="Arial" w:hAnsi="Arial" w:cs="Arial"/>
          <w:i/>
          <w:iCs/>
          <w:noProof/>
          <w:kern w:val="0"/>
          <w:sz w:val="20"/>
          <w:szCs w:val="24"/>
        </w:rPr>
        <w:t>Energy</w:t>
      </w:r>
      <w:r w:rsidRPr="008A0A1A">
        <w:rPr>
          <w:rFonts w:ascii="Arial" w:hAnsi="Arial" w:cs="Arial"/>
          <w:noProof/>
          <w:kern w:val="0"/>
          <w:sz w:val="20"/>
          <w:szCs w:val="24"/>
        </w:rPr>
        <w:t>, 238, p. 121690. doi: 10.1016/J.ENERGY.2021.121690.</w:t>
      </w:r>
    </w:p>
    <w:p w14:paraId="669BE1D0"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Ram, M., Aghahosseini, A. and Breyer, C. (2020) ‘Job creation during the global energy transition towards 100% renewable power system by 2050’, </w:t>
      </w:r>
      <w:r w:rsidRPr="008A0A1A">
        <w:rPr>
          <w:rFonts w:ascii="Arial" w:hAnsi="Arial" w:cs="Arial"/>
          <w:i/>
          <w:iCs/>
          <w:noProof/>
          <w:kern w:val="0"/>
          <w:sz w:val="20"/>
          <w:szCs w:val="24"/>
        </w:rPr>
        <w:t>Technological Forecasting and Social Change</w:t>
      </w:r>
      <w:r w:rsidRPr="008A0A1A">
        <w:rPr>
          <w:rFonts w:ascii="Arial" w:hAnsi="Arial" w:cs="Arial"/>
          <w:noProof/>
          <w:kern w:val="0"/>
          <w:sz w:val="20"/>
          <w:szCs w:val="24"/>
        </w:rPr>
        <w:t>, 151, p. 119682. doi: 10.1016/j.techfore.2019.06.008.</w:t>
      </w:r>
    </w:p>
    <w:p w14:paraId="0532C900"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Reddy, B. S. (2016) ‘India’s energy system transition - Survival of the greenest’, </w:t>
      </w:r>
      <w:r w:rsidRPr="008A0A1A">
        <w:rPr>
          <w:rFonts w:ascii="Arial" w:hAnsi="Arial" w:cs="Arial"/>
          <w:i/>
          <w:iCs/>
          <w:noProof/>
          <w:kern w:val="0"/>
          <w:sz w:val="20"/>
          <w:szCs w:val="24"/>
        </w:rPr>
        <w:t>Renewable Energy</w:t>
      </w:r>
      <w:r w:rsidRPr="008A0A1A">
        <w:rPr>
          <w:rFonts w:ascii="Arial" w:hAnsi="Arial" w:cs="Arial"/>
          <w:noProof/>
          <w:kern w:val="0"/>
          <w:sz w:val="20"/>
          <w:szCs w:val="24"/>
        </w:rPr>
        <w:t>, 92, pp. 293–302. doi: 10.1016/j.renene.2016.02.027.</w:t>
      </w:r>
    </w:p>
    <w:p w14:paraId="0855AFB6"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Rosenow, J., Platt, R. and Demurtas, A. (2014) ‘Fiscal impacts of energy efficiency programmes - The example of solid wall insulation investment in the UK’, </w:t>
      </w:r>
      <w:r w:rsidRPr="008A0A1A">
        <w:rPr>
          <w:rFonts w:ascii="Arial" w:hAnsi="Arial" w:cs="Arial"/>
          <w:i/>
          <w:iCs/>
          <w:noProof/>
          <w:kern w:val="0"/>
          <w:sz w:val="20"/>
          <w:szCs w:val="24"/>
        </w:rPr>
        <w:t>Energy Policy</w:t>
      </w:r>
      <w:r w:rsidRPr="008A0A1A">
        <w:rPr>
          <w:rFonts w:ascii="Arial" w:hAnsi="Arial" w:cs="Arial"/>
          <w:noProof/>
          <w:kern w:val="0"/>
          <w:sz w:val="20"/>
          <w:szCs w:val="24"/>
        </w:rPr>
        <w:t>, 74(C), pp. 610–620. doi: 10.1016/J.ENPOL.2014.08.007.</w:t>
      </w:r>
    </w:p>
    <w:p w14:paraId="5A42A11F"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Sari, A. and Akkaya, M. (2016) ‘Contribution of Renewable Energy Potential to Sustainable Employment’, </w:t>
      </w:r>
      <w:r w:rsidRPr="008A0A1A">
        <w:rPr>
          <w:rFonts w:ascii="Arial" w:hAnsi="Arial" w:cs="Arial"/>
          <w:i/>
          <w:iCs/>
          <w:noProof/>
          <w:kern w:val="0"/>
          <w:sz w:val="20"/>
          <w:szCs w:val="24"/>
        </w:rPr>
        <w:t>Procedia - Social and Behavioral Sciences</w:t>
      </w:r>
      <w:r w:rsidRPr="008A0A1A">
        <w:rPr>
          <w:rFonts w:ascii="Arial" w:hAnsi="Arial" w:cs="Arial"/>
          <w:noProof/>
          <w:kern w:val="0"/>
          <w:sz w:val="20"/>
          <w:szCs w:val="24"/>
        </w:rPr>
        <w:t>, 229, pp. 316–325. doi: 10.1016/J.SBSPRO.2016.07.142.</w:t>
      </w:r>
    </w:p>
    <w:p w14:paraId="492C1174"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Sawle, Y., Gupta, S. C. and Bohre, A. K. (2018) ‘Socio-techno-economic design of hybrid renewable energy system using optimization techniques’, </w:t>
      </w:r>
      <w:r w:rsidRPr="008A0A1A">
        <w:rPr>
          <w:rFonts w:ascii="Arial" w:hAnsi="Arial" w:cs="Arial"/>
          <w:i/>
          <w:iCs/>
          <w:noProof/>
          <w:kern w:val="0"/>
          <w:sz w:val="20"/>
          <w:szCs w:val="24"/>
        </w:rPr>
        <w:t>Renewable Energy</w:t>
      </w:r>
      <w:r w:rsidRPr="008A0A1A">
        <w:rPr>
          <w:rFonts w:ascii="Arial" w:hAnsi="Arial" w:cs="Arial"/>
          <w:noProof/>
          <w:kern w:val="0"/>
          <w:sz w:val="20"/>
          <w:szCs w:val="24"/>
        </w:rPr>
        <w:t>, 119, pp. 459–472. doi: 10.1016/J.RENENE.2017.11.058.</w:t>
      </w:r>
    </w:p>
    <w:p w14:paraId="3AA67E4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Schreiner, L. and Madlener, R. (2021) ‘A pathway to green growth? Macroeconomic impacts of power grid infrastructure investments in Germany’, </w:t>
      </w:r>
      <w:r w:rsidRPr="008A0A1A">
        <w:rPr>
          <w:rFonts w:ascii="Arial" w:hAnsi="Arial" w:cs="Arial"/>
          <w:i/>
          <w:iCs/>
          <w:noProof/>
          <w:kern w:val="0"/>
          <w:sz w:val="20"/>
          <w:szCs w:val="24"/>
        </w:rPr>
        <w:t>Energy Policy</w:t>
      </w:r>
      <w:r w:rsidRPr="008A0A1A">
        <w:rPr>
          <w:rFonts w:ascii="Arial" w:hAnsi="Arial" w:cs="Arial"/>
          <w:noProof/>
          <w:kern w:val="0"/>
          <w:sz w:val="20"/>
          <w:szCs w:val="24"/>
        </w:rPr>
        <w:t>, 156, p. 112289. doi: 10.1016/J.ENPOL.2021.112289.</w:t>
      </w:r>
    </w:p>
    <w:p w14:paraId="20469221"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Şengül, Ü.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(2015) ‘Fuzzy TOPSIS method for ranking renewable energy supply systems in Turkey’, </w:t>
      </w:r>
      <w:r w:rsidRPr="008A0A1A">
        <w:rPr>
          <w:rFonts w:ascii="Arial" w:hAnsi="Arial" w:cs="Arial"/>
          <w:i/>
          <w:iCs/>
          <w:noProof/>
          <w:kern w:val="0"/>
          <w:sz w:val="20"/>
          <w:szCs w:val="24"/>
        </w:rPr>
        <w:t>Renewable Energy</w:t>
      </w:r>
      <w:r w:rsidRPr="008A0A1A">
        <w:rPr>
          <w:rFonts w:ascii="Arial" w:hAnsi="Arial" w:cs="Arial"/>
          <w:noProof/>
          <w:kern w:val="0"/>
          <w:sz w:val="20"/>
          <w:szCs w:val="24"/>
        </w:rPr>
        <w:t>, 75, pp. 617–625. doi: 10.1016/J.RENENE.2014.10.045.</w:t>
      </w:r>
    </w:p>
    <w:p w14:paraId="4E60C1E5"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Sharma, A. and Banerjee, R. (2021) ‘Framework to analyze the spatial distribution of the labor impacts of clean energy transitions’, </w:t>
      </w:r>
      <w:r w:rsidRPr="008A0A1A">
        <w:rPr>
          <w:rFonts w:ascii="Arial" w:hAnsi="Arial" w:cs="Arial"/>
          <w:i/>
          <w:iCs/>
          <w:noProof/>
          <w:kern w:val="0"/>
          <w:sz w:val="20"/>
          <w:szCs w:val="24"/>
        </w:rPr>
        <w:t>Energy Policy</w:t>
      </w:r>
      <w:r w:rsidRPr="008A0A1A">
        <w:rPr>
          <w:rFonts w:ascii="Arial" w:hAnsi="Arial" w:cs="Arial"/>
          <w:noProof/>
          <w:kern w:val="0"/>
          <w:sz w:val="20"/>
          <w:szCs w:val="24"/>
        </w:rPr>
        <w:t>, 150, p. 112158. doi: 10.1016/J.ENPOL.2021.112158.</w:t>
      </w:r>
    </w:p>
    <w:p w14:paraId="70FB5A16"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Sievers, L.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(2019) ‘Macroeconomic impact of the German energy transition and its distribution by sectors and regions’, </w:t>
      </w:r>
      <w:r w:rsidRPr="008A0A1A">
        <w:rPr>
          <w:rFonts w:ascii="Arial" w:hAnsi="Arial" w:cs="Arial"/>
          <w:i/>
          <w:iCs/>
          <w:noProof/>
          <w:kern w:val="0"/>
          <w:sz w:val="20"/>
          <w:szCs w:val="24"/>
        </w:rPr>
        <w:t>Ecological Economics</w:t>
      </w:r>
      <w:r w:rsidRPr="008A0A1A">
        <w:rPr>
          <w:rFonts w:ascii="Arial" w:hAnsi="Arial" w:cs="Arial"/>
          <w:noProof/>
          <w:kern w:val="0"/>
          <w:sz w:val="20"/>
          <w:szCs w:val="24"/>
        </w:rPr>
        <w:t>, 160, pp. 191–204. doi: 10.1016/J.ECOLECON.2019.02.017.</w:t>
      </w:r>
    </w:p>
    <w:p w14:paraId="75BBED68"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Simas, M. and Pacca, S. (2014) ‘Assessing employment in renewable energy technologies: A case study for wind power in Brazil’,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31, pp. 83–90. doi: 10.1016/J.RSER.2013.11.046.</w:t>
      </w:r>
    </w:p>
    <w:p w14:paraId="458FB2E1"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Sohrab, T.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(2022) ‘Estimation of the employment rate of wind power plants in Iran in the horizon of 2050’, </w:t>
      </w:r>
      <w:r w:rsidRPr="008A0A1A">
        <w:rPr>
          <w:rFonts w:ascii="Arial" w:hAnsi="Arial" w:cs="Arial"/>
          <w:i/>
          <w:iCs/>
          <w:noProof/>
          <w:kern w:val="0"/>
          <w:sz w:val="20"/>
          <w:szCs w:val="24"/>
        </w:rPr>
        <w:t>International Journal of Ambient Energy</w:t>
      </w:r>
      <w:r w:rsidRPr="008A0A1A">
        <w:rPr>
          <w:rFonts w:ascii="Arial" w:hAnsi="Arial" w:cs="Arial"/>
          <w:noProof/>
          <w:kern w:val="0"/>
          <w:sz w:val="20"/>
          <w:szCs w:val="24"/>
        </w:rPr>
        <w:t>, 43(1), pp. 603–609. doi: 10.1080/01430750.2019.1653974.</w:t>
      </w:r>
    </w:p>
    <w:p w14:paraId="34CE4492"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Sooriyaarachchi, T. M.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(2015) ‘Job creation potentials and skill requirements in, PV, CSP, wind, water-to-energy and energy efficiency value chains’,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52, pp. 653–668. doi: 10.1016/j.rser.2015.07.143.</w:t>
      </w:r>
    </w:p>
    <w:p w14:paraId="68295EEB"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Sovacool, B. K.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(2023) ‘Building a green future: Examining the job creation potential of electricity, heating, and storage in low-carbon buildings’, </w:t>
      </w:r>
      <w:r w:rsidRPr="008A0A1A">
        <w:rPr>
          <w:rFonts w:ascii="Arial" w:hAnsi="Arial" w:cs="Arial"/>
          <w:i/>
          <w:iCs/>
          <w:noProof/>
          <w:kern w:val="0"/>
          <w:sz w:val="20"/>
          <w:szCs w:val="24"/>
        </w:rPr>
        <w:t>The Electricity Journal</w:t>
      </w:r>
      <w:r w:rsidRPr="008A0A1A">
        <w:rPr>
          <w:rFonts w:ascii="Arial" w:hAnsi="Arial" w:cs="Arial"/>
          <w:noProof/>
          <w:kern w:val="0"/>
          <w:sz w:val="20"/>
          <w:szCs w:val="24"/>
        </w:rPr>
        <w:t>, 36(5), p. 107274. doi: 10.1016/J.TEJ.2023.107274.</w:t>
      </w:r>
    </w:p>
    <w:p w14:paraId="162B3AF6"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Stamopoulos, D.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(2021) ‘Does investing in renewable energy sources contribute to growth? A preliminary study on Greece’s national energy and climate plan’, </w:t>
      </w:r>
      <w:r w:rsidRPr="008A0A1A">
        <w:rPr>
          <w:rFonts w:ascii="Arial" w:hAnsi="Arial" w:cs="Arial"/>
          <w:i/>
          <w:iCs/>
          <w:noProof/>
          <w:kern w:val="0"/>
          <w:sz w:val="20"/>
          <w:szCs w:val="24"/>
        </w:rPr>
        <w:t>Energies</w:t>
      </w:r>
      <w:r w:rsidRPr="008A0A1A">
        <w:rPr>
          <w:rFonts w:ascii="Arial" w:hAnsi="Arial" w:cs="Arial"/>
          <w:noProof/>
          <w:kern w:val="0"/>
          <w:sz w:val="20"/>
          <w:szCs w:val="24"/>
        </w:rPr>
        <w:t>. doi: 10.3390/en14248537.</w:t>
      </w:r>
    </w:p>
    <w:p w14:paraId="13819DD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Stands, S. R. (2015) ‘Utility-scale renewable energy job creation : an investigation of the South African Renewable Energy Independent Power Producer Procurement Programme (REIPPPP)’, in. Available at: https://api.semanticscholar.org/CorpusID:154871459.</w:t>
      </w:r>
    </w:p>
    <w:p w14:paraId="6E9072CE"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Stavropoulos, S. and Burger, M. J. (2020) ‘Modelling strategy and net employment effects of renewable energy and energy efficiency: A meta-regression’, </w:t>
      </w:r>
      <w:r w:rsidRPr="008A0A1A">
        <w:rPr>
          <w:rFonts w:ascii="Arial" w:hAnsi="Arial" w:cs="Arial"/>
          <w:i/>
          <w:iCs/>
          <w:noProof/>
          <w:kern w:val="0"/>
          <w:sz w:val="20"/>
          <w:szCs w:val="24"/>
        </w:rPr>
        <w:t>Energy Policy</w:t>
      </w:r>
      <w:r w:rsidRPr="008A0A1A">
        <w:rPr>
          <w:rFonts w:ascii="Arial" w:hAnsi="Arial" w:cs="Arial"/>
          <w:noProof/>
          <w:kern w:val="0"/>
          <w:sz w:val="20"/>
          <w:szCs w:val="24"/>
        </w:rPr>
        <w:t>, 136, p. 111047. doi: 10.1016/J.ENPOL.2019.111047.</w:t>
      </w:r>
    </w:p>
    <w:p w14:paraId="369129CB"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Le Treut, G.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(2021) ‘The multi-level economic impacts of deep decarbonization strategies for the energy system’, </w:t>
      </w:r>
      <w:r w:rsidRPr="008A0A1A">
        <w:rPr>
          <w:rFonts w:ascii="Arial" w:hAnsi="Arial" w:cs="Arial"/>
          <w:i/>
          <w:iCs/>
          <w:noProof/>
          <w:kern w:val="0"/>
          <w:sz w:val="20"/>
          <w:szCs w:val="24"/>
        </w:rPr>
        <w:t>Energy Policy</w:t>
      </w:r>
      <w:r w:rsidRPr="008A0A1A">
        <w:rPr>
          <w:rFonts w:ascii="Arial" w:hAnsi="Arial" w:cs="Arial"/>
          <w:noProof/>
          <w:kern w:val="0"/>
          <w:sz w:val="20"/>
          <w:szCs w:val="24"/>
        </w:rPr>
        <w:t>, 156, p. 112423. doi: 10.1016/J.ENPOL.2021.112423.</w:t>
      </w:r>
    </w:p>
    <w:p w14:paraId="79FD2C61"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U.S. Bureau of Labor Statistics (2023) </w:t>
      </w:r>
      <w:r w:rsidRPr="008A0A1A">
        <w:rPr>
          <w:rFonts w:ascii="Arial" w:hAnsi="Arial" w:cs="Arial"/>
          <w:i/>
          <w:iCs/>
          <w:noProof/>
          <w:kern w:val="0"/>
          <w:sz w:val="20"/>
          <w:szCs w:val="24"/>
        </w:rPr>
        <w:t>CPI inflation calculator</w:t>
      </w:r>
      <w:r w:rsidRPr="008A0A1A">
        <w:rPr>
          <w:rFonts w:ascii="Arial" w:hAnsi="Arial" w:cs="Arial"/>
          <w:noProof/>
          <w:kern w:val="0"/>
          <w:sz w:val="20"/>
          <w:szCs w:val="24"/>
        </w:rPr>
        <w:t>. Available at: https://www.bls.gov/data/inflation_calculator.htm (Accessed: 2 January 2023).</w:t>
      </w:r>
    </w:p>
    <w:p w14:paraId="009C8B10"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Unsworth, S.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(2020) </w:t>
      </w:r>
      <w:r w:rsidRPr="008A0A1A">
        <w:rPr>
          <w:rFonts w:ascii="Arial" w:hAnsi="Arial" w:cs="Arial"/>
          <w:i/>
          <w:iCs/>
          <w:noProof/>
          <w:kern w:val="0"/>
          <w:sz w:val="20"/>
          <w:szCs w:val="24"/>
        </w:rPr>
        <w:t>Jobs for a strong and sustainable recovery from Covid-19: A CEP Covid-19 analysis</w:t>
      </w:r>
      <w:r w:rsidRPr="008A0A1A">
        <w:rPr>
          <w:rFonts w:ascii="Arial" w:hAnsi="Arial" w:cs="Arial"/>
          <w:noProof/>
          <w:kern w:val="0"/>
          <w:sz w:val="20"/>
          <w:szCs w:val="24"/>
        </w:rPr>
        <w:t>. London, UK.</w:t>
      </w:r>
    </w:p>
    <w:p w14:paraId="108FA82D"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Walwyn, D. R. and Brent, A. C. (2015) ‘Renewable energy gathers steam in South Africa’, </w:t>
      </w:r>
      <w:r w:rsidRPr="008A0A1A">
        <w:rPr>
          <w:rFonts w:ascii="Arial" w:hAnsi="Arial" w:cs="Arial"/>
          <w:i/>
          <w:iCs/>
          <w:noProof/>
          <w:kern w:val="0"/>
          <w:sz w:val="20"/>
          <w:szCs w:val="24"/>
        </w:rPr>
        <w:t>Renewable and Sustainable Energy Reviews</w:t>
      </w:r>
      <w:r w:rsidRPr="008A0A1A">
        <w:rPr>
          <w:rFonts w:ascii="Arial" w:hAnsi="Arial" w:cs="Arial"/>
          <w:noProof/>
          <w:kern w:val="0"/>
          <w:sz w:val="20"/>
          <w:szCs w:val="24"/>
        </w:rPr>
        <w:t>, 41, pp. 390–401. doi: 10.1016/J.RSER.2014.08.049.</w:t>
      </w:r>
    </w:p>
    <w:p w14:paraId="7233852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Weinstein, A. (2014) ‘Local Labor Market Restructuring in the Shale Boom’, </w:t>
      </w:r>
      <w:r w:rsidRPr="008A0A1A">
        <w:rPr>
          <w:rFonts w:ascii="Arial" w:hAnsi="Arial" w:cs="Arial"/>
          <w:i/>
          <w:iCs/>
          <w:noProof/>
          <w:kern w:val="0"/>
          <w:sz w:val="20"/>
          <w:szCs w:val="24"/>
        </w:rPr>
        <w:t>Journal of Regional Analysis and Policy</w:t>
      </w:r>
      <w:r w:rsidRPr="008A0A1A">
        <w:rPr>
          <w:rFonts w:ascii="Arial" w:hAnsi="Arial" w:cs="Arial"/>
          <w:noProof/>
          <w:kern w:val="0"/>
          <w:sz w:val="20"/>
          <w:szCs w:val="24"/>
        </w:rPr>
        <w:t>, 44(1), p. 243965. Available at: https://econpapers.repec.org/RePEc:ags:jrapmc:243965.</w:t>
      </w:r>
    </w:p>
    <w:p w14:paraId="3D877D4C"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Wu, Y., Xu, C. and Zhang, T. (2018) ‘Evaluation of renewable power sources using a fuzzy MCDM based on cumulative prospect theory: A case in China’, </w:t>
      </w:r>
      <w:r w:rsidRPr="008A0A1A">
        <w:rPr>
          <w:rFonts w:ascii="Arial" w:hAnsi="Arial" w:cs="Arial"/>
          <w:i/>
          <w:iCs/>
          <w:noProof/>
          <w:kern w:val="0"/>
          <w:sz w:val="20"/>
          <w:szCs w:val="24"/>
        </w:rPr>
        <w:t>Energy</w:t>
      </w:r>
      <w:r w:rsidRPr="008A0A1A">
        <w:rPr>
          <w:rFonts w:ascii="Arial" w:hAnsi="Arial" w:cs="Arial"/>
          <w:noProof/>
          <w:kern w:val="0"/>
          <w:sz w:val="20"/>
          <w:szCs w:val="24"/>
        </w:rPr>
        <w:t>, 147, pp. 1227–1239. doi: 10.1016/J.ENERGY.2018.01.115.</w:t>
      </w:r>
    </w:p>
    <w:p w14:paraId="11DEAC4C"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Yi, H. (2014) ‘Green businesses in a clean energy economy: Analyzing drivers of green business growth in U.S. states’, </w:t>
      </w:r>
      <w:r w:rsidRPr="008A0A1A">
        <w:rPr>
          <w:rFonts w:ascii="Arial" w:hAnsi="Arial" w:cs="Arial"/>
          <w:i/>
          <w:iCs/>
          <w:noProof/>
          <w:kern w:val="0"/>
          <w:sz w:val="20"/>
          <w:szCs w:val="24"/>
        </w:rPr>
        <w:t>Energy</w:t>
      </w:r>
      <w:r w:rsidRPr="008A0A1A">
        <w:rPr>
          <w:rFonts w:ascii="Arial" w:hAnsi="Arial" w:cs="Arial"/>
          <w:noProof/>
          <w:kern w:val="0"/>
          <w:sz w:val="20"/>
          <w:szCs w:val="24"/>
        </w:rPr>
        <w:t>, 68, pp. 922–929. doi: 10.1016/J.ENERGY.2014.02.044.</w:t>
      </w:r>
    </w:p>
    <w:p w14:paraId="2684915D"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Yi, H. and Liu, Y. (2015) ‘Green economy in China: Regional variations and policy drivers’, </w:t>
      </w:r>
      <w:r w:rsidRPr="008A0A1A">
        <w:rPr>
          <w:rFonts w:ascii="Arial" w:hAnsi="Arial" w:cs="Arial"/>
          <w:i/>
          <w:iCs/>
          <w:noProof/>
          <w:kern w:val="0"/>
          <w:sz w:val="20"/>
          <w:szCs w:val="24"/>
        </w:rPr>
        <w:t>Global Environmental Change</w:t>
      </w:r>
      <w:r w:rsidRPr="008A0A1A">
        <w:rPr>
          <w:rFonts w:ascii="Arial" w:hAnsi="Arial" w:cs="Arial"/>
          <w:noProof/>
          <w:kern w:val="0"/>
          <w:sz w:val="20"/>
          <w:szCs w:val="24"/>
        </w:rPr>
        <w:t>, 31, pp. 11–19. doi: 10.1016/J.GLOENVCHA.2014.12.001.</w:t>
      </w:r>
    </w:p>
    <w:p w14:paraId="46C967A3"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Zabin, C. and Scott, M. E. (2013) </w:t>
      </w:r>
      <w:r w:rsidRPr="008A0A1A">
        <w:rPr>
          <w:rFonts w:ascii="Arial" w:hAnsi="Arial" w:cs="Arial"/>
          <w:i/>
          <w:iCs/>
          <w:noProof/>
          <w:kern w:val="0"/>
          <w:sz w:val="20"/>
          <w:szCs w:val="24"/>
        </w:rPr>
        <w:t>Proposition 39: Jobs and training for California’s workforce</w:t>
      </w:r>
      <w:r w:rsidRPr="008A0A1A">
        <w:rPr>
          <w:rFonts w:ascii="Arial" w:hAnsi="Arial" w:cs="Arial"/>
          <w:noProof/>
          <w:kern w:val="0"/>
          <w:sz w:val="20"/>
          <w:szCs w:val="24"/>
        </w:rPr>
        <w:t>. Berkeley, CA, US.</w:t>
      </w:r>
    </w:p>
    <w:p w14:paraId="3799C3AA" w14:textId="77777777" w:rsidR="008A0A1A" w:rsidRPr="008A0A1A" w:rsidRDefault="008A0A1A" w:rsidP="008A0A1A">
      <w:pPr>
        <w:widowControl w:val="0"/>
        <w:autoSpaceDE w:val="0"/>
        <w:autoSpaceDN w:val="0"/>
        <w:adjustRightInd w:val="0"/>
        <w:spacing w:line="240" w:lineRule="auto"/>
        <w:rPr>
          <w:rFonts w:ascii="Arial" w:hAnsi="Arial" w:cs="Arial"/>
          <w:noProof/>
          <w:kern w:val="0"/>
          <w:sz w:val="20"/>
          <w:szCs w:val="24"/>
        </w:rPr>
      </w:pPr>
      <w:r w:rsidRPr="008A0A1A">
        <w:rPr>
          <w:rFonts w:ascii="Arial" w:hAnsi="Arial" w:cs="Arial"/>
          <w:noProof/>
          <w:kern w:val="0"/>
          <w:sz w:val="20"/>
          <w:szCs w:val="24"/>
        </w:rPr>
        <w:t xml:space="preserve">Zhang, X.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(2022) ‘Immediate actions on coal phaseout enable a just low-carbon transition in China’s power sector’, </w:t>
      </w:r>
      <w:r w:rsidRPr="008A0A1A">
        <w:rPr>
          <w:rFonts w:ascii="Arial" w:hAnsi="Arial" w:cs="Arial"/>
          <w:i/>
          <w:iCs/>
          <w:noProof/>
          <w:kern w:val="0"/>
          <w:sz w:val="20"/>
          <w:szCs w:val="24"/>
        </w:rPr>
        <w:t>Applied Energy</w:t>
      </w:r>
      <w:r w:rsidRPr="008A0A1A">
        <w:rPr>
          <w:rFonts w:ascii="Arial" w:hAnsi="Arial" w:cs="Arial"/>
          <w:noProof/>
          <w:kern w:val="0"/>
          <w:sz w:val="20"/>
          <w:szCs w:val="24"/>
        </w:rPr>
        <w:t>, 308, p. 118401. doi: 10.1016/J.APENERGY.2021.118401.</w:t>
      </w:r>
    </w:p>
    <w:p w14:paraId="20F4165E" w14:textId="77777777" w:rsidR="008A0A1A" w:rsidRPr="008A0A1A" w:rsidRDefault="008A0A1A" w:rsidP="008A0A1A">
      <w:pPr>
        <w:widowControl w:val="0"/>
        <w:autoSpaceDE w:val="0"/>
        <w:autoSpaceDN w:val="0"/>
        <w:adjustRightInd w:val="0"/>
        <w:spacing w:line="240" w:lineRule="auto"/>
        <w:rPr>
          <w:rFonts w:ascii="Arial" w:hAnsi="Arial" w:cs="Arial"/>
          <w:noProof/>
          <w:sz w:val="20"/>
        </w:rPr>
      </w:pPr>
      <w:r w:rsidRPr="008A0A1A">
        <w:rPr>
          <w:rFonts w:ascii="Arial" w:hAnsi="Arial" w:cs="Arial"/>
          <w:noProof/>
          <w:kern w:val="0"/>
          <w:sz w:val="20"/>
          <w:szCs w:val="24"/>
        </w:rPr>
        <w:t xml:space="preserve">Zhou, S. </w:t>
      </w:r>
      <w:r w:rsidRPr="008A0A1A">
        <w:rPr>
          <w:rFonts w:ascii="Arial" w:hAnsi="Arial" w:cs="Arial"/>
          <w:i/>
          <w:iCs/>
          <w:noProof/>
          <w:kern w:val="0"/>
          <w:sz w:val="20"/>
          <w:szCs w:val="24"/>
        </w:rPr>
        <w:t>et al.</w:t>
      </w:r>
      <w:r w:rsidRPr="008A0A1A">
        <w:rPr>
          <w:rFonts w:ascii="Arial" w:hAnsi="Arial" w:cs="Arial"/>
          <w:noProof/>
          <w:kern w:val="0"/>
          <w:sz w:val="20"/>
          <w:szCs w:val="24"/>
        </w:rPr>
        <w:t xml:space="preserve"> (2022) ‘China’s power transformation may drastically change employment patterns in the power sector and its upstream supply chains’, </w:t>
      </w:r>
      <w:r w:rsidRPr="008A0A1A">
        <w:rPr>
          <w:rFonts w:ascii="Arial" w:hAnsi="Arial" w:cs="Arial"/>
          <w:i/>
          <w:iCs/>
          <w:noProof/>
          <w:kern w:val="0"/>
          <w:sz w:val="20"/>
          <w:szCs w:val="24"/>
        </w:rPr>
        <w:t>Environmental Research Letters</w:t>
      </w:r>
      <w:r w:rsidRPr="008A0A1A">
        <w:rPr>
          <w:rFonts w:ascii="Arial" w:hAnsi="Arial" w:cs="Arial"/>
          <w:noProof/>
          <w:kern w:val="0"/>
          <w:sz w:val="20"/>
          <w:szCs w:val="24"/>
        </w:rPr>
        <w:t>, 17(6), p. 65005. doi: 10.1088/1748-9326/ac5769.</w:t>
      </w:r>
    </w:p>
    <w:p w14:paraId="1FB34DE2" w14:textId="4752C51E" w:rsidR="00E540C1" w:rsidRPr="00E540C1" w:rsidRDefault="00E540C1" w:rsidP="006E66A0">
      <w:pPr>
        <w:rPr>
          <w:rFonts w:ascii="Arial" w:hAnsi="Arial" w:cs="Arial"/>
          <w:b/>
          <w:bCs/>
          <w:sz w:val="24"/>
          <w:szCs w:val="24"/>
        </w:rPr>
      </w:pPr>
      <w:r w:rsidRPr="00E540C1">
        <w:rPr>
          <w:rFonts w:ascii="Arial" w:hAnsi="Arial" w:cs="Arial"/>
          <w:b/>
          <w:bCs/>
          <w:sz w:val="20"/>
          <w:szCs w:val="20"/>
        </w:rPr>
        <w:fldChar w:fldCharType="end"/>
      </w:r>
    </w:p>
    <w:p w14:paraId="5C831394" w14:textId="77777777" w:rsidR="006E66A0" w:rsidRPr="006E66A0" w:rsidRDefault="006E66A0">
      <w:pPr>
        <w:rPr>
          <w:rFonts w:ascii="Arial" w:hAnsi="Arial" w:cs="Arial"/>
          <w:sz w:val="20"/>
          <w:szCs w:val="20"/>
        </w:rPr>
      </w:pPr>
    </w:p>
    <w:sectPr w:rsidR="006E66A0" w:rsidRPr="006E66A0" w:rsidSect="00E272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E6782" w14:textId="77777777" w:rsidR="00E272BE" w:rsidRDefault="00E272BE" w:rsidP="006E66A0">
      <w:pPr>
        <w:spacing w:after="0" w:line="240" w:lineRule="auto"/>
      </w:pPr>
      <w:r>
        <w:separator/>
      </w:r>
    </w:p>
  </w:endnote>
  <w:endnote w:type="continuationSeparator" w:id="0">
    <w:p w14:paraId="60FF2F6F" w14:textId="77777777" w:rsidR="00E272BE" w:rsidRDefault="00E272BE" w:rsidP="006E6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E0FE4" w14:textId="77777777" w:rsidR="00E272BE" w:rsidRDefault="00E272BE" w:rsidP="006E66A0">
      <w:pPr>
        <w:spacing w:after="0" w:line="240" w:lineRule="auto"/>
      </w:pPr>
      <w:r>
        <w:separator/>
      </w:r>
    </w:p>
  </w:footnote>
  <w:footnote w:type="continuationSeparator" w:id="0">
    <w:p w14:paraId="6A7D2E58" w14:textId="77777777" w:rsidR="00E272BE" w:rsidRDefault="00E272BE" w:rsidP="006E66A0">
      <w:pPr>
        <w:spacing w:after="0" w:line="240" w:lineRule="auto"/>
      </w:pPr>
      <w:r>
        <w:continuationSeparator/>
      </w:r>
    </w:p>
  </w:footnote>
  <w:footnote w:id="1">
    <w:p w14:paraId="74510F95" w14:textId="77777777" w:rsidR="006E66A0" w:rsidRPr="0044215F" w:rsidRDefault="006E66A0" w:rsidP="006E66A0">
      <w:pPr>
        <w:pStyle w:val="FootnoteText"/>
        <w:rPr>
          <w:rFonts w:ascii="Arial" w:hAnsi="Arial" w:cs="Arial"/>
          <w:lang w:val="en-US"/>
        </w:rPr>
      </w:pPr>
      <w:r w:rsidRPr="00530C1D">
        <w:rPr>
          <w:rStyle w:val="FootnoteReference"/>
        </w:rPr>
        <w:footnoteRef/>
      </w:r>
      <w:r w:rsidRPr="0044215F">
        <w:rPr>
          <w:rFonts w:ascii="Arial" w:hAnsi="Arial" w:cs="Arial"/>
        </w:rPr>
        <w:t xml:space="preserve"> Centre for Environmental Policy, Weeks Building, 16-18 Prince's Gardens, Imperial College London, South Kensington, London, SW7 1NE, UK.</w:t>
      </w:r>
    </w:p>
  </w:footnote>
  <w:footnote w:id="2">
    <w:p w14:paraId="64CFB652" w14:textId="3251DC90" w:rsidR="006E66A0" w:rsidRPr="0044215F" w:rsidRDefault="006E66A0" w:rsidP="006E66A0">
      <w:pPr>
        <w:pStyle w:val="FootnoteText"/>
        <w:rPr>
          <w:lang w:val="en-US"/>
        </w:rPr>
      </w:pPr>
      <w:r w:rsidRPr="00530C1D">
        <w:rPr>
          <w:rStyle w:val="FootnoteReference"/>
        </w:rPr>
        <w:footnoteRef/>
      </w:r>
      <w:r w:rsidRPr="0044215F">
        <w:rPr>
          <w:rFonts w:ascii="Arial" w:hAnsi="Arial" w:cs="Arial"/>
        </w:rPr>
        <w:t xml:space="preserve"> </w:t>
      </w:r>
      <w:r w:rsidRPr="0044215F">
        <w:rPr>
          <w:rFonts w:ascii="Arial" w:hAnsi="Arial" w:cs="Arial"/>
          <w:lang w:val="en-US"/>
        </w:rPr>
        <w:t xml:space="preserve">Corresponding author - email address: </w:t>
      </w:r>
      <w:hyperlink r:id="rId1" w:history="1">
        <w:r w:rsidRPr="0044215F">
          <w:rPr>
            <w:rStyle w:val="Hyperlink"/>
            <w:rFonts w:ascii="Arial" w:hAnsi="Arial" w:cs="Arial"/>
            <w:lang w:val="en-US"/>
          </w:rPr>
          <w:t>r.hanna@imperial.ac.uk</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67D3A"/>
    <w:multiLevelType w:val="hybridMultilevel"/>
    <w:tmpl w:val="3F0AC9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36D0C53"/>
    <w:multiLevelType w:val="hybridMultilevel"/>
    <w:tmpl w:val="3F0AC9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C3461E"/>
    <w:multiLevelType w:val="hybridMultilevel"/>
    <w:tmpl w:val="E918D196"/>
    <w:lvl w:ilvl="0" w:tplc="08090019">
      <w:start w:val="1"/>
      <w:numFmt w:val="lowerLetter"/>
      <w:lvlText w:val="%1."/>
      <w:lvlJc w:val="left"/>
      <w:pPr>
        <w:ind w:left="720" w:hanging="360"/>
      </w:pPr>
    </w:lvl>
    <w:lvl w:ilvl="1" w:tplc="941673DC">
      <w:start w:val="1"/>
      <w:numFmt w:val="lowerLetter"/>
      <w:lvlText w:val="%2."/>
      <w:lvlJc w:val="left"/>
      <w:pPr>
        <w:ind w:left="1440" w:hanging="360"/>
      </w:pPr>
    </w:lvl>
    <w:lvl w:ilvl="2" w:tplc="2B9C52E0">
      <w:start w:val="1"/>
      <w:numFmt w:val="lowerRoman"/>
      <w:lvlText w:val="%3."/>
      <w:lvlJc w:val="right"/>
      <w:pPr>
        <w:ind w:left="2160" w:hanging="180"/>
      </w:pPr>
    </w:lvl>
    <w:lvl w:ilvl="3" w:tplc="B2609C5C">
      <w:start w:val="1"/>
      <w:numFmt w:val="decimal"/>
      <w:lvlText w:val="%4."/>
      <w:lvlJc w:val="left"/>
      <w:pPr>
        <w:ind w:left="2880" w:hanging="360"/>
      </w:pPr>
    </w:lvl>
    <w:lvl w:ilvl="4" w:tplc="067E8578">
      <w:start w:val="1"/>
      <w:numFmt w:val="lowerLetter"/>
      <w:lvlText w:val="%5."/>
      <w:lvlJc w:val="left"/>
      <w:pPr>
        <w:ind w:left="3600" w:hanging="360"/>
      </w:pPr>
    </w:lvl>
    <w:lvl w:ilvl="5" w:tplc="DE32ACEE">
      <w:start w:val="1"/>
      <w:numFmt w:val="lowerRoman"/>
      <w:lvlText w:val="%6."/>
      <w:lvlJc w:val="right"/>
      <w:pPr>
        <w:ind w:left="4320" w:hanging="180"/>
      </w:pPr>
    </w:lvl>
    <w:lvl w:ilvl="6" w:tplc="BB60E5DA">
      <w:start w:val="1"/>
      <w:numFmt w:val="decimal"/>
      <w:lvlText w:val="%7."/>
      <w:lvlJc w:val="left"/>
      <w:pPr>
        <w:ind w:left="5040" w:hanging="360"/>
      </w:pPr>
    </w:lvl>
    <w:lvl w:ilvl="7" w:tplc="9E0E2AE2">
      <w:start w:val="1"/>
      <w:numFmt w:val="lowerLetter"/>
      <w:lvlText w:val="%8."/>
      <w:lvlJc w:val="left"/>
      <w:pPr>
        <w:ind w:left="5760" w:hanging="360"/>
      </w:pPr>
    </w:lvl>
    <w:lvl w:ilvl="8" w:tplc="73C26250">
      <w:start w:val="1"/>
      <w:numFmt w:val="lowerRoman"/>
      <w:lvlText w:val="%9."/>
      <w:lvlJc w:val="right"/>
      <w:pPr>
        <w:ind w:left="6480" w:hanging="180"/>
      </w:pPr>
    </w:lvl>
  </w:abstractNum>
  <w:num w:numId="1" w16cid:durableId="2091267316">
    <w:abstractNumId w:val="1"/>
  </w:num>
  <w:num w:numId="2" w16cid:durableId="1697196372">
    <w:abstractNumId w:val="0"/>
  </w:num>
  <w:num w:numId="3" w16cid:durableId="1802842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6A0"/>
    <w:rsid w:val="00000F06"/>
    <w:rsid w:val="00002DAC"/>
    <w:rsid w:val="00016CD3"/>
    <w:rsid w:val="00026BEA"/>
    <w:rsid w:val="0003259E"/>
    <w:rsid w:val="00036BD6"/>
    <w:rsid w:val="00037A3D"/>
    <w:rsid w:val="000413AC"/>
    <w:rsid w:val="00044E39"/>
    <w:rsid w:val="00051FF6"/>
    <w:rsid w:val="00052147"/>
    <w:rsid w:val="00054A21"/>
    <w:rsid w:val="00081B73"/>
    <w:rsid w:val="000848C7"/>
    <w:rsid w:val="00087E17"/>
    <w:rsid w:val="000D38B5"/>
    <w:rsid w:val="000E6707"/>
    <w:rsid w:val="0010334F"/>
    <w:rsid w:val="00121416"/>
    <w:rsid w:val="00124B3F"/>
    <w:rsid w:val="00137D56"/>
    <w:rsid w:val="00140983"/>
    <w:rsid w:val="00146E7A"/>
    <w:rsid w:val="00162698"/>
    <w:rsid w:val="00167DF6"/>
    <w:rsid w:val="001703EB"/>
    <w:rsid w:val="001729DD"/>
    <w:rsid w:val="00190C62"/>
    <w:rsid w:val="0019271A"/>
    <w:rsid w:val="001A1445"/>
    <w:rsid w:val="001A4042"/>
    <w:rsid w:val="001E0688"/>
    <w:rsid w:val="001E58C1"/>
    <w:rsid w:val="001F07AE"/>
    <w:rsid w:val="001F76D0"/>
    <w:rsid w:val="00206A05"/>
    <w:rsid w:val="00222AAB"/>
    <w:rsid w:val="002352F2"/>
    <w:rsid w:val="00236B82"/>
    <w:rsid w:val="002564BE"/>
    <w:rsid w:val="0026697F"/>
    <w:rsid w:val="0027654F"/>
    <w:rsid w:val="00282BD5"/>
    <w:rsid w:val="002A37A0"/>
    <w:rsid w:val="002C335D"/>
    <w:rsid w:val="002E2FB2"/>
    <w:rsid w:val="002F1E88"/>
    <w:rsid w:val="002F2231"/>
    <w:rsid w:val="002F6AF7"/>
    <w:rsid w:val="00300DA4"/>
    <w:rsid w:val="00301C8D"/>
    <w:rsid w:val="0031739E"/>
    <w:rsid w:val="00325511"/>
    <w:rsid w:val="00325717"/>
    <w:rsid w:val="00330B48"/>
    <w:rsid w:val="003368C6"/>
    <w:rsid w:val="00336F23"/>
    <w:rsid w:val="00345E71"/>
    <w:rsid w:val="003537A2"/>
    <w:rsid w:val="00353F1F"/>
    <w:rsid w:val="00357990"/>
    <w:rsid w:val="00361DC0"/>
    <w:rsid w:val="00393E56"/>
    <w:rsid w:val="003A116E"/>
    <w:rsid w:val="003A7FA2"/>
    <w:rsid w:val="003B7077"/>
    <w:rsid w:val="003C6543"/>
    <w:rsid w:val="003D0AA0"/>
    <w:rsid w:val="003D145D"/>
    <w:rsid w:val="003D2C7F"/>
    <w:rsid w:val="003D3941"/>
    <w:rsid w:val="003D3F73"/>
    <w:rsid w:val="003D4042"/>
    <w:rsid w:val="003D7555"/>
    <w:rsid w:val="003E15D9"/>
    <w:rsid w:val="003F2E5F"/>
    <w:rsid w:val="00403F8B"/>
    <w:rsid w:val="004102D2"/>
    <w:rsid w:val="00411BE8"/>
    <w:rsid w:val="0042166D"/>
    <w:rsid w:val="00423D6A"/>
    <w:rsid w:val="00423DD4"/>
    <w:rsid w:val="00430DC7"/>
    <w:rsid w:val="004413D2"/>
    <w:rsid w:val="004424CB"/>
    <w:rsid w:val="004527D0"/>
    <w:rsid w:val="00455C15"/>
    <w:rsid w:val="00464440"/>
    <w:rsid w:val="0047291F"/>
    <w:rsid w:val="00486B58"/>
    <w:rsid w:val="004A07C7"/>
    <w:rsid w:val="004A2323"/>
    <w:rsid w:val="004A2E35"/>
    <w:rsid w:val="004A7BBF"/>
    <w:rsid w:val="004B6484"/>
    <w:rsid w:val="004C61F1"/>
    <w:rsid w:val="004C7908"/>
    <w:rsid w:val="004D3798"/>
    <w:rsid w:val="005015E1"/>
    <w:rsid w:val="00504AEB"/>
    <w:rsid w:val="005112D6"/>
    <w:rsid w:val="0051484F"/>
    <w:rsid w:val="0052106F"/>
    <w:rsid w:val="00524EB6"/>
    <w:rsid w:val="005257D5"/>
    <w:rsid w:val="005268A1"/>
    <w:rsid w:val="00550450"/>
    <w:rsid w:val="00554CCE"/>
    <w:rsid w:val="00562668"/>
    <w:rsid w:val="00567DAB"/>
    <w:rsid w:val="005742A6"/>
    <w:rsid w:val="005774A0"/>
    <w:rsid w:val="00577641"/>
    <w:rsid w:val="005A3B3A"/>
    <w:rsid w:val="005B2D6D"/>
    <w:rsid w:val="005B5825"/>
    <w:rsid w:val="005C3D0E"/>
    <w:rsid w:val="005C69AF"/>
    <w:rsid w:val="005E0742"/>
    <w:rsid w:val="005E347F"/>
    <w:rsid w:val="005E76BB"/>
    <w:rsid w:val="005E7782"/>
    <w:rsid w:val="005F711A"/>
    <w:rsid w:val="00604FC0"/>
    <w:rsid w:val="00610E56"/>
    <w:rsid w:val="0061211F"/>
    <w:rsid w:val="00612FC9"/>
    <w:rsid w:val="00637A8B"/>
    <w:rsid w:val="00647CAF"/>
    <w:rsid w:val="00654F70"/>
    <w:rsid w:val="006567B9"/>
    <w:rsid w:val="00660728"/>
    <w:rsid w:val="00667F86"/>
    <w:rsid w:val="006704AA"/>
    <w:rsid w:val="0068497D"/>
    <w:rsid w:val="00697A87"/>
    <w:rsid w:val="006A107C"/>
    <w:rsid w:val="006A19BC"/>
    <w:rsid w:val="006A6DF2"/>
    <w:rsid w:val="006B64C7"/>
    <w:rsid w:val="006C2AFB"/>
    <w:rsid w:val="006D56F1"/>
    <w:rsid w:val="006E2D9B"/>
    <w:rsid w:val="006E66A0"/>
    <w:rsid w:val="006F7DE6"/>
    <w:rsid w:val="007225F9"/>
    <w:rsid w:val="00722D24"/>
    <w:rsid w:val="00723110"/>
    <w:rsid w:val="007270BE"/>
    <w:rsid w:val="007324D5"/>
    <w:rsid w:val="00732C7C"/>
    <w:rsid w:val="00737A71"/>
    <w:rsid w:val="007426D6"/>
    <w:rsid w:val="00751DE8"/>
    <w:rsid w:val="00753FA5"/>
    <w:rsid w:val="00793389"/>
    <w:rsid w:val="007A0FAA"/>
    <w:rsid w:val="007A1565"/>
    <w:rsid w:val="007A725B"/>
    <w:rsid w:val="007B33EC"/>
    <w:rsid w:val="007B66BD"/>
    <w:rsid w:val="007E7CCB"/>
    <w:rsid w:val="007F37EA"/>
    <w:rsid w:val="007F58E9"/>
    <w:rsid w:val="007F67A8"/>
    <w:rsid w:val="008007CC"/>
    <w:rsid w:val="0080632A"/>
    <w:rsid w:val="00812EF4"/>
    <w:rsid w:val="00822C0D"/>
    <w:rsid w:val="00832C09"/>
    <w:rsid w:val="00834801"/>
    <w:rsid w:val="008439E4"/>
    <w:rsid w:val="0084470A"/>
    <w:rsid w:val="00852910"/>
    <w:rsid w:val="00863523"/>
    <w:rsid w:val="00877B10"/>
    <w:rsid w:val="00897A52"/>
    <w:rsid w:val="008A0A1A"/>
    <w:rsid w:val="008B19D5"/>
    <w:rsid w:val="008B63C1"/>
    <w:rsid w:val="008B6FB4"/>
    <w:rsid w:val="008C5F7E"/>
    <w:rsid w:val="008F429D"/>
    <w:rsid w:val="008F67DE"/>
    <w:rsid w:val="0091148B"/>
    <w:rsid w:val="00914574"/>
    <w:rsid w:val="00961EF8"/>
    <w:rsid w:val="00966F59"/>
    <w:rsid w:val="009841EB"/>
    <w:rsid w:val="00984799"/>
    <w:rsid w:val="009861B0"/>
    <w:rsid w:val="0098685F"/>
    <w:rsid w:val="009B03B9"/>
    <w:rsid w:val="009C3511"/>
    <w:rsid w:val="009D2D4D"/>
    <w:rsid w:val="009E5AC5"/>
    <w:rsid w:val="00A23DDF"/>
    <w:rsid w:val="00A25BB4"/>
    <w:rsid w:val="00A33DAB"/>
    <w:rsid w:val="00A358E4"/>
    <w:rsid w:val="00A36572"/>
    <w:rsid w:val="00A3791F"/>
    <w:rsid w:val="00A403DE"/>
    <w:rsid w:val="00A47873"/>
    <w:rsid w:val="00A65071"/>
    <w:rsid w:val="00A808AD"/>
    <w:rsid w:val="00A85AB1"/>
    <w:rsid w:val="00AB21D2"/>
    <w:rsid w:val="00AB4E6C"/>
    <w:rsid w:val="00AC0B4A"/>
    <w:rsid w:val="00AC5BF3"/>
    <w:rsid w:val="00AC6719"/>
    <w:rsid w:val="00AD03C2"/>
    <w:rsid w:val="00AD4923"/>
    <w:rsid w:val="00AD5071"/>
    <w:rsid w:val="00AD5CD1"/>
    <w:rsid w:val="00AE1E7C"/>
    <w:rsid w:val="00AE40D2"/>
    <w:rsid w:val="00AE4681"/>
    <w:rsid w:val="00AE4E13"/>
    <w:rsid w:val="00AF425F"/>
    <w:rsid w:val="00B03D4D"/>
    <w:rsid w:val="00B128A3"/>
    <w:rsid w:val="00B13972"/>
    <w:rsid w:val="00B177FB"/>
    <w:rsid w:val="00B37BF3"/>
    <w:rsid w:val="00B41B5A"/>
    <w:rsid w:val="00B42EED"/>
    <w:rsid w:val="00B44484"/>
    <w:rsid w:val="00B57E5E"/>
    <w:rsid w:val="00B659C5"/>
    <w:rsid w:val="00B7136F"/>
    <w:rsid w:val="00B86436"/>
    <w:rsid w:val="00BA5D92"/>
    <w:rsid w:val="00BB41D3"/>
    <w:rsid w:val="00BB7F7D"/>
    <w:rsid w:val="00BC0D10"/>
    <w:rsid w:val="00BC172A"/>
    <w:rsid w:val="00BD3E8E"/>
    <w:rsid w:val="00BD5658"/>
    <w:rsid w:val="00BE0F6D"/>
    <w:rsid w:val="00BE2B01"/>
    <w:rsid w:val="00C045FF"/>
    <w:rsid w:val="00C052E0"/>
    <w:rsid w:val="00C17227"/>
    <w:rsid w:val="00C2624B"/>
    <w:rsid w:val="00C26697"/>
    <w:rsid w:val="00C26BB5"/>
    <w:rsid w:val="00C317B4"/>
    <w:rsid w:val="00C31D8B"/>
    <w:rsid w:val="00C3284E"/>
    <w:rsid w:val="00C362EA"/>
    <w:rsid w:val="00C41992"/>
    <w:rsid w:val="00C43303"/>
    <w:rsid w:val="00C444DC"/>
    <w:rsid w:val="00C459F4"/>
    <w:rsid w:val="00C62B64"/>
    <w:rsid w:val="00C63769"/>
    <w:rsid w:val="00C728C8"/>
    <w:rsid w:val="00C76651"/>
    <w:rsid w:val="00C806E0"/>
    <w:rsid w:val="00C91E01"/>
    <w:rsid w:val="00CD0CCF"/>
    <w:rsid w:val="00CE36D4"/>
    <w:rsid w:val="00CE4D42"/>
    <w:rsid w:val="00CF79BC"/>
    <w:rsid w:val="00D12939"/>
    <w:rsid w:val="00D13CF0"/>
    <w:rsid w:val="00D33C7C"/>
    <w:rsid w:val="00D44ABD"/>
    <w:rsid w:val="00D47F12"/>
    <w:rsid w:val="00D66FEA"/>
    <w:rsid w:val="00D70F28"/>
    <w:rsid w:val="00D7715D"/>
    <w:rsid w:val="00D96F4B"/>
    <w:rsid w:val="00DA4B86"/>
    <w:rsid w:val="00DB0AC1"/>
    <w:rsid w:val="00DB1013"/>
    <w:rsid w:val="00DB3772"/>
    <w:rsid w:val="00DB5734"/>
    <w:rsid w:val="00DD66D3"/>
    <w:rsid w:val="00DF39EB"/>
    <w:rsid w:val="00E12536"/>
    <w:rsid w:val="00E16D79"/>
    <w:rsid w:val="00E272BE"/>
    <w:rsid w:val="00E40215"/>
    <w:rsid w:val="00E42F55"/>
    <w:rsid w:val="00E4411B"/>
    <w:rsid w:val="00E540C1"/>
    <w:rsid w:val="00E55F41"/>
    <w:rsid w:val="00E5600F"/>
    <w:rsid w:val="00E70230"/>
    <w:rsid w:val="00E80E77"/>
    <w:rsid w:val="00E904E3"/>
    <w:rsid w:val="00E93BE5"/>
    <w:rsid w:val="00E9603E"/>
    <w:rsid w:val="00EA7826"/>
    <w:rsid w:val="00EB75AB"/>
    <w:rsid w:val="00EE3CF1"/>
    <w:rsid w:val="00EE5034"/>
    <w:rsid w:val="00EF4D37"/>
    <w:rsid w:val="00F04D38"/>
    <w:rsid w:val="00F1624D"/>
    <w:rsid w:val="00F205D8"/>
    <w:rsid w:val="00F21627"/>
    <w:rsid w:val="00F219CB"/>
    <w:rsid w:val="00F21DB3"/>
    <w:rsid w:val="00F332A6"/>
    <w:rsid w:val="00F37087"/>
    <w:rsid w:val="00F40BD7"/>
    <w:rsid w:val="00F41692"/>
    <w:rsid w:val="00F441F0"/>
    <w:rsid w:val="00F45EAA"/>
    <w:rsid w:val="00F47DE9"/>
    <w:rsid w:val="00F52323"/>
    <w:rsid w:val="00F56E04"/>
    <w:rsid w:val="00F60919"/>
    <w:rsid w:val="00F66F8A"/>
    <w:rsid w:val="00F803D4"/>
    <w:rsid w:val="00F81EB4"/>
    <w:rsid w:val="00F842E2"/>
    <w:rsid w:val="00F87F6F"/>
    <w:rsid w:val="00F92CDA"/>
    <w:rsid w:val="00F9307F"/>
    <w:rsid w:val="00F9598E"/>
    <w:rsid w:val="00FD2E45"/>
    <w:rsid w:val="00FD5E09"/>
    <w:rsid w:val="00FE72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9BB0E"/>
  <w15:chartTrackingRefBased/>
  <w15:docId w15:val="{1B8161C4-56B8-4148-928A-68B1783E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6E66A0"/>
    <w:pPr>
      <w:keepNext/>
      <w:keepLines/>
      <w:tabs>
        <w:tab w:val="num" w:pos="737"/>
      </w:tabs>
      <w:spacing w:before="360" w:after="240"/>
      <w:ind w:left="170" w:hanging="170"/>
      <w:outlineLvl w:val="0"/>
    </w:pPr>
    <w:rPr>
      <w:rFonts w:ascii="Arial" w:eastAsiaTheme="majorEastAsia" w:hAnsi="Arial" w:cstheme="majorBidi"/>
      <w:b/>
      <w:color w:val="007EB8"/>
      <w:kern w:val="0"/>
      <w:sz w:val="48"/>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6E66A0"/>
    <w:pPr>
      <w:autoSpaceDE w:val="0"/>
      <w:autoSpaceDN w:val="0"/>
      <w:adjustRightInd w:val="0"/>
      <w:spacing w:after="0" w:line="288" w:lineRule="auto"/>
      <w:textAlignment w:val="center"/>
    </w:pPr>
    <w:rPr>
      <w:rFonts w:ascii="MinionPro-Regular" w:hAnsi="MinionPro-Regular" w:cs="MinionPro-Regular"/>
      <w:color w:val="000000"/>
      <w:kern w:val="0"/>
      <w:sz w:val="24"/>
      <w:szCs w:val="24"/>
      <w14:ligatures w14:val="none"/>
    </w:rPr>
  </w:style>
  <w:style w:type="character" w:styleId="Hyperlink">
    <w:name w:val="Hyperlink"/>
    <w:basedOn w:val="DefaultParagraphFont"/>
    <w:uiPriority w:val="99"/>
    <w:unhideWhenUsed/>
    <w:rsid w:val="006E66A0"/>
    <w:rPr>
      <w:color w:val="0563C1" w:themeColor="hyperlink"/>
      <w:u w:val="single"/>
    </w:rPr>
  </w:style>
  <w:style w:type="character" w:customStyle="1" w:styleId="FootnoteTextChar">
    <w:name w:val="Footnote Text Char"/>
    <w:basedOn w:val="DefaultParagraphFont"/>
    <w:link w:val="FootnoteText"/>
    <w:uiPriority w:val="99"/>
    <w:rsid w:val="006E66A0"/>
    <w:rPr>
      <w:sz w:val="20"/>
      <w:szCs w:val="20"/>
    </w:rPr>
  </w:style>
  <w:style w:type="paragraph" w:styleId="FootnoteText">
    <w:name w:val="footnote text"/>
    <w:basedOn w:val="Normal"/>
    <w:link w:val="FootnoteTextChar"/>
    <w:uiPriority w:val="99"/>
    <w:unhideWhenUsed/>
    <w:rsid w:val="006E66A0"/>
    <w:rPr>
      <w:sz w:val="20"/>
      <w:szCs w:val="20"/>
    </w:rPr>
  </w:style>
  <w:style w:type="character" w:customStyle="1" w:styleId="FootnoteTextChar1">
    <w:name w:val="Footnote Text Char1"/>
    <w:basedOn w:val="DefaultParagraphFont"/>
    <w:uiPriority w:val="99"/>
    <w:semiHidden/>
    <w:rsid w:val="006E66A0"/>
    <w:rPr>
      <w:sz w:val="20"/>
      <w:szCs w:val="20"/>
    </w:rPr>
  </w:style>
  <w:style w:type="character" w:styleId="FootnoteReference">
    <w:name w:val="footnote reference"/>
    <w:basedOn w:val="DefaultParagraphFont"/>
    <w:uiPriority w:val="99"/>
    <w:semiHidden/>
    <w:unhideWhenUsed/>
    <w:rsid w:val="006E66A0"/>
    <w:rPr>
      <w:vertAlign w:val="superscript"/>
    </w:rPr>
  </w:style>
  <w:style w:type="character" w:customStyle="1" w:styleId="Heading1Char">
    <w:name w:val="Heading 1 Char"/>
    <w:basedOn w:val="DefaultParagraphFont"/>
    <w:link w:val="Heading1"/>
    <w:uiPriority w:val="9"/>
    <w:rsid w:val="006E66A0"/>
    <w:rPr>
      <w:rFonts w:ascii="Arial" w:eastAsiaTheme="majorEastAsia" w:hAnsi="Arial" w:cstheme="majorBidi"/>
      <w:b/>
      <w:color w:val="007EB8"/>
      <w:kern w:val="0"/>
      <w:sz w:val="48"/>
      <w:szCs w:val="32"/>
      <w14:ligatures w14:val="none"/>
    </w:rPr>
  </w:style>
  <w:style w:type="paragraph" w:styleId="ListParagraph">
    <w:name w:val="List Paragraph"/>
    <w:basedOn w:val="Normal"/>
    <w:uiPriority w:val="34"/>
    <w:qFormat/>
    <w:rsid w:val="006E66A0"/>
    <w:pPr>
      <w:spacing w:after="240"/>
      <w:ind w:left="720"/>
      <w:contextualSpacing/>
    </w:pPr>
    <w:rPr>
      <w:rFonts w:ascii="Arial" w:hAnsi="Arial"/>
      <w:kern w:val="0"/>
      <w:sz w:val="24"/>
      <w14:ligatures w14:val="none"/>
    </w:rPr>
  </w:style>
  <w:style w:type="table" w:styleId="TableGrid">
    <w:name w:val="Table Grid"/>
    <w:basedOn w:val="TableNormal"/>
    <w:uiPriority w:val="39"/>
    <w:rsid w:val="006E66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6E66A0"/>
    <w:rPr>
      <w:sz w:val="16"/>
      <w:szCs w:val="16"/>
    </w:rPr>
  </w:style>
  <w:style w:type="paragraph" w:styleId="CommentText">
    <w:name w:val="annotation text"/>
    <w:basedOn w:val="Normal"/>
    <w:link w:val="CommentTextChar"/>
    <w:uiPriority w:val="99"/>
    <w:rsid w:val="006E66A0"/>
    <w:rPr>
      <w:rFonts w:ascii="Arial" w:hAnsi="Arial"/>
      <w:kern w:val="0"/>
      <w:sz w:val="20"/>
      <w:szCs w:val="20"/>
      <w14:ligatures w14:val="none"/>
    </w:rPr>
  </w:style>
  <w:style w:type="character" w:customStyle="1" w:styleId="CommentTextChar">
    <w:name w:val="Comment Text Char"/>
    <w:basedOn w:val="DefaultParagraphFont"/>
    <w:link w:val="CommentText"/>
    <w:uiPriority w:val="99"/>
    <w:rsid w:val="006E66A0"/>
    <w:rPr>
      <w:rFonts w:ascii="Arial" w:hAnsi="Arial"/>
      <w:kern w:val="0"/>
      <w:sz w:val="20"/>
      <w:szCs w:val="20"/>
      <w14:ligatures w14:val="none"/>
    </w:rPr>
  </w:style>
  <w:style w:type="paragraph" w:styleId="Header">
    <w:name w:val="header"/>
    <w:basedOn w:val="Normal"/>
    <w:link w:val="HeaderChar"/>
    <w:uiPriority w:val="99"/>
    <w:unhideWhenUsed/>
    <w:rsid w:val="008B6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3C1"/>
  </w:style>
  <w:style w:type="paragraph" w:styleId="Footer">
    <w:name w:val="footer"/>
    <w:basedOn w:val="Normal"/>
    <w:link w:val="FooterChar"/>
    <w:uiPriority w:val="99"/>
    <w:unhideWhenUsed/>
    <w:rsid w:val="008B6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3C1"/>
  </w:style>
  <w:style w:type="paragraph" w:styleId="CommentSubject">
    <w:name w:val="annotation subject"/>
    <w:basedOn w:val="CommentText"/>
    <w:next w:val="CommentText"/>
    <w:link w:val="CommentSubjectChar"/>
    <w:uiPriority w:val="99"/>
    <w:semiHidden/>
    <w:unhideWhenUsed/>
    <w:rsid w:val="002E2FB2"/>
    <w:pPr>
      <w:spacing w:line="240" w:lineRule="auto"/>
    </w:pPr>
    <w:rPr>
      <w:rFonts w:asciiTheme="minorHAnsi" w:hAnsiTheme="minorHAnsi"/>
      <w:b/>
      <w:bCs/>
      <w:kern w:val="2"/>
      <w14:ligatures w14:val="standardContextual"/>
    </w:rPr>
  </w:style>
  <w:style w:type="character" w:customStyle="1" w:styleId="CommentSubjectChar">
    <w:name w:val="Comment Subject Char"/>
    <w:basedOn w:val="CommentTextChar"/>
    <w:link w:val="CommentSubject"/>
    <w:uiPriority w:val="99"/>
    <w:semiHidden/>
    <w:rsid w:val="002E2FB2"/>
    <w:rPr>
      <w:rFonts w:ascii="Arial" w:hAnsi="Arial"/>
      <w:b/>
      <w:bCs/>
      <w:kern w:val="0"/>
      <w:sz w:val="20"/>
      <w:szCs w:val="20"/>
      <w14:ligatures w14:val="none"/>
    </w:rPr>
  </w:style>
  <w:style w:type="table" w:styleId="GridTable1Light">
    <w:name w:val="Grid Table 1 Light"/>
    <w:basedOn w:val="TableNormal"/>
    <w:uiPriority w:val="46"/>
    <w:rsid w:val="00F47D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C2624B"/>
    <w:rPr>
      <w:color w:val="605E5C"/>
      <w:shd w:val="clear" w:color="auto" w:fill="E1DFDD"/>
    </w:rPr>
  </w:style>
  <w:style w:type="paragraph" w:styleId="Revision">
    <w:name w:val="Revision"/>
    <w:hidden/>
    <w:uiPriority w:val="99"/>
    <w:semiHidden/>
    <w:rsid w:val="00002D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1391">
      <w:bodyDiv w:val="1"/>
      <w:marLeft w:val="0"/>
      <w:marRight w:val="0"/>
      <w:marTop w:val="0"/>
      <w:marBottom w:val="0"/>
      <w:divBdr>
        <w:top w:val="none" w:sz="0" w:space="0" w:color="auto"/>
        <w:left w:val="none" w:sz="0" w:space="0" w:color="auto"/>
        <w:bottom w:val="none" w:sz="0" w:space="0" w:color="auto"/>
        <w:right w:val="none" w:sz="0" w:space="0" w:color="auto"/>
      </w:divBdr>
    </w:div>
    <w:div w:id="328412114">
      <w:bodyDiv w:val="1"/>
      <w:marLeft w:val="0"/>
      <w:marRight w:val="0"/>
      <w:marTop w:val="0"/>
      <w:marBottom w:val="0"/>
      <w:divBdr>
        <w:top w:val="none" w:sz="0" w:space="0" w:color="auto"/>
        <w:left w:val="none" w:sz="0" w:space="0" w:color="auto"/>
        <w:bottom w:val="none" w:sz="0" w:space="0" w:color="auto"/>
        <w:right w:val="none" w:sz="0" w:space="0" w:color="auto"/>
      </w:divBdr>
    </w:div>
    <w:div w:id="591160201">
      <w:bodyDiv w:val="1"/>
      <w:marLeft w:val="0"/>
      <w:marRight w:val="0"/>
      <w:marTop w:val="0"/>
      <w:marBottom w:val="0"/>
      <w:divBdr>
        <w:top w:val="none" w:sz="0" w:space="0" w:color="auto"/>
        <w:left w:val="none" w:sz="0" w:space="0" w:color="auto"/>
        <w:bottom w:val="none" w:sz="0" w:space="0" w:color="auto"/>
        <w:right w:val="none" w:sz="0" w:space="0" w:color="auto"/>
      </w:divBdr>
    </w:div>
    <w:div w:id="1031685142">
      <w:bodyDiv w:val="1"/>
      <w:marLeft w:val="0"/>
      <w:marRight w:val="0"/>
      <w:marTop w:val="0"/>
      <w:marBottom w:val="0"/>
      <w:divBdr>
        <w:top w:val="none" w:sz="0" w:space="0" w:color="auto"/>
        <w:left w:val="none" w:sz="0" w:space="0" w:color="auto"/>
        <w:bottom w:val="none" w:sz="0" w:space="0" w:color="auto"/>
        <w:right w:val="none" w:sz="0" w:space="0" w:color="auto"/>
      </w:divBdr>
    </w:div>
    <w:div w:id="1049451892">
      <w:bodyDiv w:val="1"/>
      <w:marLeft w:val="0"/>
      <w:marRight w:val="0"/>
      <w:marTop w:val="0"/>
      <w:marBottom w:val="0"/>
      <w:divBdr>
        <w:top w:val="none" w:sz="0" w:space="0" w:color="auto"/>
        <w:left w:val="none" w:sz="0" w:space="0" w:color="auto"/>
        <w:bottom w:val="none" w:sz="0" w:space="0" w:color="auto"/>
        <w:right w:val="none" w:sz="0" w:space="0" w:color="auto"/>
      </w:divBdr>
    </w:div>
    <w:div w:id="1386677460">
      <w:bodyDiv w:val="1"/>
      <w:marLeft w:val="0"/>
      <w:marRight w:val="0"/>
      <w:marTop w:val="0"/>
      <w:marBottom w:val="0"/>
      <w:divBdr>
        <w:top w:val="none" w:sz="0" w:space="0" w:color="auto"/>
        <w:left w:val="none" w:sz="0" w:space="0" w:color="auto"/>
        <w:bottom w:val="none" w:sz="0" w:space="0" w:color="auto"/>
        <w:right w:val="none" w:sz="0" w:space="0" w:color="auto"/>
      </w:divBdr>
    </w:div>
    <w:div w:id="1600603665">
      <w:bodyDiv w:val="1"/>
      <w:marLeft w:val="0"/>
      <w:marRight w:val="0"/>
      <w:marTop w:val="0"/>
      <w:marBottom w:val="0"/>
      <w:divBdr>
        <w:top w:val="none" w:sz="0" w:space="0" w:color="auto"/>
        <w:left w:val="none" w:sz="0" w:space="0" w:color="auto"/>
        <w:bottom w:val="none" w:sz="0" w:space="0" w:color="auto"/>
        <w:right w:val="none" w:sz="0" w:space="0" w:color="auto"/>
      </w:divBdr>
    </w:div>
    <w:div w:id="1724138369">
      <w:bodyDiv w:val="1"/>
      <w:marLeft w:val="0"/>
      <w:marRight w:val="0"/>
      <w:marTop w:val="0"/>
      <w:marBottom w:val="0"/>
      <w:divBdr>
        <w:top w:val="none" w:sz="0" w:space="0" w:color="auto"/>
        <w:left w:val="none" w:sz="0" w:space="0" w:color="auto"/>
        <w:bottom w:val="none" w:sz="0" w:space="0" w:color="auto"/>
        <w:right w:val="none" w:sz="0" w:space="0" w:color="auto"/>
      </w:divBdr>
    </w:div>
    <w:div w:id="189642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rdue.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r.hanna@imperia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00E00-8326-4D36-859E-402289986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60843</Words>
  <Characters>346811</Characters>
  <Application>Microsoft Office Word</Application>
  <DocSecurity>0</DocSecurity>
  <Lines>2890</Lines>
  <Paragraphs>813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Hanna</dc:creator>
  <cp:keywords/>
  <dc:description/>
  <cp:lastModifiedBy>Richard Hanna</cp:lastModifiedBy>
  <cp:revision>2</cp:revision>
  <dcterms:created xsi:type="dcterms:W3CDTF">2024-01-09T23:59:00Z</dcterms:created>
  <dcterms:modified xsi:type="dcterms:W3CDTF">2024-01-09T23:59:00Z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b2d2365f-e0f8-3cad-85a2-f5904959fd61</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