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3ACD6" w14:textId="04D1C433" w:rsidR="00CB44F6" w:rsidRDefault="00CB44F6" w:rsidP="00CB44F6">
      <w:pPr>
        <w:pStyle w:val="Heading1"/>
      </w:pPr>
      <w:r>
        <w:t xml:space="preserve">Supplementary </w:t>
      </w:r>
      <w:r w:rsidR="001B3F6D">
        <w:t>text</w:t>
      </w:r>
    </w:p>
    <w:p w14:paraId="48AA67F5" w14:textId="77777777" w:rsidR="00CB44F6" w:rsidRDefault="00CB44F6" w:rsidP="00CB44F6">
      <w:r>
        <w:t xml:space="preserve">As we note in the main paper, there are many challenges associated with searching for alternatives to the term </w:t>
      </w:r>
      <w:r>
        <w:rPr>
          <w:i/>
        </w:rPr>
        <w:t>stakeholder</w:t>
      </w:r>
      <w:r>
        <w:t xml:space="preserve">. The onus is on us, the research community, to work in respectful relations with the myriad of individuals, entities, species and places that we have the potential to harm or help. It is clear that the term </w:t>
      </w:r>
      <w:r>
        <w:rPr>
          <w:i/>
        </w:rPr>
        <w:t>stakeholder</w:t>
      </w:r>
      <w:r>
        <w:t xml:space="preserve"> does not move us toward these right relations. Nor does a quest for a single, replacement term. Specifically, replacing </w:t>
      </w:r>
      <w:r>
        <w:rPr>
          <w:i/>
        </w:rPr>
        <w:t>stakeholder</w:t>
      </w:r>
      <w:r>
        <w:t xml:space="preserve"> maintains the colonial, harmful framework of the </w:t>
      </w:r>
      <w:r>
        <w:rPr>
          <w:i/>
        </w:rPr>
        <w:t>stakeholder paradigm</w:t>
      </w:r>
      <w:r>
        <w:t>. Whitewashing with a different word misses the point.</w:t>
      </w:r>
    </w:p>
    <w:p w14:paraId="4C62F027" w14:textId="77777777" w:rsidR="00CB44F6" w:rsidRDefault="00CB44F6" w:rsidP="00CB44F6">
      <w:r>
        <w:t>However, as we note in the main text, researchers will always need to speak and write using specific words. Thus, here we consider a set of terms in English and several other languages. These terms have relevance to distinct aspects of engaged research and, thus, researchers can explore the appropriateness and efficacy of them in close dialogue with those they work with.</w:t>
      </w:r>
    </w:p>
    <w:p w14:paraId="0AA3F352" w14:textId="77777777" w:rsidR="00CB44F6" w:rsidRDefault="00CB44F6" w:rsidP="00CB44F6">
      <w:r>
        <w:t>These terms include partners, rightsholders, participants, end-users, co-researchers, parties, publics, citizens, citizens assembly, communities, collaborators, actors, entities and interested/relevant parties. As we will discuss, it may also be possible or desirable to use non-English words.</w:t>
      </w:r>
    </w:p>
    <w:p w14:paraId="4EBA3A86" w14:textId="40F7D888" w:rsidR="00CB44F6" w:rsidRDefault="00CB44F6" w:rsidP="00CB44F6">
      <w:r>
        <w:t xml:space="preserve">We consider each of these options, in turn, before discussing a particular pair of options that meet </w:t>
      </w:r>
      <w:proofErr w:type="spellStart"/>
      <w:r>
        <w:t>Gerring’s</w:t>
      </w:r>
      <w:proofErr w:type="spellEnd"/>
      <w:r>
        <w:t xml:space="preserve"> </w:t>
      </w:r>
      <w:r w:rsidR="00546183">
        <w:t>(1999)</w:t>
      </w:r>
      <w:r>
        <w:t xml:space="preserve"> criteria for effective concept formation while also addressing some of the ethical issues we have raised in the main text.</w:t>
      </w:r>
    </w:p>
    <w:p w14:paraId="59640730" w14:textId="22C6CCF2" w:rsidR="00CB44F6" w:rsidRDefault="00CB44F6" w:rsidP="00CB44F6">
      <w:r>
        <w:t xml:space="preserve">It has been suggested that </w:t>
      </w:r>
      <w:r>
        <w:rPr>
          <w:i/>
        </w:rPr>
        <w:t>stakeholders</w:t>
      </w:r>
      <w:r>
        <w:t xml:space="preserve"> should instead be referred to as ‘partners’ or ‘rightsholders’ </w:t>
      </w:r>
      <w:r w:rsidR="00546183">
        <w:t>(Government of British Columbia, 2021)</w:t>
      </w:r>
      <w:r>
        <w:t>. However, these terms may not be suitable in all cases. ‘Rightsholders’ are defined solely in relation to their legally defined rights, and it is difficult to apply the term ‘partner’ to anything other than a relationship. For example, it is not possible to be a partner in an ongoing issue, landscape or the long-term fallout from an event, in the same way that a group could have a stake in each of these things. The term ‘collaborators’</w:t>
      </w:r>
      <w:r>
        <w:rPr>
          <w:i/>
        </w:rPr>
        <w:t xml:space="preserve"> </w:t>
      </w:r>
      <w:r>
        <w:t xml:space="preserve">has the same problem, implying even more specifically that they are working with others to achieve a common goal </w:t>
      </w:r>
      <w:r w:rsidR="00546183">
        <w:t>(Gray, 1999)</w:t>
      </w:r>
      <w:r>
        <w:t>. Similarly, ‘participants’ and ‘end-users’ imply the research happens only to or for people, while ‘co-researchers’ necessitates the opposite: research genuinely happening with and by people not historically thought of as researchers. Thus, each term has specific meanings and applications; these terms also cannot apply to an issue, landscape or event.</w:t>
      </w:r>
    </w:p>
    <w:p w14:paraId="6D74947A" w14:textId="622A3843" w:rsidR="00CB44F6" w:rsidRDefault="00CB44F6" w:rsidP="00CB44F6">
      <w:r>
        <w:lastRenderedPageBreak/>
        <w:t xml:space="preserve">In addition to these obstacles, a number of terms have specific legal meanings in some contexts, which could cause confusion. For example, the legal use of the term </w:t>
      </w:r>
      <w:r>
        <w:rPr>
          <w:i/>
        </w:rPr>
        <w:t>stakeholder</w:t>
      </w:r>
      <w:r>
        <w:t xml:space="preserve"> has been debated as a more inclusive alternative to the term ‘shareholder’ in the context of corporate law and corporate social responsibility </w:t>
      </w:r>
      <w:r w:rsidR="00546183">
        <w:t>(</w:t>
      </w:r>
      <w:r w:rsidR="00546183">
        <w:t>Sheehy, 2005</w:t>
      </w:r>
      <w:r w:rsidR="00546183">
        <w:t>)</w:t>
      </w:r>
      <w:r>
        <w:t>. The term ‘partner’</w:t>
      </w:r>
      <w:r>
        <w:rPr>
          <w:i/>
        </w:rPr>
        <w:t xml:space="preserve"> </w:t>
      </w:r>
      <w:r>
        <w:t>is used to imply active involvement and is used most frequently in law to denote a marriage or civil partnership, or a formal and specific business arrangement.</w:t>
      </w:r>
    </w:p>
    <w:p w14:paraId="2C70F692" w14:textId="5FBE0E67" w:rsidR="00CB44F6" w:rsidRDefault="00CB44F6" w:rsidP="00CB44F6">
      <w:r>
        <w:t xml:space="preserve">‘Publics’ and ‘communities’ are commonly used without critique or adequate consideration of specifically who and what is being referred to. ‘Publics’ is widely used to imply diverse publics versus generalising to ‘the general public’. The latter concept has met deep resistance in engagement contexts, particularly science communication circles, because it explicitly fails to recognise diverse needs and positionalities </w:t>
      </w:r>
      <w:r w:rsidR="00546183">
        <w:t>(Merkle et al., 2022)</w:t>
      </w:r>
      <w:r>
        <w:t xml:space="preserve">. Although publics can at least be segmented by characteristics (e.g., gender) and interests (e.g., recreationalists), the term does little to convey how these groups are impacted by issues and does not reflect the differing levels of power and influence they might wield. Furthermore, science communicators are increasingly moving away from any use of ‘publics’ as those less attuned to lexical nuances tend to reduce this to ‘the public’ anyway. Defining a ‘community’ is equally complex, while its use often assumes homogeneity and assimilation. Indeed, mere assumptions of the existence of a community automatically excludes others, strangers and people who may have different characteristics </w:t>
      </w:r>
      <w:r w:rsidR="00546183">
        <w:t>(</w:t>
      </w:r>
      <w:proofErr w:type="spellStart"/>
      <w:r w:rsidR="00546183">
        <w:t>Fendler</w:t>
      </w:r>
      <w:proofErr w:type="spellEnd"/>
      <w:r w:rsidR="00546183">
        <w:t>, 2006)</w:t>
      </w:r>
      <w:r>
        <w:t xml:space="preserve">. Others have questioned the assumption that there is any community or public who share the same perspectives, </w:t>
      </w:r>
      <w:proofErr w:type="gramStart"/>
      <w:r>
        <w:t>opinions</w:t>
      </w:r>
      <w:proofErr w:type="gramEnd"/>
      <w:r>
        <w:t xml:space="preserve"> and experiences </w:t>
      </w:r>
      <w:r w:rsidR="00546183">
        <w:t xml:space="preserve">(Chilvers and </w:t>
      </w:r>
      <w:proofErr w:type="spellStart"/>
      <w:r w:rsidR="00546183">
        <w:t>Kearnes</w:t>
      </w:r>
      <w:proofErr w:type="spellEnd"/>
      <w:r w:rsidR="00546183">
        <w:t>, 2019)</w:t>
      </w:r>
      <w:r>
        <w:t xml:space="preserve"> when, in reality, opinions are diverse, complex and continuously changing </w:t>
      </w:r>
      <w:r w:rsidR="00546183">
        <w:t>(</w:t>
      </w:r>
      <w:proofErr w:type="spellStart"/>
      <w:r w:rsidR="00546183" w:rsidRPr="000E695B">
        <w:rPr>
          <w:lang w:eastAsia="en-US"/>
        </w:rPr>
        <w:t>Pellizzoni</w:t>
      </w:r>
      <w:proofErr w:type="spellEnd"/>
      <w:r w:rsidR="00546183">
        <w:rPr>
          <w:lang w:eastAsia="en-US"/>
        </w:rPr>
        <w:t>, 2003</w:t>
      </w:r>
      <w:r w:rsidR="00546183">
        <w:t>)</w:t>
      </w:r>
      <w:r>
        <w:t>.</w:t>
      </w:r>
    </w:p>
    <w:p w14:paraId="04B00866" w14:textId="35CE9998" w:rsidR="00CB44F6" w:rsidRDefault="00CB44F6" w:rsidP="00CB44F6">
      <w:r>
        <w:t xml:space="preserve">The terms ‘actor’ and ‘social agent’ are often used in social science settings </w:t>
      </w:r>
      <w:r w:rsidR="00546183">
        <w:t>(Carley and Newell, 1994)</w:t>
      </w:r>
      <w:r>
        <w:t xml:space="preserve">, possibly chosen as more abstract and neutral terms that avoid preconceptions and prejudicial values attached to the term </w:t>
      </w:r>
      <w:r>
        <w:rPr>
          <w:i/>
        </w:rPr>
        <w:t>stakeholder</w:t>
      </w:r>
      <w:r>
        <w:t xml:space="preserve">. These words can also be used as broader terms than </w:t>
      </w:r>
      <w:r>
        <w:rPr>
          <w:i/>
        </w:rPr>
        <w:t>stakeholder</w:t>
      </w:r>
      <w:r>
        <w:t xml:space="preserve">. For example, the actor analysis literature considers </w:t>
      </w:r>
      <w:r>
        <w:rPr>
          <w:i/>
        </w:rPr>
        <w:t>stakeholder analysis</w:t>
      </w:r>
      <w:r>
        <w:t xml:space="preserve"> as a single and quite limited way of studying actors and their networks</w:t>
      </w:r>
      <w:r w:rsidR="009407E8">
        <w:t xml:space="preserve"> </w:t>
      </w:r>
      <w:r w:rsidR="00546183">
        <w:t>(</w:t>
      </w:r>
      <w:proofErr w:type="spellStart"/>
      <w:r w:rsidR="00546183">
        <w:t>Hermans</w:t>
      </w:r>
      <w:proofErr w:type="spellEnd"/>
      <w:r w:rsidR="00546183">
        <w:t>, 2008)</w:t>
      </w:r>
      <w:r>
        <w:t>. However, while this lack of specificity may be useful in some contexts, it opens the term to divergent interpretations, especially given that the metaphorical roots of the word could be understood to imply play</w:t>
      </w:r>
      <w:r w:rsidR="00322148">
        <w:t>-</w:t>
      </w:r>
      <w:r>
        <w:t>acting and, hence, a lack of authenticity. Furthermore, not all people or species have the capacity to act upon or within a process or situation, even if researchers and other actors would want them to.</w:t>
      </w:r>
    </w:p>
    <w:p w14:paraId="703EDDDC" w14:textId="0E197525" w:rsidR="00CB44F6" w:rsidRDefault="00CB44F6" w:rsidP="00CB44F6">
      <w:r>
        <w:lastRenderedPageBreak/>
        <w:t xml:space="preserve">‘Citizen’ is a term often used to describe both processes (e.g., citizen engagement, citizen participation) and methods or approaches (e.g., citizen assemblies, citizens jury). However, ‘citizens’ can be interpreted as exclusionary and can (further) marginalise and disempower those who do not have official citizenship status, such as refugees or asylum seekers. These people often have important perspectives, which too-often remain unheard in democratic processes </w:t>
      </w:r>
      <w:r w:rsidR="00546183">
        <w:t xml:space="preserve">(Fox and </w:t>
      </w:r>
      <w:proofErr w:type="spellStart"/>
      <w:r w:rsidR="00546183">
        <w:t>Stoett</w:t>
      </w:r>
      <w:proofErr w:type="spellEnd"/>
      <w:r w:rsidR="00546183">
        <w:t>, 2016)</w:t>
      </w:r>
      <w:r>
        <w:t>.</w:t>
      </w:r>
    </w:p>
    <w:p w14:paraId="36D23297" w14:textId="145A750B" w:rsidR="00CB44F6" w:rsidRDefault="00CB44F6" w:rsidP="00CB44F6">
      <w:r>
        <w:t>An alternative approach is to label ‘the ones to be engaged’ according to the role they are expected to play in the process (decisions, interventions, projects and issues). Ballesteros and Dickey-</w:t>
      </w:r>
      <w:proofErr w:type="spellStart"/>
      <w:r>
        <w:t>Collas</w:t>
      </w:r>
      <w:proofErr w:type="spellEnd"/>
      <w:r>
        <w:t xml:space="preserve"> </w:t>
      </w:r>
      <w:r w:rsidR="00546183">
        <w:t xml:space="preserve">(2023) </w:t>
      </w:r>
      <w:r>
        <w:t>propose a typology based on the aim and focus of the process. Labelling participants by their role (expert, observer, contributor, partner) requires defining the rules of the interaction and the expected behaviour of participants. The role provides a clear path of who can be engaged, how, what for and the expected outcome. This approach increases transparency and allows reflection on the suit</w:t>
      </w:r>
      <w:r w:rsidR="00322148">
        <w:t>e</w:t>
      </w:r>
      <w:r>
        <w:t xml:space="preserve"> of roles and who plays them, evidencing asymmetries.</w:t>
      </w:r>
    </w:p>
    <w:p w14:paraId="38EB9376" w14:textId="18310800" w:rsidR="00CB44F6" w:rsidRDefault="00CB44F6" w:rsidP="00CB44F6">
      <w:r>
        <w:t xml:space="preserve">There is an intrinsic limitation to many of the options discussed so far: these terms imply the entities can only be human. Yet, it is important to recognise non-human or more-than-human parties as well. Such recognition is necessary given that we want to tackle interconnected global challenges and be inclusive of holistic ways of knowing and being, which view non-human species as of equal importance to humans. For example, the multispecies justice and multispecies thinking literatures draw on post-humanist thinking to demonstrate the assemblages between human and other species’ wellbeing, and the importance of recognising and giving voice to the agency of other species if we are to solve interconnected ecological sustainability challenges. The term </w:t>
      </w:r>
      <w:r>
        <w:rPr>
          <w:i/>
        </w:rPr>
        <w:t>multispecies stakeholders</w:t>
      </w:r>
      <w:r>
        <w:t xml:space="preserve"> </w:t>
      </w:r>
      <w:proofErr w:type="gramStart"/>
      <w:r>
        <w:t>has</w:t>
      </w:r>
      <w:proofErr w:type="gramEnd"/>
      <w:r>
        <w:t xml:space="preserve"> been derived in order to represent the needs of other species in multi-stakeholder spaces</w:t>
      </w:r>
      <w:r w:rsidR="00616465">
        <w:t xml:space="preserve"> </w:t>
      </w:r>
      <w:r w:rsidR="00546183">
        <w:t>(</w:t>
      </w:r>
      <w:proofErr w:type="spellStart"/>
      <w:r w:rsidR="00546183" w:rsidRPr="00616465">
        <w:rPr>
          <w:lang w:eastAsia="en-US"/>
        </w:rPr>
        <w:t>Rupprecht</w:t>
      </w:r>
      <w:proofErr w:type="spellEnd"/>
      <w:r w:rsidR="00546183">
        <w:rPr>
          <w:lang w:eastAsia="en-US"/>
        </w:rPr>
        <w:t xml:space="preserve"> et al., 2020</w:t>
      </w:r>
      <w:r w:rsidR="00546183">
        <w:t>)</w:t>
      </w:r>
      <w:r>
        <w:t>.</w:t>
      </w:r>
    </w:p>
    <w:p w14:paraId="4084F015" w14:textId="1B8E8F23" w:rsidR="00CB44F6" w:rsidRDefault="00CB44F6" w:rsidP="00CB44F6">
      <w:r>
        <w:t xml:space="preserve">If we are attuned to Indigenous perspectives as we move beyond stakeholder, we must necessarily recognise there are more expansive constructs of relations, relatives and even the sentience, rights and primacy of non-human beings, </w:t>
      </w:r>
      <w:proofErr w:type="gramStart"/>
      <w:r>
        <w:t>places</w:t>
      </w:r>
      <w:proofErr w:type="gramEnd"/>
      <w:r>
        <w:t xml:space="preserve"> and forces </w:t>
      </w:r>
      <w:r w:rsidR="00546183">
        <w:t>(Larsen and Johnson, 2017)</w:t>
      </w:r>
      <w:r>
        <w:t>. Even the distinction between human and non-human parties becomes problematic when trying to reconcile Western and non-Western ontologies. For example, some Quechuan-speaking Andean peoples, or ‘</w:t>
      </w:r>
      <w:proofErr w:type="spellStart"/>
      <w:r>
        <w:t>runakuna</w:t>
      </w:r>
      <w:proofErr w:type="spellEnd"/>
      <w:r>
        <w:t>’ as they term themselves, use the related concept ‘</w:t>
      </w:r>
      <w:proofErr w:type="spellStart"/>
      <w:r>
        <w:t>tirakuna</w:t>
      </w:r>
      <w:proofErr w:type="spellEnd"/>
      <w:r>
        <w:t>’ to describe ‘earth-beings’</w:t>
      </w:r>
      <w:r>
        <w:rPr>
          <w:i/>
        </w:rPr>
        <w:t>,</w:t>
      </w:r>
      <w:r>
        <w:t xml:space="preserve"> such as mountains or rivers while, in the West, these and other entities and species are collectively termed </w:t>
      </w:r>
      <w:r>
        <w:lastRenderedPageBreak/>
        <w:t xml:space="preserve">‘nature’. The Quechuan kinship term ‘ayllu’ refers to a person’s relatives and community, but also to their homeland, including </w:t>
      </w:r>
      <w:proofErr w:type="spellStart"/>
      <w:r>
        <w:t>tirakuna</w:t>
      </w:r>
      <w:proofErr w:type="spellEnd"/>
      <w:r>
        <w:t>. Marisol de la Cadena, a Peruvian anthropologist, has argued</w:t>
      </w:r>
      <w:r w:rsidR="00B423A3">
        <w:t xml:space="preserve"> </w:t>
      </w:r>
      <w:r w:rsidR="00546183">
        <w:t>(2015)</w:t>
      </w:r>
      <w:r>
        <w:t xml:space="preserve"> that relationships in-ayllu cannot be reconciled with Western distinctions between humans and nature, or the distinction between human kin groups and their non-human territory, as </w:t>
      </w:r>
      <w:proofErr w:type="gramStart"/>
      <w:r>
        <w:t>all of</w:t>
      </w:r>
      <w:proofErr w:type="gramEnd"/>
      <w:r>
        <w:t xml:space="preserve"> these things are understood as one interrelated community.</w:t>
      </w:r>
    </w:p>
    <w:p w14:paraId="46FB23C7" w14:textId="2BEEEF18" w:rsidR="00CB44F6" w:rsidRDefault="00CB44F6" w:rsidP="00CB44F6">
      <w:r>
        <w:t>Indeed, the ways other languages name ‘people’, ‘species’, ‘communities’ and ‘places’ sheds some light on potential alternatives. In Spanish and Italian, anglicism (adapting English terms into the local language) is widely used, but the recommended terms include ‘interested parties’</w:t>
      </w:r>
      <w:r>
        <w:rPr>
          <w:i/>
        </w:rPr>
        <w:t xml:space="preserve"> </w:t>
      </w:r>
      <w:r>
        <w:t xml:space="preserve">(Sp.: </w:t>
      </w:r>
      <w:proofErr w:type="spellStart"/>
      <w:r>
        <w:t>partes</w:t>
      </w:r>
      <w:proofErr w:type="spellEnd"/>
      <w:r>
        <w:t xml:space="preserve"> </w:t>
      </w:r>
      <w:proofErr w:type="spellStart"/>
      <w:r>
        <w:t>interesadas</w:t>
      </w:r>
      <w:proofErr w:type="spellEnd"/>
      <w:r>
        <w:t xml:space="preserve">), ‘bearers of interest’ (It.: </w:t>
      </w:r>
      <w:proofErr w:type="spellStart"/>
      <w:r>
        <w:t>portatori</w:t>
      </w:r>
      <w:proofErr w:type="spellEnd"/>
      <w:r>
        <w:t xml:space="preserve"> di interesse</w:t>
      </w:r>
      <w:r w:rsidR="00E8220A">
        <w:t xml:space="preserve">) </w:t>
      </w:r>
      <w:r w:rsidR="00546183">
        <w:t>(Lombardi, 2016)</w:t>
      </w:r>
      <w:r w:rsidR="00E8220A">
        <w:t xml:space="preserve"> </w:t>
      </w:r>
      <w:r>
        <w:t xml:space="preserve">and, less frequently, ‘those affected by the process’ (Sp.: </w:t>
      </w:r>
      <w:proofErr w:type="spellStart"/>
      <w:r>
        <w:t>afectados</w:t>
      </w:r>
      <w:proofErr w:type="spellEnd"/>
      <w:r>
        <w:t xml:space="preserve">/as </w:t>
      </w:r>
      <w:proofErr w:type="spellStart"/>
      <w:r>
        <w:t>por</w:t>
      </w:r>
      <w:proofErr w:type="spellEnd"/>
      <w:r>
        <w:t xml:space="preserve"> </w:t>
      </w:r>
      <w:proofErr w:type="spellStart"/>
      <w:r>
        <w:t>el</w:t>
      </w:r>
      <w:proofErr w:type="spellEnd"/>
      <w:r>
        <w:t xml:space="preserve"> </w:t>
      </w:r>
      <w:proofErr w:type="spellStart"/>
      <w:r>
        <w:t>proceso</w:t>
      </w:r>
      <w:proofErr w:type="spellEnd"/>
      <w:r>
        <w:t xml:space="preserve">). In German, </w:t>
      </w:r>
      <w:r w:rsidR="00322148">
        <w:t>the use of the</w:t>
      </w:r>
      <w:r>
        <w:t xml:space="preserve"> English term </w:t>
      </w:r>
      <w:r w:rsidR="00322148">
        <w:t>stakeholder</w:t>
      </w:r>
      <w:r>
        <w:t xml:space="preserve"> is also preferred, while local versions might be the form ‘</w:t>
      </w:r>
      <w:proofErr w:type="spellStart"/>
      <w:r>
        <w:t>Interessenträger</w:t>
      </w:r>
      <w:proofErr w:type="spellEnd"/>
      <w:r>
        <w:t>’ (</w:t>
      </w:r>
      <w:proofErr w:type="gramStart"/>
      <w:r>
        <w:t>similar to</w:t>
      </w:r>
      <w:proofErr w:type="gramEnd"/>
      <w:r>
        <w:t xml:space="preserve"> Italian</w:t>
      </w:r>
      <w:r w:rsidR="00322148">
        <w:t>, referring to interested parties</w:t>
      </w:r>
      <w:r>
        <w:t>), but also ‘</w:t>
      </w:r>
      <w:proofErr w:type="spellStart"/>
      <w:r>
        <w:t>Anspruchsberechtigter</w:t>
      </w:r>
      <w:proofErr w:type="spellEnd"/>
      <w:r>
        <w:t>’ or ‘</w:t>
      </w:r>
      <w:proofErr w:type="spellStart"/>
      <w:r>
        <w:t>Anspruchsgruppe</w:t>
      </w:r>
      <w:proofErr w:type="spellEnd"/>
      <w:r>
        <w:t>’, referring to the role of entities with claims (‘</w:t>
      </w:r>
      <w:proofErr w:type="spellStart"/>
      <w:r>
        <w:t>Anspruch</w:t>
      </w:r>
      <w:proofErr w:type="spellEnd"/>
      <w:r>
        <w:t xml:space="preserve">’) and hinting at a more active role in expressing their requests. In the Urdu language, the preferred term for </w:t>
      </w:r>
      <w:r>
        <w:rPr>
          <w:i/>
        </w:rPr>
        <w:t>stakeholder</w:t>
      </w:r>
      <w:r>
        <w:t xml:space="preserve"> is ‘</w:t>
      </w:r>
      <w:proofErr w:type="spellStart"/>
      <w:r>
        <w:t>hisa-daar</w:t>
      </w:r>
      <w:proofErr w:type="spellEnd"/>
      <w:r>
        <w:t>’ (or the one who holds a stake), whereas ‘partner’ means ‘</w:t>
      </w:r>
      <w:proofErr w:type="spellStart"/>
      <w:r>
        <w:t>saathi</w:t>
      </w:r>
      <w:proofErr w:type="spellEnd"/>
      <w:r>
        <w:t>’ (the companion).</w:t>
      </w:r>
    </w:p>
    <w:p w14:paraId="2B987471" w14:textId="33651BAB" w:rsidR="00CB44F6" w:rsidRDefault="00CB44F6" w:rsidP="00CB44F6">
      <w:r>
        <w:t xml:space="preserve">‘Interested parties’, as the term </w:t>
      </w:r>
      <w:r>
        <w:rPr>
          <w:i/>
        </w:rPr>
        <w:t>stakeholder</w:t>
      </w:r>
      <w:r>
        <w:t xml:space="preserve"> is translated in Spanish and Italian, and ‘entities’, drawing from German, do not imply these are human. Rather, these parties or entities could include a company or nation state, another species or a community. However, the term ‘entities’ may come across as too impersonal in English, leading to possible offence when people are referred to as ‘entities’. Moreover, there is a problem if ‘parties’ are only described as ‘interested’ as this is only one dimension of the </w:t>
      </w:r>
      <w:r>
        <w:rPr>
          <w:i/>
        </w:rPr>
        <w:t xml:space="preserve">stakeholder </w:t>
      </w:r>
      <w:r>
        <w:t xml:space="preserve">concept. Similarly, following Freeman’s </w:t>
      </w:r>
      <w:r w:rsidR="00546183">
        <w:t>(1984)</w:t>
      </w:r>
      <w:r>
        <w:t xml:space="preserve"> definition, the terms ‘affected parties’ or ‘affected groups’ could be used. However, this only applies to those impacted (whether negatively or positively), not those who are unaffected themselves, but have an interest in or power to facilitate or block something (e.g., gatekeepers). Reed et al. </w:t>
      </w:r>
      <w:r w:rsidR="00546183">
        <w:t>(under review)</w:t>
      </w:r>
      <w:r>
        <w:t xml:space="preserve"> argue that any term needs to capture the concepts of interest, </w:t>
      </w:r>
      <w:proofErr w:type="gramStart"/>
      <w:r>
        <w:t>influence</w:t>
      </w:r>
      <w:proofErr w:type="gramEnd"/>
      <w:r>
        <w:t xml:space="preserve"> and impact, but adding all three descriptors to a term would be cumbersome (e.g., interested, influential and/or impacted parties).</w:t>
      </w:r>
    </w:p>
    <w:p w14:paraId="12B7E327" w14:textId="73C143DD" w:rsidR="00CB44F6" w:rsidRDefault="00CB44F6" w:rsidP="00CB44F6">
      <w:r>
        <w:t xml:space="preserve">Reed and Rudman </w:t>
      </w:r>
      <w:r w:rsidR="00546183">
        <w:t>(2022)</w:t>
      </w:r>
      <w:r>
        <w:t xml:space="preserve"> used ‘interested/affected</w:t>
      </w:r>
      <w:r>
        <w:rPr>
          <w:i/>
        </w:rPr>
        <w:t xml:space="preserve"> </w:t>
      </w:r>
      <w:r>
        <w:t xml:space="preserve">groups and non-academic partners’, referring to each group separately when wishing to distinguish between those who are not directly engaged with the research (and so cannot be referred to as partners). They qualified this definition by including those who may, for example, have significant influence without sufficient direct impact or interest to </w:t>
      </w:r>
      <w:r>
        <w:lastRenderedPageBreak/>
        <w:t>engage (typically individuals and organisations in gatekeeper roles), or who may, for example, be significantly impacted by research, but have limited interest or influence (typically marginalised, powerless and often oppressed groups). However, the use of a negative prefix in non-academic partners may still imply the superiority of academic partners, so alternatives like ‘professional partners’ may be more appropriate (while still implying only certain types of partners).</w:t>
      </w:r>
    </w:p>
    <w:p w14:paraId="33920950" w14:textId="77777777" w:rsidR="00CB44F6" w:rsidRDefault="00CB44F6" w:rsidP="00CB44F6">
      <w:r>
        <w:t xml:space="preserve">In view of all of this, ‘relevant parties’ or ‘relevant groups’ might be suitable in multiple contexts. Most people can understand the intent of relevant parties without having to consult a dictionary or the literature, and ‘relevant groups’ is an immediately understandable alternative. However, the term ‘relevant’ may also be problematic as it implies who has the control or power to define criteria and judge relevance. Thus, ‘relevance’ is open to abuses of power that could lead to the exclusion of groups not considered sufficiently relevant by those who make these judgements, particularly given how easy it is to make such decisions in accordance with the existing power structures and personal biases that already drive the problematic </w:t>
      </w:r>
      <w:r>
        <w:rPr>
          <w:i/>
        </w:rPr>
        <w:t>stakeholder paradigm</w:t>
      </w:r>
      <w:r>
        <w:t>.</w:t>
      </w:r>
    </w:p>
    <w:p w14:paraId="047C1A1B" w14:textId="6CC439B6" w:rsidR="00CB44F6" w:rsidRDefault="00CB44F6" w:rsidP="00CB44F6">
      <w:r>
        <w:t xml:space="preserve">Nevertheless, ‘relevance’ has merit because it makes the power/access issue explicit and often leads directly to the need for a systematic analysis of who should be included. Further, ‘relevance’ meets the first two of </w:t>
      </w:r>
      <w:proofErr w:type="spellStart"/>
      <w:r>
        <w:t>Gerring’s</w:t>
      </w:r>
      <w:proofErr w:type="spellEnd"/>
      <w:r>
        <w:t xml:space="preserve"> </w:t>
      </w:r>
      <w:r w:rsidR="008E6E10">
        <w:t>[1]</w:t>
      </w:r>
      <w:r>
        <w:t xml:space="preserve"> criteria for effective concept formation (familiarity and resonance). It is also short (or parsimonious, as </w:t>
      </w:r>
      <w:proofErr w:type="spellStart"/>
      <w:r>
        <w:t>Gerring</w:t>
      </w:r>
      <w:proofErr w:type="spellEnd"/>
      <w:r>
        <w:t xml:space="preserve"> put it), can be coherently applied in a range of contexts, is distinct from other similar concepts, and is useful to explain who is most relevant to engage with in theory and practice, thereby meeting each of </w:t>
      </w:r>
      <w:proofErr w:type="spellStart"/>
      <w:r>
        <w:t>Gerring’s</w:t>
      </w:r>
      <w:proofErr w:type="spellEnd"/>
      <w:r>
        <w:t xml:space="preserve"> other criteria</w:t>
      </w:r>
      <w:r w:rsidR="00315A54">
        <w:t xml:space="preserve"> [1]</w:t>
      </w:r>
      <w:r>
        <w:t>.</w:t>
      </w:r>
    </w:p>
    <w:p w14:paraId="280241B2" w14:textId="77777777" w:rsidR="00CB44F6" w:rsidRPr="00761EFC" w:rsidRDefault="00CB44F6" w:rsidP="00CB44F6">
      <w:r>
        <w:t>While it might be tempting to adopt ‘relevant parties/groups’ and carry on, we argue that doing so is insufficient and shirks the substantial responsibility we have as researchers. As we state in our main paper, we encourage researchers to follow nuanced, engaged processes that fully involve and respect the species and entities most relevant to the work and outcomes in which researchers play a role. Doing so will lead to myriad terms, each ideally used in context-more-appropriate ways than any prescription we could provide.</w:t>
      </w:r>
    </w:p>
    <w:p w14:paraId="7014D89E" w14:textId="2447FAAB" w:rsidR="000C556B" w:rsidRDefault="003F4BB5" w:rsidP="003F4BB5">
      <w:pPr>
        <w:pStyle w:val="Heading1"/>
      </w:pPr>
      <w:r>
        <w:t>References</w:t>
      </w:r>
    </w:p>
    <w:p w14:paraId="65C2CA77" w14:textId="455F46DC" w:rsidR="00546183" w:rsidRDefault="00546183" w:rsidP="00546183">
      <w:pPr>
        <w:spacing w:after="0" w:line="360" w:lineRule="auto"/>
        <w:ind w:left="360" w:hanging="360"/>
        <w:rPr>
          <w:lang w:eastAsia="en-US"/>
        </w:rPr>
      </w:pPr>
      <w:r w:rsidRPr="00B313C3">
        <w:t>Ballesteros M, Dickey-</w:t>
      </w:r>
      <w:proofErr w:type="spellStart"/>
      <w:r w:rsidRPr="00B313C3">
        <w:t>Collas</w:t>
      </w:r>
      <w:proofErr w:type="spellEnd"/>
      <w:r w:rsidRPr="00B313C3">
        <w:t xml:space="preserve"> M</w:t>
      </w:r>
      <w:r>
        <w:t xml:space="preserve"> (</w:t>
      </w:r>
      <w:r w:rsidRPr="00B313C3">
        <w:t>2023</w:t>
      </w:r>
      <w:r>
        <w:t>)</w:t>
      </w:r>
      <w:r w:rsidRPr="00B313C3">
        <w:t xml:space="preserve"> Managing participation across boundaries: </w:t>
      </w:r>
      <w:r>
        <w:t>a</w:t>
      </w:r>
      <w:r w:rsidRPr="00B313C3">
        <w:t xml:space="preserve"> typology for stakeholder engagement in the International Council for the Exploration of the Sea. Marine Policy</w:t>
      </w:r>
      <w:r>
        <w:t xml:space="preserve"> </w:t>
      </w:r>
      <w:r w:rsidRPr="00B313C3">
        <w:t>147:105389</w:t>
      </w:r>
    </w:p>
    <w:p w14:paraId="4F286A90" w14:textId="3B8DEE14" w:rsidR="00546183" w:rsidRDefault="00546183" w:rsidP="00546183">
      <w:pPr>
        <w:spacing w:after="0" w:line="360" w:lineRule="auto"/>
        <w:ind w:left="360" w:hanging="360"/>
        <w:rPr>
          <w:lang w:eastAsia="en-US"/>
        </w:rPr>
      </w:pPr>
      <w:r w:rsidRPr="00322148">
        <w:lastRenderedPageBreak/>
        <w:t>Carley K, Newell A</w:t>
      </w:r>
      <w:r>
        <w:t xml:space="preserve"> (</w:t>
      </w:r>
      <w:r w:rsidRPr="00322148">
        <w:t>1994</w:t>
      </w:r>
      <w:r>
        <w:t>)</w:t>
      </w:r>
      <w:r w:rsidRPr="00322148">
        <w:t xml:space="preserve"> The nature of the social agent. Journal of </w:t>
      </w:r>
      <w:r>
        <w:t>M</w:t>
      </w:r>
      <w:r w:rsidRPr="00322148">
        <w:t xml:space="preserve">athematical </w:t>
      </w:r>
      <w:r>
        <w:t>S</w:t>
      </w:r>
      <w:r w:rsidRPr="00322148">
        <w:t>ociology</w:t>
      </w:r>
      <w:r>
        <w:t xml:space="preserve"> </w:t>
      </w:r>
      <w:r w:rsidRPr="00322148">
        <w:t>19(4):221-62</w:t>
      </w:r>
    </w:p>
    <w:p w14:paraId="228609A8" w14:textId="5D0CD3D2" w:rsidR="00546183" w:rsidRDefault="00546183" w:rsidP="00546183">
      <w:pPr>
        <w:pStyle w:val="NoSpacing"/>
        <w:ind w:left="360" w:hanging="360"/>
      </w:pPr>
      <w:r w:rsidRPr="00E02D05">
        <w:rPr>
          <w:color w:val="1F1F1F"/>
        </w:rPr>
        <w:t xml:space="preserve">Chilvers J, </w:t>
      </w:r>
      <w:proofErr w:type="spellStart"/>
      <w:r w:rsidRPr="00E02D05">
        <w:rPr>
          <w:color w:val="1F1F1F"/>
        </w:rPr>
        <w:t>Kearnes</w:t>
      </w:r>
      <w:proofErr w:type="spellEnd"/>
      <w:r w:rsidRPr="00E02D05">
        <w:rPr>
          <w:color w:val="1F1F1F"/>
        </w:rPr>
        <w:t xml:space="preserve"> M</w:t>
      </w:r>
      <w:r>
        <w:rPr>
          <w:color w:val="1F1F1F"/>
        </w:rPr>
        <w:t xml:space="preserve"> (</w:t>
      </w:r>
      <w:r w:rsidRPr="00E02D05">
        <w:rPr>
          <w:color w:val="1F1F1F"/>
        </w:rPr>
        <w:t>2019</w:t>
      </w:r>
      <w:r>
        <w:rPr>
          <w:color w:val="1F1F1F"/>
        </w:rPr>
        <w:t>)</w:t>
      </w:r>
      <w:r w:rsidRPr="00E02D05">
        <w:rPr>
          <w:color w:val="1F1F1F"/>
        </w:rPr>
        <w:t xml:space="preserve"> Remaking Participation in Science and Democracy. Science, Technology, &amp; Human Values</w:t>
      </w:r>
      <w:r>
        <w:rPr>
          <w:color w:val="1F1F1F"/>
        </w:rPr>
        <w:t xml:space="preserve"> </w:t>
      </w:r>
      <w:r w:rsidRPr="00E02D05">
        <w:rPr>
          <w:color w:val="1F1F1F"/>
        </w:rPr>
        <w:t>45(3):347–80</w:t>
      </w:r>
    </w:p>
    <w:p w14:paraId="387AFF69" w14:textId="7D87770E" w:rsidR="00546183" w:rsidRDefault="00546183" w:rsidP="00546183">
      <w:pPr>
        <w:spacing w:after="0" w:line="360" w:lineRule="auto"/>
        <w:ind w:left="360" w:hanging="360"/>
        <w:rPr>
          <w:lang w:eastAsia="en-US"/>
        </w:rPr>
      </w:pPr>
      <w:r w:rsidRPr="00EC0CA6">
        <w:rPr>
          <w:lang w:eastAsia="en-US"/>
        </w:rPr>
        <w:t>de la Cadena M</w:t>
      </w:r>
      <w:r>
        <w:rPr>
          <w:lang w:eastAsia="en-US"/>
        </w:rPr>
        <w:t xml:space="preserve"> (</w:t>
      </w:r>
      <w:r w:rsidRPr="00EC0CA6">
        <w:rPr>
          <w:lang w:eastAsia="en-US"/>
        </w:rPr>
        <w:t>2015</w:t>
      </w:r>
      <w:r>
        <w:rPr>
          <w:lang w:eastAsia="en-US"/>
        </w:rPr>
        <w:t>)</w:t>
      </w:r>
      <w:r w:rsidRPr="00EC0CA6">
        <w:rPr>
          <w:lang w:eastAsia="en-US"/>
        </w:rPr>
        <w:t xml:space="preserve"> Earth Beings: </w:t>
      </w:r>
      <w:r>
        <w:rPr>
          <w:lang w:eastAsia="en-US"/>
        </w:rPr>
        <w:t>e</w:t>
      </w:r>
      <w:r w:rsidRPr="00EC0CA6">
        <w:rPr>
          <w:lang w:eastAsia="en-US"/>
        </w:rPr>
        <w:t xml:space="preserve">cologies of </w:t>
      </w:r>
      <w:r>
        <w:rPr>
          <w:lang w:eastAsia="en-US"/>
        </w:rPr>
        <w:t>p</w:t>
      </w:r>
      <w:r w:rsidRPr="00EC0CA6">
        <w:rPr>
          <w:lang w:eastAsia="en-US"/>
        </w:rPr>
        <w:t xml:space="preserve">ractice </w:t>
      </w:r>
      <w:r>
        <w:rPr>
          <w:lang w:eastAsia="en-US"/>
        </w:rPr>
        <w:t>a</w:t>
      </w:r>
      <w:r w:rsidRPr="00EC0CA6">
        <w:rPr>
          <w:lang w:eastAsia="en-US"/>
        </w:rPr>
        <w:t xml:space="preserve">cross Andean </w:t>
      </w:r>
      <w:r>
        <w:rPr>
          <w:lang w:eastAsia="en-US"/>
        </w:rPr>
        <w:t>w</w:t>
      </w:r>
      <w:r w:rsidRPr="00EC0CA6">
        <w:rPr>
          <w:lang w:eastAsia="en-US"/>
        </w:rPr>
        <w:t>orlds. Durham: Duke University Press</w:t>
      </w:r>
    </w:p>
    <w:p w14:paraId="69B2FDAF" w14:textId="05E7DD5D" w:rsidR="00546183" w:rsidRDefault="00546183" w:rsidP="00546183">
      <w:pPr>
        <w:spacing w:after="0" w:line="360" w:lineRule="auto"/>
        <w:ind w:left="360" w:hanging="360"/>
        <w:rPr>
          <w:lang w:eastAsia="en-US"/>
        </w:rPr>
      </w:pPr>
      <w:proofErr w:type="spellStart"/>
      <w:r w:rsidRPr="00F84A1D">
        <w:rPr>
          <w:lang w:eastAsia="en-US"/>
        </w:rPr>
        <w:t>Fendler</w:t>
      </w:r>
      <w:proofErr w:type="spellEnd"/>
      <w:r w:rsidRPr="00F84A1D">
        <w:rPr>
          <w:lang w:eastAsia="en-US"/>
        </w:rPr>
        <w:t xml:space="preserve"> L</w:t>
      </w:r>
      <w:r>
        <w:rPr>
          <w:lang w:eastAsia="en-US"/>
        </w:rPr>
        <w:t xml:space="preserve"> (</w:t>
      </w:r>
      <w:r w:rsidRPr="00F84A1D">
        <w:rPr>
          <w:lang w:eastAsia="en-US"/>
        </w:rPr>
        <w:t>2006</w:t>
      </w:r>
      <w:r>
        <w:rPr>
          <w:lang w:eastAsia="en-US"/>
        </w:rPr>
        <w:t>)</w:t>
      </w:r>
      <w:r w:rsidRPr="00F84A1D">
        <w:rPr>
          <w:lang w:eastAsia="en-US"/>
        </w:rPr>
        <w:t xml:space="preserve"> Others and the Problem of Community. Curriculum Inquiry</w:t>
      </w:r>
      <w:r>
        <w:rPr>
          <w:lang w:eastAsia="en-US"/>
        </w:rPr>
        <w:t xml:space="preserve"> </w:t>
      </w:r>
      <w:r w:rsidRPr="00F84A1D">
        <w:rPr>
          <w:lang w:eastAsia="en-US"/>
        </w:rPr>
        <w:t>36(3):303</w:t>
      </w:r>
      <w:r>
        <w:rPr>
          <w:lang w:eastAsia="en-US"/>
        </w:rPr>
        <w:t>-</w:t>
      </w:r>
      <w:r w:rsidRPr="00F84A1D">
        <w:rPr>
          <w:lang w:eastAsia="en-US"/>
        </w:rPr>
        <w:t>26</w:t>
      </w:r>
      <w:r w:rsidRPr="002D1D2D">
        <w:rPr>
          <w:lang w:eastAsia="en-US"/>
        </w:rPr>
        <w:t>.</w:t>
      </w:r>
    </w:p>
    <w:p w14:paraId="3AE21016" w14:textId="40BA5A91" w:rsidR="00546183" w:rsidRDefault="00546183" w:rsidP="00546183">
      <w:pPr>
        <w:spacing w:after="0" w:line="360" w:lineRule="auto"/>
        <w:ind w:left="360" w:hanging="360"/>
        <w:rPr>
          <w:lang w:eastAsia="en-US"/>
        </w:rPr>
      </w:pPr>
      <w:r w:rsidRPr="0086337C">
        <w:t xml:space="preserve">Fox O, </w:t>
      </w:r>
      <w:proofErr w:type="spellStart"/>
      <w:r w:rsidRPr="0086337C">
        <w:t>Stoett</w:t>
      </w:r>
      <w:proofErr w:type="spellEnd"/>
      <w:r w:rsidRPr="0086337C">
        <w:t xml:space="preserve"> P</w:t>
      </w:r>
      <w:r>
        <w:t xml:space="preserve"> (</w:t>
      </w:r>
      <w:r w:rsidRPr="0086337C">
        <w:t>2016</w:t>
      </w:r>
      <w:r>
        <w:t>)</w:t>
      </w:r>
      <w:r w:rsidRPr="0086337C">
        <w:t xml:space="preserve"> Citizen participation in the UN Sustainable Development Goals consultation process: Toward global democratic governance. Global Governance</w:t>
      </w:r>
      <w:r>
        <w:t xml:space="preserve"> </w:t>
      </w:r>
      <w:r w:rsidRPr="0086337C">
        <w:t>22:555</w:t>
      </w:r>
    </w:p>
    <w:p w14:paraId="19431BD6" w14:textId="17E94C7E" w:rsidR="00546183" w:rsidRPr="00D32C67" w:rsidRDefault="00546183" w:rsidP="00546183">
      <w:pPr>
        <w:spacing w:before="0" w:after="0" w:line="360" w:lineRule="auto"/>
        <w:ind w:left="360" w:hanging="360"/>
        <w:rPr>
          <w:lang w:eastAsia="en-US"/>
        </w:rPr>
      </w:pPr>
      <w:r w:rsidRPr="00D32C67">
        <w:rPr>
          <w:lang w:eastAsia="en-US"/>
        </w:rPr>
        <w:t>Freeman RE</w:t>
      </w:r>
      <w:r>
        <w:rPr>
          <w:lang w:eastAsia="en-US"/>
        </w:rPr>
        <w:t xml:space="preserve"> (</w:t>
      </w:r>
      <w:r>
        <w:rPr>
          <w:lang w:eastAsia="en-US"/>
        </w:rPr>
        <w:t>1984</w:t>
      </w:r>
      <w:r>
        <w:rPr>
          <w:lang w:eastAsia="en-US"/>
        </w:rPr>
        <w:t>)</w:t>
      </w:r>
      <w:r w:rsidRPr="00D32C67">
        <w:rPr>
          <w:lang w:eastAsia="en-US"/>
        </w:rPr>
        <w:t xml:space="preserve"> Strategic management: a stakeholder approach. Boston, Massachusetts</w:t>
      </w:r>
      <w:r>
        <w:rPr>
          <w:lang w:eastAsia="en-US"/>
        </w:rPr>
        <w:t xml:space="preserve">: </w:t>
      </w:r>
      <w:r w:rsidRPr="00D32C67">
        <w:rPr>
          <w:lang w:eastAsia="en-US"/>
        </w:rPr>
        <w:t>Pitman</w:t>
      </w:r>
    </w:p>
    <w:p w14:paraId="5779ABAE" w14:textId="4E793284" w:rsidR="004266F1" w:rsidRDefault="004266F1" w:rsidP="00546183">
      <w:pPr>
        <w:spacing w:after="0" w:line="360" w:lineRule="auto"/>
        <w:ind w:left="360" w:hanging="360"/>
        <w:rPr>
          <w:lang w:eastAsia="en-US"/>
        </w:rPr>
      </w:pPr>
      <w:proofErr w:type="spellStart"/>
      <w:r w:rsidRPr="004266F1">
        <w:rPr>
          <w:lang w:eastAsia="en-US"/>
        </w:rPr>
        <w:t>Gerring</w:t>
      </w:r>
      <w:proofErr w:type="spellEnd"/>
      <w:r w:rsidRPr="004266F1">
        <w:rPr>
          <w:lang w:eastAsia="en-US"/>
        </w:rPr>
        <w:t xml:space="preserve"> J</w:t>
      </w:r>
      <w:r w:rsidR="00546183">
        <w:rPr>
          <w:lang w:eastAsia="en-US"/>
        </w:rPr>
        <w:t xml:space="preserve"> (</w:t>
      </w:r>
      <w:r w:rsidR="00546183" w:rsidRPr="004266F1">
        <w:rPr>
          <w:lang w:eastAsia="en-US"/>
        </w:rPr>
        <w:t>1999</w:t>
      </w:r>
      <w:r w:rsidR="00546183">
        <w:rPr>
          <w:lang w:eastAsia="en-US"/>
        </w:rPr>
        <w:t>)</w:t>
      </w:r>
      <w:r w:rsidRPr="004266F1">
        <w:rPr>
          <w:lang w:eastAsia="en-US"/>
        </w:rPr>
        <w:t xml:space="preserve"> What Makes a Concept Good? A </w:t>
      </w:r>
      <w:r w:rsidR="009E3505">
        <w:rPr>
          <w:lang w:eastAsia="en-US"/>
        </w:rPr>
        <w:t>c</w:t>
      </w:r>
      <w:r w:rsidRPr="004266F1">
        <w:rPr>
          <w:lang w:eastAsia="en-US"/>
        </w:rPr>
        <w:t xml:space="preserve">riterial </w:t>
      </w:r>
      <w:r w:rsidR="009E3505">
        <w:rPr>
          <w:lang w:eastAsia="en-US"/>
        </w:rPr>
        <w:t>f</w:t>
      </w:r>
      <w:r w:rsidRPr="004266F1">
        <w:rPr>
          <w:lang w:eastAsia="en-US"/>
        </w:rPr>
        <w:t xml:space="preserve">ramework for </w:t>
      </w:r>
      <w:r w:rsidR="009E3505">
        <w:rPr>
          <w:lang w:eastAsia="en-US"/>
        </w:rPr>
        <w:t>u</w:t>
      </w:r>
      <w:r w:rsidRPr="004266F1">
        <w:rPr>
          <w:lang w:eastAsia="en-US"/>
        </w:rPr>
        <w:t xml:space="preserve">nderstanding </w:t>
      </w:r>
      <w:r w:rsidR="009E3505">
        <w:rPr>
          <w:lang w:eastAsia="en-US"/>
        </w:rPr>
        <w:t>c</w:t>
      </w:r>
      <w:r w:rsidRPr="004266F1">
        <w:rPr>
          <w:lang w:eastAsia="en-US"/>
        </w:rPr>
        <w:t xml:space="preserve">oncept </w:t>
      </w:r>
      <w:r w:rsidR="009E3505">
        <w:rPr>
          <w:lang w:eastAsia="en-US"/>
        </w:rPr>
        <w:t>f</w:t>
      </w:r>
      <w:r w:rsidRPr="004266F1">
        <w:rPr>
          <w:lang w:eastAsia="en-US"/>
        </w:rPr>
        <w:t xml:space="preserve">ormation in the </w:t>
      </w:r>
      <w:r w:rsidR="009E3505">
        <w:rPr>
          <w:lang w:eastAsia="en-US"/>
        </w:rPr>
        <w:t>s</w:t>
      </w:r>
      <w:r w:rsidRPr="004266F1">
        <w:rPr>
          <w:lang w:eastAsia="en-US"/>
        </w:rPr>
        <w:t xml:space="preserve">ocial </w:t>
      </w:r>
      <w:r w:rsidR="009E3505">
        <w:rPr>
          <w:lang w:eastAsia="en-US"/>
        </w:rPr>
        <w:t>s</w:t>
      </w:r>
      <w:r w:rsidRPr="004266F1">
        <w:rPr>
          <w:lang w:eastAsia="en-US"/>
        </w:rPr>
        <w:t>ciences. Polity</w:t>
      </w:r>
      <w:r w:rsidR="00546183">
        <w:rPr>
          <w:lang w:eastAsia="en-US"/>
        </w:rPr>
        <w:t xml:space="preserve"> </w:t>
      </w:r>
      <w:r w:rsidRPr="004266F1">
        <w:rPr>
          <w:lang w:eastAsia="en-US"/>
        </w:rPr>
        <w:t>31(3):357–93</w:t>
      </w:r>
    </w:p>
    <w:p w14:paraId="4BD00FA8" w14:textId="4716E451" w:rsidR="00C8548D" w:rsidRDefault="00575EC0" w:rsidP="00546183">
      <w:pPr>
        <w:spacing w:after="0" w:line="360" w:lineRule="auto"/>
        <w:ind w:left="360" w:hanging="360"/>
        <w:rPr>
          <w:lang w:eastAsia="en-US"/>
        </w:rPr>
      </w:pPr>
      <w:r w:rsidRPr="00575EC0">
        <w:rPr>
          <w:lang w:eastAsia="en-US"/>
        </w:rPr>
        <w:t>Government of British Columbia</w:t>
      </w:r>
      <w:r w:rsidR="00546183">
        <w:rPr>
          <w:lang w:eastAsia="en-US"/>
        </w:rPr>
        <w:t xml:space="preserve"> (</w:t>
      </w:r>
      <w:r w:rsidR="00546183">
        <w:rPr>
          <w:lang w:eastAsia="en-US"/>
        </w:rPr>
        <w:t>2021</w:t>
      </w:r>
      <w:r w:rsidR="00546183">
        <w:rPr>
          <w:lang w:eastAsia="en-US"/>
        </w:rPr>
        <w:t>)</w:t>
      </w:r>
      <w:r w:rsidR="00286680">
        <w:rPr>
          <w:lang w:eastAsia="en-US"/>
        </w:rPr>
        <w:t xml:space="preserve"> </w:t>
      </w:r>
      <w:r w:rsidRPr="00575EC0">
        <w:rPr>
          <w:lang w:eastAsia="en-US"/>
        </w:rPr>
        <w:t xml:space="preserve">Terminology in Indigenous </w:t>
      </w:r>
      <w:proofErr w:type="gramStart"/>
      <w:r w:rsidRPr="00575EC0">
        <w:rPr>
          <w:lang w:eastAsia="en-US"/>
        </w:rPr>
        <w:t>content.</w:t>
      </w:r>
      <w:r w:rsidR="00286680">
        <w:rPr>
          <w:lang w:eastAsia="en-US"/>
        </w:rPr>
        <w:t>.</w:t>
      </w:r>
      <w:proofErr w:type="gramEnd"/>
      <w:r w:rsidR="00286680">
        <w:rPr>
          <w:lang w:eastAsia="en-US"/>
        </w:rPr>
        <w:t xml:space="preserve"> </w:t>
      </w:r>
      <w:hyperlink r:id="rId5" w:history="1">
        <w:r w:rsidR="00546183" w:rsidRPr="00BA0B78">
          <w:rPr>
            <w:rStyle w:val="Hyperlink"/>
            <w:lang w:eastAsia="en-US"/>
          </w:rPr>
          <w:t>https://www2.gov.bc.ca/gov/content/governments/services-for-government/service-experience-digital-delivery/web-content-development-guides/web-style-guide/writing-guide/writing-guide-for-indigenous-content/terminology</w:t>
        </w:r>
      </w:hyperlink>
      <w:r w:rsidR="002636BD">
        <w:rPr>
          <w:lang w:eastAsia="en-US"/>
        </w:rPr>
        <w:t>.</w:t>
      </w:r>
      <w:r w:rsidR="00546183">
        <w:rPr>
          <w:lang w:eastAsia="en-US"/>
        </w:rPr>
        <w:t xml:space="preserve"> Accessed 16 Aug 2023</w:t>
      </w:r>
    </w:p>
    <w:p w14:paraId="7B4BDDA3" w14:textId="4667C1AF" w:rsidR="00575EC0" w:rsidRDefault="00744A81" w:rsidP="00546183">
      <w:pPr>
        <w:spacing w:after="0" w:line="360" w:lineRule="auto"/>
        <w:ind w:left="360" w:hanging="360"/>
        <w:rPr>
          <w:lang w:eastAsia="en-US"/>
        </w:rPr>
      </w:pPr>
      <w:r w:rsidRPr="00744A81">
        <w:rPr>
          <w:lang w:eastAsia="en-US"/>
        </w:rPr>
        <w:t>Gray B</w:t>
      </w:r>
      <w:r w:rsidR="00546183">
        <w:rPr>
          <w:lang w:eastAsia="en-US"/>
        </w:rPr>
        <w:t xml:space="preserve"> (</w:t>
      </w:r>
      <w:r w:rsidR="00546183" w:rsidRPr="00744A81">
        <w:rPr>
          <w:lang w:eastAsia="en-US"/>
        </w:rPr>
        <w:t>1999</w:t>
      </w:r>
      <w:r w:rsidR="00546183">
        <w:rPr>
          <w:lang w:eastAsia="en-US"/>
        </w:rPr>
        <w:t>)</w:t>
      </w:r>
      <w:r w:rsidRPr="00744A81">
        <w:rPr>
          <w:lang w:eastAsia="en-US"/>
        </w:rPr>
        <w:t xml:space="preserve"> Collaborating: </w:t>
      </w:r>
      <w:r w:rsidR="00984F71">
        <w:rPr>
          <w:lang w:eastAsia="en-US"/>
        </w:rPr>
        <w:t>F</w:t>
      </w:r>
      <w:r w:rsidRPr="00744A81">
        <w:rPr>
          <w:lang w:eastAsia="en-US"/>
        </w:rPr>
        <w:t>inding common ground for multiparty problems. San Francisco; London: Jossey Bass</w:t>
      </w:r>
    </w:p>
    <w:p w14:paraId="24C666C6" w14:textId="2D0395D3" w:rsidR="00546183" w:rsidRDefault="00546183" w:rsidP="00546183">
      <w:pPr>
        <w:spacing w:after="0" w:line="360" w:lineRule="auto"/>
        <w:ind w:left="360" w:hanging="360"/>
        <w:rPr>
          <w:lang w:eastAsia="en-US"/>
        </w:rPr>
      </w:pPr>
      <w:proofErr w:type="spellStart"/>
      <w:r w:rsidRPr="00322148">
        <w:t>Hermans</w:t>
      </w:r>
      <w:proofErr w:type="spellEnd"/>
      <w:r w:rsidRPr="00322148">
        <w:t xml:space="preserve"> LM</w:t>
      </w:r>
      <w:r>
        <w:t xml:space="preserve"> (</w:t>
      </w:r>
      <w:r w:rsidRPr="00322148">
        <w:t>2008</w:t>
      </w:r>
      <w:r>
        <w:t>)</w:t>
      </w:r>
      <w:r w:rsidRPr="00322148">
        <w:t xml:space="preserve"> Exploring the promise of actor analysis for environmental policy analysis: lessons from four cases in water resources management. Ecology and Society</w:t>
      </w:r>
      <w:r>
        <w:t xml:space="preserve"> </w:t>
      </w:r>
      <w:r w:rsidRPr="00322148">
        <w:t>13(1)</w:t>
      </w:r>
    </w:p>
    <w:p w14:paraId="2997E041" w14:textId="6CA9C0D2" w:rsidR="00546183" w:rsidRDefault="00546183" w:rsidP="00546183">
      <w:pPr>
        <w:spacing w:after="0" w:line="360" w:lineRule="auto"/>
        <w:ind w:left="360" w:hanging="360"/>
        <w:rPr>
          <w:lang w:eastAsia="en-US"/>
        </w:rPr>
      </w:pPr>
      <w:r>
        <w:t>Larsen SC, Johnson JT</w:t>
      </w:r>
      <w:r>
        <w:t xml:space="preserve"> (</w:t>
      </w:r>
      <w:r>
        <w:t>2017</w:t>
      </w:r>
      <w:r>
        <w:t>)</w:t>
      </w:r>
      <w:r>
        <w:t xml:space="preserve"> Being together in place: Indigenous coexistence in a more than human world. </w:t>
      </w:r>
      <w:r w:rsidRPr="0086337C">
        <w:t>Minneapolis:</w:t>
      </w:r>
      <w:r>
        <w:t xml:space="preserve"> University of Minnesota Press</w:t>
      </w:r>
    </w:p>
    <w:p w14:paraId="3381A427" w14:textId="3A7AF71D" w:rsidR="00546183" w:rsidRDefault="00546183" w:rsidP="00546183">
      <w:pPr>
        <w:pStyle w:val="NoSpacing"/>
        <w:ind w:left="360" w:hanging="360"/>
      </w:pPr>
      <w:r>
        <w:t>Lombardi VE</w:t>
      </w:r>
      <w:r>
        <w:t xml:space="preserve"> (</w:t>
      </w:r>
      <w:r>
        <w:t>2016</w:t>
      </w:r>
      <w:r>
        <w:t>)</w:t>
      </w:r>
      <w:r>
        <w:t xml:space="preserve"> Un </w:t>
      </w:r>
      <w:proofErr w:type="spellStart"/>
      <w:r>
        <w:t>portatore</w:t>
      </w:r>
      <w:proofErr w:type="spellEnd"/>
      <w:r>
        <w:t xml:space="preserve"> di</w:t>
      </w:r>
      <w:proofErr w:type="spellStart"/>
      <w:r>
        <w:t xml:space="preserve"> interessi</w:t>
      </w:r>
      <w:proofErr w:type="spellEnd"/>
      <w:r>
        <w:t xml:space="preserve"> </w:t>
      </w:r>
      <w:proofErr w:type="spellStart"/>
      <w:r>
        <w:t>chiamato</w:t>
      </w:r>
      <w:proofErr w:type="spellEnd"/>
      <w:r>
        <w:t xml:space="preserve"> stakeholder. </w:t>
      </w:r>
      <w:r w:rsidRPr="002636BD">
        <w:t>Accademia</w:t>
      </w:r>
      <w:r>
        <w:t xml:space="preserve"> </w:t>
      </w:r>
      <w:proofErr w:type="spellStart"/>
      <w:r w:rsidRPr="002636BD">
        <w:t>della</w:t>
      </w:r>
      <w:proofErr w:type="spellEnd"/>
      <w:r>
        <w:t xml:space="preserve"> </w:t>
      </w:r>
      <w:proofErr w:type="spellStart"/>
      <w:r>
        <w:t>C</w:t>
      </w:r>
      <w:r w:rsidRPr="002636BD">
        <w:t>rusca</w:t>
      </w:r>
      <w:proofErr w:type="spellEnd"/>
      <w:r>
        <w:t>.</w:t>
      </w:r>
      <w:r>
        <w:t xml:space="preserve"> </w:t>
      </w:r>
      <w:hyperlink r:id="rId6" w:history="1">
        <w:r w:rsidRPr="00BA0B78">
          <w:rPr>
            <w:rStyle w:val="Hyperlink"/>
          </w:rPr>
          <w:t>https://accademiadellacrusca.it/it/consulenza/un-portatore-di-interessi-chiamato-stakeholder/1127</w:t>
        </w:r>
      </w:hyperlink>
      <w:r>
        <w:t>.</w:t>
      </w:r>
      <w:r>
        <w:t xml:space="preserve"> Accessed 16 Aug 2023</w:t>
      </w:r>
    </w:p>
    <w:p w14:paraId="255F8BB2" w14:textId="25BF0053" w:rsidR="00546183" w:rsidRPr="00334A86" w:rsidRDefault="00546183" w:rsidP="00546183">
      <w:pPr>
        <w:spacing w:before="0" w:after="0" w:line="360" w:lineRule="auto"/>
        <w:ind w:left="360" w:hanging="360"/>
        <w:rPr>
          <w:lang w:eastAsia="en-US"/>
        </w:rPr>
      </w:pPr>
      <w:r w:rsidRPr="00334A86">
        <w:rPr>
          <w:lang w:eastAsia="en-US"/>
        </w:rPr>
        <w:t>Merkle BG</w:t>
      </w:r>
      <w:r>
        <w:rPr>
          <w:lang w:eastAsia="en-US"/>
        </w:rPr>
        <w:t>,</w:t>
      </w:r>
      <w:r w:rsidRPr="00334A86">
        <w:rPr>
          <w:lang w:eastAsia="en-US"/>
        </w:rPr>
        <w:t xml:space="preserve"> Valdez-Ward</w:t>
      </w:r>
      <w:r>
        <w:rPr>
          <w:lang w:eastAsia="en-US"/>
        </w:rPr>
        <w:t xml:space="preserve"> </w:t>
      </w:r>
      <w:r w:rsidRPr="00334A86">
        <w:rPr>
          <w:lang w:eastAsia="en-US"/>
        </w:rPr>
        <w:t>E</w:t>
      </w:r>
      <w:r>
        <w:rPr>
          <w:lang w:eastAsia="en-US"/>
        </w:rPr>
        <w:t>,</w:t>
      </w:r>
      <w:r w:rsidRPr="00334A86">
        <w:rPr>
          <w:lang w:eastAsia="en-US"/>
        </w:rPr>
        <w:t xml:space="preserve"> Shukla P</w:t>
      </w:r>
      <w:r>
        <w:rPr>
          <w:lang w:eastAsia="en-US"/>
        </w:rPr>
        <w:t>,</w:t>
      </w:r>
      <w:r w:rsidRPr="00334A86">
        <w:rPr>
          <w:lang w:eastAsia="en-US"/>
        </w:rPr>
        <w:t xml:space="preserve"> Bayer</w:t>
      </w:r>
      <w:r>
        <w:rPr>
          <w:lang w:eastAsia="en-US"/>
        </w:rPr>
        <w:t xml:space="preserve"> </w:t>
      </w:r>
      <w:r w:rsidRPr="00334A86">
        <w:rPr>
          <w:lang w:eastAsia="en-US"/>
        </w:rPr>
        <w:t>SR</w:t>
      </w:r>
      <w:r>
        <w:rPr>
          <w:lang w:eastAsia="en-US"/>
        </w:rPr>
        <w:t xml:space="preserve"> (</w:t>
      </w:r>
      <w:r w:rsidRPr="00334A86">
        <w:rPr>
          <w:lang w:eastAsia="en-US"/>
        </w:rPr>
        <w:t>2022</w:t>
      </w:r>
      <w:r>
        <w:rPr>
          <w:lang w:eastAsia="en-US"/>
        </w:rPr>
        <w:t>)</w:t>
      </w:r>
      <w:r w:rsidRPr="00334A86">
        <w:rPr>
          <w:lang w:eastAsia="en-US"/>
        </w:rPr>
        <w:t xml:space="preserve"> Sharing </w:t>
      </w:r>
      <w:r>
        <w:rPr>
          <w:lang w:eastAsia="en-US"/>
        </w:rPr>
        <w:t>s</w:t>
      </w:r>
      <w:r w:rsidRPr="00334A86">
        <w:rPr>
          <w:lang w:eastAsia="en-US"/>
        </w:rPr>
        <w:t xml:space="preserve">cience </w:t>
      </w:r>
      <w:r>
        <w:rPr>
          <w:lang w:eastAsia="en-US"/>
        </w:rPr>
        <w:t>t</w:t>
      </w:r>
      <w:r w:rsidRPr="00334A86">
        <w:rPr>
          <w:lang w:eastAsia="en-US"/>
        </w:rPr>
        <w:t xml:space="preserve">hrough </w:t>
      </w:r>
      <w:r>
        <w:rPr>
          <w:lang w:eastAsia="en-US"/>
        </w:rPr>
        <w:t>s</w:t>
      </w:r>
      <w:r w:rsidRPr="00334A86">
        <w:rPr>
          <w:lang w:eastAsia="en-US"/>
        </w:rPr>
        <w:t xml:space="preserve">hared </w:t>
      </w:r>
      <w:r>
        <w:rPr>
          <w:lang w:eastAsia="en-US"/>
        </w:rPr>
        <w:t>v</w:t>
      </w:r>
      <w:r w:rsidRPr="00334A86">
        <w:rPr>
          <w:lang w:eastAsia="en-US"/>
        </w:rPr>
        <w:t xml:space="preserve">alues, </w:t>
      </w:r>
      <w:r>
        <w:rPr>
          <w:lang w:eastAsia="en-US"/>
        </w:rPr>
        <w:t>g</w:t>
      </w:r>
      <w:r w:rsidRPr="00334A86">
        <w:rPr>
          <w:lang w:eastAsia="en-US"/>
        </w:rPr>
        <w:t xml:space="preserve">oals, and </w:t>
      </w:r>
      <w:r>
        <w:rPr>
          <w:lang w:eastAsia="en-US"/>
        </w:rPr>
        <w:t>s</w:t>
      </w:r>
      <w:r w:rsidRPr="00334A86">
        <w:rPr>
          <w:lang w:eastAsia="en-US"/>
        </w:rPr>
        <w:t xml:space="preserve">tories: </w:t>
      </w:r>
      <w:r>
        <w:rPr>
          <w:lang w:eastAsia="en-US"/>
        </w:rPr>
        <w:t>a</w:t>
      </w:r>
      <w:r w:rsidRPr="00334A86">
        <w:rPr>
          <w:lang w:eastAsia="en-US"/>
        </w:rPr>
        <w:t xml:space="preserve">n </w:t>
      </w:r>
      <w:r>
        <w:rPr>
          <w:lang w:eastAsia="en-US"/>
        </w:rPr>
        <w:t>e</w:t>
      </w:r>
      <w:r w:rsidRPr="00334A86">
        <w:rPr>
          <w:lang w:eastAsia="en-US"/>
        </w:rPr>
        <w:t>vidence-</w:t>
      </w:r>
      <w:r>
        <w:rPr>
          <w:lang w:eastAsia="en-US"/>
        </w:rPr>
        <w:t>b</w:t>
      </w:r>
      <w:r w:rsidRPr="00334A86">
        <w:rPr>
          <w:lang w:eastAsia="en-US"/>
        </w:rPr>
        <w:t xml:space="preserve">ased </w:t>
      </w:r>
      <w:r>
        <w:rPr>
          <w:lang w:eastAsia="en-US"/>
        </w:rPr>
        <w:t>a</w:t>
      </w:r>
      <w:r w:rsidRPr="00334A86">
        <w:rPr>
          <w:lang w:eastAsia="en-US"/>
        </w:rPr>
        <w:t xml:space="preserve">pproach to </w:t>
      </w:r>
      <w:r>
        <w:rPr>
          <w:lang w:eastAsia="en-US"/>
        </w:rPr>
        <w:t>m</w:t>
      </w:r>
      <w:r w:rsidRPr="00334A86">
        <w:rPr>
          <w:lang w:eastAsia="en-US"/>
        </w:rPr>
        <w:t xml:space="preserve">aking </w:t>
      </w:r>
      <w:r>
        <w:rPr>
          <w:lang w:eastAsia="en-US"/>
        </w:rPr>
        <w:t>s</w:t>
      </w:r>
      <w:r w:rsidRPr="00334A86">
        <w:rPr>
          <w:lang w:eastAsia="en-US"/>
        </w:rPr>
        <w:t xml:space="preserve">cience </w:t>
      </w:r>
      <w:r>
        <w:rPr>
          <w:lang w:eastAsia="en-US"/>
        </w:rPr>
        <w:t>m</w:t>
      </w:r>
      <w:r w:rsidRPr="00334A86">
        <w:rPr>
          <w:lang w:eastAsia="en-US"/>
        </w:rPr>
        <w:t>atter. Human–Wildlife Interactions</w:t>
      </w:r>
      <w:r>
        <w:rPr>
          <w:lang w:eastAsia="en-US"/>
        </w:rPr>
        <w:t xml:space="preserve"> </w:t>
      </w:r>
      <w:r w:rsidRPr="00334A86">
        <w:rPr>
          <w:lang w:eastAsia="en-US"/>
        </w:rPr>
        <w:t>15(3)</w:t>
      </w:r>
      <w:r>
        <w:rPr>
          <w:lang w:eastAsia="en-US"/>
        </w:rPr>
        <w:t>:</w:t>
      </w:r>
      <w:r w:rsidRPr="00334A86">
        <w:rPr>
          <w:lang w:eastAsia="en-US"/>
        </w:rPr>
        <w:t>27</w:t>
      </w:r>
    </w:p>
    <w:p w14:paraId="21E1DF21" w14:textId="34FCCAF7" w:rsidR="00546183" w:rsidRDefault="00546183" w:rsidP="00546183">
      <w:pPr>
        <w:spacing w:before="0" w:after="0" w:line="360" w:lineRule="auto"/>
        <w:ind w:left="360" w:hanging="360"/>
        <w:rPr>
          <w:lang w:eastAsia="en-US"/>
        </w:rPr>
      </w:pPr>
      <w:proofErr w:type="spellStart"/>
      <w:r w:rsidRPr="000E695B">
        <w:rPr>
          <w:lang w:eastAsia="en-US"/>
        </w:rPr>
        <w:t>Pellizzoni</w:t>
      </w:r>
      <w:proofErr w:type="spellEnd"/>
      <w:r w:rsidRPr="000E695B">
        <w:rPr>
          <w:lang w:eastAsia="en-US"/>
        </w:rPr>
        <w:t xml:space="preserve"> L</w:t>
      </w:r>
      <w:r>
        <w:rPr>
          <w:lang w:eastAsia="en-US"/>
        </w:rPr>
        <w:t xml:space="preserve"> (</w:t>
      </w:r>
      <w:r w:rsidRPr="000E695B">
        <w:rPr>
          <w:lang w:eastAsia="en-US"/>
        </w:rPr>
        <w:t>2003</w:t>
      </w:r>
      <w:r>
        <w:rPr>
          <w:lang w:eastAsia="en-US"/>
        </w:rPr>
        <w:t>)</w:t>
      </w:r>
      <w:r w:rsidRPr="000E695B">
        <w:rPr>
          <w:lang w:eastAsia="en-US"/>
        </w:rPr>
        <w:t xml:space="preserve"> Uncertainty and Participatory Democracy. Environmental Values</w:t>
      </w:r>
      <w:r>
        <w:rPr>
          <w:lang w:eastAsia="en-US"/>
        </w:rPr>
        <w:t xml:space="preserve"> </w:t>
      </w:r>
      <w:r w:rsidRPr="000E695B">
        <w:rPr>
          <w:lang w:eastAsia="en-US"/>
        </w:rPr>
        <w:t>12(2):195–224</w:t>
      </w:r>
    </w:p>
    <w:p w14:paraId="6A749480" w14:textId="65B2C2A3" w:rsidR="00546183" w:rsidRPr="00DD6B32" w:rsidRDefault="00546183" w:rsidP="00546183">
      <w:pPr>
        <w:spacing w:after="0" w:line="360" w:lineRule="auto"/>
        <w:ind w:left="360" w:hanging="360"/>
        <w:rPr>
          <w:lang w:eastAsia="en-US"/>
        </w:rPr>
      </w:pPr>
      <w:r w:rsidRPr="00DD6B32">
        <w:rPr>
          <w:lang w:eastAsia="en-US"/>
        </w:rPr>
        <w:t xml:space="preserve">Reed, MS, Jensen JA, Kendall H, </w:t>
      </w:r>
      <w:proofErr w:type="spellStart"/>
      <w:r w:rsidRPr="00DD6B32">
        <w:rPr>
          <w:lang w:eastAsia="en-US"/>
        </w:rPr>
        <w:t>Noles</w:t>
      </w:r>
      <w:proofErr w:type="spellEnd"/>
      <w:r w:rsidRPr="00DD6B32">
        <w:rPr>
          <w:lang w:eastAsia="en-US"/>
        </w:rPr>
        <w:t xml:space="preserve"> S, </w:t>
      </w:r>
      <w:proofErr w:type="spellStart"/>
      <w:r w:rsidRPr="00DD6B32">
        <w:rPr>
          <w:lang w:eastAsia="en-US"/>
        </w:rPr>
        <w:t>Raley</w:t>
      </w:r>
      <w:proofErr w:type="spellEnd"/>
      <w:r w:rsidRPr="00DD6B32">
        <w:rPr>
          <w:lang w:eastAsia="en-US"/>
        </w:rPr>
        <w:t xml:space="preserve"> M, Tarrant A, Oakley N, Hinson C, Hoare V</w:t>
      </w:r>
      <w:r>
        <w:rPr>
          <w:lang w:eastAsia="en-US"/>
        </w:rPr>
        <w:t xml:space="preserve"> (</w:t>
      </w:r>
      <w:r>
        <w:rPr>
          <w:lang w:eastAsia="en-US"/>
        </w:rPr>
        <w:t>Under review</w:t>
      </w:r>
      <w:r>
        <w:rPr>
          <w:lang w:eastAsia="en-US"/>
        </w:rPr>
        <w:t>)</w:t>
      </w:r>
      <w:r w:rsidRPr="00DD6B32">
        <w:rPr>
          <w:lang w:eastAsia="en-US"/>
        </w:rPr>
        <w:t xml:space="preserve"> </w:t>
      </w:r>
      <w:proofErr w:type="spellStart"/>
      <w:r w:rsidRPr="00DD6B32">
        <w:rPr>
          <w:lang w:eastAsia="en-US"/>
        </w:rPr>
        <w:t>Analyzing</w:t>
      </w:r>
      <w:proofErr w:type="spellEnd"/>
      <w:r w:rsidRPr="00DD6B32">
        <w:rPr>
          <w:lang w:eastAsia="en-US"/>
        </w:rPr>
        <w:t xml:space="preserve"> who is relevant to engage in decision-making processes by interests, </w:t>
      </w:r>
      <w:proofErr w:type="gramStart"/>
      <w:r w:rsidRPr="00DD6B32">
        <w:rPr>
          <w:lang w:eastAsia="en-US"/>
        </w:rPr>
        <w:t>influence</w:t>
      </w:r>
      <w:proofErr w:type="gramEnd"/>
      <w:r w:rsidRPr="00DD6B32">
        <w:rPr>
          <w:lang w:eastAsia="en-US"/>
        </w:rPr>
        <w:t xml:space="preserve"> and impact: the 3i methodological framework</w:t>
      </w:r>
      <w:r>
        <w:rPr>
          <w:lang w:eastAsia="en-US"/>
        </w:rPr>
        <w:t xml:space="preserve"> </w:t>
      </w:r>
      <w:r w:rsidRPr="00546183">
        <w:rPr>
          <w:i/>
          <w:iCs/>
          <w:lang w:eastAsia="en-US"/>
        </w:rPr>
        <w:t>Biological Conservation.</w:t>
      </w:r>
    </w:p>
    <w:p w14:paraId="1571DEED" w14:textId="086603D5" w:rsidR="00546183" w:rsidRPr="003F4BB5" w:rsidRDefault="00546183" w:rsidP="00546183">
      <w:pPr>
        <w:spacing w:after="0" w:line="360" w:lineRule="auto"/>
        <w:ind w:left="360" w:hanging="360"/>
        <w:rPr>
          <w:lang w:eastAsia="en-US"/>
        </w:rPr>
      </w:pPr>
      <w:r w:rsidRPr="008E6E10">
        <w:rPr>
          <w:lang w:eastAsia="en-US"/>
        </w:rPr>
        <w:t>Reed MS, Rudman H</w:t>
      </w:r>
      <w:r>
        <w:rPr>
          <w:lang w:eastAsia="en-US"/>
        </w:rPr>
        <w:t xml:space="preserve"> (</w:t>
      </w:r>
      <w:r w:rsidRPr="008E6E10">
        <w:rPr>
          <w:lang w:eastAsia="en-US"/>
        </w:rPr>
        <w:t>2022</w:t>
      </w:r>
      <w:r>
        <w:rPr>
          <w:lang w:eastAsia="en-US"/>
        </w:rPr>
        <w:t>)</w:t>
      </w:r>
      <w:r w:rsidRPr="008E6E10">
        <w:rPr>
          <w:lang w:eastAsia="en-US"/>
        </w:rPr>
        <w:t xml:space="preserve"> Re-thinking research impact: voice, </w:t>
      </w:r>
      <w:proofErr w:type="gramStart"/>
      <w:r w:rsidRPr="008E6E10">
        <w:rPr>
          <w:lang w:eastAsia="en-US"/>
        </w:rPr>
        <w:t>context</w:t>
      </w:r>
      <w:proofErr w:type="gramEnd"/>
      <w:r w:rsidRPr="008E6E10">
        <w:rPr>
          <w:lang w:eastAsia="en-US"/>
        </w:rPr>
        <w:t xml:space="preserve"> and power at the interface of science, policy and practice. Sustainability Science</w:t>
      </w:r>
      <w:r>
        <w:rPr>
          <w:lang w:eastAsia="en-US"/>
        </w:rPr>
        <w:t xml:space="preserve"> </w:t>
      </w:r>
      <w:r w:rsidRPr="00546183">
        <w:rPr>
          <w:color w:val="222222"/>
          <w:szCs w:val="20"/>
          <w:shd w:val="clear" w:color="auto" w:fill="FFFFFF"/>
        </w:rPr>
        <w:t>18(2):967-81</w:t>
      </w:r>
    </w:p>
    <w:p w14:paraId="6FFC5D4B" w14:textId="76605099" w:rsidR="00546183" w:rsidRDefault="00546183" w:rsidP="00546183">
      <w:pPr>
        <w:spacing w:after="0" w:line="360" w:lineRule="auto"/>
        <w:ind w:left="360" w:hanging="360"/>
        <w:rPr>
          <w:lang w:eastAsia="en-US"/>
        </w:rPr>
      </w:pPr>
      <w:proofErr w:type="spellStart"/>
      <w:r w:rsidRPr="00616465">
        <w:rPr>
          <w:lang w:eastAsia="en-US"/>
        </w:rPr>
        <w:t>Rupprecht</w:t>
      </w:r>
      <w:proofErr w:type="spellEnd"/>
      <w:r w:rsidRPr="00616465">
        <w:rPr>
          <w:lang w:eastAsia="en-US"/>
        </w:rPr>
        <w:t xml:space="preserve"> C</w:t>
      </w:r>
      <w:r>
        <w:rPr>
          <w:lang w:eastAsia="en-US"/>
        </w:rPr>
        <w:t>,</w:t>
      </w:r>
      <w:r w:rsidRPr="00616465">
        <w:rPr>
          <w:lang w:eastAsia="en-US"/>
        </w:rPr>
        <w:t xml:space="preserve"> Vervoort J, Berthelsen</w:t>
      </w:r>
      <w:r>
        <w:rPr>
          <w:lang w:eastAsia="en-US"/>
        </w:rPr>
        <w:t xml:space="preserve"> </w:t>
      </w:r>
      <w:r w:rsidRPr="00616465">
        <w:rPr>
          <w:lang w:eastAsia="en-US"/>
        </w:rPr>
        <w:t xml:space="preserve">C, </w:t>
      </w:r>
      <w:proofErr w:type="spellStart"/>
      <w:r w:rsidRPr="00616465">
        <w:rPr>
          <w:lang w:eastAsia="en-US"/>
        </w:rPr>
        <w:t>Mangnus</w:t>
      </w:r>
      <w:proofErr w:type="spellEnd"/>
      <w:r>
        <w:rPr>
          <w:lang w:eastAsia="en-US"/>
        </w:rPr>
        <w:t xml:space="preserve"> </w:t>
      </w:r>
      <w:r w:rsidRPr="00616465">
        <w:rPr>
          <w:lang w:eastAsia="en-US"/>
        </w:rPr>
        <w:t>A, Osborne N, Thompson</w:t>
      </w:r>
      <w:r>
        <w:rPr>
          <w:lang w:eastAsia="en-US"/>
        </w:rPr>
        <w:t xml:space="preserve"> </w:t>
      </w:r>
      <w:r w:rsidRPr="00616465">
        <w:rPr>
          <w:lang w:eastAsia="en-US"/>
        </w:rPr>
        <w:t xml:space="preserve">K </w:t>
      </w:r>
      <w:r>
        <w:rPr>
          <w:lang w:eastAsia="en-US"/>
        </w:rPr>
        <w:t xml:space="preserve">et al. </w:t>
      </w:r>
      <w:r w:rsidR="0000553B">
        <w:rPr>
          <w:lang w:eastAsia="en-US"/>
        </w:rPr>
        <w:t>(</w:t>
      </w:r>
      <w:r w:rsidR="0000553B">
        <w:rPr>
          <w:lang w:eastAsia="en-US"/>
        </w:rPr>
        <w:t>2020</w:t>
      </w:r>
      <w:r w:rsidR="0000553B">
        <w:rPr>
          <w:lang w:eastAsia="en-US"/>
        </w:rPr>
        <w:t xml:space="preserve">) </w:t>
      </w:r>
      <w:r w:rsidRPr="00616465">
        <w:rPr>
          <w:lang w:eastAsia="en-US"/>
        </w:rPr>
        <w:t>Multispecies sustainability. Global Sustainability</w:t>
      </w:r>
      <w:r w:rsidR="0000553B">
        <w:rPr>
          <w:lang w:eastAsia="en-US"/>
        </w:rPr>
        <w:t xml:space="preserve"> </w:t>
      </w:r>
      <w:r w:rsidRPr="00616465">
        <w:rPr>
          <w:lang w:eastAsia="en-US"/>
        </w:rPr>
        <w:t>3</w:t>
      </w:r>
      <w:r>
        <w:rPr>
          <w:lang w:eastAsia="en-US"/>
        </w:rPr>
        <w:t>(</w:t>
      </w:r>
      <w:r w:rsidRPr="00616465">
        <w:rPr>
          <w:lang w:eastAsia="en-US"/>
        </w:rPr>
        <w:t>E34</w:t>
      </w:r>
      <w:r>
        <w:rPr>
          <w:lang w:eastAsia="en-US"/>
        </w:rPr>
        <w:t>)</w:t>
      </w:r>
      <w:r w:rsidRPr="00616465">
        <w:rPr>
          <w:lang w:eastAsia="en-US"/>
        </w:rPr>
        <w:t xml:space="preserve">. </w:t>
      </w:r>
      <w:r>
        <w:rPr>
          <w:lang w:eastAsia="en-US"/>
        </w:rPr>
        <w:t>DOI</w:t>
      </w:r>
      <w:r w:rsidRPr="00616465">
        <w:rPr>
          <w:lang w:eastAsia="en-US"/>
        </w:rPr>
        <w:t>:10.1017/sus.2020.28</w:t>
      </w:r>
    </w:p>
    <w:p w14:paraId="182410A4" w14:textId="2E1EEE43" w:rsidR="00546183" w:rsidRPr="003F4BB5" w:rsidRDefault="004234B9" w:rsidP="0000553B">
      <w:pPr>
        <w:pStyle w:val="NoSpacing"/>
        <w:ind w:left="360" w:hanging="360"/>
      </w:pPr>
      <w:r>
        <w:lastRenderedPageBreak/>
        <w:t>Sheehy B</w:t>
      </w:r>
      <w:r w:rsidR="0000553B">
        <w:t xml:space="preserve"> (</w:t>
      </w:r>
      <w:r w:rsidR="0000553B" w:rsidRPr="004664F6">
        <w:rPr>
          <w:iCs/>
        </w:rPr>
        <w:t>2005</w:t>
      </w:r>
      <w:r w:rsidR="0000553B">
        <w:t>)</w:t>
      </w:r>
      <w:r>
        <w:t xml:space="preserve"> Scrooge-the reluctant stakeholder: theoretical problems in the shareholder-stakeholder debate. </w:t>
      </w:r>
      <w:r w:rsidRPr="003D1D76">
        <w:rPr>
          <w:iCs/>
        </w:rPr>
        <w:t>U. Miami Bus. L. Rev</w:t>
      </w:r>
      <w:r w:rsidR="0000553B">
        <w:rPr>
          <w:iCs/>
        </w:rPr>
        <w:t xml:space="preserve"> </w:t>
      </w:r>
      <w:r w:rsidRPr="004664F6">
        <w:rPr>
          <w:iCs/>
        </w:rPr>
        <w:t>14</w:t>
      </w:r>
      <w:r w:rsidR="00950773">
        <w:t>(</w:t>
      </w:r>
      <w:r>
        <w:t>193</w:t>
      </w:r>
      <w:r w:rsidR="00950773">
        <w:t>)</w:t>
      </w:r>
    </w:p>
    <w:sectPr w:rsidR="00546183" w:rsidRPr="003F4BB5">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8030705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824F2"/>
    <w:multiLevelType w:val="hybridMultilevel"/>
    <w:tmpl w:val="01B853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7731A46"/>
    <w:multiLevelType w:val="hybridMultilevel"/>
    <w:tmpl w:val="6DF245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59046462">
    <w:abstractNumId w:val="1"/>
  </w:num>
  <w:num w:numId="2" w16cid:durableId="116713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F6"/>
    <w:rsid w:val="0000553B"/>
    <w:rsid w:val="0001241C"/>
    <w:rsid w:val="00081B43"/>
    <w:rsid w:val="000C556B"/>
    <w:rsid w:val="000C5AAD"/>
    <w:rsid w:val="000C5CC3"/>
    <w:rsid w:val="000E695B"/>
    <w:rsid w:val="000F70F4"/>
    <w:rsid w:val="001326EA"/>
    <w:rsid w:val="00180D97"/>
    <w:rsid w:val="001B3F6D"/>
    <w:rsid w:val="002636BD"/>
    <w:rsid w:val="00286680"/>
    <w:rsid w:val="00295878"/>
    <w:rsid w:val="002D1D2D"/>
    <w:rsid w:val="002D4279"/>
    <w:rsid w:val="00315A54"/>
    <w:rsid w:val="00322148"/>
    <w:rsid w:val="00334A86"/>
    <w:rsid w:val="00371E47"/>
    <w:rsid w:val="003D1D76"/>
    <w:rsid w:val="003F0FA9"/>
    <w:rsid w:val="003F4BB5"/>
    <w:rsid w:val="004234B9"/>
    <w:rsid w:val="004266F1"/>
    <w:rsid w:val="00434F5B"/>
    <w:rsid w:val="004664F6"/>
    <w:rsid w:val="00471B85"/>
    <w:rsid w:val="004779CD"/>
    <w:rsid w:val="00502795"/>
    <w:rsid w:val="00534930"/>
    <w:rsid w:val="00546183"/>
    <w:rsid w:val="00575EC0"/>
    <w:rsid w:val="005778E8"/>
    <w:rsid w:val="00616465"/>
    <w:rsid w:val="006549D4"/>
    <w:rsid w:val="0071493E"/>
    <w:rsid w:val="00744A81"/>
    <w:rsid w:val="00773A1D"/>
    <w:rsid w:val="007B0C61"/>
    <w:rsid w:val="007B3F09"/>
    <w:rsid w:val="00806297"/>
    <w:rsid w:val="0086337C"/>
    <w:rsid w:val="008A4FAD"/>
    <w:rsid w:val="008E6E10"/>
    <w:rsid w:val="00912E80"/>
    <w:rsid w:val="009407E8"/>
    <w:rsid w:val="00950773"/>
    <w:rsid w:val="00972C7C"/>
    <w:rsid w:val="00984F71"/>
    <w:rsid w:val="009903EF"/>
    <w:rsid w:val="009E3505"/>
    <w:rsid w:val="00A0537A"/>
    <w:rsid w:val="00A11212"/>
    <w:rsid w:val="00A808EA"/>
    <w:rsid w:val="00A8196E"/>
    <w:rsid w:val="00AC17F8"/>
    <w:rsid w:val="00B313C3"/>
    <w:rsid w:val="00B423A3"/>
    <w:rsid w:val="00B54833"/>
    <w:rsid w:val="00B943EC"/>
    <w:rsid w:val="00C37BFB"/>
    <w:rsid w:val="00C8548D"/>
    <w:rsid w:val="00CB44F6"/>
    <w:rsid w:val="00CB6152"/>
    <w:rsid w:val="00CD343F"/>
    <w:rsid w:val="00CE44A2"/>
    <w:rsid w:val="00CF3375"/>
    <w:rsid w:val="00D32C67"/>
    <w:rsid w:val="00D41563"/>
    <w:rsid w:val="00D41ABC"/>
    <w:rsid w:val="00DB4FD0"/>
    <w:rsid w:val="00DD6B32"/>
    <w:rsid w:val="00E02D05"/>
    <w:rsid w:val="00E8220A"/>
    <w:rsid w:val="00EC0CA6"/>
    <w:rsid w:val="00EC32A3"/>
    <w:rsid w:val="00F05BA8"/>
    <w:rsid w:val="00F41FF1"/>
    <w:rsid w:val="00F728CC"/>
    <w:rsid w:val="00F752B2"/>
    <w:rsid w:val="00F84A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45178"/>
  <w15:chartTrackingRefBased/>
  <w15:docId w15:val="{3A9889EB-55B1-4FFE-8D1E-5A5DB8A0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4F6"/>
    <w:pPr>
      <w:spacing w:before="120" w:after="120" w:line="480" w:lineRule="auto"/>
    </w:pPr>
    <w:rPr>
      <w:rFonts w:ascii="Arial" w:eastAsia="Arial" w:hAnsi="Arial" w:cs="Arial"/>
      <w:b w:val="0"/>
      <w:sz w:val="20"/>
      <w:lang w:val="en-GB" w:eastAsia="en-AU"/>
    </w:rPr>
  </w:style>
  <w:style w:type="paragraph" w:styleId="Heading1">
    <w:name w:val="heading 1"/>
    <w:basedOn w:val="Normal"/>
    <w:next w:val="Normal"/>
    <w:link w:val="Heading1Char"/>
    <w:autoRedefine/>
    <w:uiPriority w:val="9"/>
    <w:qFormat/>
    <w:rsid w:val="00CB44F6"/>
    <w:pPr>
      <w:keepNext/>
      <w:keepLines/>
      <w:spacing w:before="240" w:after="0"/>
      <w:outlineLvl w:val="0"/>
    </w:pPr>
    <w:rPr>
      <w:rFonts w:eastAsiaTheme="majorEastAsia" w:cstheme="majorBidi"/>
      <w:sz w:val="32"/>
      <w:szCs w:val="32"/>
      <w:lang w:eastAsia="en-US"/>
    </w:rPr>
  </w:style>
  <w:style w:type="paragraph" w:styleId="Heading2">
    <w:name w:val="heading 2"/>
    <w:basedOn w:val="Normal"/>
    <w:next w:val="Normal"/>
    <w:link w:val="Heading2Char"/>
    <w:uiPriority w:val="9"/>
    <w:unhideWhenUsed/>
    <w:qFormat/>
    <w:rsid w:val="0001241C"/>
    <w:pPr>
      <w:keepNext/>
      <w:keepLines/>
      <w:spacing w:before="40" w:after="0"/>
      <w:outlineLvl w:val="1"/>
    </w:pPr>
    <w:rPr>
      <w:rFonts w:ascii="Times New Roman" w:eastAsiaTheme="majorEastAsia" w:hAnsi="Times New Roman" w:cstheme="majorBidi"/>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4F6"/>
    <w:rPr>
      <w:rFonts w:ascii="Arial" w:eastAsiaTheme="majorEastAsia" w:hAnsi="Arial" w:cstheme="majorBidi"/>
      <w:b w:val="0"/>
      <w:sz w:val="32"/>
      <w:szCs w:val="32"/>
      <w:lang w:val="en-GB"/>
    </w:rPr>
  </w:style>
  <w:style w:type="character" w:customStyle="1" w:styleId="Heading2Char">
    <w:name w:val="Heading 2 Char"/>
    <w:basedOn w:val="DefaultParagraphFont"/>
    <w:link w:val="Heading2"/>
    <w:uiPriority w:val="9"/>
    <w:rsid w:val="0001241C"/>
    <w:rPr>
      <w:rFonts w:eastAsiaTheme="majorEastAsia" w:cstheme="majorBidi"/>
      <w:b w:val="0"/>
      <w:sz w:val="24"/>
      <w:szCs w:val="26"/>
    </w:rPr>
  </w:style>
  <w:style w:type="paragraph" w:customStyle="1" w:styleId="Displayedquotation">
    <w:name w:val="Displayed quotation"/>
    <w:basedOn w:val="Normal"/>
    <w:qFormat/>
    <w:rsid w:val="007B3F09"/>
    <w:pPr>
      <w:tabs>
        <w:tab w:val="left" w:pos="1077"/>
        <w:tab w:val="left" w:pos="1440"/>
        <w:tab w:val="left" w:pos="1797"/>
        <w:tab w:val="left" w:pos="2155"/>
        <w:tab w:val="left" w:pos="2512"/>
      </w:tabs>
      <w:spacing w:before="240" w:after="360" w:line="240" w:lineRule="auto"/>
      <w:ind w:left="567" w:right="567"/>
      <w:contextualSpacing/>
      <w:mirrorIndents/>
    </w:pPr>
    <w:rPr>
      <w:rFonts w:ascii="Palatino Linotype" w:eastAsia="Times New Roman" w:hAnsi="Palatino Linotype" w:cs="Times New Roman"/>
      <w:b/>
      <w:szCs w:val="24"/>
      <w:lang w:eastAsia="en-GB"/>
    </w:rPr>
  </w:style>
  <w:style w:type="paragraph" w:styleId="Caption">
    <w:name w:val="caption"/>
    <w:basedOn w:val="Normal"/>
    <w:next w:val="Normal"/>
    <w:autoRedefine/>
    <w:uiPriority w:val="35"/>
    <w:unhideWhenUsed/>
    <w:qFormat/>
    <w:rsid w:val="000C5CC3"/>
    <w:pPr>
      <w:spacing w:before="0" w:after="200" w:line="240" w:lineRule="auto"/>
    </w:pPr>
    <w:rPr>
      <w:rFonts w:ascii="Times New Roman" w:eastAsiaTheme="minorHAnsi" w:hAnsi="Times New Roman" w:cstheme="minorBidi"/>
      <w:b/>
      <w:i/>
      <w:iCs/>
      <w:color w:val="44546A" w:themeColor="text2"/>
      <w:sz w:val="24"/>
      <w:szCs w:val="18"/>
      <w:lang w:eastAsia="en-US"/>
    </w:rPr>
  </w:style>
  <w:style w:type="paragraph" w:styleId="CommentText">
    <w:name w:val="annotation text"/>
    <w:basedOn w:val="Normal"/>
    <w:link w:val="CommentTextChar"/>
    <w:uiPriority w:val="99"/>
    <w:unhideWhenUsed/>
    <w:rsid w:val="00CB44F6"/>
    <w:pPr>
      <w:spacing w:line="240" w:lineRule="auto"/>
    </w:pPr>
    <w:rPr>
      <w:szCs w:val="20"/>
    </w:rPr>
  </w:style>
  <w:style w:type="character" w:customStyle="1" w:styleId="CommentTextChar">
    <w:name w:val="Comment Text Char"/>
    <w:basedOn w:val="DefaultParagraphFont"/>
    <w:link w:val="CommentText"/>
    <w:uiPriority w:val="99"/>
    <w:rsid w:val="00CB44F6"/>
    <w:rPr>
      <w:rFonts w:ascii="Arial" w:eastAsia="Arial" w:hAnsi="Arial" w:cs="Arial"/>
      <w:b w:val="0"/>
      <w:sz w:val="20"/>
      <w:szCs w:val="20"/>
      <w:lang w:val="en-GB" w:eastAsia="en-AU"/>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9903EF"/>
    <w:pPr>
      <w:ind w:left="720"/>
      <w:contextualSpacing/>
    </w:pPr>
  </w:style>
  <w:style w:type="character" w:styleId="Hyperlink">
    <w:name w:val="Hyperlink"/>
    <w:basedOn w:val="DefaultParagraphFont"/>
    <w:uiPriority w:val="99"/>
    <w:unhideWhenUsed/>
    <w:rsid w:val="00575EC0"/>
    <w:rPr>
      <w:color w:val="0563C1" w:themeColor="hyperlink"/>
      <w:u w:val="single"/>
    </w:rPr>
  </w:style>
  <w:style w:type="character" w:styleId="UnresolvedMention">
    <w:name w:val="Unresolved Mention"/>
    <w:basedOn w:val="DefaultParagraphFont"/>
    <w:uiPriority w:val="99"/>
    <w:semiHidden/>
    <w:unhideWhenUsed/>
    <w:rsid w:val="00575EC0"/>
    <w:rPr>
      <w:color w:val="605E5C"/>
      <w:shd w:val="clear" w:color="auto" w:fill="E1DFDD"/>
    </w:rPr>
  </w:style>
  <w:style w:type="paragraph" w:styleId="NoSpacing">
    <w:name w:val="No Spacing"/>
    <w:uiPriority w:val="1"/>
    <w:qFormat/>
    <w:rsid w:val="004234B9"/>
    <w:pPr>
      <w:spacing w:line="360" w:lineRule="auto"/>
    </w:pPr>
    <w:rPr>
      <w:rFonts w:ascii="Arial" w:eastAsia="Arial" w:hAnsi="Arial" w:cs="Arial"/>
      <w:b w:val="0"/>
      <w:sz w:val="20"/>
      <w:lang w:val="en-GB" w:eastAsia="en-AU"/>
    </w:rPr>
  </w:style>
  <w:style w:type="paragraph" w:styleId="CommentSubject">
    <w:name w:val="annotation subject"/>
    <w:basedOn w:val="CommentText"/>
    <w:next w:val="CommentText"/>
    <w:link w:val="CommentSubjectChar"/>
    <w:uiPriority w:val="99"/>
    <w:semiHidden/>
    <w:unhideWhenUsed/>
    <w:rsid w:val="00A8196E"/>
    <w:rPr>
      <w:b/>
      <w:bCs/>
    </w:rPr>
  </w:style>
  <w:style w:type="character" w:customStyle="1" w:styleId="CommentSubjectChar">
    <w:name w:val="Comment Subject Char"/>
    <w:basedOn w:val="CommentTextChar"/>
    <w:link w:val="CommentSubject"/>
    <w:uiPriority w:val="99"/>
    <w:semiHidden/>
    <w:rsid w:val="00A8196E"/>
    <w:rPr>
      <w:rFonts w:ascii="Arial" w:eastAsia="Arial" w:hAnsi="Arial" w:cs="Arial"/>
      <w:b/>
      <w:bCs/>
      <w:sz w:val="20"/>
      <w:szCs w:val="2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cademiadellacrusca.it/it/consulenza/un-portatore-di-interessi-chiamato-stakeholder/1127" TargetMode="External"/><Relationship Id="rId5" Type="http://schemas.openxmlformats.org/officeDocument/2006/relationships/hyperlink" Target="https://www2.gov.bc.ca/gov/content/governments/services-for-government/service-experience-digital-delivery/web-content-development-guides/web-style-guide/writing-guide/writing-guide-for-indigenous-content/terminolog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2509</Words>
  <Characters>14303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COOK</dc:creator>
  <cp:keywords/>
  <dc:description/>
  <cp:lastModifiedBy>Mark Reed</cp:lastModifiedBy>
  <cp:revision>69</cp:revision>
  <dcterms:created xsi:type="dcterms:W3CDTF">2023-08-12T03:20:00Z</dcterms:created>
  <dcterms:modified xsi:type="dcterms:W3CDTF">2023-09-15T08:46:00Z</dcterms:modified>
</cp:coreProperties>
</file>