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A1DAE" w14:textId="3C795FCE" w:rsidR="009B6A9F" w:rsidRPr="002B7217" w:rsidRDefault="009B6A9F">
      <w:pPr>
        <w:rPr>
          <w:rFonts w:ascii="Times New Roman" w:hAnsi="Times New Roman" w:cs="Times New Roman"/>
          <w:b/>
          <w:bCs/>
          <w:sz w:val="28"/>
          <w:szCs w:val="28"/>
        </w:rPr>
      </w:pPr>
      <w:r w:rsidRPr="002B7217">
        <w:rPr>
          <w:rFonts w:ascii="Times New Roman" w:hAnsi="Times New Roman" w:cs="Times New Roman"/>
          <w:b/>
          <w:bCs/>
          <w:sz w:val="28"/>
          <w:szCs w:val="28"/>
        </w:rPr>
        <w:t>Supplementary S</w:t>
      </w:r>
      <w:r w:rsidR="008F2928" w:rsidRPr="002B7217">
        <w:rPr>
          <w:rFonts w:ascii="Times New Roman" w:hAnsi="Times New Roman" w:cs="Times New Roman"/>
          <w:b/>
          <w:bCs/>
          <w:sz w:val="28"/>
          <w:szCs w:val="28"/>
        </w:rPr>
        <w:t>2</w:t>
      </w:r>
      <w:r w:rsidRPr="002B7217">
        <w:rPr>
          <w:rFonts w:ascii="Times New Roman" w:hAnsi="Times New Roman" w:cs="Times New Roman"/>
          <w:b/>
          <w:bCs/>
          <w:sz w:val="28"/>
          <w:szCs w:val="28"/>
        </w:rPr>
        <w:t xml:space="preserve"> </w:t>
      </w:r>
      <w:r w:rsidR="008F2928" w:rsidRPr="002B7217">
        <w:rPr>
          <w:rFonts w:ascii="Times New Roman" w:hAnsi="Times New Roman" w:cs="Times New Roman"/>
          <w:b/>
          <w:bCs/>
          <w:sz w:val="28"/>
          <w:szCs w:val="28"/>
        </w:rPr>
        <w:t>Framework to analyse the data</w:t>
      </w:r>
    </w:p>
    <w:p w14:paraId="00A181F8" w14:textId="77777777" w:rsidR="009B6A9F" w:rsidRPr="002B7217" w:rsidRDefault="009B6A9F">
      <w:pPr>
        <w:rPr>
          <w:rFonts w:ascii="Times New Roman" w:hAnsi="Times New Roman" w:cs="Times New Roman"/>
        </w:rPr>
      </w:pP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3011"/>
        <w:gridCol w:w="6100"/>
      </w:tblGrid>
      <w:tr w:rsidR="002B7217" w:rsidRPr="002B7217" w14:paraId="373FBEC0" w14:textId="77777777" w:rsidTr="002B7217">
        <w:trPr>
          <w:trHeight w:val="19"/>
        </w:trPr>
        <w:tc>
          <w:tcPr>
            <w:tcW w:w="0" w:type="auto"/>
            <w:vMerge w:val="restart"/>
            <w:shd w:val="clear" w:color="auto" w:fill="FFFFFF" w:themeFill="background1"/>
            <w:hideMark/>
          </w:tcPr>
          <w:p w14:paraId="04727496"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r w:rsidRPr="002B7217">
              <w:rPr>
                <w:rFonts w:ascii="Times New Roman" w:eastAsia="Times New Roman" w:hAnsi="Times New Roman" w:cs="Times New Roman"/>
                <w:b/>
                <w:bCs/>
                <w:color w:val="000000"/>
                <w:sz w:val="24"/>
                <w:szCs w:val="24"/>
                <w:lang w:eastAsia="de-DE"/>
              </w:rPr>
              <w:t>Bibliometric data</w:t>
            </w:r>
          </w:p>
        </w:tc>
        <w:tc>
          <w:tcPr>
            <w:tcW w:w="0" w:type="auto"/>
            <w:shd w:val="clear" w:color="auto" w:fill="FFFFFF" w:themeFill="background1"/>
            <w:hideMark/>
          </w:tcPr>
          <w:p w14:paraId="35EF453B"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Researcher</w:t>
            </w:r>
          </w:p>
        </w:tc>
      </w:tr>
      <w:tr w:rsidR="002B7217" w:rsidRPr="002B7217" w14:paraId="06E1FD71" w14:textId="77777777" w:rsidTr="002B7217">
        <w:trPr>
          <w:trHeight w:val="19"/>
        </w:trPr>
        <w:tc>
          <w:tcPr>
            <w:tcW w:w="0" w:type="auto"/>
            <w:vMerge/>
            <w:shd w:val="clear" w:color="auto" w:fill="FFFFFF" w:themeFill="background1"/>
            <w:hideMark/>
          </w:tcPr>
          <w:p w14:paraId="2385AF2F"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0" w:type="auto"/>
            <w:shd w:val="clear" w:color="auto" w:fill="FFFFFF" w:themeFill="background1"/>
            <w:hideMark/>
          </w:tcPr>
          <w:p w14:paraId="5A9E52F9"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"Title" of the project/ the paper you are referring to</w:t>
            </w:r>
          </w:p>
        </w:tc>
      </w:tr>
      <w:tr w:rsidR="002B7217" w:rsidRPr="002B7217" w14:paraId="7C7499D2" w14:textId="77777777" w:rsidTr="002B7217">
        <w:trPr>
          <w:trHeight w:val="19"/>
        </w:trPr>
        <w:tc>
          <w:tcPr>
            <w:tcW w:w="0" w:type="auto"/>
            <w:vMerge/>
            <w:shd w:val="clear" w:color="auto" w:fill="FFFFFF" w:themeFill="background1"/>
            <w:hideMark/>
          </w:tcPr>
          <w:p w14:paraId="26C48981"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0" w:type="auto"/>
            <w:shd w:val="clear" w:color="auto" w:fill="FFFFFF" w:themeFill="background1"/>
            <w:hideMark/>
          </w:tcPr>
          <w:p w14:paraId="5CDBEF35"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year(s) the study was done</w:t>
            </w:r>
          </w:p>
        </w:tc>
      </w:tr>
      <w:tr w:rsidR="002B7217" w:rsidRPr="002B7217" w14:paraId="2A9B7E27" w14:textId="77777777" w:rsidTr="002B7217">
        <w:trPr>
          <w:trHeight w:val="19"/>
        </w:trPr>
        <w:tc>
          <w:tcPr>
            <w:tcW w:w="0" w:type="auto"/>
            <w:vMerge w:val="restart"/>
            <w:shd w:val="clear" w:color="auto" w:fill="FFFFFF" w:themeFill="background1"/>
            <w:hideMark/>
          </w:tcPr>
          <w:p w14:paraId="203DF7C4"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r w:rsidRPr="002B7217">
              <w:rPr>
                <w:rFonts w:ascii="Times New Roman" w:eastAsia="Times New Roman" w:hAnsi="Times New Roman" w:cs="Times New Roman"/>
                <w:b/>
                <w:bCs/>
                <w:color w:val="000000"/>
                <w:sz w:val="24"/>
                <w:szCs w:val="24"/>
                <w:lang w:eastAsia="de-DE"/>
              </w:rPr>
              <w:t>Biogeographical data</w:t>
            </w:r>
          </w:p>
        </w:tc>
        <w:tc>
          <w:tcPr>
            <w:tcW w:w="6100" w:type="dxa"/>
            <w:shd w:val="clear" w:color="auto" w:fill="FFFFFF" w:themeFill="background1"/>
            <w:hideMark/>
          </w:tcPr>
          <w:p w14:paraId="0456D207"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Ecosystem studied</w:t>
            </w:r>
          </w:p>
        </w:tc>
      </w:tr>
      <w:tr w:rsidR="002B7217" w:rsidRPr="002B7217" w14:paraId="05840733" w14:textId="77777777" w:rsidTr="002B7217">
        <w:trPr>
          <w:trHeight w:val="19"/>
        </w:trPr>
        <w:tc>
          <w:tcPr>
            <w:tcW w:w="0" w:type="auto"/>
            <w:vMerge/>
            <w:shd w:val="clear" w:color="auto" w:fill="FFFFFF" w:themeFill="background1"/>
            <w:hideMark/>
          </w:tcPr>
          <w:p w14:paraId="2A435BC3"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75240727"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Which country</w:t>
            </w:r>
          </w:p>
        </w:tc>
      </w:tr>
      <w:tr w:rsidR="002B7217" w:rsidRPr="002B7217" w14:paraId="1D1486C8" w14:textId="77777777" w:rsidTr="002B7217">
        <w:trPr>
          <w:trHeight w:val="19"/>
        </w:trPr>
        <w:tc>
          <w:tcPr>
            <w:tcW w:w="0" w:type="auto"/>
            <w:vMerge/>
            <w:shd w:val="clear" w:color="auto" w:fill="FFFFFF" w:themeFill="background1"/>
            <w:hideMark/>
          </w:tcPr>
          <w:p w14:paraId="3514EC39"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7EB7161E"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biophysical components</w:t>
            </w:r>
          </w:p>
        </w:tc>
      </w:tr>
      <w:tr w:rsidR="002B7217" w:rsidRPr="002B7217" w14:paraId="57993C7A" w14:textId="77777777" w:rsidTr="002B7217">
        <w:trPr>
          <w:trHeight w:val="19"/>
        </w:trPr>
        <w:tc>
          <w:tcPr>
            <w:tcW w:w="0" w:type="auto"/>
            <w:vMerge/>
            <w:shd w:val="clear" w:color="auto" w:fill="FFFFFF" w:themeFill="background1"/>
            <w:hideMark/>
          </w:tcPr>
          <w:p w14:paraId="3783654C"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46D1E8C1"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Ecosystem services</w:t>
            </w:r>
          </w:p>
        </w:tc>
      </w:tr>
      <w:tr w:rsidR="002B7217" w:rsidRPr="002B7217" w14:paraId="26F305F1" w14:textId="77777777" w:rsidTr="002B7217">
        <w:trPr>
          <w:trHeight w:val="19"/>
        </w:trPr>
        <w:tc>
          <w:tcPr>
            <w:tcW w:w="0" w:type="auto"/>
            <w:vMerge w:val="restart"/>
            <w:shd w:val="clear" w:color="auto" w:fill="FFFFFF" w:themeFill="background1"/>
            <w:hideMark/>
          </w:tcPr>
          <w:p w14:paraId="2CB1EC83"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r w:rsidRPr="002B7217">
              <w:rPr>
                <w:rFonts w:ascii="Times New Roman" w:eastAsia="Times New Roman" w:hAnsi="Times New Roman" w:cs="Times New Roman"/>
                <w:b/>
                <w:bCs/>
                <w:color w:val="000000"/>
                <w:sz w:val="24"/>
                <w:szCs w:val="24"/>
                <w:lang w:eastAsia="de-DE"/>
              </w:rPr>
              <w:t>Methodological approach</w:t>
            </w:r>
          </w:p>
        </w:tc>
        <w:tc>
          <w:tcPr>
            <w:tcW w:w="6100" w:type="dxa"/>
            <w:shd w:val="clear" w:color="auto" w:fill="FFFFFF" w:themeFill="background1"/>
            <w:hideMark/>
          </w:tcPr>
          <w:p w14:paraId="40CB2F69"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Spatial scale of research</w:t>
            </w:r>
          </w:p>
        </w:tc>
      </w:tr>
      <w:tr w:rsidR="002B7217" w:rsidRPr="002B7217" w14:paraId="1F2E818A" w14:textId="77777777" w:rsidTr="002B7217">
        <w:trPr>
          <w:trHeight w:val="19"/>
        </w:trPr>
        <w:tc>
          <w:tcPr>
            <w:tcW w:w="0" w:type="auto"/>
            <w:vMerge/>
            <w:shd w:val="clear" w:color="auto" w:fill="FFFFFF" w:themeFill="background1"/>
            <w:hideMark/>
          </w:tcPr>
          <w:p w14:paraId="5437BB0D"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790FCD04"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Did you use a transdisciplinary approach</w:t>
            </w:r>
          </w:p>
        </w:tc>
      </w:tr>
      <w:tr w:rsidR="002B7217" w:rsidRPr="002B7217" w14:paraId="086164F2" w14:textId="77777777" w:rsidTr="002B7217">
        <w:trPr>
          <w:trHeight w:val="19"/>
        </w:trPr>
        <w:tc>
          <w:tcPr>
            <w:tcW w:w="0" w:type="auto"/>
            <w:vMerge w:val="restart"/>
            <w:shd w:val="clear" w:color="auto" w:fill="FFFFFF" w:themeFill="background1"/>
            <w:hideMark/>
          </w:tcPr>
          <w:p w14:paraId="562C449A"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r w:rsidRPr="002B7217">
              <w:rPr>
                <w:rFonts w:ascii="Times New Roman" w:eastAsia="Times New Roman" w:hAnsi="Times New Roman" w:cs="Times New Roman"/>
                <w:b/>
                <w:bCs/>
                <w:color w:val="000000"/>
                <w:sz w:val="24"/>
                <w:szCs w:val="24"/>
                <w:lang w:eastAsia="de-DE"/>
              </w:rPr>
              <w:t>Relational Values</w:t>
            </w:r>
          </w:p>
        </w:tc>
        <w:tc>
          <w:tcPr>
            <w:tcW w:w="6100" w:type="dxa"/>
            <w:shd w:val="clear" w:color="auto" w:fill="FFFFFF" w:themeFill="background1"/>
            <w:hideMark/>
          </w:tcPr>
          <w:p w14:paraId="7B50ADFF"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 xml:space="preserve">Whose values did you assess? </w:t>
            </w:r>
          </w:p>
        </w:tc>
      </w:tr>
      <w:tr w:rsidR="002B7217" w:rsidRPr="002B7217" w14:paraId="586A556B" w14:textId="77777777" w:rsidTr="002B7217">
        <w:trPr>
          <w:trHeight w:val="19"/>
        </w:trPr>
        <w:tc>
          <w:tcPr>
            <w:tcW w:w="0" w:type="auto"/>
            <w:vMerge/>
            <w:shd w:val="clear" w:color="auto" w:fill="FFFFFF" w:themeFill="background1"/>
            <w:hideMark/>
          </w:tcPr>
          <w:p w14:paraId="1B6A5D73"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5A8FCDD5"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 xml:space="preserve">Which RV did you assess/used? </w:t>
            </w:r>
          </w:p>
        </w:tc>
      </w:tr>
      <w:tr w:rsidR="002B7217" w:rsidRPr="002B7217" w14:paraId="46AE1A14" w14:textId="77777777" w:rsidTr="002B7217">
        <w:trPr>
          <w:trHeight w:val="19"/>
        </w:trPr>
        <w:tc>
          <w:tcPr>
            <w:tcW w:w="0" w:type="auto"/>
            <w:vMerge/>
            <w:shd w:val="clear" w:color="auto" w:fill="FFFFFF" w:themeFill="background1"/>
            <w:hideMark/>
          </w:tcPr>
          <w:p w14:paraId="025BD745"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185E2D0A"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Custodianship/Stewardship</w:t>
            </w:r>
          </w:p>
        </w:tc>
      </w:tr>
      <w:tr w:rsidR="002B7217" w:rsidRPr="002B7217" w14:paraId="57B9F88C" w14:textId="77777777" w:rsidTr="002B7217">
        <w:trPr>
          <w:trHeight w:val="19"/>
        </w:trPr>
        <w:tc>
          <w:tcPr>
            <w:tcW w:w="0" w:type="auto"/>
            <w:vMerge w:val="restart"/>
            <w:shd w:val="clear" w:color="auto" w:fill="FFFFFF" w:themeFill="background1"/>
            <w:hideMark/>
          </w:tcPr>
          <w:p w14:paraId="202B5BE4"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r w:rsidRPr="002B7217">
              <w:rPr>
                <w:rFonts w:ascii="Times New Roman" w:eastAsia="Times New Roman" w:hAnsi="Times New Roman" w:cs="Times New Roman"/>
                <w:b/>
                <w:bCs/>
                <w:color w:val="000000"/>
                <w:sz w:val="24"/>
                <w:szCs w:val="24"/>
                <w:lang w:eastAsia="de-DE"/>
              </w:rPr>
              <w:t>conflicts and contrasts</w:t>
            </w:r>
          </w:p>
        </w:tc>
        <w:tc>
          <w:tcPr>
            <w:tcW w:w="6100" w:type="dxa"/>
            <w:shd w:val="clear" w:color="auto" w:fill="FFFFFF" w:themeFill="background1"/>
            <w:hideMark/>
          </w:tcPr>
          <w:p w14:paraId="3A70FF83" w14:textId="303DCAB3"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In</w:t>
            </w:r>
            <w:r>
              <w:rPr>
                <w:rFonts w:ascii="Times New Roman" w:eastAsia="Times New Roman" w:hAnsi="Times New Roman" w:cs="Times New Roman"/>
                <w:color w:val="000000"/>
                <w:sz w:val="24"/>
                <w:szCs w:val="24"/>
                <w:lang w:eastAsia="de-DE"/>
              </w:rPr>
              <w:t xml:space="preserve"> </w:t>
            </w:r>
            <w:r w:rsidRPr="002B7217">
              <w:rPr>
                <w:rFonts w:ascii="Times New Roman" w:eastAsia="Times New Roman" w:hAnsi="Times New Roman" w:cs="Times New Roman"/>
                <w:color w:val="000000"/>
                <w:sz w:val="24"/>
                <w:szCs w:val="24"/>
                <w:lang w:eastAsia="de-DE"/>
              </w:rPr>
              <w:t>how</w:t>
            </w:r>
            <w:r>
              <w:rPr>
                <w:rFonts w:ascii="Times New Roman" w:eastAsia="Times New Roman" w:hAnsi="Times New Roman" w:cs="Times New Roman"/>
                <w:color w:val="000000"/>
                <w:sz w:val="24"/>
                <w:szCs w:val="24"/>
                <w:lang w:eastAsia="de-DE"/>
              </w:rPr>
              <w:t xml:space="preserve"> </w:t>
            </w:r>
            <w:r w:rsidRPr="002B7217">
              <w:rPr>
                <w:rFonts w:ascii="Times New Roman" w:eastAsia="Times New Roman" w:hAnsi="Times New Roman" w:cs="Times New Roman"/>
                <w:color w:val="000000"/>
                <w:sz w:val="24"/>
                <w:szCs w:val="24"/>
                <w:lang w:eastAsia="de-DE"/>
              </w:rPr>
              <w:t>far, if any, did you encounter contrasts/conflicts in regard to RV?</w:t>
            </w:r>
          </w:p>
        </w:tc>
      </w:tr>
      <w:tr w:rsidR="002B7217" w:rsidRPr="002B7217" w14:paraId="67E1FA65" w14:textId="77777777" w:rsidTr="002B7217">
        <w:trPr>
          <w:trHeight w:val="19"/>
        </w:trPr>
        <w:tc>
          <w:tcPr>
            <w:tcW w:w="0" w:type="auto"/>
            <w:vMerge/>
            <w:shd w:val="clear" w:color="auto" w:fill="FFFFFF" w:themeFill="background1"/>
            <w:hideMark/>
          </w:tcPr>
          <w:p w14:paraId="1480EF66"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316CDC0B" w14:textId="579CBB16"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 xml:space="preserve">How did the RVs relate to </w:t>
            </w:r>
            <w:r w:rsidRPr="002B7217">
              <w:rPr>
                <w:rFonts w:ascii="Times New Roman" w:eastAsia="Times New Roman" w:hAnsi="Times New Roman" w:cs="Times New Roman"/>
                <w:color w:val="000000"/>
                <w:sz w:val="24"/>
                <w:szCs w:val="24"/>
                <w:lang w:eastAsia="de-DE"/>
              </w:rPr>
              <w:t>agriculture</w:t>
            </w:r>
            <w:r w:rsidRPr="002B7217">
              <w:rPr>
                <w:rFonts w:ascii="Times New Roman" w:eastAsia="Times New Roman" w:hAnsi="Times New Roman" w:cs="Times New Roman"/>
                <w:color w:val="000000"/>
                <w:sz w:val="24"/>
                <w:szCs w:val="24"/>
                <w:lang w:eastAsia="de-DE"/>
              </w:rPr>
              <w:t>/farming practices?</w:t>
            </w:r>
          </w:p>
        </w:tc>
      </w:tr>
      <w:tr w:rsidR="002B7217" w:rsidRPr="002B7217" w14:paraId="64432652" w14:textId="77777777" w:rsidTr="002B7217">
        <w:trPr>
          <w:trHeight w:val="19"/>
        </w:trPr>
        <w:tc>
          <w:tcPr>
            <w:tcW w:w="0" w:type="auto"/>
            <w:vMerge/>
            <w:shd w:val="clear" w:color="auto" w:fill="FFFFFF" w:themeFill="background1"/>
            <w:hideMark/>
          </w:tcPr>
          <w:p w14:paraId="634FDB1E"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0995F35B"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 xml:space="preserve">How did the RVs relate to uses and practices related to biodiversity (and </w:t>
            </w:r>
            <w:proofErr w:type="spellStart"/>
            <w:r w:rsidRPr="002B7217">
              <w:rPr>
                <w:rFonts w:ascii="Times New Roman" w:eastAsia="Times New Roman" w:hAnsi="Times New Roman" w:cs="Times New Roman"/>
                <w:color w:val="000000"/>
                <w:sz w:val="24"/>
                <w:szCs w:val="24"/>
                <w:lang w:eastAsia="de-DE"/>
              </w:rPr>
              <w:t>agro</w:t>
            </w:r>
            <w:proofErr w:type="spellEnd"/>
            <w:r w:rsidRPr="002B7217">
              <w:rPr>
                <w:rFonts w:ascii="Times New Roman" w:eastAsia="Times New Roman" w:hAnsi="Times New Roman" w:cs="Times New Roman"/>
                <w:color w:val="000000"/>
                <w:sz w:val="24"/>
                <w:szCs w:val="24"/>
                <w:lang w:eastAsia="de-DE"/>
              </w:rPr>
              <w:t>-biodiversity)</w:t>
            </w:r>
          </w:p>
        </w:tc>
      </w:tr>
      <w:tr w:rsidR="002B7217" w:rsidRPr="002B7217" w14:paraId="6E875162" w14:textId="77777777" w:rsidTr="002B7217">
        <w:trPr>
          <w:trHeight w:val="19"/>
        </w:trPr>
        <w:tc>
          <w:tcPr>
            <w:tcW w:w="0" w:type="auto"/>
            <w:vMerge/>
            <w:shd w:val="clear" w:color="auto" w:fill="FFFFFF" w:themeFill="background1"/>
            <w:hideMark/>
          </w:tcPr>
          <w:p w14:paraId="7F21F9B8"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5575F131"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How did the RVs relate to Landscape management/practices and perceptions</w:t>
            </w:r>
          </w:p>
        </w:tc>
      </w:tr>
      <w:tr w:rsidR="002B7217" w:rsidRPr="002B7217" w14:paraId="04799204" w14:textId="77777777" w:rsidTr="002B7217">
        <w:trPr>
          <w:trHeight w:val="19"/>
        </w:trPr>
        <w:tc>
          <w:tcPr>
            <w:tcW w:w="0" w:type="auto"/>
            <w:vMerge/>
            <w:shd w:val="clear" w:color="auto" w:fill="FFFFFF" w:themeFill="background1"/>
            <w:hideMark/>
          </w:tcPr>
          <w:p w14:paraId="584A09C5"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2B65BD6F"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How did the RVs relate to Market-monetary economic practices involving biodiversity</w:t>
            </w:r>
          </w:p>
        </w:tc>
      </w:tr>
      <w:tr w:rsidR="002B7217" w:rsidRPr="002B7217" w14:paraId="60BB9A31" w14:textId="77777777" w:rsidTr="002B7217">
        <w:trPr>
          <w:trHeight w:val="19"/>
        </w:trPr>
        <w:tc>
          <w:tcPr>
            <w:tcW w:w="0" w:type="auto"/>
            <w:vMerge/>
            <w:shd w:val="clear" w:color="auto" w:fill="FFFFFF" w:themeFill="background1"/>
            <w:hideMark/>
          </w:tcPr>
          <w:p w14:paraId="46E3556E"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1A513CB9" w14:textId="5D10053F"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 xml:space="preserve">How did the RVs relate to </w:t>
            </w:r>
            <w:r w:rsidRPr="002B7217">
              <w:rPr>
                <w:rFonts w:ascii="Times New Roman" w:eastAsia="Times New Roman" w:hAnsi="Times New Roman" w:cs="Times New Roman"/>
                <w:color w:val="000000"/>
                <w:sz w:val="24"/>
                <w:szCs w:val="24"/>
                <w:lang w:eastAsia="de-DE"/>
              </w:rPr>
              <w:t>non-monetary</w:t>
            </w:r>
            <w:r w:rsidRPr="002B7217">
              <w:rPr>
                <w:rFonts w:ascii="Times New Roman" w:eastAsia="Times New Roman" w:hAnsi="Times New Roman" w:cs="Times New Roman"/>
                <w:color w:val="000000"/>
                <w:sz w:val="24"/>
                <w:szCs w:val="24"/>
                <w:lang w:eastAsia="de-DE"/>
              </w:rPr>
              <w:t xml:space="preserve"> economic practices involving biodiversity</w:t>
            </w:r>
          </w:p>
        </w:tc>
      </w:tr>
      <w:tr w:rsidR="002B7217" w:rsidRPr="002B7217" w14:paraId="0A303E79" w14:textId="77777777" w:rsidTr="002B7217">
        <w:trPr>
          <w:trHeight w:val="19"/>
        </w:trPr>
        <w:tc>
          <w:tcPr>
            <w:tcW w:w="0" w:type="auto"/>
            <w:vMerge/>
            <w:shd w:val="clear" w:color="auto" w:fill="FFFFFF" w:themeFill="background1"/>
            <w:hideMark/>
          </w:tcPr>
          <w:p w14:paraId="181735A0"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4D70FD36"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How did the RVs relate to Political and governance context involving biodiversity (bottom-up &amp; top-down)</w:t>
            </w:r>
          </w:p>
        </w:tc>
      </w:tr>
      <w:tr w:rsidR="002B7217" w:rsidRPr="002B7217" w14:paraId="1D31CE86" w14:textId="77777777" w:rsidTr="002B7217">
        <w:trPr>
          <w:trHeight w:val="19"/>
        </w:trPr>
        <w:tc>
          <w:tcPr>
            <w:tcW w:w="0" w:type="auto"/>
            <w:vMerge/>
            <w:shd w:val="clear" w:color="auto" w:fill="FFFFFF" w:themeFill="background1"/>
            <w:hideMark/>
          </w:tcPr>
          <w:p w14:paraId="77D94C26"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664B345F" w14:textId="355DE3ED"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 xml:space="preserve">Did you find tensions or conflicts between different RVs that relate with those positive and negative emotions? Between which RVs? And what kind of emotions are you </w:t>
            </w:r>
            <w:r w:rsidRPr="002B7217">
              <w:rPr>
                <w:rFonts w:ascii="Times New Roman" w:eastAsia="Times New Roman" w:hAnsi="Times New Roman" w:cs="Times New Roman"/>
                <w:color w:val="000000"/>
                <w:sz w:val="24"/>
                <w:szCs w:val="24"/>
                <w:lang w:eastAsia="de-DE"/>
              </w:rPr>
              <w:t>referring</w:t>
            </w:r>
            <w:r w:rsidRPr="002B7217">
              <w:rPr>
                <w:rFonts w:ascii="Times New Roman" w:eastAsia="Times New Roman" w:hAnsi="Times New Roman" w:cs="Times New Roman"/>
                <w:color w:val="000000"/>
                <w:sz w:val="24"/>
                <w:szCs w:val="24"/>
                <w:lang w:eastAsia="de-DE"/>
              </w:rPr>
              <w:t xml:space="preserve"> to?</w:t>
            </w:r>
          </w:p>
        </w:tc>
      </w:tr>
      <w:tr w:rsidR="002B7217" w:rsidRPr="002B7217" w14:paraId="07BDE36B" w14:textId="77777777" w:rsidTr="002B7217">
        <w:trPr>
          <w:trHeight w:val="19"/>
        </w:trPr>
        <w:tc>
          <w:tcPr>
            <w:tcW w:w="0" w:type="auto"/>
            <w:vMerge/>
            <w:shd w:val="clear" w:color="auto" w:fill="FFFFFF" w:themeFill="background1"/>
            <w:hideMark/>
          </w:tcPr>
          <w:p w14:paraId="1ACCA474"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37CDAB57"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How did the RVs relate to Cultural/social/traditional practices involving biodiversity/landscape</w:t>
            </w:r>
          </w:p>
        </w:tc>
      </w:tr>
      <w:tr w:rsidR="002B7217" w:rsidRPr="002B7217" w14:paraId="4EAC3C3A" w14:textId="77777777" w:rsidTr="002B7217">
        <w:trPr>
          <w:trHeight w:val="19"/>
        </w:trPr>
        <w:tc>
          <w:tcPr>
            <w:tcW w:w="0" w:type="auto"/>
            <w:vMerge/>
            <w:shd w:val="clear" w:color="auto" w:fill="FFFFFF" w:themeFill="background1"/>
            <w:hideMark/>
          </w:tcPr>
          <w:p w14:paraId="1ACA305A"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59ADB42D"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Biophysical component (specific species, landscape features etc)</w:t>
            </w:r>
          </w:p>
        </w:tc>
      </w:tr>
      <w:tr w:rsidR="002B7217" w:rsidRPr="002B7217" w14:paraId="256BD5C9" w14:textId="77777777" w:rsidTr="002B7217">
        <w:trPr>
          <w:trHeight w:val="19"/>
        </w:trPr>
        <w:tc>
          <w:tcPr>
            <w:tcW w:w="0" w:type="auto"/>
            <w:vMerge/>
            <w:shd w:val="clear" w:color="auto" w:fill="FFFFFF" w:themeFill="background1"/>
            <w:hideMark/>
          </w:tcPr>
          <w:p w14:paraId="408F6299"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57C66624"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How does the work with RV might help to better understand the conflicts and potential solutions?</w:t>
            </w:r>
          </w:p>
        </w:tc>
      </w:tr>
      <w:tr w:rsidR="002B7217" w:rsidRPr="002B7217" w14:paraId="64919585" w14:textId="77777777" w:rsidTr="002B7217">
        <w:trPr>
          <w:trHeight w:val="19"/>
        </w:trPr>
        <w:tc>
          <w:tcPr>
            <w:tcW w:w="0" w:type="auto"/>
            <w:vMerge/>
            <w:shd w:val="clear" w:color="auto" w:fill="FFFFFF" w:themeFill="background1"/>
            <w:hideMark/>
          </w:tcPr>
          <w:p w14:paraId="34F53F7C"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3F914C1E"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What inhibits or enables RVs?</w:t>
            </w:r>
          </w:p>
        </w:tc>
      </w:tr>
      <w:tr w:rsidR="002B7217" w:rsidRPr="002B7217" w14:paraId="5D3DAB98" w14:textId="77777777" w:rsidTr="002B7217">
        <w:trPr>
          <w:trHeight w:val="19"/>
        </w:trPr>
        <w:tc>
          <w:tcPr>
            <w:tcW w:w="0" w:type="auto"/>
            <w:vMerge/>
            <w:shd w:val="clear" w:color="auto" w:fill="FFFFFF" w:themeFill="background1"/>
            <w:hideMark/>
          </w:tcPr>
          <w:p w14:paraId="40220D6C"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p>
        </w:tc>
        <w:tc>
          <w:tcPr>
            <w:tcW w:w="6100" w:type="dxa"/>
            <w:shd w:val="clear" w:color="auto" w:fill="FFFFFF" w:themeFill="background1"/>
            <w:hideMark/>
          </w:tcPr>
          <w:p w14:paraId="7569B69B"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How do power relation play into this conflict</w:t>
            </w:r>
          </w:p>
        </w:tc>
      </w:tr>
      <w:tr w:rsidR="002B7217" w:rsidRPr="002B7217" w14:paraId="033BBC0B" w14:textId="77777777" w:rsidTr="002B7217">
        <w:trPr>
          <w:trHeight w:val="19"/>
        </w:trPr>
        <w:tc>
          <w:tcPr>
            <w:tcW w:w="0" w:type="auto"/>
            <w:vMerge w:val="restart"/>
            <w:shd w:val="clear" w:color="auto" w:fill="FFFFFF" w:themeFill="background1"/>
            <w:hideMark/>
          </w:tcPr>
          <w:p w14:paraId="21ECCEE5" w14:textId="77777777" w:rsidR="002B7217" w:rsidRPr="002B7217" w:rsidRDefault="002B7217" w:rsidP="002B7217">
            <w:pPr>
              <w:spacing w:after="0" w:line="240" w:lineRule="auto"/>
              <w:rPr>
                <w:rFonts w:ascii="Times New Roman" w:eastAsia="Times New Roman" w:hAnsi="Times New Roman" w:cs="Times New Roman"/>
                <w:b/>
                <w:bCs/>
                <w:color w:val="000000"/>
                <w:sz w:val="24"/>
                <w:szCs w:val="24"/>
                <w:lang w:eastAsia="de-DE"/>
              </w:rPr>
            </w:pPr>
            <w:r w:rsidRPr="002B7217">
              <w:rPr>
                <w:rFonts w:ascii="Times New Roman" w:eastAsia="Times New Roman" w:hAnsi="Times New Roman" w:cs="Times New Roman"/>
                <w:b/>
                <w:bCs/>
                <w:color w:val="000000"/>
                <w:sz w:val="24"/>
                <w:szCs w:val="24"/>
                <w:lang w:eastAsia="de-DE"/>
              </w:rPr>
              <w:t>Discussion</w:t>
            </w:r>
          </w:p>
        </w:tc>
        <w:tc>
          <w:tcPr>
            <w:tcW w:w="6100" w:type="dxa"/>
            <w:shd w:val="clear" w:color="auto" w:fill="FFFFFF" w:themeFill="background1"/>
            <w:hideMark/>
          </w:tcPr>
          <w:p w14:paraId="14C9F784"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What is the benefit of the RV framing/concept?</w:t>
            </w:r>
          </w:p>
        </w:tc>
      </w:tr>
      <w:tr w:rsidR="002B7217" w:rsidRPr="002B7217" w14:paraId="31B2C6DC" w14:textId="77777777" w:rsidTr="002B7217">
        <w:trPr>
          <w:trHeight w:val="19"/>
        </w:trPr>
        <w:tc>
          <w:tcPr>
            <w:tcW w:w="0" w:type="auto"/>
            <w:vMerge/>
            <w:shd w:val="clear" w:color="auto" w:fill="FFFFFF" w:themeFill="background1"/>
            <w:hideMark/>
          </w:tcPr>
          <w:p w14:paraId="25A9B702"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p>
        </w:tc>
        <w:tc>
          <w:tcPr>
            <w:tcW w:w="6100" w:type="dxa"/>
            <w:shd w:val="clear" w:color="auto" w:fill="FFFFFF" w:themeFill="background1"/>
            <w:hideMark/>
          </w:tcPr>
          <w:p w14:paraId="7ADE865E" w14:textId="77777777" w:rsidR="002B7217" w:rsidRPr="002B7217" w:rsidRDefault="002B7217" w:rsidP="002B7217">
            <w:pPr>
              <w:spacing w:after="0" w:line="240" w:lineRule="auto"/>
              <w:rPr>
                <w:rFonts w:ascii="Times New Roman" w:eastAsia="Times New Roman" w:hAnsi="Times New Roman" w:cs="Times New Roman"/>
                <w:color w:val="000000"/>
                <w:sz w:val="24"/>
                <w:szCs w:val="24"/>
                <w:lang w:eastAsia="de-DE"/>
              </w:rPr>
            </w:pPr>
            <w:r w:rsidRPr="002B7217">
              <w:rPr>
                <w:rFonts w:ascii="Times New Roman" w:eastAsia="Times New Roman" w:hAnsi="Times New Roman" w:cs="Times New Roman"/>
                <w:color w:val="000000"/>
                <w:sz w:val="24"/>
                <w:szCs w:val="24"/>
                <w:lang w:eastAsia="de-DE"/>
              </w:rPr>
              <w:t>What are the challenges that you encountered working with the RV framing/concept?</w:t>
            </w:r>
          </w:p>
        </w:tc>
      </w:tr>
    </w:tbl>
    <w:p w14:paraId="569A4266" w14:textId="77777777" w:rsidR="009B6A9F" w:rsidRPr="002B7217" w:rsidRDefault="009B6A9F">
      <w:pPr>
        <w:rPr>
          <w:rFonts w:ascii="Times New Roman" w:hAnsi="Times New Roman" w:cs="Times New Roman"/>
        </w:rPr>
      </w:pPr>
    </w:p>
    <w:sectPr w:rsidR="009B6A9F" w:rsidRPr="002B72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00E3"/>
    <w:multiLevelType w:val="hybridMultilevel"/>
    <w:tmpl w:val="8F205866"/>
    <w:lvl w:ilvl="0" w:tplc="054C9BCC">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A9F"/>
    <w:rsid w:val="000B1D13"/>
    <w:rsid w:val="001315AE"/>
    <w:rsid w:val="001D025D"/>
    <w:rsid w:val="002B7217"/>
    <w:rsid w:val="002F3519"/>
    <w:rsid w:val="003B219E"/>
    <w:rsid w:val="00440012"/>
    <w:rsid w:val="00504736"/>
    <w:rsid w:val="006B1CA3"/>
    <w:rsid w:val="007F3C22"/>
    <w:rsid w:val="00862869"/>
    <w:rsid w:val="008C510D"/>
    <w:rsid w:val="008F2928"/>
    <w:rsid w:val="00981D8C"/>
    <w:rsid w:val="009B6A9F"/>
    <w:rsid w:val="00B314FF"/>
    <w:rsid w:val="00B8165B"/>
    <w:rsid w:val="00BD6B5B"/>
    <w:rsid w:val="00CB5194"/>
    <w:rsid w:val="00D74972"/>
    <w:rsid w:val="00F8532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D13B7"/>
  <w15:chartTrackingRefBased/>
  <w15:docId w15:val="{906528F6-C4E4-45E9-8174-C5EC2081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B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B6A9F"/>
    <w:rPr>
      <w:color w:val="0000FF"/>
      <w:u w:val="single"/>
    </w:rPr>
  </w:style>
  <w:style w:type="paragraph" w:styleId="StandardWeb">
    <w:name w:val="Normal (Web)"/>
    <w:basedOn w:val="Standard"/>
    <w:uiPriority w:val="99"/>
    <w:semiHidden/>
    <w:unhideWhenUsed/>
    <w:rsid w:val="009B6A9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sl-entry">
    <w:name w:val="csl-entry"/>
    <w:basedOn w:val="Absatz-Standardschriftart"/>
    <w:rsid w:val="009B6A9F"/>
  </w:style>
  <w:style w:type="paragraph" w:styleId="Listenabsatz">
    <w:name w:val="List Paragraph"/>
    <w:basedOn w:val="Standard"/>
    <w:uiPriority w:val="34"/>
    <w:qFormat/>
    <w:rsid w:val="00BD6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804335">
      <w:bodyDiv w:val="1"/>
      <w:marLeft w:val="0"/>
      <w:marRight w:val="0"/>
      <w:marTop w:val="0"/>
      <w:marBottom w:val="0"/>
      <w:divBdr>
        <w:top w:val="none" w:sz="0" w:space="0" w:color="auto"/>
        <w:left w:val="none" w:sz="0" w:space="0" w:color="auto"/>
        <w:bottom w:val="none" w:sz="0" w:space="0" w:color="auto"/>
        <w:right w:val="none" w:sz="0" w:space="0" w:color="auto"/>
      </w:divBdr>
    </w:div>
    <w:div w:id="1109736965">
      <w:bodyDiv w:val="1"/>
      <w:marLeft w:val="0"/>
      <w:marRight w:val="0"/>
      <w:marTop w:val="0"/>
      <w:marBottom w:val="0"/>
      <w:divBdr>
        <w:top w:val="none" w:sz="0" w:space="0" w:color="auto"/>
        <w:left w:val="none" w:sz="0" w:space="0" w:color="auto"/>
        <w:bottom w:val="none" w:sz="0" w:space="0" w:color="auto"/>
        <w:right w:val="none" w:sz="0" w:space="0" w:color="auto"/>
      </w:divBdr>
    </w:div>
    <w:div w:id="1111896901">
      <w:bodyDiv w:val="1"/>
      <w:marLeft w:val="0"/>
      <w:marRight w:val="0"/>
      <w:marTop w:val="0"/>
      <w:marBottom w:val="0"/>
      <w:divBdr>
        <w:top w:val="none" w:sz="0" w:space="0" w:color="auto"/>
        <w:left w:val="none" w:sz="0" w:space="0" w:color="auto"/>
        <w:bottom w:val="none" w:sz="0" w:space="0" w:color="auto"/>
        <w:right w:val="none" w:sz="0" w:space="0" w:color="auto"/>
      </w:divBdr>
    </w:div>
    <w:div w:id="1225723948">
      <w:bodyDiv w:val="1"/>
      <w:marLeft w:val="0"/>
      <w:marRight w:val="0"/>
      <w:marTop w:val="0"/>
      <w:marBottom w:val="0"/>
      <w:divBdr>
        <w:top w:val="none" w:sz="0" w:space="0" w:color="auto"/>
        <w:left w:val="none" w:sz="0" w:space="0" w:color="auto"/>
        <w:bottom w:val="none" w:sz="0" w:space="0" w:color="auto"/>
        <w:right w:val="none" w:sz="0" w:space="0" w:color="auto"/>
      </w:divBdr>
    </w:div>
    <w:div w:id="1276593070">
      <w:bodyDiv w:val="1"/>
      <w:marLeft w:val="0"/>
      <w:marRight w:val="0"/>
      <w:marTop w:val="0"/>
      <w:marBottom w:val="0"/>
      <w:divBdr>
        <w:top w:val="none" w:sz="0" w:space="0" w:color="auto"/>
        <w:left w:val="none" w:sz="0" w:space="0" w:color="auto"/>
        <w:bottom w:val="none" w:sz="0" w:space="0" w:color="auto"/>
        <w:right w:val="none" w:sz="0" w:space="0" w:color="auto"/>
      </w:divBdr>
    </w:div>
    <w:div w:id="1328288191">
      <w:bodyDiv w:val="1"/>
      <w:marLeft w:val="0"/>
      <w:marRight w:val="0"/>
      <w:marTop w:val="0"/>
      <w:marBottom w:val="0"/>
      <w:divBdr>
        <w:top w:val="none" w:sz="0" w:space="0" w:color="auto"/>
        <w:left w:val="none" w:sz="0" w:space="0" w:color="auto"/>
        <w:bottom w:val="none" w:sz="0" w:space="0" w:color="auto"/>
        <w:right w:val="none" w:sz="0" w:space="0" w:color="auto"/>
      </w:divBdr>
    </w:div>
    <w:div w:id="1381321229">
      <w:bodyDiv w:val="1"/>
      <w:marLeft w:val="0"/>
      <w:marRight w:val="0"/>
      <w:marTop w:val="0"/>
      <w:marBottom w:val="0"/>
      <w:divBdr>
        <w:top w:val="none" w:sz="0" w:space="0" w:color="auto"/>
        <w:left w:val="none" w:sz="0" w:space="0" w:color="auto"/>
        <w:bottom w:val="none" w:sz="0" w:space="0" w:color="auto"/>
        <w:right w:val="none" w:sz="0" w:space="0" w:color="auto"/>
      </w:divBdr>
    </w:div>
    <w:div w:id="1806390275">
      <w:bodyDiv w:val="1"/>
      <w:marLeft w:val="0"/>
      <w:marRight w:val="0"/>
      <w:marTop w:val="0"/>
      <w:marBottom w:val="0"/>
      <w:divBdr>
        <w:top w:val="none" w:sz="0" w:space="0" w:color="auto"/>
        <w:left w:val="none" w:sz="0" w:space="0" w:color="auto"/>
        <w:bottom w:val="none" w:sz="0" w:space="0" w:color="auto"/>
        <w:right w:val="none" w:sz="0" w:space="0" w:color="auto"/>
      </w:divBdr>
    </w:div>
    <w:div w:id="1814789055">
      <w:bodyDiv w:val="1"/>
      <w:marLeft w:val="0"/>
      <w:marRight w:val="0"/>
      <w:marTop w:val="0"/>
      <w:marBottom w:val="0"/>
      <w:divBdr>
        <w:top w:val="none" w:sz="0" w:space="0" w:color="auto"/>
        <w:left w:val="none" w:sz="0" w:space="0" w:color="auto"/>
        <w:bottom w:val="none" w:sz="0" w:space="0" w:color="auto"/>
        <w:right w:val="none" w:sz="0" w:space="0" w:color="auto"/>
      </w:divBdr>
    </w:div>
    <w:div w:id="1836218608">
      <w:bodyDiv w:val="1"/>
      <w:marLeft w:val="0"/>
      <w:marRight w:val="0"/>
      <w:marTop w:val="0"/>
      <w:marBottom w:val="0"/>
      <w:divBdr>
        <w:top w:val="none" w:sz="0" w:space="0" w:color="auto"/>
        <w:left w:val="none" w:sz="0" w:space="0" w:color="auto"/>
        <w:bottom w:val="none" w:sz="0" w:space="0" w:color="auto"/>
        <w:right w:val="none" w:sz="0" w:space="0" w:color="auto"/>
      </w:divBdr>
    </w:div>
    <w:div w:id="202343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8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CC2DE6-C96F-4A75-ABC1-50AD7A5B749C}">
  <we:reference id="wa200002534" version="5.0.0.0" store="en-001" storeType="OMEX"/>
  <we:alternateReferences>
    <we:reference id="wa200002534" version="5.0.0.0" store="" storeType="OMEX"/>
  </we:alternateReferences>
  <we:properties>
    <we:property name="sciwheel-csl-items" value="[{&quot;title&quot;:&quot;Leverage points to foster human-nature connectedness in cultural landscapes.&quot;,&quot;journalAbbreviation&quot;:&quot;Ambio&quot;,&quot;id&quot;:&quot;10636620&quot;,&quot;type&quot;:&quot;article-journal&quot;,&quot;container-title&quot;:&quot;Ambio&quot;,&quot;container-title-short&quot;:&quot;Ambio&quot;,&quot;author&quot;:[{&quot;family&quot;:&quot;Riechers&quot;,&quot;given&quot;:&quot;Maraja&quot;},{&quot;family&quot;:&quot;Pătru-Dușe&quot;,&quot;given&quot;:&quot;Ioana Alexandra&quot;},{&quot;family&quot;:&quot;Balázsi&quot;,&quot;given&quot;:&quot;Ágnes&quot;}],&quot;issued&quot;:{&quot;date-parts&quot;:[[&quot;2021&quot;,&quot;3&quot;,&quot;8&quot;]]},&quot;DOI&quot;:&quot;10.1007/s13280-021-01504-2&quot;,&quot;PMID&quot;:&quot;33686607&quot;,&quot;PMCID&quot;:&quot;PMC8285458&quot;,&quot;citation-label&quot;:&quot;10636620&quot;},{&quot;title&quot;:&quot;Stories of favourite places in public spaces: emotional responses to landscape change&quot;,&quot;page&quot;:&quot;3851&quot;,&quot;volume&quot;:&quot;11&quot;,&quot;issue&quot;:&quot;14&quot;,&quot;journalAbbreviation&quot;:&quot;Sustainability&quot;,&quot;id&quot;:&quot;7790707&quot;,&quot;type&quot;:&quot;article-journal&quot;,&quot;container-title&quot;:&quot;Sustainability&quot;,&quot;container-title-short&quot;:&quot;Sustainability&quot;,&quot;author&quot;:[{&quot;family&quot;:&quot;Riechers&quot;,&quot;given&quot;:&quot;Maraja&quot;},{&quot;family&quot;:&quot;Henkel&quot;,&quot;given&quot;:&quot;Werner&quot;},{&quot;family&quot;:&quot;Engbers&quot;,&quot;given&quot;:&quot;Moritz&quot;},{&quot;family&quot;:&quot;Fischer&quot;,&quot;given&quot;:&quot;Joern&quot;}],&quot;issued&quot;:{&quot;date-parts&quot;:[[&quot;2019&quot;,&quot;7&quot;,&quot;15&quot;]]},&quot;DOI&quot;:&quot;10.3390/su11143851&quot;,&quot;citation-label&quot;:&quot;7790707&quot;},{&quot;title&quot;:&quot;The erosion of relational values resulting from landscape simplification&quot;,&quot;journalAbbreviation&quot;:&quot;Landscape Ecol.&quot;,&quot;id&quot;:&quot;8733300&quot;,&quot;type&quot;:&quot;article-journal&quot;,&quot;container-title&quot;:&quot;Landscape Ecology&quot;,&quot;container-title-short&quot;:&quot;Landscape Ecol.&quot;,&quot;author&quot;:[{&quot;family&quot;:&quot;Riechers&quot;,&quot;given&quot;:&quot;Maraja&quot;},{&quot;family&quot;:&quot;Balázsi&quot;,&quot;given&quot;:&quot;Ágnes&quot;},{&quot;family&quot;:&quot;Betz&quot;,&quot;given&quot;:&quot;Lydia&quot;},{&quot;family&quot;:&quot;Jiren&quot;,&quot;given&quot;:&quot;Tolera S.&quot;},{&quot;family&quot;:&quot;Fischer&quot;,&quot;given&quot;:&quot;Joern&quot;}],&quot;issued&quot;:{&quot;date-parts&quot;:[[&quot;2020&quot;,&quot;4&quot;,&quot;20&quot;]]},&quot;DOI&quot;:&quot;10.1007/s10980-020-01012-w&quot;,&quot;citation-label&quot;:&quot;8733300&quot;},{&quot;title&quot;:&quot;The impacts of social-ecological system change on human-nature connectedness: A case study from Transylvania, Romania&quot;,&quot;page&quot;:&quot;104232&quot;,&quot;volume&quot;:&quot;89&quot;,&quot;journalAbbreviation&quot;:&quot;Land use policy&quot;,&quot;id&quot;:&quot;7633592&quot;,&quot;type&quot;:&quot;article-journal&quot;,&quot;container-title&quot;:&quot;Land Use Policy&quot;,&quot;container-title-short&quot;:&quot;Land use policy&quot;,&quot;author&quot;:[{&quot;family&quot;:&quot;Balázsi&quot;,&quot;given&quot;:&quot;Ágnes&quot;},{&quot;family&quot;:&quot;Riechers&quot;,&quot;given&quot;:&quot;Maraja&quot;},{&quot;family&quot;:&quot;Hartel&quot;,&quot;given&quot;:&quot;Tibor&quot;},{&quot;family&quot;:&quot;Leventon&quot;,&quot;given&quot;:&quot;Julia&quot;},{&quot;family&quot;:&quot;Fischer&quot;,&quot;given&quot;:&quot;Joern&quot;}],&quot;issued&quot;:{&quot;date-parts&quot;:[[&quot;2019&quot;,&quot;12&quot;]]},&quot;DOI&quot;:&quot;10.1016/j.landusepol.2019.104232&quot;,&quot;citation-label&quot;:&quot;7633592&quot;},{&quot;title&quot;:&quot;The influence of landscape change on multiple dimensions of human–nature connectedness&quot;,&quot;volume&quot;:&quot;25&quot;,&quot;issue&quot;:&quot;3&quot;,&quot;journalAbbreviation&quot;:&quot;E&amp;S&quot;,&quot;id&quot;:&quot;9309683&quot;,&quot;type&quot;:&quot;article-journal&quot;,&quot;container-title&quot;:&quot;Ecology &amp; Society&quot;,&quot;container-title-short&quot;:&quot;E&amp;S&quot;,&quot;author&quot;:[{&quot;family&quot;:&quot;Riechers&quot;,&quot;given&quot;:&quot;Maraja&quot;},{&quot;family&quot;:&quot;Balázsi&quot;,&quot;given&quot;:&quot;Ágnes&quot;},{&quot;family&quot;:&quot;Abson&quot;,&quot;given&quot;:&quot;David J.&quot;},{&quot;family&quot;:&quot;Fischer&quot;,&quot;given&quot;:&quot;Joern&quot;}],&quot;issued&quot;:{&quot;date-parts&quot;:[[&quot;2020&quot;]]},&quot;DOI&quot;:&quot;10.5751/ES-11651-250303&quot;,&quot;citation-label&quot;:&quot;9309683&quot;},{&quot;title&quot;:&quot;Understanding relational values in cultural landscapes in Romania and Germany&quot;,&quot;journalAbbreviation&quot;:&quot;People Nat.&quot;,&quot;id&quot;:&quot;11491080&quot;,&quot;type&quot;:&quot;article-journal&quot;,&quot;container-title&quot;:&quot;People and Nature&quot;,&quot;container-title-short&quot;:&quot;People Nat.&quot;,&quot;author&quot;:[{&quot;family&quot;:&quot;Riechers&quot;,&quot;given&quot;:&quot;Maraja&quot;},{&quot;family&quot;:&quot;Balázsi&quot;,&quot;given&quot;:&quot;Ágnes&quot;},{&quot;family&quot;:&quot;Engler&quot;,&quot;given&quot;:&quot;John‐Oliver&quot;},{&quot;family&quot;:&quot;Shumi&quot;,&quot;given&quot;:&quot;Girma&quot;},{&quot;family&quot;:&quot;Fischer&quot;,&quot;given&quot;:&quot;Joern&quot;}],&quot;issued&quot;:{&quot;date-parts&quot;:[[&quot;2021&quot;,&quot;8&quot;,&quot;3&quot;]]},&quot;DOI&quot;:&quot;10.1002/pan3.10246&quot;,&quot;citation-label&quot;:&quot;11491080&quot;},{&quot;title&quot;:&quot;Discourses for deep transformation: perceptions of economic growth in two rural communities in Lower Saxony, Germany&quot;,&quot;id&quot;:&quot;11792850&quot;,&quot;type&quot;:&quot;article-journal&quot;,&quot;container-title&quot;:&quot;Sustainability Science&quot;,&quot;author&quot;:[{&quot;family&quot;:&quot;Lübker&quot;,&quot;given&quot;:&quot;Hannah M.&quot;},{&quot;family&quot;:&quot;Abson&quot;,&quot;given&quot;:&quot;David J.&quot;},{&quot;family&quot;:&quot;Riechers&quot;,&quot;given&quot;:&quot;Maraja&quot;}],&quot;issued&quot;:{&quot;date-parts&quot;:[[&quot;2021&quot;]]},&quot;citation-label&quot;:&quot;11792850&quot;},{&quot;title&quot;:&quot;Human–nature connectedness and other relational values are negatively affected by landscape simplification: insights from Lower Saxony, Germany&quot;,&quot;journalAbbreviation&quot;:&quot;Sustain. Sci.&quot;,&quot;id&quot;:&quot;10859642&quot;,&quot;type&quot;:&quot;article-journal&quot;,&quot;container-title&quot;:&quot;Sustainability Science&quot;,&quot;container-title-short&quot;:&quot;Sustain. Sci.&quot;,&quot;author&quot;:[{&quot;family&quot;:&quot;Riechers&quot;,&quot;given&quot;:&quot;Maraja&quot;},{&quot;family&quot;:&quot;Martín-López&quot;,&quot;given&quot;:&quot;Berta&quot;},{&quot;family&quot;:&quot;Fischer&quot;,&quot;given&quot;:&quot;Joern&quot;}],&quot;issued&quot;:{&quot;date-parts&quot;:[[&quot;2021&quot;,&quot;4&quot;,&quot;9&quot;]]},&quot;DOI&quot;:&quot;10.1007/s11625-021-00928-9&quot;,&quot;citation-label&quot;:&quot;10859642&quot;}]"/>
    <we:property name="sciwheel-selectedStyle" value="{&quot;id&quot;:&quot;ecology-and-society&quot;,&quot;name&quot;:&quot;Ecology and Society&quot;,&quot;bibText&quot;:[{&quot;maxoffset&quot;:0,&quot;entryspacing&quot;:0,&quot;linespacing&quot;:1,&quot;second-field-align&quot;:false,&quot;entry_ids&quot;:[[&quot;0&quot;]],&quot;bibliography_errors&quot;:[],&quot;done&quot;:false,&quot;hangingindent&quot;:true,&quot;bibstart&quot;:&quot;&lt;div class=\&quot;csl-bib-body\&quot;&gt;\n&quot;,&quot;bibend&quot;:&quot;&lt;/div&gt;&quot;},[&quot;  &lt;div class=\&quot;csl-entry\&quot;&gt;Accadia, T., F. Acernese, M. Alshourbagy, P. Amico, F. Antonucci, S. Aoudia, N. Arnaud, C. Arnault, K. G. Arun, P. Astone, S. Avino, D. Babusci, G. Ballardin, F. Barone, G. Barrand, L. Barsotti, M. Barsuglia, A. Basti, T. S. Bauer, F. Beauville, M. Bebronne, M. Bejger, M. G. Beker, F. Bellachia, A. Belletoile, J. L. Beney, M. Bernardini, S. Bigotta, R. Bilhaut, S. Birindelli, M. Bitossi, M. A. Bizouard, M. Blom, C. Boccara, D. Boget, F. Bondu, L. Bonelli, R. Bonnand, V. Boschi, L. Bosi, T. Bouedo, B. Bouhou, A. Bozzi, L. Bracci, S. Braccini, C. Bradaschia, M. Branchesi, T. Briant, A. Brillet, V. Brisson, L. Brocco, T. Bulik, H. J. Bulten, D. Buskulic, C. Buy, G. Cagnoli, G. Calamai, E. Calloni, E. Campagna, B. Canuel, F. Carbognani, L. Carbone, F. Cavalier, R. Cavalieri, R. Cecchi, G. Cella, E. Cesarini, E. Chassande-Mottin, S. Chatterji, R. Chiche, A. Chincarini, A. Chiummo, N. Christensen, A. C. Clapson, F. Cleva, E. Coccia, P.-F. Cohadon, C. N. Colacino, J. Colas, A. Colla, M. Colombini, G. Conforto, A. Corsi, S. Cortese, F. Cottone, J.-P. Coulon, E. Cuoco, S. D’Antonio, G. Daguin, A. Dari, V. Dattilo, P. Y. David, M. Davier, R. Day, G. Debreczeni, G. D. Carolis, M. Dehamme, R. D. Fabbro, W. D. Pozzo, M. del Prete, L. Derome, R. D. Rosa, R. DeSalvo, M. Dialinas, L. D. Fiore, A. D. Lieto, M. D. P. Emilio, A. D. Virgilio, A. Dietz, M. Doets, P. Dominici, A. Dominjon, M. Drago, C. Drezen, B. Dujardin, B. Dulach, C. Eder, A. Eleuteri, D. Enard, M. Evans, L. Fabbroni, V. Fafone, H. Fang, I. Ferrante, F. Fidecaro, I. Fiori, R. Flaminio, D. Forest, L. A. Forte, J.-D. Fournier, L. Fournier, J. Franc, O. Francois, S. Frasca, F. Frasconi, A. Freise, A. Gaddi, M. Galimberti, L. Gammaitoni, P. Ganau, C. Garnier, F. Garufi, M. E. Gáspár, G. Gemme, E. Genin, A. Gennai, G. Gennaro, L. Giacobone, A. Giazotto, G. Giordano, L. Giordano, C. Girard, R. Gouaty, A. Grado, M. Granata, V. Granata, X. Grave, C. Greverie, H. Groenstege, G. M. Guidi, S. Hamdani, J.-F. Hayau, S. Hebri, A. Heidmann, H. Heitmann, P. Hello, G. Hemming, E. Hennes, R. Hermel, P. Heusse, L. Holloway, D. Huet, M. Iannarelli, P. Jaranowski, D. Jehanno, L. Journet, S. Karkar, T. Ketel, H. Voet, J. Kovalik, I. Kowalska, S. Kreckelbergh, A. Krolak, J. C. Lacotte, B. Lagrange, P. L. Penna, M. Laval, J. C. L. Marec, N. Leroy, N. Letendre, T. G. F. Li, B. Lieunard, N. Liguori, O. Lodygensky, B. Lopez, M. Lorenzini, V. Loriette, G. Losurdo, M. Loupias, J. M. Mackowski, T. Maiani, E. Majorana, C. Magazzù, I. Maksimovic, V. Malvezzi, N. Man, S. Mancini, B. Mansoux, M. Mantovani, F. Marchesoni, F. Marion, P. Marin, J. Marque, F. Martelli, A. Masserot, L. Massonnet, G. Matone, L. Matone, M. Mazzoni, F. Menzinger, C. Michel, L. Milano, Y. Minenkov, S. Mitra, M. Mohan, J.-L. Montorio, R. Morand, F. Moreau, J. Moreau, N. Morgado, A. Morgia, S. Mosca, V. Moscatelli, B. Mours, P. Mugnier, F.-A. Mul, L. Naticchioni, I. Neri, F. Nocera, E. Pacaud, G. Pagliaroli, A. Pai, L. Palladino, C. Palomba, F. Paoletti, R. Paoletti, A. Paoli, S. Pardi, G. Parguez, M. Parisi, A. Pasqualetti, R. Passaquieti, D. Passuello, M. Perciballi, B. Perniola, G. Persichetti, S. Petit, M. Pichot, F. Piergiovanni, M. Pietka, R. Pignard, L. Pinard, R. Poggiani, P. Popolizio, T. Pradier, M. Prato, G. A. Prodi, M. Punturo, P. Puppo, K. Qipiani, O. Rabaste, D. S. Rabeling, I. Rácz, F. Raffaelli, P. Rapagnani, S. Rapisarda, V. Re, A. Reboux, T. Regimbau, V. Reita, A. Remilleux, F. Ricci, I. Ricciardi, F. Richard, M. Ripepe, F. Robinet, A. Rocchi, L. Rolland, R. Romano, D. Rosińska, P. Roudier, P. Ruggi, G. Russo, L. Salconi, V. Sannibale, B. Sassolas, D. Sentenac, S. Solimeno, R. Sottile, L. Sperandio, R. Stanga, R. Sturani, B. Swinkels, M. Tacca, R. Taddei, L. Taffarello, M. Tarallo, S. Tissot, A. Toncelli, M. Tonelli, O. Torre, E. Tournefier, F. Travasso, C. Tremola, E. Turri, G. Vajente, J. F. J. van den Brand, C. V. D. Broeck, S. van der Putten, M. Vasuth, M. Vavoulidis, G. Vedovato, D. Verkindt, F. Vetrano, O. Véziant, A. Viceré, J.-Y. Vinet, S. Vilalte, S. Vitale, H. Vocca, R. L. Ward, M. Was, K. Yamamoto, M. Yvert, J.-P. Zendri, and Z. Zhang. 2012. Virgo: a laser interferometer to detect gravitational waves. &lt;i&gt;Journal of Instrumentation&lt;/i&gt; 7(03):P03012–P03012.&lt;/div&gt;\n&quot;]],&quot;citationText&quot;:&quot;(Accadia et al. 2012)&quot;}"/>
    <we:property name="sciwheel-styles" value="[{&quot;id&quot;:&quot;american-journal-of-human-genetics&quot;,&quot;name&quot;:&quot;American Journal of Human Genetics&quot;},{&quot;id&quot;:&quot;american-medical-association&quot;,&quot;name&quot;:&quot;American Medical Association&quot;},{&quot;id&quot;:&quot;annual-review-of-cell-and-developmental-biology&quot;,&quot;name&quot;:&quot;Annual Review of Cell and Developmental Biology&quot;},{&quot;id&quot;:&quot;blood&quot;,&quot;name&quot;:&quot;Blood&quot;},{&quot;id&quot;:&quot;brain&quot;,&quot;name&quot;:&quot;Brain&quot;},{&quot;id&quot;:&quot;cell&quot;,&quot;name&quot;:&quot;Cell&quot;},{&quot;id&quot;:&quot;current-biology&quot;,&quot;name&quot;:&quot;Current Biology&quot;},{&quot;id&quot;:&quot;developmental-biology&quot;,&quot;name&quot;:&quot;Developmental Biology&quot;},{&quot;id&quot;:&quot;developmental-cell&quot;,&quot;name&quot;:&quot;Developmental Cell&quot;},{&quot;id&quot;:&quot;ecology-and-society&quot;,&quot;name&quot;:&quot;Ecology and Society&quot;,&quot;bibText&quot;:[{&quot;maxoffset&quot;:0,&quot;entryspacing&quot;:0,&quot;linespacing&quot;:1,&quot;second-field-align&quot;:false,&quot;entry_ids&quot;:[[&quot;0&quot;]],&quot;bibliography_errors&quot;:[],&quot;done&quot;:false,&quot;hangingindent&quot;:true,&quot;bibstart&quot;:&quot;&lt;div class=\&quot;csl-bib-body\&quot;&gt;\n&quot;,&quot;bibend&quot;:&quot;&lt;/div&gt;&quot;},[&quot;  &lt;div class=\&quot;csl-entry\&quot;&gt;Accadia, T., F. Acernese, M. Alshourbagy, P. Amico, F. Antonucci, S. Aoudia, N. Arnaud, C. Arnault, K. G. Arun, P. Astone, S. Avino, D. Babusci, G. Ballardin, F. Barone, G. Barrand, L. Barsotti, M. Barsuglia, A. Basti, T. S. Bauer, F. Beauville, M. Bebronne, M. Bejger, M. G. Beker, F. Bellachia, A. Belletoile, J. L. Beney, M. Bernardini, S. Bigotta, R. Bilhaut, S. Birindelli, M. Bitossi, M. A. Bizouard, M. Blom, C. Boccara, D. Boget, F. Bondu, L. Bonelli, R. Bonnand, V. Boschi, L. Bosi, T. Bouedo, B. Bouhou, A. Bozzi, L. Bracci, S. Braccini, C. Bradaschia, M. Branchesi, T. Briant, A. Brillet, V. Brisson, L. Brocco, T. Bulik, H. J. Bulten, D. Buskulic, C. Buy, G. Cagnoli, G. Calamai, E. Calloni, E. Campagna, B. Canuel, F. Carbognani, L. Carbone, F. Cavalier, R. Cavalieri, R. Cecchi, G. Cella, E. Cesarini, E. Chassande-Mottin, S. Chatterji, R. Chiche, A. Chincarini, A. Chiummo, N. Christensen, A. C. Clapson, F. Cleva, E. Coccia, P.-F. Cohadon, C. N. Colacino, J. Colas, A. Colla, M. Colombini, G. Conforto, A. Corsi, S. Cortese, F. Cottone, J.-P. Coulon, E. Cuoco, S. D’Antonio, G. Daguin, A. Dari, V. Dattilo, P. Y. David, M. Davier, R. Day, G. Debreczeni, G. D. Carolis, M. Dehamme, R. D. Fabbro, W. D. Pozzo, M. del Prete, L. Derome, R. D. Rosa, R. DeSalvo, M. Dialinas, L. D. Fiore, A. D. Lieto, M. D. P. Emilio, A. D. Virgilio, A. Dietz, M. Doets, P. Dominici, A. Dominjon, M. Drago, C. Drezen, B. Dujardin, B. Dulach, C. Eder, A. Eleuteri, D. Enard, M. Evans, L. Fabbroni, V. Fafone, H. Fang, I. Ferrante, F. Fidecaro, I. Fiori, R. Flaminio, D. Forest, L. A. Forte, J.-D. Fournier, L. Fournier, J. Franc, O. Francois, S. Frasca, F. Frasconi, A. Freise, A. Gaddi, M. Galimberti, L. Gammaitoni, P. Ganau, C. Garnier, F. Garufi, M. E. Gáspár, G. Gemme, E. Genin, A. Gennai, G. Gennaro, L. Giacobone, A. Giazotto, G. Giordano, L. Giordano, C. Girard, R. Gouaty, A. Grado, M. Granata, V. Granata, X. Grave, C. Greverie, H. Groenstege, G. M. Guidi, S. Hamdani, J.-F. Hayau, S. Hebri, A. Heidmann, H. Heitmann, P. Hello, G. Hemming, E. Hennes, R. Hermel, P. Heusse, L. Holloway, D. Huet, M. Iannarelli, P. Jaranowski, D. Jehanno, L. Journet, S. Karkar, T. Ketel, H. Voet, J. Kovalik, I. Kowalska, S. Kreckelbergh, A. Krolak, J. C. Lacotte, B. Lagrange, P. L. Penna, M. Laval, J. C. L. Marec, N. Leroy, N. Letendre, T. G. F. Li, B. Lieunard, N. Liguori, O. Lodygensky, B. Lopez, M. Lorenzini, V. Loriette, G. Losurdo, M. Loupias, J. M. Mackowski, T. Maiani, E. Majorana, C. Magazzù, I. Maksimovic, V. Malvezzi, N. Man, S. Mancini, B. Mansoux, M. Mantovani, F. Marchesoni, F. Marion, P. Marin, J. Marque, F. Martelli, A. Masserot, L. Massonnet, G. Matone, L. Matone, M. Mazzoni, F. Menzinger, C. Michel, L. Milano, Y. Minenkov, S. Mitra, M. Mohan, J.-L. Montorio, R. Morand, F. Moreau, J. Moreau, N. Morgado, A. Morgia, S. Mosca, V. Moscatelli, B. Mours, P. Mugnier, F.-A. Mul, L. Naticchioni, I. Neri, F. Nocera, E. Pacaud, G. Pagliaroli, A. Pai, L. Palladino, C. Palomba, F. Paoletti, R. Paoletti, A. Paoli, S. Pardi, G. Parguez, M. Parisi, A. Pasqualetti, R. Passaquieti, D. Passuello, M. Perciballi, B. Perniola, G. Persichetti, S. Petit, M. Pichot, F. Piergiovanni, M. Pietka, R. Pignard, L. Pinard, R. Poggiani, P. Popolizio, T. Pradier, M. Prato, G. A. Prodi, M. Punturo, P. Puppo, K. Qipiani, O. Rabaste, D. S. Rabeling, I. Rácz, F. Raffaelli, P. Rapagnani, S. Rapisarda, V. Re, A. Reboux, T. Regimbau, V. Reita, A. Remilleux, F. Ricci, I. Ricciardi, F. Richard, M. Ripepe, F. Robinet, A. Rocchi, L. Rolland, R. Romano, D. Rosińska, P. Roudier, P. Ruggi, G. Russo, L. Salconi, V. Sannibale, B. Sassolas, D. Sentenac, S. Solimeno, R. Sottile, L. Sperandio, R. Stanga, R. Sturani, B. Swinkels, M. Tacca, R. Taddei, L. Taffarello, M. Tarallo, S. Tissot, A. Toncelli, M. Tonelli, O. Torre, E. Tournefier, F. Travasso, C. Tremola, E. Turri, G. Vajente, J. F. J. van den Brand, C. V. D. Broeck, S. van der Putten, M. Vasuth, M. Vavoulidis, G. Vedovato, D. Verkindt, F. Vetrano, O. Véziant, A. Viceré, J.-Y. Vinet, S. Vilalte, S. Vitale, H. Vocca, R. L. Ward, M. Was, K. Yamamoto, M. Yvert, J.-P. Zendri, and Z. Zhang. 2012. Virgo: a laser interferometer to detect gravitational waves. &lt;i&gt;Journal of Instrumentation&lt;/i&gt; 7(03):P03012–P03012.&lt;/div&gt;\n&quot;]],&quot;citationText&quot;:&quot;(Accadia et al. 2012)&quot;},{&quot;id&quot;:&quot;genes-and-development&quot;,&quot;name&quot;:&quot;Genes &amp; Development&quot;},{&quot;id&quot;:&quot;immunity&quot;,&quot;name&quot;:&quot;Immunity&quot;},{&quot;id&quot;:&quot;mechanisms-of-development&quot;,&quot;name&quot;:&quot;Mechanisms of Development&quot;},{&quot;id&quot;:&quot;molecular-cell&quot;,&quot;name&quot;:&quot;Molecular Cell&quot;},{&quot;id&quot;:&quot;nature&quot;,&quot;name&quot;:&quot;Nature&quot;},{&quot;id&quot;:&quot;nature-communications&quot;,&quot;name&quot;:&quot;Nature Communications&quot;},{&quot;id&quot;:&quot;neuron&quot;,&quot;name&quot;:&quot;Neuron&quot;},{&quot;id&quot;:&quot;pnas&quot;,&quot;name&quot;:&quot;Proceedings of the National Academy of Sciences of the United States of America&quot;},{&quot;id&quot;:&quot;plos&quot;,&quot;name&quot;:&quot;Public Library of Science&quot;},{&quot;id&quot;:&quot;science&quot;,&quot;name&quot;:&quot;Science&quot;},{&quot;id&quot;:&quot;scientific-reports&quot;,&quot;name&quot;:&quot;Scientific Reports&quot;},{&quot;id&quot;:&quot;the-company-of-biologists&quot;,&quot;name&quot;:&quot;The Company of Biologists&quot;},{&quot;id&quot;:&quot;the-febs-journal&quot;,&quot;name&quot;:&quot;The FEBS Journal&quot;},{&quot;id&quot;:&quot;the-lancet&quot;,&quot;name&quot;:&quot;The Lancet&quot;},{&quot;id&quot;:&quot;the-new-england-journal-of-medicine&quot;,&quot;name&quot;:&quot;The New England Journal of Medicine&quot;},{&quot;id&quot;:&quot;trends-in-cell-biology&quot;,&quot;name&quot;:&quot;Trends in Cell Biology&quot;},{&quot;id&quot;:&quot;vancouver&quot;,&quot;name&quot;:&quot;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11422-9A8B-423E-8E13-C3AD21CAF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Raja</dc:creator>
  <cp:keywords/>
  <dc:description/>
  <cp:lastModifiedBy>Maraja Riechers</cp:lastModifiedBy>
  <cp:revision>3</cp:revision>
  <dcterms:created xsi:type="dcterms:W3CDTF">2023-09-08T11:24:00Z</dcterms:created>
  <dcterms:modified xsi:type="dcterms:W3CDTF">2023-09-08T11:27:00Z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-1</vt:lpwstr>
  </property>
  <property fmtid="{D5CDD505-2E9C-101B-9397-08002B2CF9AE}" pid="3" name="FileId">
    <vt:lpwstr>1845071</vt:lpwstr>
  </property>
  <property fmtid="{D5CDD505-2E9C-101B-9397-08002B2CF9AE}" pid="4" name="InsertAsFootnote">
    <vt:lpwstr>False</vt:lpwstr>
  </property>
  <property fmtid="{D5CDD505-2E9C-101B-9397-08002B2CF9AE}" pid="5" name="StyleId">
    <vt:lpwstr>http://www.zotero.org/styles/global-environmental-change</vt:lpwstr>
  </property>
</Properties>
</file>