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24D" w:rsidRPr="005B6C4B" w:rsidRDefault="007E424D" w:rsidP="007E424D">
      <w:pPr>
        <w:widowControl w:val="0"/>
        <w:autoSpaceDE w:val="0"/>
        <w:autoSpaceDN w:val="0"/>
        <w:adjustRightInd w:val="0"/>
        <w:spacing w:line="480" w:lineRule="auto"/>
        <w:ind w:right="-9"/>
        <w:jc w:val="both"/>
        <w:rPr>
          <w:rFonts w:ascii="Arial" w:hAnsi="Arial" w:cs="Arial"/>
          <w:b/>
          <w:sz w:val="28"/>
          <w:szCs w:val="28"/>
          <w:lang w:val="en-GB"/>
        </w:rPr>
      </w:pPr>
      <w:r w:rsidRPr="005B6C4B">
        <w:rPr>
          <w:rFonts w:ascii="Arial" w:hAnsi="Arial" w:cs="Arial"/>
          <w:b/>
          <w:sz w:val="28"/>
          <w:szCs w:val="28"/>
          <w:lang w:val="en-GB"/>
        </w:rPr>
        <w:t>Supplementary Material</w:t>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p>
    <w:p w:rsidR="007E424D" w:rsidRPr="005B6C4B" w:rsidRDefault="007E424D" w:rsidP="007E424D">
      <w:pPr>
        <w:widowControl w:val="0"/>
        <w:autoSpaceDE w:val="0"/>
        <w:autoSpaceDN w:val="0"/>
        <w:adjustRightInd w:val="0"/>
        <w:spacing w:line="480" w:lineRule="auto"/>
        <w:ind w:right="-9"/>
        <w:jc w:val="both"/>
        <w:rPr>
          <w:rFonts w:ascii="Arial" w:hAnsi="Arial" w:cs="Arial"/>
          <w:b/>
          <w:sz w:val="28"/>
          <w:szCs w:val="28"/>
          <w:lang w:val="en-GB"/>
        </w:rPr>
      </w:pPr>
      <w:r w:rsidRPr="005B6C4B">
        <w:rPr>
          <w:rFonts w:ascii="Arial" w:hAnsi="Arial" w:cs="Arial"/>
          <w:b/>
          <w:sz w:val="28"/>
          <w:szCs w:val="28"/>
          <w:lang w:val="en-GB"/>
        </w:rPr>
        <w:t>Setup</w:t>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r w:rsidRPr="005B6C4B">
        <w:rPr>
          <w:rFonts w:ascii="Arial" w:hAnsi="Arial" w:cs="Arial"/>
          <w:sz w:val="28"/>
          <w:szCs w:val="28"/>
          <w:lang w:val="en-GB"/>
        </w:rPr>
        <w:t>Four different development scenarios were created and characterised for the end-of-century:</w:t>
      </w:r>
    </w:p>
    <w:p w:rsidR="007E424D" w:rsidRPr="005B6C4B" w:rsidRDefault="007E424D" w:rsidP="007E424D">
      <w:pPr>
        <w:widowControl w:val="0"/>
        <w:autoSpaceDE w:val="0"/>
        <w:autoSpaceDN w:val="0"/>
        <w:adjustRightInd w:val="0"/>
        <w:spacing w:line="480" w:lineRule="auto"/>
        <w:ind w:right="-9"/>
        <w:jc w:val="both"/>
        <w:rPr>
          <w:rFonts w:ascii="Arial" w:hAnsi="Arial" w:cs="Arial"/>
          <w:b/>
          <w:i/>
          <w:iCs/>
          <w:sz w:val="28"/>
          <w:szCs w:val="28"/>
          <w:lang w:val="en-GB"/>
        </w:rPr>
      </w:pPr>
    </w:p>
    <w:p w:rsidR="007E424D" w:rsidRPr="005B6C4B" w:rsidRDefault="007E424D" w:rsidP="007E424D">
      <w:pPr>
        <w:pStyle w:val="ListParagraph"/>
        <w:widowControl w:val="0"/>
        <w:numPr>
          <w:ilvl w:val="0"/>
          <w:numId w:val="1"/>
        </w:numPr>
        <w:autoSpaceDE w:val="0"/>
        <w:autoSpaceDN w:val="0"/>
        <w:adjustRightInd w:val="0"/>
        <w:spacing w:line="480" w:lineRule="auto"/>
        <w:ind w:right="-9"/>
        <w:jc w:val="both"/>
        <w:rPr>
          <w:rFonts w:ascii="Arial" w:hAnsi="Arial" w:cs="Arial"/>
          <w:bCs/>
          <w:sz w:val="28"/>
          <w:szCs w:val="28"/>
          <w:lang w:val="en-GB"/>
        </w:rPr>
      </w:pPr>
      <w:r w:rsidRPr="005B6C4B">
        <w:rPr>
          <w:rFonts w:ascii="Arial" w:hAnsi="Arial" w:cs="Arial"/>
          <w:bCs/>
          <w:i/>
          <w:iCs/>
          <w:sz w:val="28"/>
          <w:szCs w:val="28"/>
          <w:lang w:val="en-GB"/>
        </w:rPr>
        <w:t>Business</w:t>
      </w:r>
      <w:r>
        <w:rPr>
          <w:rFonts w:ascii="Arial" w:hAnsi="Arial" w:cs="Arial"/>
          <w:bCs/>
          <w:i/>
          <w:iCs/>
          <w:sz w:val="28"/>
          <w:szCs w:val="28"/>
          <w:lang w:val="en-GB"/>
        </w:rPr>
        <w:t xml:space="preserve"> a</w:t>
      </w:r>
      <w:r w:rsidRPr="005B6C4B">
        <w:rPr>
          <w:rFonts w:ascii="Arial" w:hAnsi="Arial" w:cs="Arial"/>
          <w:bCs/>
          <w:i/>
          <w:iCs/>
          <w:sz w:val="28"/>
          <w:szCs w:val="28"/>
          <w:lang w:val="en-GB"/>
        </w:rPr>
        <w:t>s</w:t>
      </w:r>
      <w:r>
        <w:rPr>
          <w:rFonts w:ascii="Arial" w:hAnsi="Arial" w:cs="Arial"/>
          <w:bCs/>
          <w:i/>
          <w:iCs/>
          <w:sz w:val="28"/>
          <w:szCs w:val="28"/>
          <w:lang w:val="en-GB"/>
        </w:rPr>
        <w:t xml:space="preserve"> u</w:t>
      </w:r>
      <w:r w:rsidRPr="005B6C4B">
        <w:rPr>
          <w:rFonts w:ascii="Arial" w:hAnsi="Arial" w:cs="Arial"/>
          <w:bCs/>
          <w:i/>
          <w:iCs/>
          <w:sz w:val="28"/>
          <w:szCs w:val="28"/>
          <w:lang w:val="en-GB"/>
        </w:rPr>
        <w:t>sual</w:t>
      </w:r>
      <w:r w:rsidRPr="005B6C4B">
        <w:rPr>
          <w:rFonts w:ascii="Arial" w:hAnsi="Arial" w:cs="Arial"/>
          <w:bCs/>
          <w:sz w:val="28"/>
          <w:szCs w:val="28"/>
          <w:lang w:val="en-GB"/>
        </w:rPr>
        <w:t xml:space="preserve"> assumes UN High-variant demographic scenario with end-of-century doubling of human population with reference to 2020, moderate increase of per capita consumption given that regional inequality in the distribution of wealth prevents highest values to be reached everywhere, and there only small incremental improvements in the efficiency with which resources and energy are used. </w:t>
      </w:r>
    </w:p>
    <w:p w:rsidR="007E424D" w:rsidRPr="005B6C4B" w:rsidRDefault="007E424D" w:rsidP="007E424D">
      <w:pPr>
        <w:widowControl w:val="0"/>
        <w:autoSpaceDE w:val="0"/>
        <w:autoSpaceDN w:val="0"/>
        <w:adjustRightInd w:val="0"/>
        <w:spacing w:line="480" w:lineRule="auto"/>
        <w:ind w:right="-9"/>
        <w:jc w:val="both"/>
        <w:rPr>
          <w:rFonts w:ascii="Arial" w:hAnsi="Arial" w:cs="Arial"/>
          <w:bCs/>
          <w:sz w:val="28"/>
          <w:szCs w:val="28"/>
          <w:lang w:val="en-GB"/>
        </w:rPr>
      </w:pPr>
    </w:p>
    <w:p w:rsidR="007E424D" w:rsidRPr="005B6C4B" w:rsidRDefault="007E424D" w:rsidP="007E424D">
      <w:pPr>
        <w:pStyle w:val="ListParagraph"/>
        <w:widowControl w:val="0"/>
        <w:numPr>
          <w:ilvl w:val="0"/>
          <w:numId w:val="1"/>
        </w:numPr>
        <w:autoSpaceDE w:val="0"/>
        <w:autoSpaceDN w:val="0"/>
        <w:adjustRightInd w:val="0"/>
        <w:spacing w:line="480" w:lineRule="auto"/>
        <w:ind w:right="-9"/>
        <w:jc w:val="both"/>
        <w:rPr>
          <w:rFonts w:ascii="Arial" w:hAnsi="Arial" w:cs="Arial"/>
          <w:bCs/>
          <w:sz w:val="28"/>
          <w:szCs w:val="28"/>
          <w:lang w:val="en-GB"/>
        </w:rPr>
      </w:pPr>
      <w:r w:rsidRPr="005B6C4B">
        <w:rPr>
          <w:rFonts w:ascii="Arial" w:hAnsi="Arial" w:cs="Arial"/>
          <w:bCs/>
          <w:i/>
          <w:iCs/>
          <w:sz w:val="28"/>
          <w:szCs w:val="28"/>
          <w:lang w:val="en-GB"/>
        </w:rPr>
        <w:t>Tech world</w:t>
      </w:r>
      <w:r w:rsidRPr="005B6C4B">
        <w:rPr>
          <w:rFonts w:ascii="Arial" w:hAnsi="Arial" w:cs="Arial"/>
          <w:bCs/>
          <w:sz w:val="28"/>
          <w:szCs w:val="28"/>
          <w:lang w:val="en-GB"/>
        </w:rPr>
        <w:t xml:space="preserve"> assumes the UN momentum demographic scenario with 20% end-of-century increase of human population with regards to 2020, strong economic growth leading to doubling per capita consumption, and doubling the efficiency with which energy and resources are used owing to strong investments in green technology. </w:t>
      </w:r>
    </w:p>
    <w:p w:rsidR="007E424D" w:rsidRPr="005B6C4B" w:rsidRDefault="007E424D" w:rsidP="007E424D">
      <w:pPr>
        <w:widowControl w:val="0"/>
        <w:autoSpaceDE w:val="0"/>
        <w:autoSpaceDN w:val="0"/>
        <w:adjustRightInd w:val="0"/>
        <w:spacing w:line="480" w:lineRule="auto"/>
        <w:ind w:right="-9"/>
        <w:jc w:val="both"/>
        <w:rPr>
          <w:rFonts w:ascii="Arial" w:hAnsi="Arial" w:cs="Arial"/>
          <w:bCs/>
          <w:sz w:val="28"/>
          <w:szCs w:val="28"/>
          <w:lang w:val="en-GB"/>
        </w:rPr>
      </w:pPr>
    </w:p>
    <w:p w:rsidR="007E424D" w:rsidRPr="005B6C4B" w:rsidRDefault="007E424D" w:rsidP="007E424D">
      <w:pPr>
        <w:pStyle w:val="ListParagraph"/>
        <w:widowControl w:val="0"/>
        <w:numPr>
          <w:ilvl w:val="0"/>
          <w:numId w:val="1"/>
        </w:numPr>
        <w:autoSpaceDE w:val="0"/>
        <w:autoSpaceDN w:val="0"/>
        <w:adjustRightInd w:val="0"/>
        <w:spacing w:line="480" w:lineRule="auto"/>
        <w:ind w:right="-9"/>
        <w:jc w:val="both"/>
        <w:rPr>
          <w:rFonts w:ascii="Arial" w:hAnsi="Arial" w:cs="Arial"/>
          <w:bCs/>
          <w:sz w:val="28"/>
          <w:szCs w:val="28"/>
          <w:lang w:val="en-GB"/>
        </w:rPr>
      </w:pPr>
      <w:r w:rsidRPr="005B6C4B">
        <w:rPr>
          <w:rFonts w:ascii="Arial" w:hAnsi="Arial" w:cs="Arial"/>
          <w:bCs/>
          <w:i/>
          <w:iCs/>
          <w:sz w:val="28"/>
          <w:szCs w:val="28"/>
          <w:lang w:val="en-GB"/>
        </w:rPr>
        <w:t>Consumer reduction</w:t>
      </w:r>
      <w:r w:rsidRPr="005B6C4B">
        <w:rPr>
          <w:rFonts w:ascii="Arial" w:hAnsi="Arial" w:cs="Arial"/>
          <w:bCs/>
          <w:sz w:val="28"/>
          <w:szCs w:val="28"/>
          <w:lang w:val="en-GB"/>
        </w:rPr>
        <w:t xml:space="preserve"> scenario makes the same demographic assumptions as the Tech world, but with just small increase in per capita consumption and small increase in the efficiency of resource and energy use, owing to modest investments in green technology. </w:t>
      </w:r>
    </w:p>
    <w:p w:rsidR="007E424D" w:rsidRPr="005B6C4B" w:rsidRDefault="007E424D" w:rsidP="007E424D">
      <w:pPr>
        <w:widowControl w:val="0"/>
        <w:autoSpaceDE w:val="0"/>
        <w:autoSpaceDN w:val="0"/>
        <w:adjustRightInd w:val="0"/>
        <w:spacing w:line="480" w:lineRule="auto"/>
        <w:ind w:right="-9"/>
        <w:jc w:val="both"/>
        <w:rPr>
          <w:rFonts w:ascii="Arial" w:hAnsi="Arial" w:cs="Arial"/>
          <w:bCs/>
          <w:sz w:val="28"/>
          <w:szCs w:val="28"/>
          <w:lang w:val="en-GB"/>
        </w:rPr>
      </w:pPr>
    </w:p>
    <w:p w:rsidR="007E424D" w:rsidRPr="005B6C4B" w:rsidRDefault="007E424D" w:rsidP="007E424D">
      <w:pPr>
        <w:pStyle w:val="ListParagraph"/>
        <w:widowControl w:val="0"/>
        <w:numPr>
          <w:ilvl w:val="0"/>
          <w:numId w:val="1"/>
        </w:numPr>
        <w:autoSpaceDE w:val="0"/>
        <w:autoSpaceDN w:val="0"/>
        <w:adjustRightInd w:val="0"/>
        <w:spacing w:line="480" w:lineRule="auto"/>
        <w:ind w:right="-9"/>
        <w:jc w:val="both"/>
        <w:rPr>
          <w:rFonts w:ascii="Arial" w:hAnsi="Arial" w:cs="Arial"/>
          <w:bCs/>
          <w:sz w:val="28"/>
          <w:szCs w:val="28"/>
          <w:lang w:val="en-GB"/>
        </w:rPr>
      </w:pPr>
      <w:r w:rsidRPr="005B6C4B">
        <w:rPr>
          <w:rFonts w:ascii="Arial" w:hAnsi="Arial" w:cs="Arial"/>
          <w:bCs/>
          <w:i/>
          <w:iCs/>
          <w:sz w:val="28"/>
          <w:szCs w:val="28"/>
          <w:lang w:val="en-GB"/>
        </w:rPr>
        <w:t>Smart sustainability</w:t>
      </w:r>
      <w:r w:rsidRPr="005B6C4B">
        <w:rPr>
          <w:rFonts w:ascii="Arial" w:hAnsi="Arial" w:cs="Arial"/>
          <w:bCs/>
          <w:sz w:val="28"/>
          <w:szCs w:val="28"/>
          <w:lang w:val="en-GB"/>
        </w:rPr>
        <w:t xml:space="preserve"> achieves the UN momentum demographic scenario, with moderate reductions in per capita consumption, inevitable as the developing world reaches highest economic standards, and strong increases in resource and energy efficiency. </w:t>
      </w:r>
    </w:p>
    <w:p w:rsidR="007E424D" w:rsidRPr="005B6C4B" w:rsidRDefault="007E424D" w:rsidP="007E424D">
      <w:pPr>
        <w:pStyle w:val="ListParagraph"/>
        <w:spacing w:line="480" w:lineRule="auto"/>
        <w:rPr>
          <w:rFonts w:ascii="Arial" w:hAnsi="Arial" w:cs="Arial"/>
          <w:bCs/>
          <w:sz w:val="28"/>
          <w:szCs w:val="28"/>
          <w:lang w:val="en-GB"/>
        </w:rPr>
      </w:pPr>
    </w:p>
    <w:p w:rsidR="007E424D" w:rsidRPr="005B6C4B" w:rsidRDefault="007E424D" w:rsidP="007E424D">
      <w:pPr>
        <w:widowControl w:val="0"/>
        <w:autoSpaceDE w:val="0"/>
        <w:autoSpaceDN w:val="0"/>
        <w:adjustRightInd w:val="0"/>
        <w:spacing w:line="480" w:lineRule="auto"/>
        <w:ind w:right="-9"/>
        <w:jc w:val="both"/>
        <w:rPr>
          <w:rFonts w:ascii="Arial" w:hAnsi="Arial" w:cs="Arial"/>
          <w:bCs/>
          <w:sz w:val="28"/>
          <w:szCs w:val="28"/>
          <w:lang w:val="en-GB"/>
        </w:rPr>
      </w:pPr>
      <w:r w:rsidRPr="005B6C4B">
        <w:rPr>
          <w:rFonts w:ascii="Arial" w:hAnsi="Arial" w:cs="Arial"/>
          <w:bCs/>
          <w:sz w:val="28"/>
          <w:szCs w:val="28"/>
          <w:lang w:val="en-GB"/>
        </w:rPr>
        <w:t>In these scenarios high values imply doubling scores with regards to 2020, moderate values involve increases of 40%, and low values comprise increases in 20%.</w:t>
      </w:r>
    </w:p>
    <w:p w:rsidR="007E424D" w:rsidRPr="005B6C4B" w:rsidRDefault="007E424D" w:rsidP="007E424D">
      <w:pPr>
        <w:widowControl w:val="0"/>
        <w:autoSpaceDE w:val="0"/>
        <w:autoSpaceDN w:val="0"/>
        <w:adjustRightInd w:val="0"/>
        <w:spacing w:line="480" w:lineRule="auto"/>
        <w:ind w:right="-9"/>
        <w:jc w:val="both"/>
        <w:rPr>
          <w:rFonts w:ascii="Arial" w:hAnsi="Arial" w:cs="Arial"/>
          <w:bCs/>
          <w:sz w:val="28"/>
          <w:szCs w:val="28"/>
          <w:lang w:val="en-GB"/>
        </w:rPr>
      </w:pPr>
    </w:p>
    <w:p w:rsidR="007E424D" w:rsidRPr="005B6C4B" w:rsidRDefault="007E424D" w:rsidP="007E424D">
      <w:pPr>
        <w:spacing w:line="480" w:lineRule="auto"/>
        <w:rPr>
          <w:sz w:val="28"/>
          <w:szCs w:val="28"/>
          <w:lang w:val="en-GB"/>
        </w:rPr>
      </w:pPr>
    </w:p>
    <w:p w:rsidR="007E424D" w:rsidRPr="005B6C4B" w:rsidRDefault="007E424D" w:rsidP="007E424D">
      <w:pPr>
        <w:spacing w:line="480" w:lineRule="auto"/>
        <w:rPr>
          <w:sz w:val="28"/>
          <w:szCs w:val="28"/>
          <w:lang w:val="en-GB"/>
        </w:rPr>
      </w:pPr>
    </w:p>
    <w:p w:rsidR="007E424D" w:rsidRPr="005B6C4B" w:rsidRDefault="007E424D" w:rsidP="007E424D">
      <w:pPr>
        <w:widowControl w:val="0"/>
        <w:autoSpaceDE w:val="0"/>
        <w:autoSpaceDN w:val="0"/>
        <w:adjustRightInd w:val="0"/>
        <w:spacing w:line="480" w:lineRule="auto"/>
        <w:ind w:right="-9"/>
        <w:jc w:val="both"/>
        <w:rPr>
          <w:rFonts w:ascii="Arial" w:hAnsi="Arial" w:cs="Arial"/>
          <w:b/>
          <w:sz w:val="28"/>
          <w:szCs w:val="28"/>
          <w:lang w:val="en-GB"/>
        </w:rPr>
      </w:pPr>
      <w:r w:rsidRPr="005B6C4B">
        <w:rPr>
          <w:rFonts w:ascii="Arial" w:hAnsi="Arial" w:cs="Arial"/>
          <w:b/>
          <w:sz w:val="28"/>
          <w:szCs w:val="28"/>
          <w:lang w:val="en-GB"/>
        </w:rPr>
        <w:t>Data sources</w:t>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r w:rsidRPr="005B6C4B">
        <w:rPr>
          <w:rFonts w:ascii="Arial" w:hAnsi="Arial" w:cs="Arial"/>
          <w:sz w:val="28"/>
          <w:szCs w:val="28"/>
          <w:u w:val="single"/>
          <w:lang w:val="en-GB"/>
        </w:rPr>
        <w:t>Population (</w:t>
      </w:r>
      <w:r w:rsidRPr="005B6C4B">
        <w:rPr>
          <w:rFonts w:ascii="Arial" w:hAnsi="Arial" w:cs="Arial"/>
          <w:i/>
          <w:iCs/>
          <w:sz w:val="28"/>
          <w:szCs w:val="28"/>
          <w:u w:val="single"/>
          <w:lang w:val="en-GB"/>
        </w:rPr>
        <w:t>N</w:t>
      </w:r>
      <w:r w:rsidRPr="005B6C4B">
        <w:rPr>
          <w:rFonts w:ascii="Arial" w:hAnsi="Arial" w:cs="Arial"/>
          <w:sz w:val="28"/>
          <w:szCs w:val="28"/>
          <w:u w:val="single"/>
          <w:lang w:val="en-GB"/>
        </w:rPr>
        <w:t>):</w:t>
      </w:r>
      <w:r w:rsidRPr="005B6C4B">
        <w:rPr>
          <w:rFonts w:ascii="Arial" w:hAnsi="Arial" w:cs="Arial"/>
          <w:sz w:val="28"/>
          <w:szCs w:val="28"/>
          <w:lang w:val="en-GB"/>
        </w:rPr>
        <w:t xml:space="preserve"> for population data, we sourced information from the United Nations Development Programme (UNDP), specifically their 2020 </w:t>
      </w:r>
      <w:r w:rsidRPr="005B6C4B">
        <w:rPr>
          <w:rFonts w:ascii="Arial" w:hAnsi="Arial" w:cs="Arial"/>
          <w:sz w:val="28"/>
          <w:szCs w:val="28"/>
          <w:lang w:val="en-GB"/>
        </w:rPr>
        <w:lastRenderedPageBreak/>
        <w:t xml:space="preserve">data and forecasts for 2050 and 2100 (data from: </w:t>
      </w:r>
      <w:hyperlink r:id="rId5" w:history="1">
        <w:r w:rsidRPr="005B6C4B">
          <w:rPr>
            <w:rStyle w:val="Hyperlink"/>
            <w:rFonts w:ascii="Arial" w:hAnsi="Arial" w:cs="Arial"/>
            <w:sz w:val="28"/>
            <w:szCs w:val="28"/>
            <w:lang w:val="en-GB"/>
          </w:rPr>
          <w:t>https://population.un.org/dataportal/home</w:t>
        </w:r>
      </w:hyperlink>
      <w:r w:rsidRPr="005B6C4B">
        <w:rPr>
          <w:rFonts w:ascii="Arial" w:hAnsi="Arial" w:cs="Arial"/>
          <w:sz w:val="28"/>
          <w:szCs w:val="28"/>
          <w:lang w:val="en-GB"/>
        </w:rPr>
        <w:t>). To interpolate these data across our scenarios, we calculated geometric annual averages (Figure S1). The figures are presented in billions of people globally. We determined a consistent annual growth rate that varies according to different consumption patterns and technological innovation scenarios.</w:t>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r w:rsidRPr="005B6C4B">
        <w:rPr>
          <w:rFonts w:ascii="Arial" w:hAnsi="Arial" w:cs="Arial"/>
          <w:sz w:val="28"/>
          <w:szCs w:val="28"/>
          <w:u w:val="single"/>
          <w:lang w:val="en-GB"/>
        </w:rPr>
        <w:t>GDP per capita (</w:t>
      </w:r>
      <w:r w:rsidRPr="005B6C4B">
        <w:rPr>
          <w:rFonts w:ascii="Arial" w:hAnsi="Arial" w:cs="Arial"/>
          <w:i/>
          <w:iCs/>
          <w:sz w:val="28"/>
          <w:szCs w:val="28"/>
          <w:u w:val="single"/>
          <w:lang w:val="en-GB"/>
        </w:rPr>
        <w:t>y</w:t>
      </w:r>
      <w:r w:rsidRPr="005B6C4B">
        <w:rPr>
          <w:rFonts w:ascii="Arial" w:hAnsi="Arial" w:cs="Arial"/>
          <w:sz w:val="28"/>
          <w:szCs w:val="28"/>
          <w:u w:val="single"/>
          <w:lang w:val="en-GB"/>
        </w:rPr>
        <w:t>):</w:t>
      </w:r>
      <w:r w:rsidRPr="005B6C4B">
        <w:rPr>
          <w:rFonts w:ascii="Arial" w:hAnsi="Arial" w:cs="Arial"/>
          <w:sz w:val="28"/>
          <w:szCs w:val="28"/>
          <w:lang w:val="en-GB"/>
        </w:rPr>
        <w:t xml:space="preserve"> we utilized the World Bank's 'Our World in Data' for global GDP per capita figures, adjusted to 2017 constant prices and in purchasing power parities (PPP) (data from: </w:t>
      </w:r>
      <w:hyperlink r:id="rId6" w:history="1">
        <w:r w:rsidRPr="005B6C4B">
          <w:rPr>
            <w:rStyle w:val="Hyperlink"/>
            <w:rFonts w:ascii="Arial" w:hAnsi="Arial" w:cs="Arial"/>
            <w:sz w:val="28"/>
            <w:szCs w:val="28"/>
            <w:lang w:val="en-GB"/>
          </w:rPr>
          <w:t>https://ourworldindata.org/grapher/gdp-per-capita-worldbank</w:t>
        </w:r>
      </w:hyperlink>
      <w:r w:rsidRPr="005B6C4B">
        <w:rPr>
          <w:rFonts w:ascii="Arial" w:hAnsi="Arial" w:cs="Arial"/>
          <w:sz w:val="28"/>
          <w:szCs w:val="28"/>
          <w:lang w:val="en-GB"/>
        </w:rPr>
        <w:t>). This approach allows us to remove inflation effects and accommodate varying global purchasing power and consumption patterns. The GDP per capita figures are presented in thousands of US dollars. Starting from a 2020 figure of $16,997 USD per capita (constant 2017 prices and PPP), we calculated a constant yearly growth rate varying with the consumption and technological innovation scenarios (Figure S1).</w:t>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p>
    <w:p w:rsidR="007E424D" w:rsidRPr="005B6C4B" w:rsidRDefault="007E424D" w:rsidP="007E424D">
      <w:pPr>
        <w:spacing w:line="480" w:lineRule="auto"/>
        <w:jc w:val="both"/>
        <w:rPr>
          <w:rFonts w:ascii="Arial" w:hAnsi="Arial" w:cs="Arial"/>
          <w:sz w:val="28"/>
          <w:szCs w:val="28"/>
          <w:lang w:val="en-GB"/>
        </w:rPr>
      </w:pPr>
      <w:r w:rsidRPr="005B6C4B">
        <w:rPr>
          <w:rFonts w:ascii="Arial" w:hAnsi="Arial" w:cs="Arial"/>
          <w:sz w:val="28"/>
          <w:szCs w:val="28"/>
          <w:u w:val="single"/>
          <w:lang w:val="en-GB"/>
        </w:rPr>
        <w:t>Efficiency (</w:t>
      </w:r>
      <w:r w:rsidRPr="005B6C4B">
        <w:rPr>
          <w:rFonts w:ascii="Arial" w:hAnsi="Arial" w:cs="Arial"/>
          <w:i/>
          <w:iCs/>
          <w:sz w:val="28"/>
          <w:szCs w:val="28"/>
          <w:u w:val="single"/>
          <w:lang w:val="en-GB"/>
        </w:rPr>
        <w:t>α</w:t>
      </w:r>
      <w:r w:rsidRPr="005B6C4B">
        <w:rPr>
          <w:rFonts w:ascii="Arial" w:hAnsi="Arial" w:cs="Arial"/>
          <w:sz w:val="28"/>
          <w:szCs w:val="28"/>
          <w:u w:val="single"/>
          <w:lang w:val="en-GB"/>
        </w:rPr>
        <w:t>):</w:t>
      </w:r>
      <w:r w:rsidRPr="005B6C4B">
        <w:rPr>
          <w:rFonts w:ascii="Arial" w:hAnsi="Arial" w:cs="Arial"/>
          <w:sz w:val="28"/>
          <w:szCs w:val="28"/>
          <w:lang w:val="en-GB"/>
        </w:rPr>
        <w:t xml:space="preserve"> we used the inverse relationship of CO2 emissions per capita as a proxy. Specifically, we calculated α as the ratio of GDP per capita to CO2 emissions per capita (</w:t>
      </w:r>
      <w:r w:rsidRPr="005B6C4B">
        <w:rPr>
          <w:rFonts w:ascii="Arial" w:hAnsi="Arial" w:cs="Arial"/>
          <w:i/>
          <w:iCs/>
          <w:sz w:val="28"/>
          <w:szCs w:val="28"/>
          <w:lang w:val="en-GB"/>
        </w:rPr>
        <w:t>α</w:t>
      </w:r>
      <w:r w:rsidRPr="005B6C4B">
        <w:rPr>
          <w:rFonts w:ascii="Arial" w:hAnsi="Arial" w:cs="Arial"/>
          <w:sz w:val="28"/>
          <w:szCs w:val="28"/>
          <w:lang w:val="en-GB"/>
        </w:rPr>
        <w:t xml:space="preserve"> = GDP/CO2 = GDP per capita / </w:t>
      </w:r>
      <w:r w:rsidRPr="005B6C4B">
        <w:rPr>
          <w:rFonts w:ascii="Arial" w:hAnsi="Arial" w:cs="Arial"/>
          <w:sz w:val="28"/>
          <w:szCs w:val="28"/>
          <w:lang w:val="en-GB"/>
        </w:rPr>
        <w:lastRenderedPageBreak/>
        <w:t>CO2 emissions ton/per capita). This method enables us to interpolate scenarios up to the mid-point (2050) and end-point (2100), providing an approximate score for efficiency in facing climate change and curtailing environmental losses. To establish a baseline, we began with a CO2 emission level of 4.61 tons per capita in 2020, a slight increase from 4.28 tons per capita in 1990 (d</w:t>
      </w:r>
      <w:proofErr w:type="spellStart"/>
      <w:r w:rsidRPr="005B6C4B">
        <w:rPr>
          <w:rFonts w:ascii="Arial" w:hAnsi="Arial" w:cs="Arial"/>
          <w:sz w:val="28"/>
          <w:szCs w:val="28"/>
          <w:lang w:val="en-US"/>
        </w:rPr>
        <w:t>ata</w:t>
      </w:r>
      <w:proofErr w:type="spellEnd"/>
      <w:r w:rsidRPr="005B6C4B">
        <w:rPr>
          <w:rFonts w:ascii="Arial" w:hAnsi="Arial" w:cs="Arial"/>
          <w:sz w:val="28"/>
          <w:szCs w:val="28"/>
          <w:lang w:val="en-US"/>
        </w:rPr>
        <w:t xml:space="preserve"> from: </w:t>
      </w:r>
      <w:hyperlink r:id="rId7" w:history="1">
        <w:r w:rsidRPr="005B6C4B">
          <w:rPr>
            <w:rStyle w:val="Hyperlink"/>
            <w:rFonts w:ascii="Arial" w:hAnsi="Arial" w:cs="Arial"/>
            <w:sz w:val="28"/>
            <w:szCs w:val="28"/>
            <w:lang w:val="en-US"/>
          </w:rPr>
          <w:t>https://ourworldindata.org/co2-emissions</w:t>
        </w:r>
      </w:hyperlink>
      <w:r w:rsidRPr="005B6C4B">
        <w:rPr>
          <w:rFonts w:ascii="Arial" w:hAnsi="Arial" w:cs="Arial"/>
          <w:sz w:val="28"/>
          <w:szCs w:val="28"/>
          <w:lang w:val="en-GB"/>
        </w:rPr>
        <w:t>). This change over time represents a compounded annual growth rate decrease in CO2 emissions, which, in turn, indicates an annual increase in efficiency of 0.23%. These efficiency changes are quantified in terms of GDP produced per emitted ton of CO2 and are integral to our analysis, as they reflect the ongoing efforts and challenges in reducing the carbon footprint per unit of economic output (Figure S1).</w:t>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US"/>
        </w:rPr>
      </w:pP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US"/>
        </w:rPr>
      </w:pPr>
      <w:r w:rsidRPr="005B6C4B">
        <w:rPr>
          <w:rFonts w:ascii="Arial" w:hAnsi="Arial" w:cs="Arial"/>
          <w:sz w:val="28"/>
          <w:szCs w:val="28"/>
          <w:u w:val="single"/>
          <w:lang w:val="en-US"/>
        </w:rPr>
        <w:t>Ecological Footprint (EF):</w:t>
      </w:r>
      <w:r w:rsidRPr="005B6C4B">
        <w:rPr>
          <w:rFonts w:ascii="Arial" w:hAnsi="Arial" w:cs="Arial"/>
          <w:sz w:val="28"/>
          <w:szCs w:val="28"/>
          <w:lang w:val="en-US"/>
        </w:rPr>
        <w:t xml:space="preserve"> The ecological footprint index is calculated as </w:t>
      </w:r>
      <w:proofErr w:type="spellStart"/>
      <w:proofErr w:type="gramStart"/>
      <w:r w:rsidRPr="005B6C4B">
        <w:rPr>
          <w:rFonts w:ascii="Arial" w:hAnsi="Arial" w:cs="Arial"/>
          <w:i/>
          <w:iCs/>
          <w:sz w:val="28"/>
          <w:szCs w:val="28"/>
          <w:lang w:val="en-US"/>
        </w:rPr>
        <w:t>Ny</w:t>
      </w:r>
      <w:proofErr w:type="spellEnd"/>
      <w:proofErr w:type="gramEnd"/>
      <w:r w:rsidRPr="005B6C4B">
        <w:rPr>
          <w:rFonts w:ascii="Arial" w:hAnsi="Arial" w:cs="Arial"/>
          <w:sz w:val="28"/>
          <w:szCs w:val="28"/>
          <w:lang w:val="en-US"/>
        </w:rPr>
        <w:t xml:space="preserve"> / </w:t>
      </w:r>
      <w:r w:rsidRPr="005B6C4B">
        <w:rPr>
          <w:rFonts w:ascii="Arial" w:hAnsi="Arial" w:cs="Arial"/>
          <w:i/>
          <w:iCs/>
          <w:sz w:val="28"/>
          <w:szCs w:val="28"/>
          <w:lang w:val="en-US"/>
        </w:rPr>
        <w:t>α</w:t>
      </w:r>
      <w:r w:rsidRPr="005B6C4B">
        <w:rPr>
          <w:rFonts w:ascii="Arial" w:hAnsi="Arial" w:cs="Arial"/>
          <w:sz w:val="28"/>
          <w:szCs w:val="28"/>
          <w:lang w:val="en-US"/>
        </w:rPr>
        <w:t xml:space="preserve">. This index, while an economic, physical, and climate impact measure, is not discussed here in terms of properties like completeness or transitivity. Instead, we focus on its relative value in the four scenarios and its trend over the medium and long term, assuming an independent relationship among the three compounding parameters </w:t>
      </w:r>
      <w:r w:rsidRPr="005B6C4B">
        <w:rPr>
          <w:rFonts w:ascii="Arial" w:hAnsi="Arial" w:cs="Arial"/>
          <w:sz w:val="28"/>
          <w:szCs w:val="28"/>
          <w:lang w:val="en-GB"/>
        </w:rPr>
        <w:t>(Figure S1)</w:t>
      </w:r>
      <w:r w:rsidRPr="005B6C4B">
        <w:rPr>
          <w:rFonts w:ascii="Arial" w:hAnsi="Arial" w:cs="Arial"/>
          <w:sz w:val="28"/>
          <w:szCs w:val="28"/>
          <w:lang w:val="en-US"/>
        </w:rPr>
        <w:t>.</w:t>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r w:rsidRPr="005B6C4B">
        <w:rPr>
          <w:rFonts w:ascii="Arial" w:hAnsi="Arial" w:cs="Arial"/>
          <w:noProof/>
          <w:sz w:val="28"/>
          <w:szCs w:val="28"/>
          <w:lang w:eastAsia="en-IN"/>
        </w:rPr>
        <w:lastRenderedPageBreak/>
        <w:drawing>
          <wp:inline distT="0" distB="0" distL="0" distR="0" wp14:anchorId="00C3FB68" wp14:editId="7990746F">
            <wp:extent cx="5709920" cy="2931744"/>
            <wp:effectExtent l="0" t="0" r="5080" b="2540"/>
            <wp:docPr id="68669598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1742" cy="2937814"/>
                    </a:xfrm>
                    <a:prstGeom prst="rect">
                      <a:avLst/>
                    </a:prstGeom>
                    <a:noFill/>
                    <a:ln>
                      <a:noFill/>
                    </a:ln>
                  </pic:spPr>
                </pic:pic>
              </a:graphicData>
            </a:graphic>
          </wp:inline>
        </w:drawing>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r w:rsidRPr="005B6C4B">
        <w:rPr>
          <w:rFonts w:ascii="Arial" w:hAnsi="Arial" w:cs="Arial"/>
          <w:b/>
          <w:bCs/>
          <w:sz w:val="28"/>
          <w:szCs w:val="28"/>
          <w:lang w:val="en-GB"/>
        </w:rPr>
        <w:t>Figure S1 – Future scenarios of consumption and technological innovation</w:t>
      </w:r>
      <w:r w:rsidRPr="005B6C4B">
        <w:rPr>
          <w:rFonts w:ascii="Arial" w:hAnsi="Arial" w:cs="Arial"/>
          <w:sz w:val="28"/>
          <w:szCs w:val="28"/>
          <w:lang w:val="en-GB"/>
        </w:rPr>
        <w:t>. N: for population size, y: for consumption rate and ɑ: for climatic efficiency. BAU: “Business as Usual”, TW: “Techno-World”, CR: “Consumption Reduction” and SS: “Smart Sustainability”.</w:t>
      </w: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p>
    <w:p w:rsidR="007E424D" w:rsidRPr="005B6C4B" w:rsidRDefault="007E424D" w:rsidP="007E424D">
      <w:pPr>
        <w:widowControl w:val="0"/>
        <w:autoSpaceDE w:val="0"/>
        <w:autoSpaceDN w:val="0"/>
        <w:adjustRightInd w:val="0"/>
        <w:spacing w:line="480" w:lineRule="auto"/>
        <w:ind w:right="-9"/>
        <w:jc w:val="both"/>
        <w:rPr>
          <w:rFonts w:ascii="Arial" w:hAnsi="Arial" w:cs="Arial"/>
          <w:sz w:val="28"/>
          <w:szCs w:val="28"/>
          <w:lang w:val="en-GB"/>
        </w:rPr>
      </w:pPr>
      <w:r w:rsidRPr="005B6C4B">
        <w:rPr>
          <w:rFonts w:ascii="Arial" w:hAnsi="Arial" w:cs="Arial"/>
          <w:sz w:val="28"/>
          <w:szCs w:val="28"/>
          <w:lang w:val="en-US"/>
        </w:rPr>
        <w:t>We calculated the necessary adjustments to individual parameters of the ecological footprint (EF) equation to keep the footprint at 2020 levels, while allowing the other two parameters to evolve based on the projected scenarios. These values were determined annually, from 2020 to 2100, for each of the four UN development scenarios.</w:t>
      </w:r>
    </w:p>
    <w:p w:rsidR="005533FC" w:rsidRDefault="005533FC">
      <w:bookmarkStart w:id="0" w:name="_GoBack"/>
      <w:bookmarkEnd w:id="0"/>
    </w:p>
    <w:sectPr w:rsidR="005533FC">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9E21B4"/>
    <w:multiLevelType w:val="hybridMultilevel"/>
    <w:tmpl w:val="37C0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24D"/>
    <w:rsid w:val="00002B71"/>
    <w:rsid w:val="000073BC"/>
    <w:rsid w:val="000100A9"/>
    <w:rsid w:val="0001253E"/>
    <w:rsid w:val="000154F3"/>
    <w:rsid w:val="00033813"/>
    <w:rsid w:val="00037C55"/>
    <w:rsid w:val="000400D3"/>
    <w:rsid w:val="00041974"/>
    <w:rsid w:val="0005179E"/>
    <w:rsid w:val="00054F27"/>
    <w:rsid w:val="0006036D"/>
    <w:rsid w:val="000619A5"/>
    <w:rsid w:val="00062A23"/>
    <w:rsid w:val="0006625B"/>
    <w:rsid w:val="0007106B"/>
    <w:rsid w:val="00072E3B"/>
    <w:rsid w:val="0007443F"/>
    <w:rsid w:val="00084578"/>
    <w:rsid w:val="0008738E"/>
    <w:rsid w:val="000948D4"/>
    <w:rsid w:val="00095EE4"/>
    <w:rsid w:val="000A7368"/>
    <w:rsid w:val="000B0A40"/>
    <w:rsid w:val="000B2F92"/>
    <w:rsid w:val="000C0526"/>
    <w:rsid w:val="000C4051"/>
    <w:rsid w:val="000C4278"/>
    <w:rsid w:val="000C58D2"/>
    <w:rsid w:val="000C5968"/>
    <w:rsid w:val="000D2D31"/>
    <w:rsid w:val="000E08F1"/>
    <w:rsid w:val="000E2DC2"/>
    <w:rsid w:val="000E76DF"/>
    <w:rsid w:val="000E7DBB"/>
    <w:rsid w:val="000F39B5"/>
    <w:rsid w:val="00100D65"/>
    <w:rsid w:val="00104FD4"/>
    <w:rsid w:val="0011297C"/>
    <w:rsid w:val="00117962"/>
    <w:rsid w:val="00121B43"/>
    <w:rsid w:val="00122FCD"/>
    <w:rsid w:val="001248B3"/>
    <w:rsid w:val="00130E4C"/>
    <w:rsid w:val="00133D3F"/>
    <w:rsid w:val="00137B9E"/>
    <w:rsid w:val="00143698"/>
    <w:rsid w:val="001464A7"/>
    <w:rsid w:val="00153BE8"/>
    <w:rsid w:val="00153E77"/>
    <w:rsid w:val="00156C1C"/>
    <w:rsid w:val="00157FDB"/>
    <w:rsid w:val="00163A05"/>
    <w:rsid w:val="00166532"/>
    <w:rsid w:val="001676EF"/>
    <w:rsid w:val="00181D8D"/>
    <w:rsid w:val="00181F34"/>
    <w:rsid w:val="00183FF7"/>
    <w:rsid w:val="001930E3"/>
    <w:rsid w:val="001946E6"/>
    <w:rsid w:val="001A17B0"/>
    <w:rsid w:val="001A1B41"/>
    <w:rsid w:val="001A7D35"/>
    <w:rsid w:val="001B15B0"/>
    <w:rsid w:val="001B2532"/>
    <w:rsid w:val="001B329A"/>
    <w:rsid w:val="001B6A5C"/>
    <w:rsid w:val="001C1FC3"/>
    <w:rsid w:val="001C5E15"/>
    <w:rsid w:val="001D03C8"/>
    <w:rsid w:val="001D4018"/>
    <w:rsid w:val="001D643B"/>
    <w:rsid w:val="001D6AE1"/>
    <w:rsid w:val="001D72E4"/>
    <w:rsid w:val="001D739D"/>
    <w:rsid w:val="001D7638"/>
    <w:rsid w:val="001F1B2A"/>
    <w:rsid w:val="001F2257"/>
    <w:rsid w:val="00204726"/>
    <w:rsid w:val="00210109"/>
    <w:rsid w:val="0022054B"/>
    <w:rsid w:val="00223FFA"/>
    <w:rsid w:val="00231815"/>
    <w:rsid w:val="00242F9D"/>
    <w:rsid w:val="002516C6"/>
    <w:rsid w:val="00253D35"/>
    <w:rsid w:val="002629B5"/>
    <w:rsid w:val="00266144"/>
    <w:rsid w:val="0026707B"/>
    <w:rsid w:val="00270C2C"/>
    <w:rsid w:val="002867D7"/>
    <w:rsid w:val="002A0B17"/>
    <w:rsid w:val="002A4A4A"/>
    <w:rsid w:val="002B11CF"/>
    <w:rsid w:val="002B3A03"/>
    <w:rsid w:val="002B6053"/>
    <w:rsid w:val="002B6383"/>
    <w:rsid w:val="002C0240"/>
    <w:rsid w:val="002C0D2C"/>
    <w:rsid w:val="002D092D"/>
    <w:rsid w:val="002D47DB"/>
    <w:rsid w:val="002E44D8"/>
    <w:rsid w:val="002E75D4"/>
    <w:rsid w:val="002F4165"/>
    <w:rsid w:val="00303266"/>
    <w:rsid w:val="003041F9"/>
    <w:rsid w:val="003043A4"/>
    <w:rsid w:val="00317BB0"/>
    <w:rsid w:val="00325819"/>
    <w:rsid w:val="0032794C"/>
    <w:rsid w:val="003309A0"/>
    <w:rsid w:val="00330A3B"/>
    <w:rsid w:val="00331109"/>
    <w:rsid w:val="003357D0"/>
    <w:rsid w:val="00336D2B"/>
    <w:rsid w:val="00341D29"/>
    <w:rsid w:val="003423C0"/>
    <w:rsid w:val="0035417D"/>
    <w:rsid w:val="003545A7"/>
    <w:rsid w:val="003546F2"/>
    <w:rsid w:val="00354C6C"/>
    <w:rsid w:val="0035665E"/>
    <w:rsid w:val="0036303C"/>
    <w:rsid w:val="00366C7C"/>
    <w:rsid w:val="00367D3F"/>
    <w:rsid w:val="00380C1C"/>
    <w:rsid w:val="00393C3C"/>
    <w:rsid w:val="003977B4"/>
    <w:rsid w:val="003A12B1"/>
    <w:rsid w:val="003B3976"/>
    <w:rsid w:val="003B49F2"/>
    <w:rsid w:val="003C22E6"/>
    <w:rsid w:val="003C6B46"/>
    <w:rsid w:val="003D0B0C"/>
    <w:rsid w:val="003D23F3"/>
    <w:rsid w:val="003D419A"/>
    <w:rsid w:val="003D6977"/>
    <w:rsid w:val="003E2A88"/>
    <w:rsid w:val="0040050E"/>
    <w:rsid w:val="00406B5D"/>
    <w:rsid w:val="004102E5"/>
    <w:rsid w:val="004104F5"/>
    <w:rsid w:val="00411918"/>
    <w:rsid w:val="0041295F"/>
    <w:rsid w:val="004132FC"/>
    <w:rsid w:val="004135AA"/>
    <w:rsid w:val="0041605D"/>
    <w:rsid w:val="0041677D"/>
    <w:rsid w:val="00423507"/>
    <w:rsid w:val="0042582D"/>
    <w:rsid w:val="0043465E"/>
    <w:rsid w:val="0043626F"/>
    <w:rsid w:val="00436849"/>
    <w:rsid w:val="00442217"/>
    <w:rsid w:val="0044359F"/>
    <w:rsid w:val="00443C72"/>
    <w:rsid w:val="0045400F"/>
    <w:rsid w:val="0045660A"/>
    <w:rsid w:val="00457EC9"/>
    <w:rsid w:val="0046049B"/>
    <w:rsid w:val="0046491A"/>
    <w:rsid w:val="00465B6F"/>
    <w:rsid w:val="004775F4"/>
    <w:rsid w:val="004776FD"/>
    <w:rsid w:val="0048075F"/>
    <w:rsid w:val="004904F4"/>
    <w:rsid w:val="0049200D"/>
    <w:rsid w:val="004926FF"/>
    <w:rsid w:val="0049401A"/>
    <w:rsid w:val="004A2BFB"/>
    <w:rsid w:val="004B1773"/>
    <w:rsid w:val="004C7BA6"/>
    <w:rsid w:val="004E1914"/>
    <w:rsid w:val="004E30DF"/>
    <w:rsid w:val="004F3F4B"/>
    <w:rsid w:val="005028C4"/>
    <w:rsid w:val="00506DC0"/>
    <w:rsid w:val="005164ED"/>
    <w:rsid w:val="00530EE4"/>
    <w:rsid w:val="00536006"/>
    <w:rsid w:val="0055235E"/>
    <w:rsid w:val="005533FC"/>
    <w:rsid w:val="00571546"/>
    <w:rsid w:val="0057183F"/>
    <w:rsid w:val="00576A29"/>
    <w:rsid w:val="00577CD5"/>
    <w:rsid w:val="0058403B"/>
    <w:rsid w:val="00590EF6"/>
    <w:rsid w:val="005916A9"/>
    <w:rsid w:val="00595661"/>
    <w:rsid w:val="005960F4"/>
    <w:rsid w:val="005A010D"/>
    <w:rsid w:val="005A2A0B"/>
    <w:rsid w:val="005A7985"/>
    <w:rsid w:val="005B063A"/>
    <w:rsid w:val="005B6402"/>
    <w:rsid w:val="005C08DD"/>
    <w:rsid w:val="005C54E4"/>
    <w:rsid w:val="005C7BB1"/>
    <w:rsid w:val="005D615D"/>
    <w:rsid w:val="005E4764"/>
    <w:rsid w:val="005E5B7C"/>
    <w:rsid w:val="005F2B0C"/>
    <w:rsid w:val="005F565B"/>
    <w:rsid w:val="00612042"/>
    <w:rsid w:val="00613882"/>
    <w:rsid w:val="0061397B"/>
    <w:rsid w:val="00616C63"/>
    <w:rsid w:val="00617ADB"/>
    <w:rsid w:val="006211AE"/>
    <w:rsid w:val="006243FB"/>
    <w:rsid w:val="00625F16"/>
    <w:rsid w:val="00632B63"/>
    <w:rsid w:val="00633A73"/>
    <w:rsid w:val="00647009"/>
    <w:rsid w:val="00647069"/>
    <w:rsid w:val="00647888"/>
    <w:rsid w:val="00650EF1"/>
    <w:rsid w:val="00651200"/>
    <w:rsid w:val="0065618D"/>
    <w:rsid w:val="00660227"/>
    <w:rsid w:val="00665A7F"/>
    <w:rsid w:val="00680B5E"/>
    <w:rsid w:val="00686F43"/>
    <w:rsid w:val="006A3A4F"/>
    <w:rsid w:val="006A63FB"/>
    <w:rsid w:val="006B5338"/>
    <w:rsid w:val="006D50C1"/>
    <w:rsid w:val="006D7BB3"/>
    <w:rsid w:val="006E1DC5"/>
    <w:rsid w:val="006E336F"/>
    <w:rsid w:val="006E4DAA"/>
    <w:rsid w:val="006F45A5"/>
    <w:rsid w:val="006F55B6"/>
    <w:rsid w:val="007004D1"/>
    <w:rsid w:val="00700640"/>
    <w:rsid w:val="00701B39"/>
    <w:rsid w:val="00704AF5"/>
    <w:rsid w:val="00707570"/>
    <w:rsid w:val="00715248"/>
    <w:rsid w:val="00724EB4"/>
    <w:rsid w:val="00727168"/>
    <w:rsid w:val="007363BF"/>
    <w:rsid w:val="00740993"/>
    <w:rsid w:val="00742A2F"/>
    <w:rsid w:val="00743276"/>
    <w:rsid w:val="0074610A"/>
    <w:rsid w:val="00746172"/>
    <w:rsid w:val="00747504"/>
    <w:rsid w:val="00753539"/>
    <w:rsid w:val="0075551B"/>
    <w:rsid w:val="00756A18"/>
    <w:rsid w:val="007575D3"/>
    <w:rsid w:val="0076262C"/>
    <w:rsid w:val="00762FBE"/>
    <w:rsid w:val="00775A46"/>
    <w:rsid w:val="007763CF"/>
    <w:rsid w:val="00781C12"/>
    <w:rsid w:val="007851CF"/>
    <w:rsid w:val="007908F6"/>
    <w:rsid w:val="007A5836"/>
    <w:rsid w:val="007A64DF"/>
    <w:rsid w:val="007B0A38"/>
    <w:rsid w:val="007C55B5"/>
    <w:rsid w:val="007D1FA0"/>
    <w:rsid w:val="007D4293"/>
    <w:rsid w:val="007D71CE"/>
    <w:rsid w:val="007E424D"/>
    <w:rsid w:val="007F6AC0"/>
    <w:rsid w:val="00802FD8"/>
    <w:rsid w:val="008031BC"/>
    <w:rsid w:val="008036BF"/>
    <w:rsid w:val="00806334"/>
    <w:rsid w:val="00810F52"/>
    <w:rsid w:val="00811B5C"/>
    <w:rsid w:val="00812E75"/>
    <w:rsid w:val="00813D0C"/>
    <w:rsid w:val="00816A09"/>
    <w:rsid w:val="0082123C"/>
    <w:rsid w:val="008217EB"/>
    <w:rsid w:val="00826D37"/>
    <w:rsid w:val="00836702"/>
    <w:rsid w:val="008377CC"/>
    <w:rsid w:val="00856459"/>
    <w:rsid w:val="0085750C"/>
    <w:rsid w:val="008579D2"/>
    <w:rsid w:val="00860716"/>
    <w:rsid w:val="00860BA9"/>
    <w:rsid w:val="008639C2"/>
    <w:rsid w:val="00865053"/>
    <w:rsid w:val="00867D72"/>
    <w:rsid w:val="00872147"/>
    <w:rsid w:val="008748B6"/>
    <w:rsid w:val="008755EC"/>
    <w:rsid w:val="00877367"/>
    <w:rsid w:val="00882BE7"/>
    <w:rsid w:val="00885886"/>
    <w:rsid w:val="00887A49"/>
    <w:rsid w:val="0089119F"/>
    <w:rsid w:val="008955A0"/>
    <w:rsid w:val="00897EC1"/>
    <w:rsid w:val="008A5343"/>
    <w:rsid w:val="008B0074"/>
    <w:rsid w:val="008B4D7B"/>
    <w:rsid w:val="008D1375"/>
    <w:rsid w:val="008D195B"/>
    <w:rsid w:val="008E3988"/>
    <w:rsid w:val="008E4AC7"/>
    <w:rsid w:val="008F3DFB"/>
    <w:rsid w:val="008F4A7F"/>
    <w:rsid w:val="00902D1F"/>
    <w:rsid w:val="00905A10"/>
    <w:rsid w:val="00921F71"/>
    <w:rsid w:val="00921FEE"/>
    <w:rsid w:val="00924CF3"/>
    <w:rsid w:val="00933712"/>
    <w:rsid w:val="00940228"/>
    <w:rsid w:val="00945FCA"/>
    <w:rsid w:val="00947CAD"/>
    <w:rsid w:val="00952283"/>
    <w:rsid w:val="009561D4"/>
    <w:rsid w:val="0096015C"/>
    <w:rsid w:val="00967468"/>
    <w:rsid w:val="00974269"/>
    <w:rsid w:val="009744E6"/>
    <w:rsid w:val="00982533"/>
    <w:rsid w:val="009835BD"/>
    <w:rsid w:val="00985F41"/>
    <w:rsid w:val="0098625E"/>
    <w:rsid w:val="00987532"/>
    <w:rsid w:val="009908BA"/>
    <w:rsid w:val="00995050"/>
    <w:rsid w:val="00995225"/>
    <w:rsid w:val="009A0405"/>
    <w:rsid w:val="009A0653"/>
    <w:rsid w:val="009A26B5"/>
    <w:rsid w:val="009A33A8"/>
    <w:rsid w:val="009B1447"/>
    <w:rsid w:val="009B5919"/>
    <w:rsid w:val="009C4E1D"/>
    <w:rsid w:val="009C755B"/>
    <w:rsid w:val="009D1B6F"/>
    <w:rsid w:val="009D34D3"/>
    <w:rsid w:val="009D4A6F"/>
    <w:rsid w:val="009D5519"/>
    <w:rsid w:val="009D610E"/>
    <w:rsid w:val="009E6BC8"/>
    <w:rsid w:val="00A00AF7"/>
    <w:rsid w:val="00A016A9"/>
    <w:rsid w:val="00A02A04"/>
    <w:rsid w:val="00A07BEB"/>
    <w:rsid w:val="00A116B1"/>
    <w:rsid w:val="00A117F5"/>
    <w:rsid w:val="00A1400A"/>
    <w:rsid w:val="00A20AF9"/>
    <w:rsid w:val="00A22267"/>
    <w:rsid w:val="00A24A28"/>
    <w:rsid w:val="00A263B2"/>
    <w:rsid w:val="00A34B2D"/>
    <w:rsid w:val="00A41A7A"/>
    <w:rsid w:val="00A626E9"/>
    <w:rsid w:val="00A64A06"/>
    <w:rsid w:val="00A702E8"/>
    <w:rsid w:val="00A740CB"/>
    <w:rsid w:val="00A74E59"/>
    <w:rsid w:val="00A8310E"/>
    <w:rsid w:val="00A91127"/>
    <w:rsid w:val="00A95BD5"/>
    <w:rsid w:val="00A97439"/>
    <w:rsid w:val="00AA0113"/>
    <w:rsid w:val="00AA36DA"/>
    <w:rsid w:val="00AB29FA"/>
    <w:rsid w:val="00AC2CF9"/>
    <w:rsid w:val="00AD74A1"/>
    <w:rsid w:val="00AE2710"/>
    <w:rsid w:val="00AF068C"/>
    <w:rsid w:val="00AF6BAF"/>
    <w:rsid w:val="00B06AFB"/>
    <w:rsid w:val="00B24FB7"/>
    <w:rsid w:val="00B26D8B"/>
    <w:rsid w:val="00B32A8D"/>
    <w:rsid w:val="00B3476D"/>
    <w:rsid w:val="00B3599B"/>
    <w:rsid w:val="00B41EF2"/>
    <w:rsid w:val="00B46E88"/>
    <w:rsid w:val="00B52EA1"/>
    <w:rsid w:val="00B60959"/>
    <w:rsid w:val="00B64A02"/>
    <w:rsid w:val="00B65053"/>
    <w:rsid w:val="00B80AC8"/>
    <w:rsid w:val="00B82992"/>
    <w:rsid w:val="00B82E98"/>
    <w:rsid w:val="00BA339F"/>
    <w:rsid w:val="00BB251F"/>
    <w:rsid w:val="00BB313A"/>
    <w:rsid w:val="00BB6479"/>
    <w:rsid w:val="00BC16AD"/>
    <w:rsid w:val="00BC74CA"/>
    <w:rsid w:val="00BD41AF"/>
    <w:rsid w:val="00BD66CA"/>
    <w:rsid w:val="00BE4899"/>
    <w:rsid w:val="00BE4ECC"/>
    <w:rsid w:val="00BF2EBC"/>
    <w:rsid w:val="00BF3BA7"/>
    <w:rsid w:val="00BF3D87"/>
    <w:rsid w:val="00BF4E0F"/>
    <w:rsid w:val="00C01C9B"/>
    <w:rsid w:val="00C1082E"/>
    <w:rsid w:val="00C14B43"/>
    <w:rsid w:val="00C1522E"/>
    <w:rsid w:val="00C16B33"/>
    <w:rsid w:val="00C26367"/>
    <w:rsid w:val="00C27242"/>
    <w:rsid w:val="00C33915"/>
    <w:rsid w:val="00C347D0"/>
    <w:rsid w:val="00C404D0"/>
    <w:rsid w:val="00C47061"/>
    <w:rsid w:val="00C4770A"/>
    <w:rsid w:val="00C53DF6"/>
    <w:rsid w:val="00C55D1D"/>
    <w:rsid w:val="00C61825"/>
    <w:rsid w:val="00C650C6"/>
    <w:rsid w:val="00C6532B"/>
    <w:rsid w:val="00C65556"/>
    <w:rsid w:val="00C8578B"/>
    <w:rsid w:val="00C91303"/>
    <w:rsid w:val="00C94EEA"/>
    <w:rsid w:val="00C979BD"/>
    <w:rsid w:val="00CA7559"/>
    <w:rsid w:val="00CB2627"/>
    <w:rsid w:val="00CB29A3"/>
    <w:rsid w:val="00CB30F4"/>
    <w:rsid w:val="00CC0E19"/>
    <w:rsid w:val="00CC5899"/>
    <w:rsid w:val="00CC7D48"/>
    <w:rsid w:val="00CD2824"/>
    <w:rsid w:val="00CE1250"/>
    <w:rsid w:val="00CF351C"/>
    <w:rsid w:val="00CF794B"/>
    <w:rsid w:val="00D009B5"/>
    <w:rsid w:val="00D04264"/>
    <w:rsid w:val="00D13F82"/>
    <w:rsid w:val="00D14181"/>
    <w:rsid w:val="00D22446"/>
    <w:rsid w:val="00D246C0"/>
    <w:rsid w:val="00D2508C"/>
    <w:rsid w:val="00D254CC"/>
    <w:rsid w:val="00D27390"/>
    <w:rsid w:val="00D41E44"/>
    <w:rsid w:val="00D42484"/>
    <w:rsid w:val="00D44F41"/>
    <w:rsid w:val="00D61430"/>
    <w:rsid w:val="00D622EB"/>
    <w:rsid w:val="00D63957"/>
    <w:rsid w:val="00D71E83"/>
    <w:rsid w:val="00D77686"/>
    <w:rsid w:val="00D82A96"/>
    <w:rsid w:val="00DA138B"/>
    <w:rsid w:val="00DA231D"/>
    <w:rsid w:val="00DA4202"/>
    <w:rsid w:val="00DB1B02"/>
    <w:rsid w:val="00DB1E86"/>
    <w:rsid w:val="00DB6BE7"/>
    <w:rsid w:val="00DC1D3E"/>
    <w:rsid w:val="00DC23EB"/>
    <w:rsid w:val="00DC4C28"/>
    <w:rsid w:val="00DC56AD"/>
    <w:rsid w:val="00DC650A"/>
    <w:rsid w:val="00DC7D6A"/>
    <w:rsid w:val="00DC7D75"/>
    <w:rsid w:val="00DD4252"/>
    <w:rsid w:val="00DD4557"/>
    <w:rsid w:val="00DE234D"/>
    <w:rsid w:val="00DE38A9"/>
    <w:rsid w:val="00DE3903"/>
    <w:rsid w:val="00DE3FCA"/>
    <w:rsid w:val="00DF0036"/>
    <w:rsid w:val="00DF046C"/>
    <w:rsid w:val="00DF4E1B"/>
    <w:rsid w:val="00DF5758"/>
    <w:rsid w:val="00E051C6"/>
    <w:rsid w:val="00E058CA"/>
    <w:rsid w:val="00E10467"/>
    <w:rsid w:val="00E123C9"/>
    <w:rsid w:val="00E12753"/>
    <w:rsid w:val="00E27DC0"/>
    <w:rsid w:val="00E304D1"/>
    <w:rsid w:val="00E32439"/>
    <w:rsid w:val="00E350C6"/>
    <w:rsid w:val="00E459C8"/>
    <w:rsid w:val="00E471E2"/>
    <w:rsid w:val="00E713D1"/>
    <w:rsid w:val="00E77AD8"/>
    <w:rsid w:val="00E802F3"/>
    <w:rsid w:val="00E82D84"/>
    <w:rsid w:val="00E832BB"/>
    <w:rsid w:val="00EA6FAB"/>
    <w:rsid w:val="00EB0D2D"/>
    <w:rsid w:val="00EB1F5C"/>
    <w:rsid w:val="00EB43B3"/>
    <w:rsid w:val="00EC43A6"/>
    <w:rsid w:val="00ED4A46"/>
    <w:rsid w:val="00ED651E"/>
    <w:rsid w:val="00EE23AB"/>
    <w:rsid w:val="00EF2E92"/>
    <w:rsid w:val="00EF72A1"/>
    <w:rsid w:val="00F00F0C"/>
    <w:rsid w:val="00F03056"/>
    <w:rsid w:val="00F039B2"/>
    <w:rsid w:val="00F13DE3"/>
    <w:rsid w:val="00F16809"/>
    <w:rsid w:val="00F2331C"/>
    <w:rsid w:val="00F2488D"/>
    <w:rsid w:val="00F2493F"/>
    <w:rsid w:val="00F30FAC"/>
    <w:rsid w:val="00F34870"/>
    <w:rsid w:val="00F363C5"/>
    <w:rsid w:val="00F40C7E"/>
    <w:rsid w:val="00F41FB9"/>
    <w:rsid w:val="00F45E37"/>
    <w:rsid w:val="00F47AF5"/>
    <w:rsid w:val="00F53242"/>
    <w:rsid w:val="00F54A0E"/>
    <w:rsid w:val="00F65113"/>
    <w:rsid w:val="00F669AF"/>
    <w:rsid w:val="00F74EAC"/>
    <w:rsid w:val="00F81C43"/>
    <w:rsid w:val="00F82645"/>
    <w:rsid w:val="00F86B45"/>
    <w:rsid w:val="00F96720"/>
    <w:rsid w:val="00FA40D6"/>
    <w:rsid w:val="00FA55AA"/>
    <w:rsid w:val="00FA5EA0"/>
    <w:rsid w:val="00FB6607"/>
    <w:rsid w:val="00FD2BC1"/>
    <w:rsid w:val="00FD5978"/>
    <w:rsid w:val="00FD76E3"/>
    <w:rsid w:val="00FE2BAC"/>
    <w:rsid w:val="00FE4849"/>
    <w:rsid w:val="00FF034B"/>
    <w:rsid w:val="00FF4E5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9C615-558E-454A-A55C-D27324F5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424D"/>
    <w:rPr>
      <w:color w:val="0563C1" w:themeColor="hyperlink"/>
      <w:u w:val="single"/>
    </w:rPr>
  </w:style>
  <w:style w:type="paragraph" w:styleId="ListParagraph">
    <w:name w:val="List Paragraph"/>
    <w:basedOn w:val="Normal"/>
    <w:uiPriority w:val="34"/>
    <w:qFormat/>
    <w:rsid w:val="007E424D"/>
    <w:pPr>
      <w:spacing w:after="0" w:line="240" w:lineRule="auto"/>
      <w:ind w:left="720"/>
      <w:contextualSpacing/>
    </w:pPr>
    <w:rPr>
      <w:rFonts w:eastAsiaTheme="minorEastAsia"/>
      <w:sz w:val="24"/>
      <w:szCs w:val="24"/>
      <w:lang w:val="pt-P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hyperlink" Target="https://ourworldindata.org/co2-e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urworldindata.org/grapher/gdp-per-capita-worldbank" TargetMode="External"/><Relationship Id="rId5" Type="http://schemas.openxmlformats.org/officeDocument/2006/relationships/hyperlink" Target="https://population.un.org/dataportal/hom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Dhanalakshmi Rajeswari</dc:creator>
  <cp:keywords/>
  <dc:description/>
  <cp:lastModifiedBy>Dhanalakshmi Rajeswari</cp:lastModifiedBy>
  <cp:revision>1</cp:revision>
  <dcterms:created xsi:type="dcterms:W3CDTF">2024-11-06T14:56:00Z</dcterms:created>
  <dcterms:modified xsi:type="dcterms:W3CDTF">2024-11-06T14:56:00Z</dcterms:modified>
</cp:coreProperties>
</file>