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365"/>
        <w:gridCol w:w="4050"/>
        <w:gridCol w:w="1815"/>
      </w:tblGrid>
      <w:tr w:rsidR="001D3107" w14:paraId="614A6411" w14:textId="77777777">
        <w:trPr>
          <w:trHeight w:val="420"/>
        </w:trPr>
        <w:tc>
          <w:tcPr>
            <w:tcW w:w="9015" w:type="dxa"/>
            <w:gridSpan w:val="4"/>
            <w:shd w:val="clear" w:color="auto" w:fill="auto"/>
            <w:tcMar>
              <w:top w:w="100" w:type="dxa"/>
              <w:left w:w="100" w:type="dxa"/>
              <w:bottom w:w="100" w:type="dxa"/>
              <w:right w:w="100" w:type="dxa"/>
            </w:tcMar>
          </w:tcPr>
          <w:p w14:paraId="758DF058" w14:textId="77777777" w:rsidR="001D3107" w:rsidRDefault="00BD0763">
            <w:pPr>
              <w:widowControl w:val="0"/>
              <w:spacing w:after="0" w:line="240" w:lineRule="auto"/>
            </w:pPr>
            <w:bookmarkStart w:id="0" w:name="_GoBack"/>
            <w:bookmarkEnd w:id="0"/>
            <w:r>
              <w:t>Table S2 A non-exhaustive overview of research projects using the NFF</w:t>
            </w:r>
          </w:p>
        </w:tc>
      </w:tr>
      <w:tr w:rsidR="001D3107" w14:paraId="2FB29007" w14:textId="77777777">
        <w:tc>
          <w:tcPr>
            <w:tcW w:w="1785" w:type="dxa"/>
            <w:shd w:val="clear" w:color="auto" w:fill="auto"/>
            <w:tcMar>
              <w:top w:w="100" w:type="dxa"/>
              <w:left w:w="100" w:type="dxa"/>
              <w:bottom w:w="100" w:type="dxa"/>
              <w:right w:w="100" w:type="dxa"/>
            </w:tcMar>
          </w:tcPr>
          <w:p w14:paraId="7DEDC301" w14:textId="77777777" w:rsidR="001D3107" w:rsidRDefault="00BD0763">
            <w:pPr>
              <w:widowControl w:val="0"/>
              <w:spacing w:after="0" w:line="240" w:lineRule="auto"/>
            </w:pPr>
            <w:r>
              <w:t>Project</w:t>
            </w:r>
          </w:p>
        </w:tc>
        <w:tc>
          <w:tcPr>
            <w:tcW w:w="1365" w:type="dxa"/>
            <w:shd w:val="clear" w:color="auto" w:fill="auto"/>
            <w:tcMar>
              <w:top w:w="100" w:type="dxa"/>
              <w:left w:w="100" w:type="dxa"/>
              <w:bottom w:w="100" w:type="dxa"/>
              <w:right w:w="100" w:type="dxa"/>
            </w:tcMar>
          </w:tcPr>
          <w:p w14:paraId="255EED9C" w14:textId="77777777" w:rsidR="001D3107" w:rsidRDefault="00BD0763">
            <w:pPr>
              <w:widowControl w:val="0"/>
              <w:spacing w:after="0" w:line="240" w:lineRule="auto"/>
            </w:pPr>
            <w:r>
              <w:t>Funder</w:t>
            </w:r>
          </w:p>
        </w:tc>
        <w:tc>
          <w:tcPr>
            <w:tcW w:w="4050" w:type="dxa"/>
            <w:shd w:val="clear" w:color="auto" w:fill="auto"/>
            <w:tcMar>
              <w:top w:w="100" w:type="dxa"/>
              <w:left w:w="100" w:type="dxa"/>
              <w:bottom w:w="100" w:type="dxa"/>
              <w:right w:w="100" w:type="dxa"/>
            </w:tcMar>
          </w:tcPr>
          <w:p w14:paraId="45CE310B" w14:textId="77777777" w:rsidR="001D3107" w:rsidRDefault="00BD0763">
            <w:pPr>
              <w:widowControl w:val="0"/>
              <w:spacing w:after="0" w:line="240" w:lineRule="auto"/>
            </w:pPr>
            <w:r>
              <w:t>Description</w:t>
            </w:r>
          </w:p>
        </w:tc>
        <w:tc>
          <w:tcPr>
            <w:tcW w:w="1815" w:type="dxa"/>
            <w:shd w:val="clear" w:color="auto" w:fill="auto"/>
            <w:tcMar>
              <w:top w:w="100" w:type="dxa"/>
              <w:left w:w="100" w:type="dxa"/>
              <w:bottom w:w="100" w:type="dxa"/>
              <w:right w:w="100" w:type="dxa"/>
            </w:tcMar>
          </w:tcPr>
          <w:p w14:paraId="123C55C1" w14:textId="77777777" w:rsidR="001D3107" w:rsidRDefault="00BD0763">
            <w:pPr>
              <w:widowControl w:val="0"/>
              <w:spacing w:after="0" w:line="240" w:lineRule="auto"/>
            </w:pPr>
            <w:r>
              <w:t>Website</w:t>
            </w:r>
          </w:p>
        </w:tc>
      </w:tr>
      <w:tr w:rsidR="001D3107" w14:paraId="0D33F6C2" w14:textId="77777777">
        <w:tc>
          <w:tcPr>
            <w:tcW w:w="1785" w:type="dxa"/>
            <w:shd w:val="clear" w:color="auto" w:fill="auto"/>
            <w:tcMar>
              <w:top w:w="100" w:type="dxa"/>
              <w:left w:w="100" w:type="dxa"/>
              <w:bottom w:w="100" w:type="dxa"/>
              <w:right w:w="100" w:type="dxa"/>
            </w:tcMar>
          </w:tcPr>
          <w:p w14:paraId="704C17E2" w14:textId="77777777" w:rsidR="001D3107" w:rsidRDefault="00BD0763">
            <w:pPr>
              <w:widowControl w:val="0"/>
              <w:spacing w:after="0" w:line="240" w:lineRule="auto"/>
            </w:pPr>
            <w:r>
              <w:t>NaturaConnect</w:t>
            </w:r>
          </w:p>
          <w:p w14:paraId="323D33E9" w14:textId="77777777" w:rsidR="001D3107" w:rsidRDefault="001D3107">
            <w:pPr>
              <w:widowControl w:val="0"/>
              <w:spacing w:after="0" w:line="240" w:lineRule="auto"/>
            </w:pPr>
          </w:p>
        </w:tc>
        <w:tc>
          <w:tcPr>
            <w:tcW w:w="1365" w:type="dxa"/>
            <w:shd w:val="clear" w:color="auto" w:fill="auto"/>
            <w:tcMar>
              <w:top w:w="100" w:type="dxa"/>
              <w:left w:w="100" w:type="dxa"/>
              <w:bottom w:w="100" w:type="dxa"/>
              <w:right w:w="100" w:type="dxa"/>
            </w:tcMar>
          </w:tcPr>
          <w:p w14:paraId="70FD4064" w14:textId="77777777" w:rsidR="001D3107" w:rsidRDefault="00BD0763">
            <w:pPr>
              <w:widowControl w:val="0"/>
              <w:spacing w:after="0" w:line="240" w:lineRule="auto"/>
            </w:pPr>
            <w:r>
              <w:t>EU Horizon Europe</w:t>
            </w:r>
          </w:p>
        </w:tc>
        <w:tc>
          <w:tcPr>
            <w:tcW w:w="4050" w:type="dxa"/>
            <w:shd w:val="clear" w:color="auto" w:fill="auto"/>
            <w:tcMar>
              <w:top w:w="100" w:type="dxa"/>
              <w:left w:w="100" w:type="dxa"/>
              <w:bottom w:w="100" w:type="dxa"/>
              <w:right w:w="100" w:type="dxa"/>
            </w:tcMar>
          </w:tcPr>
          <w:p w14:paraId="3E9C38DC" w14:textId="77777777" w:rsidR="001D3107" w:rsidRDefault="00BD0763">
            <w:pPr>
              <w:widowControl w:val="0"/>
              <w:spacing w:after="0" w:line="240" w:lineRule="auto"/>
            </w:pPr>
            <w:r>
              <w:t>NaturaConnect aims to build a coherent and resilient Trans-European Nature Network (TEN-N) of conserved areas across Europe for nature and people. The NFF is used to develop quantitative nature futures scenarios.</w:t>
            </w:r>
          </w:p>
        </w:tc>
        <w:tc>
          <w:tcPr>
            <w:tcW w:w="1815" w:type="dxa"/>
            <w:shd w:val="clear" w:color="auto" w:fill="auto"/>
            <w:tcMar>
              <w:top w:w="100" w:type="dxa"/>
              <w:left w:w="100" w:type="dxa"/>
              <w:bottom w:w="100" w:type="dxa"/>
              <w:right w:w="100" w:type="dxa"/>
            </w:tcMar>
          </w:tcPr>
          <w:p w14:paraId="0A3E2592" w14:textId="77777777" w:rsidR="001D3107" w:rsidRDefault="00BD0763">
            <w:pPr>
              <w:widowControl w:val="0"/>
              <w:spacing w:after="0" w:line="240" w:lineRule="auto"/>
            </w:pPr>
            <w:r>
              <w:t>https://naturaconnect.eu/</w:t>
            </w:r>
          </w:p>
        </w:tc>
      </w:tr>
      <w:tr w:rsidR="001D3107" w14:paraId="7F483D77" w14:textId="77777777">
        <w:tc>
          <w:tcPr>
            <w:tcW w:w="1785" w:type="dxa"/>
            <w:shd w:val="clear" w:color="auto" w:fill="auto"/>
            <w:tcMar>
              <w:top w:w="100" w:type="dxa"/>
              <w:left w:w="100" w:type="dxa"/>
              <w:bottom w:w="100" w:type="dxa"/>
              <w:right w:w="100" w:type="dxa"/>
            </w:tcMar>
          </w:tcPr>
          <w:p w14:paraId="1D8E241B" w14:textId="77777777" w:rsidR="001D3107" w:rsidRDefault="00BD0763">
            <w:pPr>
              <w:widowControl w:val="0"/>
              <w:spacing w:after="0" w:line="240" w:lineRule="auto"/>
            </w:pPr>
            <w:r>
              <w:t>BioNext</w:t>
            </w:r>
          </w:p>
          <w:p w14:paraId="710BD90D" w14:textId="77777777" w:rsidR="001D3107" w:rsidRDefault="001D3107">
            <w:pPr>
              <w:widowControl w:val="0"/>
              <w:spacing w:after="0" w:line="240" w:lineRule="auto"/>
            </w:pPr>
          </w:p>
        </w:tc>
        <w:tc>
          <w:tcPr>
            <w:tcW w:w="1365" w:type="dxa"/>
            <w:shd w:val="clear" w:color="auto" w:fill="auto"/>
            <w:tcMar>
              <w:top w:w="100" w:type="dxa"/>
              <w:left w:w="100" w:type="dxa"/>
              <w:bottom w:w="100" w:type="dxa"/>
              <w:right w:w="100" w:type="dxa"/>
            </w:tcMar>
          </w:tcPr>
          <w:p w14:paraId="6E92BF3B" w14:textId="77777777" w:rsidR="001D3107" w:rsidRDefault="00BD0763">
            <w:pPr>
              <w:widowControl w:val="0"/>
              <w:spacing w:after="0" w:line="240" w:lineRule="auto"/>
            </w:pPr>
            <w:r>
              <w:t>EU Horizon Europe</w:t>
            </w:r>
          </w:p>
        </w:tc>
        <w:tc>
          <w:tcPr>
            <w:tcW w:w="4050" w:type="dxa"/>
            <w:shd w:val="clear" w:color="auto" w:fill="auto"/>
            <w:tcMar>
              <w:top w:w="100" w:type="dxa"/>
              <w:left w:w="100" w:type="dxa"/>
              <w:bottom w:w="100" w:type="dxa"/>
              <w:right w:w="100" w:type="dxa"/>
            </w:tcMar>
          </w:tcPr>
          <w:p w14:paraId="0EBF2FD9" w14:textId="77777777" w:rsidR="001D3107" w:rsidRDefault="00BD0763">
            <w:pPr>
              <w:widowControl w:val="0"/>
              <w:spacing w:after="0" w:line="240" w:lineRule="auto"/>
            </w:pPr>
            <w:r>
              <w:t>The project produces new evidence to better understand biodiversity loss and demonstrates how biodiversity underpins every aspect of life. The NFF is used for exploring new visions for nature-centered Europe for 2050.</w:t>
            </w:r>
          </w:p>
        </w:tc>
        <w:tc>
          <w:tcPr>
            <w:tcW w:w="1815" w:type="dxa"/>
            <w:shd w:val="clear" w:color="auto" w:fill="auto"/>
            <w:tcMar>
              <w:top w:w="100" w:type="dxa"/>
              <w:left w:w="100" w:type="dxa"/>
              <w:bottom w:w="100" w:type="dxa"/>
              <w:right w:w="100" w:type="dxa"/>
            </w:tcMar>
          </w:tcPr>
          <w:p w14:paraId="579B6395" w14:textId="77777777" w:rsidR="001D3107" w:rsidRDefault="00BD0763">
            <w:pPr>
              <w:widowControl w:val="0"/>
              <w:spacing w:after="0" w:line="240" w:lineRule="auto"/>
            </w:pPr>
            <w:r>
              <w:t>https://www.bionext-project.eu/</w:t>
            </w:r>
          </w:p>
        </w:tc>
      </w:tr>
      <w:tr w:rsidR="001D3107" w14:paraId="4AE54E36" w14:textId="77777777">
        <w:tc>
          <w:tcPr>
            <w:tcW w:w="1785" w:type="dxa"/>
            <w:shd w:val="clear" w:color="auto" w:fill="auto"/>
            <w:tcMar>
              <w:top w:w="100" w:type="dxa"/>
              <w:left w:w="100" w:type="dxa"/>
              <w:bottom w:w="100" w:type="dxa"/>
              <w:right w:w="100" w:type="dxa"/>
            </w:tcMar>
          </w:tcPr>
          <w:p w14:paraId="116B057B" w14:textId="77777777" w:rsidR="001D3107" w:rsidRDefault="00BD0763">
            <w:pPr>
              <w:widowControl w:val="0"/>
              <w:spacing w:after="0" w:line="240" w:lineRule="auto"/>
            </w:pPr>
            <w:r>
              <w:t>wildE (Making rewilding climate smart)</w:t>
            </w:r>
          </w:p>
          <w:p w14:paraId="51BDEDEA" w14:textId="77777777" w:rsidR="001D3107" w:rsidRDefault="001D3107">
            <w:pPr>
              <w:widowControl w:val="0"/>
              <w:spacing w:after="0" w:line="240" w:lineRule="auto"/>
            </w:pPr>
          </w:p>
        </w:tc>
        <w:tc>
          <w:tcPr>
            <w:tcW w:w="1365" w:type="dxa"/>
            <w:shd w:val="clear" w:color="auto" w:fill="auto"/>
            <w:tcMar>
              <w:top w:w="100" w:type="dxa"/>
              <w:left w:w="100" w:type="dxa"/>
              <w:bottom w:w="100" w:type="dxa"/>
              <w:right w:w="100" w:type="dxa"/>
            </w:tcMar>
          </w:tcPr>
          <w:p w14:paraId="7E5D069E" w14:textId="77777777" w:rsidR="001D3107" w:rsidRDefault="00BD0763">
            <w:pPr>
              <w:widowControl w:val="0"/>
              <w:spacing w:after="0" w:line="240" w:lineRule="auto"/>
            </w:pPr>
            <w:r>
              <w:t>EU Horizon Europe</w:t>
            </w:r>
          </w:p>
        </w:tc>
        <w:tc>
          <w:tcPr>
            <w:tcW w:w="4050" w:type="dxa"/>
            <w:shd w:val="clear" w:color="auto" w:fill="auto"/>
            <w:tcMar>
              <w:top w:w="100" w:type="dxa"/>
              <w:left w:w="100" w:type="dxa"/>
              <w:bottom w:w="100" w:type="dxa"/>
              <w:right w:w="100" w:type="dxa"/>
            </w:tcMar>
          </w:tcPr>
          <w:p w14:paraId="51D3C8B8" w14:textId="77777777" w:rsidR="001D3107" w:rsidRDefault="00BD0763">
            <w:pPr>
              <w:widowControl w:val="0"/>
              <w:spacing w:after="0" w:line="240" w:lineRule="auto"/>
            </w:pPr>
            <w:r>
              <w:t xml:space="preserve">wildE develops climate-smart rewilding as a nature-based solution to the twin threats of climate change and biodiversity loss. The NFF is considered for the development of rewilding scenarios. </w:t>
            </w:r>
          </w:p>
        </w:tc>
        <w:tc>
          <w:tcPr>
            <w:tcW w:w="1815" w:type="dxa"/>
            <w:shd w:val="clear" w:color="auto" w:fill="auto"/>
            <w:tcMar>
              <w:top w:w="100" w:type="dxa"/>
              <w:left w:w="100" w:type="dxa"/>
              <w:bottom w:w="100" w:type="dxa"/>
              <w:right w:w="100" w:type="dxa"/>
            </w:tcMar>
          </w:tcPr>
          <w:p w14:paraId="44C81548" w14:textId="77777777" w:rsidR="001D3107" w:rsidRDefault="00BD0763">
            <w:pPr>
              <w:widowControl w:val="0"/>
              <w:spacing w:after="0" w:line="240" w:lineRule="auto"/>
            </w:pPr>
            <w:r>
              <w:t>https://www.wilde-project.eu/</w:t>
            </w:r>
          </w:p>
        </w:tc>
      </w:tr>
      <w:tr w:rsidR="001D3107" w14:paraId="73B94825" w14:textId="77777777">
        <w:tc>
          <w:tcPr>
            <w:tcW w:w="1785" w:type="dxa"/>
            <w:shd w:val="clear" w:color="auto" w:fill="auto"/>
            <w:tcMar>
              <w:top w:w="100" w:type="dxa"/>
              <w:left w:w="100" w:type="dxa"/>
              <w:bottom w:w="100" w:type="dxa"/>
              <w:right w:w="100" w:type="dxa"/>
            </w:tcMar>
          </w:tcPr>
          <w:p w14:paraId="59F64C66" w14:textId="77777777" w:rsidR="001D3107" w:rsidRDefault="00BD0763">
            <w:pPr>
              <w:widowControl w:val="0"/>
              <w:spacing w:after="0" w:line="240" w:lineRule="auto"/>
            </w:pPr>
            <w:r>
              <w:t>FinBIO (MISTRA Finance to Revive Biodiversity)</w:t>
            </w:r>
          </w:p>
          <w:p w14:paraId="58DDDCA4" w14:textId="77777777" w:rsidR="001D3107" w:rsidRDefault="001D3107">
            <w:pPr>
              <w:widowControl w:val="0"/>
              <w:spacing w:after="0" w:line="240" w:lineRule="auto"/>
            </w:pPr>
          </w:p>
        </w:tc>
        <w:tc>
          <w:tcPr>
            <w:tcW w:w="1365" w:type="dxa"/>
            <w:shd w:val="clear" w:color="auto" w:fill="auto"/>
            <w:tcMar>
              <w:top w:w="100" w:type="dxa"/>
              <w:left w:w="100" w:type="dxa"/>
              <w:bottom w:w="100" w:type="dxa"/>
              <w:right w:w="100" w:type="dxa"/>
            </w:tcMar>
          </w:tcPr>
          <w:p w14:paraId="52665585" w14:textId="77777777" w:rsidR="001D3107" w:rsidRDefault="00BD0763">
            <w:pPr>
              <w:widowControl w:val="0"/>
              <w:spacing w:after="0" w:line="240" w:lineRule="auto"/>
            </w:pPr>
            <w:r>
              <w:t>Swedish foundation for strategic environmental research MISTRA</w:t>
            </w:r>
          </w:p>
        </w:tc>
        <w:tc>
          <w:tcPr>
            <w:tcW w:w="4050" w:type="dxa"/>
            <w:shd w:val="clear" w:color="auto" w:fill="auto"/>
            <w:tcMar>
              <w:top w:w="100" w:type="dxa"/>
              <w:left w:w="100" w:type="dxa"/>
              <w:bottom w:w="100" w:type="dxa"/>
              <w:right w:w="100" w:type="dxa"/>
            </w:tcMar>
          </w:tcPr>
          <w:p w14:paraId="3AEBB645" w14:textId="77777777" w:rsidR="001D3107" w:rsidRDefault="00BD0763">
            <w:pPr>
              <w:widowControl w:val="0"/>
              <w:spacing w:after="0" w:line="240" w:lineRule="auto"/>
            </w:pPr>
            <w:r>
              <w:t>FinBIO’s mission is to support the financial sector’s capacity to contribute to a nature-positive economy, enhancing the resilience of our planet by reversing the loss of nature and biodiversity. The NFF is used in developing scientifically grounded techniques to plan, design, implement, and evaluate nature positive investments.</w:t>
            </w:r>
          </w:p>
        </w:tc>
        <w:tc>
          <w:tcPr>
            <w:tcW w:w="1815" w:type="dxa"/>
            <w:shd w:val="clear" w:color="auto" w:fill="auto"/>
            <w:tcMar>
              <w:top w:w="100" w:type="dxa"/>
              <w:left w:w="100" w:type="dxa"/>
              <w:bottom w:w="100" w:type="dxa"/>
              <w:right w:w="100" w:type="dxa"/>
            </w:tcMar>
          </w:tcPr>
          <w:p w14:paraId="7FBC3E91" w14:textId="77777777" w:rsidR="001D3107" w:rsidRDefault="00BD0763">
            <w:pPr>
              <w:widowControl w:val="0"/>
              <w:spacing w:after="0" w:line="240" w:lineRule="auto"/>
            </w:pPr>
            <w:r>
              <w:t>https://finbio.org</w:t>
            </w:r>
          </w:p>
        </w:tc>
      </w:tr>
      <w:tr w:rsidR="001D3107" w14:paraId="2803D492" w14:textId="77777777">
        <w:tc>
          <w:tcPr>
            <w:tcW w:w="1785" w:type="dxa"/>
            <w:shd w:val="clear" w:color="auto" w:fill="auto"/>
            <w:tcMar>
              <w:top w:w="100" w:type="dxa"/>
              <w:left w:w="100" w:type="dxa"/>
              <w:bottom w:w="100" w:type="dxa"/>
              <w:right w:w="100" w:type="dxa"/>
            </w:tcMar>
          </w:tcPr>
          <w:p w14:paraId="26119CDE" w14:textId="77777777" w:rsidR="001D3107" w:rsidRDefault="00BD0763">
            <w:pPr>
              <w:widowControl w:val="0"/>
              <w:spacing w:after="0" w:line="240" w:lineRule="auto"/>
            </w:pPr>
            <w:r>
              <w:t xml:space="preserve">DRYvER (Securing biodiversity, functional integrity and ecosystem services in DRYing riVER networks) </w:t>
            </w:r>
          </w:p>
        </w:tc>
        <w:tc>
          <w:tcPr>
            <w:tcW w:w="1365" w:type="dxa"/>
            <w:shd w:val="clear" w:color="auto" w:fill="auto"/>
            <w:tcMar>
              <w:top w:w="100" w:type="dxa"/>
              <w:left w:w="100" w:type="dxa"/>
              <w:bottom w:w="100" w:type="dxa"/>
              <w:right w:w="100" w:type="dxa"/>
            </w:tcMar>
          </w:tcPr>
          <w:p w14:paraId="0CBBBA02" w14:textId="77777777" w:rsidR="001D3107" w:rsidRDefault="00BD0763">
            <w:pPr>
              <w:widowControl w:val="0"/>
              <w:spacing w:after="0" w:line="240" w:lineRule="auto"/>
            </w:pPr>
            <w:r>
              <w:t>EU Horizon 2020</w:t>
            </w:r>
          </w:p>
          <w:p w14:paraId="18DB8B89" w14:textId="77777777" w:rsidR="001D3107" w:rsidRDefault="001D3107">
            <w:pPr>
              <w:widowControl w:val="0"/>
              <w:spacing w:after="0" w:line="240" w:lineRule="auto"/>
            </w:pPr>
          </w:p>
        </w:tc>
        <w:tc>
          <w:tcPr>
            <w:tcW w:w="4050" w:type="dxa"/>
            <w:shd w:val="clear" w:color="auto" w:fill="auto"/>
            <w:tcMar>
              <w:top w:w="100" w:type="dxa"/>
              <w:left w:w="100" w:type="dxa"/>
              <w:bottom w:w="100" w:type="dxa"/>
              <w:right w:w="100" w:type="dxa"/>
            </w:tcMar>
          </w:tcPr>
          <w:p w14:paraId="3984D213" w14:textId="77777777" w:rsidR="001D3107" w:rsidRDefault="00BD0763">
            <w:pPr>
              <w:widowControl w:val="0"/>
              <w:spacing w:after="0" w:line="240" w:lineRule="auto"/>
            </w:pPr>
            <w:r>
              <w:t>DRYvER studies how biodiversity, ecosystem functions, ecosystem services and their values in drying river networks are directly and indirectly altered by climate change through empirical and modelling work, and develops knowledge-based strategies and tools for cost-effective adaptive management of drying river networks. The NFF was used in a participatory workshop to envision a sustainable river future.</w:t>
            </w:r>
          </w:p>
        </w:tc>
        <w:tc>
          <w:tcPr>
            <w:tcW w:w="1815" w:type="dxa"/>
            <w:shd w:val="clear" w:color="auto" w:fill="auto"/>
            <w:tcMar>
              <w:top w:w="100" w:type="dxa"/>
              <w:left w:w="100" w:type="dxa"/>
              <w:bottom w:w="100" w:type="dxa"/>
              <w:right w:w="100" w:type="dxa"/>
            </w:tcMar>
          </w:tcPr>
          <w:p w14:paraId="377BEB6F" w14:textId="77777777" w:rsidR="001D3107" w:rsidRDefault="00BD0763">
            <w:pPr>
              <w:widowControl w:val="0"/>
              <w:spacing w:after="0" w:line="240" w:lineRule="auto"/>
            </w:pPr>
            <w:r>
              <w:t>https://www.dryver.eu/</w:t>
            </w:r>
          </w:p>
        </w:tc>
      </w:tr>
      <w:tr w:rsidR="001D3107" w14:paraId="3BF581E8" w14:textId="77777777">
        <w:tc>
          <w:tcPr>
            <w:tcW w:w="1785" w:type="dxa"/>
            <w:shd w:val="clear" w:color="auto" w:fill="auto"/>
            <w:tcMar>
              <w:top w:w="100" w:type="dxa"/>
              <w:left w:w="100" w:type="dxa"/>
              <w:bottom w:w="100" w:type="dxa"/>
              <w:right w:w="100" w:type="dxa"/>
            </w:tcMar>
          </w:tcPr>
          <w:p w14:paraId="35FEB750" w14:textId="77777777" w:rsidR="001D3107" w:rsidRDefault="00BD0763">
            <w:pPr>
              <w:widowControl w:val="0"/>
              <w:spacing w:after="0" w:line="240" w:lineRule="auto"/>
            </w:pPr>
            <w:r>
              <w:t>Ponderful</w:t>
            </w:r>
          </w:p>
          <w:p w14:paraId="07CB3C7A" w14:textId="77777777" w:rsidR="001D3107" w:rsidRDefault="001D3107">
            <w:pPr>
              <w:widowControl w:val="0"/>
              <w:spacing w:after="0" w:line="240" w:lineRule="auto"/>
            </w:pPr>
          </w:p>
        </w:tc>
        <w:tc>
          <w:tcPr>
            <w:tcW w:w="1365" w:type="dxa"/>
            <w:shd w:val="clear" w:color="auto" w:fill="auto"/>
            <w:tcMar>
              <w:top w:w="100" w:type="dxa"/>
              <w:left w:w="100" w:type="dxa"/>
              <w:bottom w:w="100" w:type="dxa"/>
              <w:right w:w="100" w:type="dxa"/>
            </w:tcMar>
          </w:tcPr>
          <w:p w14:paraId="1ADBC194" w14:textId="77777777" w:rsidR="001D3107" w:rsidRDefault="00BD0763">
            <w:pPr>
              <w:widowControl w:val="0"/>
              <w:spacing w:after="0" w:line="240" w:lineRule="auto"/>
            </w:pPr>
            <w:r>
              <w:t>EU Horizon 2020</w:t>
            </w:r>
          </w:p>
        </w:tc>
        <w:tc>
          <w:tcPr>
            <w:tcW w:w="4050" w:type="dxa"/>
            <w:shd w:val="clear" w:color="auto" w:fill="auto"/>
            <w:tcMar>
              <w:top w:w="100" w:type="dxa"/>
              <w:left w:w="100" w:type="dxa"/>
              <w:bottom w:w="100" w:type="dxa"/>
              <w:right w:w="100" w:type="dxa"/>
            </w:tcMar>
          </w:tcPr>
          <w:p w14:paraId="7B9E1983" w14:textId="77777777" w:rsidR="001D3107" w:rsidRDefault="00BD0763">
            <w:pPr>
              <w:widowControl w:val="0"/>
              <w:spacing w:after="0" w:line="240" w:lineRule="auto"/>
            </w:pPr>
            <w:r>
              <w:t>The PONDERFUL project investigates how ponds can be used as nature-based solutions (NBS) for climate change adaptation. The NFF was used in participatory workshops to elicit stakeholder values of ponds.</w:t>
            </w:r>
          </w:p>
        </w:tc>
        <w:tc>
          <w:tcPr>
            <w:tcW w:w="1815" w:type="dxa"/>
            <w:shd w:val="clear" w:color="auto" w:fill="auto"/>
            <w:tcMar>
              <w:top w:w="100" w:type="dxa"/>
              <w:left w:w="100" w:type="dxa"/>
              <w:bottom w:w="100" w:type="dxa"/>
              <w:right w:w="100" w:type="dxa"/>
            </w:tcMar>
          </w:tcPr>
          <w:p w14:paraId="7B45B31E" w14:textId="77777777" w:rsidR="001D3107" w:rsidRDefault="00BD0763">
            <w:pPr>
              <w:widowControl w:val="0"/>
              <w:spacing w:after="0" w:line="240" w:lineRule="auto"/>
            </w:pPr>
            <w:r>
              <w:t>https://ponderful.eu/</w:t>
            </w:r>
          </w:p>
        </w:tc>
      </w:tr>
      <w:tr w:rsidR="001D3107" w14:paraId="1E1267B0" w14:textId="77777777">
        <w:tc>
          <w:tcPr>
            <w:tcW w:w="1785" w:type="dxa"/>
            <w:shd w:val="clear" w:color="auto" w:fill="auto"/>
            <w:tcMar>
              <w:top w:w="100" w:type="dxa"/>
              <w:left w:w="100" w:type="dxa"/>
              <w:bottom w:w="100" w:type="dxa"/>
              <w:right w:w="100" w:type="dxa"/>
            </w:tcMar>
          </w:tcPr>
          <w:p w14:paraId="54856C6F" w14:textId="77777777" w:rsidR="001D3107" w:rsidRDefault="00BD0763">
            <w:pPr>
              <w:widowControl w:val="0"/>
              <w:spacing w:after="0" w:line="240" w:lineRule="auto"/>
            </w:pPr>
            <w:r>
              <w:t xml:space="preserve">TerraNova </w:t>
            </w:r>
          </w:p>
        </w:tc>
        <w:tc>
          <w:tcPr>
            <w:tcW w:w="1365" w:type="dxa"/>
            <w:shd w:val="clear" w:color="auto" w:fill="auto"/>
            <w:tcMar>
              <w:top w:w="100" w:type="dxa"/>
              <w:left w:w="100" w:type="dxa"/>
              <w:bottom w:w="100" w:type="dxa"/>
              <w:right w:w="100" w:type="dxa"/>
            </w:tcMar>
          </w:tcPr>
          <w:p w14:paraId="1D9DBF49" w14:textId="77777777" w:rsidR="001D3107" w:rsidRDefault="00BD0763">
            <w:pPr>
              <w:widowControl w:val="0"/>
              <w:spacing w:after="0" w:line="240" w:lineRule="auto"/>
            </w:pPr>
            <w:r>
              <w:t>EU Horizon 2020</w:t>
            </w:r>
          </w:p>
        </w:tc>
        <w:tc>
          <w:tcPr>
            <w:tcW w:w="4050" w:type="dxa"/>
            <w:shd w:val="clear" w:color="auto" w:fill="auto"/>
            <w:tcMar>
              <w:top w:w="100" w:type="dxa"/>
              <w:left w:w="100" w:type="dxa"/>
              <w:bottom w:w="100" w:type="dxa"/>
              <w:right w:w="100" w:type="dxa"/>
            </w:tcMar>
          </w:tcPr>
          <w:p w14:paraId="47C008A5" w14:textId="77777777" w:rsidR="001D3107" w:rsidRDefault="00BD0763">
            <w:pPr>
              <w:widowControl w:val="0"/>
              <w:spacing w:after="0" w:line="240" w:lineRule="auto"/>
            </w:pPr>
            <w:r>
              <w:t>TerraNova is a landscape learning initiative, with a mission to develop a digital atlas of Europe that combines human population patterns in the past, plants and disturbances, animal development, and climate change. The NFF was used in several landscape restoration studies.</w:t>
            </w:r>
          </w:p>
        </w:tc>
        <w:tc>
          <w:tcPr>
            <w:tcW w:w="1815" w:type="dxa"/>
            <w:shd w:val="clear" w:color="auto" w:fill="auto"/>
            <w:tcMar>
              <w:top w:w="100" w:type="dxa"/>
              <w:left w:w="100" w:type="dxa"/>
              <w:bottom w:w="100" w:type="dxa"/>
              <w:right w:w="100" w:type="dxa"/>
            </w:tcMar>
          </w:tcPr>
          <w:p w14:paraId="2D187377" w14:textId="77777777" w:rsidR="001D3107" w:rsidRDefault="00BD0763">
            <w:pPr>
              <w:widowControl w:val="0"/>
              <w:spacing w:after="0" w:line="240" w:lineRule="auto"/>
            </w:pPr>
            <w:r>
              <w:t>https://www.terranova-itn.eu/</w:t>
            </w:r>
          </w:p>
        </w:tc>
      </w:tr>
      <w:tr w:rsidR="001D3107" w14:paraId="7B591258" w14:textId="77777777">
        <w:tc>
          <w:tcPr>
            <w:tcW w:w="1785" w:type="dxa"/>
            <w:shd w:val="clear" w:color="auto" w:fill="auto"/>
            <w:tcMar>
              <w:top w:w="100" w:type="dxa"/>
              <w:left w:w="100" w:type="dxa"/>
              <w:bottom w:w="100" w:type="dxa"/>
              <w:right w:w="100" w:type="dxa"/>
            </w:tcMar>
          </w:tcPr>
          <w:p w14:paraId="43207B0B" w14:textId="77777777" w:rsidR="001D3107" w:rsidRDefault="00BD0763">
            <w:pPr>
              <w:widowControl w:val="0"/>
              <w:spacing w:after="0" w:line="240" w:lineRule="auto"/>
            </w:pPr>
            <w:r>
              <w:t>CABES (Capacity Development for Biodiversity and Ecosystem Services Experts)</w:t>
            </w:r>
          </w:p>
        </w:tc>
        <w:tc>
          <w:tcPr>
            <w:tcW w:w="1365" w:type="dxa"/>
            <w:shd w:val="clear" w:color="auto" w:fill="auto"/>
            <w:tcMar>
              <w:top w:w="100" w:type="dxa"/>
              <w:left w:w="100" w:type="dxa"/>
              <w:bottom w:w="100" w:type="dxa"/>
              <w:right w:w="100" w:type="dxa"/>
            </w:tcMar>
          </w:tcPr>
          <w:p w14:paraId="501D2000" w14:textId="77777777" w:rsidR="001D3107" w:rsidRDefault="00BD0763">
            <w:pPr>
              <w:widowControl w:val="0"/>
              <w:spacing w:after="0" w:line="240" w:lineRule="auto"/>
            </w:pPr>
            <w:r>
              <w:t>German Federal Ministry for the Environment, Nature Conservation, Nuclear Safety and Consumer Protection (BMUV)</w:t>
            </w:r>
          </w:p>
        </w:tc>
        <w:tc>
          <w:tcPr>
            <w:tcW w:w="4050" w:type="dxa"/>
            <w:shd w:val="clear" w:color="auto" w:fill="auto"/>
            <w:tcMar>
              <w:top w:w="100" w:type="dxa"/>
              <w:left w:w="100" w:type="dxa"/>
              <w:bottom w:w="100" w:type="dxa"/>
              <w:right w:w="100" w:type="dxa"/>
            </w:tcMar>
          </w:tcPr>
          <w:p w14:paraId="08617306" w14:textId="77777777" w:rsidR="001D3107" w:rsidRDefault="00BD0763">
            <w:pPr>
              <w:widowControl w:val="0"/>
              <w:spacing w:after="0" w:line="240" w:lineRule="auto"/>
            </w:pPr>
            <w:r>
              <w:t>CABES aims to develop and strengthen the capacity of professionals in biodiversity-related fields in West, Central, and East Africa to engage in the Intergovernmental Science-Policy Platform on Biodiversity and Ecosystem Services. The NFF has been introduced in one of its first regional capacity-building workshops.</w:t>
            </w:r>
          </w:p>
          <w:p w14:paraId="1D866A8C" w14:textId="77777777" w:rsidR="001D3107" w:rsidRDefault="001D3107">
            <w:pPr>
              <w:widowControl w:val="0"/>
              <w:spacing w:after="0" w:line="240" w:lineRule="auto"/>
            </w:pPr>
          </w:p>
        </w:tc>
        <w:tc>
          <w:tcPr>
            <w:tcW w:w="1815" w:type="dxa"/>
            <w:shd w:val="clear" w:color="auto" w:fill="auto"/>
            <w:tcMar>
              <w:top w:w="100" w:type="dxa"/>
              <w:left w:w="100" w:type="dxa"/>
              <w:bottom w:w="100" w:type="dxa"/>
              <w:right w:w="100" w:type="dxa"/>
            </w:tcMar>
          </w:tcPr>
          <w:p w14:paraId="48B24DA2" w14:textId="77777777" w:rsidR="001D3107" w:rsidRDefault="00BD0763">
            <w:pPr>
              <w:widowControl w:val="0"/>
              <w:spacing w:after="0" w:line="240" w:lineRule="auto"/>
            </w:pPr>
            <w:r>
              <w:t>https://www.cabes.online/</w:t>
            </w:r>
          </w:p>
        </w:tc>
      </w:tr>
      <w:tr w:rsidR="001D3107" w14:paraId="2DDF1D0A" w14:textId="77777777">
        <w:tc>
          <w:tcPr>
            <w:tcW w:w="1785" w:type="dxa"/>
            <w:shd w:val="clear" w:color="auto" w:fill="auto"/>
            <w:tcMar>
              <w:top w:w="100" w:type="dxa"/>
              <w:left w:w="100" w:type="dxa"/>
              <w:bottom w:w="100" w:type="dxa"/>
              <w:right w:w="100" w:type="dxa"/>
            </w:tcMar>
          </w:tcPr>
          <w:p w14:paraId="2321B9A6" w14:textId="77777777" w:rsidR="001D3107" w:rsidRDefault="00BD0763">
            <w:pPr>
              <w:widowControl w:val="0"/>
              <w:spacing w:after="0" w:line="240" w:lineRule="auto"/>
            </w:pPr>
            <w:r>
              <w:t xml:space="preserve">Future Ecosystems for Africa (FEFA) </w:t>
            </w:r>
          </w:p>
        </w:tc>
        <w:tc>
          <w:tcPr>
            <w:tcW w:w="1365" w:type="dxa"/>
            <w:shd w:val="clear" w:color="auto" w:fill="auto"/>
            <w:tcMar>
              <w:top w:w="100" w:type="dxa"/>
              <w:left w:w="100" w:type="dxa"/>
              <w:bottom w:w="100" w:type="dxa"/>
              <w:right w:w="100" w:type="dxa"/>
            </w:tcMar>
          </w:tcPr>
          <w:p w14:paraId="5FDBDC8F" w14:textId="77777777" w:rsidR="001D3107" w:rsidRDefault="00BD0763">
            <w:pPr>
              <w:widowControl w:val="0"/>
              <w:spacing w:after="0" w:line="240" w:lineRule="auto"/>
            </w:pPr>
            <w:r>
              <w:t>Oppenheimer Generations Research and Conservation (OGRC)</w:t>
            </w:r>
          </w:p>
        </w:tc>
        <w:tc>
          <w:tcPr>
            <w:tcW w:w="4050" w:type="dxa"/>
            <w:shd w:val="clear" w:color="auto" w:fill="auto"/>
            <w:tcMar>
              <w:top w:w="100" w:type="dxa"/>
              <w:left w:w="100" w:type="dxa"/>
              <w:bottom w:w="100" w:type="dxa"/>
              <w:right w:w="100" w:type="dxa"/>
            </w:tcMar>
          </w:tcPr>
          <w:p w14:paraId="10A95030" w14:textId="77777777" w:rsidR="001D3107" w:rsidRDefault="00BD0763">
            <w:pPr>
              <w:widowControl w:val="0"/>
              <w:spacing w:after="0" w:line="240" w:lineRule="auto"/>
            </w:pPr>
            <w:r>
              <w:t>FEFA supports research for conservation and development across the continent by managing a portfolio of projects to create diverse African-led futures, support cutting-edge multidisciplinary science in Africa, and empower African citizens to drive and respond to global change. The NFF has been applied in various case studies under this program, ranging from workshops and reports, to eco-fiction novels.</w:t>
            </w:r>
          </w:p>
        </w:tc>
        <w:tc>
          <w:tcPr>
            <w:tcW w:w="1815" w:type="dxa"/>
            <w:shd w:val="clear" w:color="auto" w:fill="auto"/>
            <w:tcMar>
              <w:top w:w="100" w:type="dxa"/>
              <w:left w:w="100" w:type="dxa"/>
              <w:bottom w:w="100" w:type="dxa"/>
              <w:right w:w="100" w:type="dxa"/>
            </w:tcMar>
          </w:tcPr>
          <w:p w14:paraId="4A760D0A" w14:textId="77777777" w:rsidR="001D3107" w:rsidRDefault="00BD0763">
            <w:pPr>
              <w:widowControl w:val="0"/>
              <w:spacing w:after="0" w:line="240" w:lineRule="auto"/>
            </w:pPr>
            <w:r>
              <w:t>https://futureecosystemsafrica.org/</w:t>
            </w:r>
          </w:p>
        </w:tc>
      </w:tr>
      <w:tr w:rsidR="001D3107" w14:paraId="4E04A4B4" w14:textId="77777777">
        <w:tc>
          <w:tcPr>
            <w:tcW w:w="1785" w:type="dxa"/>
            <w:shd w:val="clear" w:color="auto" w:fill="auto"/>
            <w:tcMar>
              <w:top w:w="100" w:type="dxa"/>
              <w:left w:w="100" w:type="dxa"/>
              <w:bottom w:w="100" w:type="dxa"/>
              <w:right w:w="100" w:type="dxa"/>
            </w:tcMar>
          </w:tcPr>
          <w:p w14:paraId="6369CB64" w14:textId="77777777" w:rsidR="001D3107" w:rsidRDefault="00BD0763">
            <w:pPr>
              <w:widowControl w:val="0"/>
              <w:spacing w:after="0" w:line="240" w:lineRule="auto"/>
            </w:pPr>
            <w:r>
              <w:t>S-21 IAM-B (Development of an Integrated Assessment Model linking Biodiversity and Socio-Economic Drivers, and its Social Application)</w:t>
            </w:r>
          </w:p>
        </w:tc>
        <w:tc>
          <w:tcPr>
            <w:tcW w:w="1365" w:type="dxa"/>
            <w:shd w:val="clear" w:color="auto" w:fill="auto"/>
            <w:tcMar>
              <w:top w:w="100" w:type="dxa"/>
              <w:left w:w="100" w:type="dxa"/>
              <w:bottom w:w="100" w:type="dxa"/>
              <w:right w:w="100" w:type="dxa"/>
            </w:tcMar>
          </w:tcPr>
          <w:p w14:paraId="6CACB575" w14:textId="77777777" w:rsidR="001D3107" w:rsidRDefault="00BD0763">
            <w:pPr>
              <w:widowControl w:val="0"/>
              <w:spacing w:after="0" w:line="240" w:lineRule="auto"/>
            </w:pPr>
            <w:r>
              <w:t>Japanese Environment Research and Technology Development Fund (ERTDF)</w:t>
            </w:r>
          </w:p>
        </w:tc>
        <w:tc>
          <w:tcPr>
            <w:tcW w:w="4050" w:type="dxa"/>
            <w:shd w:val="clear" w:color="auto" w:fill="auto"/>
            <w:tcMar>
              <w:top w:w="100" w:type="dxa"/>
              <w:left w:w="100" w:type="dxa"/>
              <w:bottom w:w="100" w:type="dxa"/>
              <w:right w:w="100" w:type="dxa"/>
            </w:tcMar>
          </w:tcPr>
          <w:p w14:paraId="38BA4C8E" w14:textId="77777777" w:rsidR="001D3107" w:rsidRDefault="00BD0763">
            <w:pPr>
              <w:widowControl w:val="0"/>
              <w:spacing w:after="0" w:line="240" w:lineRule="auto"/>
            </w:pPr>
            <w:r>
              <w:t>IAM-B aims to develop an integrated assessment model which can consider biodiversity, climate change, and other socio-economic drivers in an integrated manner for future scenario analysis, and quantitatively estimate the impacts of response options for climate change mitigation and adaptation, and biodiversity conservation and restoration under different future scenarios in Japan. The NFF is used to formulate future scenarios and combinations of response options.</w:t>
            </w:r>
          </w:p>
        </w:tc>
        <w:tc>
          <w:tcPr>
            <w:tcW w:w="1815" w:type="dxa"/>
            <w:shd w:val="clear" w:color="auto" w:fill="auto"/>
            <w:tcMar>
              <w:top w:w="100" w:type="dxa"/>
              <w:left w:w="100" w:type="dxa"/>
              <w:bottom w:w="100" w:type="dxa"/>
              <w:right w:w="100" w:type="dxa"/>
            </w:tcMar>
          </w:tcPr>
          <w:p w14:paraId="5E17B196" w14:textId="77777777" w:rsidR="001D3107" w:rsidRDefault="00BD0763">
            <w:pPr>
              <w:widowControl w:val="0"/>
              <w:spacing w:after="0" w:line="240" w:lineRule="auto"/>
            </w:pPr>
            <w:r>
              <w:t>https://iam-b.jp/en/</w:t>
            </w:r>
          </w:p>
        </w:tc>
      </w:tr>
      <w:tr w:rsidR="001D3107" w14:paraId="74E25F5B" w14:textId="77777777">
        <w:tc>
          <w:tcPr>
            <w:tcW w:w="1785" w:type="dxa"/>
            <w:shd w:val="clear" w:color="auto" w:fill="auto"/>
            <w:tcMar>
              <w:top w:w="100" w:type="dxa"/>
              <w:left w:w="100" w:type="dxa"/>
              <w:bottom w:w="100" w:type="dxa"/>
              <w:right w:w="100" w:type="dxa"/>
            </w:tcMar>
          </w:tcPr>
          <w:p w14:paraId="232F65BC" w14:textId="77777777" w:rsidR="001D3107" w:rsidRDefault="00BD0763">
            <w:pPr>
              <w:widowControl w:val="0"/>
              <w:spacing w:after="0" w:line="240" w:lineRule="auto"/>
            </w:pPr>
            <w:r>
              <w:t>BES-SIM2</w:t>
            </w:r>
          </w:p>
        </w:tc>
        <w:tc>
          <w:tcPr>
            <w:tcW w:w="1365" w:type="dxa"/>
            <w:shd w:val="clear" w:color="auto" w:fill="auto"/>
            <w:tcMar>
              <w:top w:w="100" w:type="dxa"/>
              <w:left w:w="100" w:type="dxa"/>
              <w:bottom w:w="100" w:type="dxa"/>
              <w:right w:w="100" w:type="dxa"/>
            </w:tcMar>
          </w:tcPr>
          <w:p w14:paraId="6C5E96B1" w14:textId="77777777" w:rsidR="001D3107" w:rsidRDefault="00BD0763">
            <w:pPr>
              <w:widowControl w:val="0"/>
              <w:spacing w:after="0" w:line="240" w:lineRule="auto"/>
            </w:pPr>
            <w:r>
              <w:t>Grassroots funding from engaged institutions</w:t>
            </w:r>
          </w:p>
        </w:tc>
        <w:tc>
          <w:tcPr>
            <w:tcW w:w="4050" w:type="dxa"/>
            <w:shd w:val="clear" w:color="auto" w:fill="auto"/>
            <w:tcMar>
              <w:top w:w="100" w:type="dxa"/>
              <w:left w:w="100" w:type="dxa"/>
              <w:bottom w:w="100" w:type="dxa"/>
              <w:right w:w="100" w:type="dxa"/>
            </w:tcMar>
          </w:tcPr>
          <w:p w14:paraId="03C7E364" w14:textId="77777777" w:rsidR="001D3107" w:rsidRDefault="00BD0763">
            <w:pPr>
              <w:widowControl w:val="0"/>
              <w:spacing w:after="0" w:line="240" w:lineRule="auto"/>
            </w:pPr>
            <w:r>
              <w:t>A global consortium of scenario researchers that have initiated a comparative exercise of NFF scenarios to be completed in time to inform the 2nd IPBES Global Assessment, building on the Biodiversity and Ecosystem Services Scenarios-based Model Intercomparison (BES-SIM) that informed the 1st IPBES Global Assessment in 2019</w:t>
            </w:r>
          </w:p>
        </w:tc>
        <w:tc>
          <w:tcPr>
            <w:tcW w:w="1815" w:type="dxa"/>
            <w:shd w:val="clear" w:color="auto" w:fill="auto"/>
            <w:tcMar>
              <w:top w:w="100" w:type="dxa"/>
              <w:left w:w="100" w:type="dxa"/>
              <w:bottom w:w="100" w:type="dxa"/>
              <w:right w:w="100" w:type="dxa"/>
            </w:tcMar>
          </w:tcPr>
          <w:p w14:paraId="266B13C6" w14:textId="77777777" w:rsidR="001D3107" w:rsidRDefault="00BD0763">
            <w:pPr>
              <w:widowControl w:val="0"/>
              <w:spacing w:after="0" w:line="240" w:lineRule="auto"/>
            </w:pPr>
            <w:r>
              <w:t>In prep</w:t>
            </w:r>
          </w:p>
        </w:tc>
      </w:tr>
      <w:tr w:rsidR="001D3107" w14:paraId="0C043E3E" w14:textId="77777777">
        <w:tc>
          <w:tcPr>
            <w:tcW w:w="1785" w:type="dxa"/>
            <w:shd w:val="clear" w:color="auto" w:fill="auto"/>
            <w:tcMar>
              <w:top w:w="100" w:type="dxa"/>
              <w:left w:w="100" w:type="dxa"/>
              <w:bottom w:w="100" w:type="dxa"/>
              <w:right w:w="100" w:type="dxa"/>
            </w:tcMar>
          </w:tcPr>
          <w:p w14:paraId="2B710A64" w14:textId="77777777" w:rsidR="001D3107" w:rsidRDefault="00BD0763">
            <w:pPr>
              <w:widowControl w:val="0"/>
              <w:spacing w:after="0" w:line="240" w:lineRule="auto"/>
            </w:pPr>
            <w:r>
              <w:t>Korean Nature Futures</w:t>
            </w:r>
          </w:p>
          <w:p w14:paraId="2AA85A33" w14:textId="77777777" w:rsidR="001D3107" w:rsidRDefault="00BD0763">
            <w:pPr>
              <w:widowControl w:val="0"/>
              <w:spacing w:after="0" w:line="240" w:lineRule="auto"/>
            </w:pPr>
            <w:r>
              <w:t>(Developing a globally useful visioning and forecasting framework for biodiversity, people, and climate neutrality in Korea)</w:t>
            </w:r>
          </w:p>
        </w:tc>
        <w:tc>
          <w:tcPr>
            <w:tcW w:w="1365" w:type="dxa"/>
            <w:shd w:val="clear" w:color="auto" w:fill="auto"/>
            <w:tcMar>
              <w:top w:w="100" w:type="dxa"/>
              <w:left w:w="100" w:type="dxa"/>
              <w:bottom w:w="100" w:type="dxa"/>
              <w:right w:w="100" w:type="dxa"/>
            </w:tcMar>
          </w:tcPr>
          <w:p w14:paraId="17990F07" w14:textId="77777777" w:rsidR="001D3107" w:rsidRDefault="00BD0763">
            <w:pPr>
              <w:widowControl w:val="0"/>
              <w:spacing w:after="0" w:line="240" w:lineRule="auto"/>
            </w:pPr>
            <w:r>
              <w:t xml:space="preserve">National Capability for Global Challenge (UK Research and Innovation) </w:t>
            </w:r>
          </w:p>
        </w:tc>
        <w:tc>
          <w:tcPr>
            <w:tcW w:w="4050" w:type="dxa"/>
            <w:shd w:val="clear" w:color="auto" w:fill="auto"/>
            <w:tcMar>
              <w:top w:w="100" w:type="dxa"/>
              <w:left w:w="100" w:type="dxa"/>
              <w:bottom w:w="100" w:type="dxa"/>
              <w:right w:w="100" w:type="dxa"/>
            </w:tcMar>
          </w:tcPr>
          <w:p w14:paraId="65E2315E" w14:textId="77777777" w:rsidR="001D3107" w:rsidRDefault="00BD0763">
            <w:pPr>
              <w:widowControl w:val="0"/>
              <w:spacing w:after="0" w:line="256" w:lineRule="auto"/>
            </w:pPr>
            <w:r>
              <w:t xml:space="preserve">KNF develops ecologically diverse and harmonious future scenarios of the Korean peninsula with DMZ as global commons using the NFF and diverse innovations in informing international and national policy frameworks. It advances the co-development of narratives and modelling framework with a broad range of stakeholders via the DMZ Open Festival’s Ecopeace Forum with a regional provincial office. The project joins a suite of models for nexus systems analyses and social-ecological feedbacks modelling to inform Korea’s transformative pathways. </w:t>
            </w:r>
          </w:p>
        </w:tc>
        <w:tc>
          <w:tcPr>
            <w:tcW w:w="1815" w:type="dxa"/>
            <w:shd w:val="clear" w:color="auto" w:fill="auto"/>
            <w:tcMar>
              <w:top w:w="100" w:type="dxa"/>
              <w:left w:w="100" w:type="dxa"/>
              <w:bottom w:w="100" w:type="dxa"/>
              <w:right w:w="100" w:type="dxa"/>
            </w:tcMar>
          </w:tcPr>
          <w:p w14:paraId="318CDB56" w14:textId="77777777" w:rsidR="001D3107" w:rsidRDefault="00BD0763">
            <w:pPr>
              <w:widowControl w:val="0"/>
              <w:spacing w:after="0" w:line="240" w:lineRule="auto"/>
            </w:pPr>
            <w:r>
              <w:t xml:space="preserve">https://ggtour.or.kr/dmzopen </w:t>
            </w:r>
          </w:p>
          <w:p w14:paraId="03C73336" w14:textId="77777777" w:rsidR="001D3107" w:rsidRDefault="00BD0763">
            <w:pPr>
              <w:widowControl w:val="0"/>
              <w:spacing w:after="0" w:line="240" w:lineRule="auto"/>
            </w:pPr>
            <w:r>
              <w:t>(project site under development - may be ready by the publishing date of this paper)</w:t>
            </w:r>
          </w:p>
        </w:tc>
      </w:tr>
    </w:tbl>
    <w:p w14:paraId="4AD28E61" w14:textId="340E2DD1" w:rsidR="00EE75B6" w:rsidRDefault="00EE75B6" w:rsidP="00EE75B6">
      <w:pPr>
        <w:widowControl w:val="0"/>
        <w:pBdr>
          <w:top w:val="nil"/>
          <w:left w:val="nil"/>
          <w:bottom w:val="nil"/>
          <w:right w:val="nil"/>
          <w:between w:val="nil"/>
        </w:pBdr>
        <w:spacing w:after="0" w:line="360" w:lineRule="auto"/>
      </w:pPr>
    </w:p>
    <w:sectPr w:rsidR="00EE75B6" w:rsidSect="001B5588">
      <w:footerReference w:type="default" r:id="rId10"/>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FD0F8" w14:textId="77777777" w:rsidR="002E7432" w:rsidRDefault="002E7432">
      <w:pPr>
        <w:spacing w:after="0" w:line="240" w:lineRule="auto"/>
      </w:pPr>
      <w:r>
        <w:separator/>
      </w:r>
    </w:p>
  </w:endnote>
  <w:endnote w:type="continuationSeparator" w:id="0">
    <w:p w14:paraId="3FE8E126" w14:textId="77777777" w:rsidR="002E7432" w:rsidRDefault="002E7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1121857"/>
      <w:docPartObj>
        <w:docPartGallery w:val="Page Numbers (Bottom of Page)"/>
        <w:docPartUnique/>
      </w:docPartObj>
    </w:sdtPr>
    <w:sdtEndPr>
      <w:rPr>
        <w:noProof/>
      </w:rPr>
    </w:sdtEndPr>
    <w:sdtContent>
      <w:p w14:paraId="3F39FC9E" w14:textId="587F7948" w:rsidR="00D47989" w:rsidRDefault="00D479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F3FF8C" w14:textId="77777777" w:rsidR="00D47989" w:rsidRDefault="00D479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8FE1F" w14:textId="77777777" w:rsidR="002E7432" w:rsidRDefault="002E7432">
      <w:pPr>
        <w:spacing w:after="0" w:line="240" w:lineRule="auto"/>
      </w:pPr>
      <w:r>
        <w:separator/>
      </w:r>
    </w:p>
  </w:footnote>
  <w:footnote w:type="continuationSeparator" w:id="0">
    <w:p w14:paraId="31745E08" w14:textId="77777777" w:rsidR="002E7432" w:rsidRDefault="002E74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107"/>
    <w:rsid w:val="00035D7A"/>
    <w:rsid w:val="000E6888"/>
    <w:rsid w:val="00120822"/>
    <w:rsid w:val="001406EE"/>
    <w:rsid w:val="001A15BC"/>
    <w:rsid w:val="001B5588"/>
    <w:rsid w:val="001D3107"/>
    <w:rsid w:val="00245BC5"/>
    <w:rsid w:val="00265D02"/>
    <w:rsid w:val="0029184E"/>
    <w:rsid w:val="0029442E"/>
    <w:rsid w:val="002E6FB5"/>
    <w:rsid w:val="002E7432"/>
    <w:rsid w:val="00387F85"/>
    <w:rsid w:val="003A3084"/>
    <w:rsid w:val="003A33A6"/>
    <w:rsid w:val="003C3A07"/>
    <w:rsid w:val="004261E4"/>
    <w:rsid w:val="004334A2"/>
    <w:rsid w:val="00473083"/>
    <w:rsid w:val="00484A3D"/>
    <w:rsid w:val="00510B79"/>
    <w:rsid w:val="00562AAD"/>
    <w:rsid w:val="005A55A1"/>
    <w:rsid w:val="00654FF5"/>
    <w:rsid w:val="006C2F18"/>
    <w:rsid w:val="006F1335"/>
    <w:rsid w:val="00740142"/>
    <w:rsid w:val="00743809"/>
    <w:rsid w:val="007742D9"/>
    <w:rsid w:val="00784332"/>
    <w:rsid w:val="007C5026"/>
    <w:rsid w:val="007C5551"/>
    <w:rsid w:val="007D7EF6"/>
    <w:rsid w:val="007E41A9"/>
    <w:rsid w:val="00836F12"/>
    <w:rsid w:val="00925600"/>
    <w:rsid w:val="00946FDA"/>
    <w:rsid w:val="00962D9E"/>
    <w:rsid w:val="00982861"/>
    <w:rsid w:val="009C2A3E"/>
    <w:rsid w:val="00A73EEB"/>
    <w:rsid w:val="00A850FF"/>
    <w:rsid w:val="00AA05D1"/>
    <w:rsid w:val="00AA42AE"/>
    <w:rsid w:val="00AC60DB"/>
    <w:rsid w:val="00AD4EBC"/>
    <w:rsid w:val="00AF4853"/>
    <w:rsid w:val="00B06691"/>
    <w:rsid w:val="00B266BD"/>
    <w:rsid w:val="00B84519"/>
    <w:rsid w:val="00BC7B0C"/>
    <w:rsid w:val="00BD0763"/>
    <w:rsid w:val="00BE639F"/>
    <w:rsid w:val="00C03D11"/>
    <w:rsid w:val="00D10A38"/>
    <w:rsid w:val="00D43E90"/>
    <w:rsid w:val="00D45270"/>
    <w:rsid w:val="00D46E3E"/>
    <w:rsid w:val="00D47989"/>
    <w:rsid w:val="00E21E60"/>
    <w:rsid w:val="00E75A1C"/>
    <w:rsid w:val="00E91819"/>
    <w:rsid w:val="00EE75B6"/>
    <w:rsid w:val="00F1450B"/>
    <w:rsid w:val="00F2295F"/>
    <w:rsid w:val="00F374CD"/>
    <w:rsid w:val="00F91EF0"/>
    <w:rsid w:val="00FF7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6B3E8"/>
  <w15:docId w15:val="{ADB0FEFF-0E90-4027-8D4B-3978E93B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S Mincho" w:hAnsi="Arial" w:cs="Arial"/>
        <w:sz w:val="22"/>
        <w:szCs w:val="22"/>
        <w:lang w:val="en"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28"/>
      <w:szCs w:val="28"/>
    </w:rPr>
  </w:style>
  <w:style w:type="paragraph" w:styleId="Heading2">
    <w:name w:val="heading 2"/>
    <w:basedOn w:val="Normal"/>
    <w:next w:val="Normal"/>
    <w:uiPriority w:val="9"/>
    <w:unhideWhenUsed/>
    <w:qFormat/>
    <w:pPr>
      <w:keepNext/>
      <w:keepLines/>
      <w:spacing w:line="360" w:lineRule="auto"/>
      <w:jc w:val="both"/>
      <w:outlineLvl w:val="1"/>
    </w:pPr>
    <w:rPr>
      <w:b/>
      <w:i/>
    </w:rPr>
  </w:style>
  <w:style w:type="paragraph" w:styleId="Heading3">
    <w:name w:val="heading 3"/>
    <w:basedOn w:val="Normal"/>
    <w:next w:val="Normal"/>
    <w:uiPriority w:val="9"/>
    <w:unhideWhenUsed/>
    <w:qFormat/>
    <w:pPr>
      <w:keepNext/>
      <w:keepLines/>
      <w:spacing w:after="0" w:line="360" w:lineRule="auto"/>
      <w:jc w:val="both"/>
      <w:outlineLvl w:val="2"/>
    </w:pPr>
    <w:rPr>
      <w:i/>
    </w:rPr>
  </w:style>
  <w:style w:type="paragraph" w:styleId="Heading4">
    <w:name w:val="heading 4"/>
    <w:basedOn w:val="Normal"/>
    <w:next w:val="Normal"/>
    <w:uiPriority w:val="9"/>
    <w:semiHidden/>
    <w:unhideWhenUsed/>
    <w:qFormat/>
    <w:pPr>
      <w:keepNext/>
      <w:keepLines/>
      <w:spacing w:before="280" w:after="80" w:line="360" w:lineRule="auto"/>
      <w:jc w:val="both"/>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32"/>
      <w:szCs w:val="3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D47989"/>
    <w:pPr>
      <w:spacing w:after="240" w:line="240" w:lineRule="auto"/>
      <w:ind w:left="720" w:hanging="720"/>
    </w:pPr>
  </w:style>
  <w:style w:type="character" w:styleId="LineNumber">
    <w:name w:val="line number"/>
    <w:basedOn w:val="DefaultParagraphFont"/>
    <w:uiPriority w:val="99"/>
    <w:semiHidden/>
    <w:unhideWhenUsed/>
    <w:rsid w:val="00D47989"/>
  </w:style>
  <w:style w:type="paragraph" w:styleId="Header">
    <w:name w:val="header"/>
    <w:basedOn w:val="Normal"/>
    <w:link w:val="HeaderChar"/>
    <w:uiPriority w:val="99"/>
    <w:unhideWhenUsed/>
    <w:rsid w:val="00D47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989"/>
  </w:style>
  <w:style w:type="paragraph" w:styleId="Footer">
    <w:name w:val="footer"/>
    <w:basedOn w:val="Normal"/>
    <w:link w:val="FooterChar"/>
    <w:uiPriority w:val="99"/>
    <w:unhideWhenUsed/>
    <w:rsid w:val="00D47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989"/>
  </w:style>
  <w:style w:type="paragraph" w:styleId="Revision">
    <w:name w:val="Revision"/>
    <w:hidden/>
    <w:uiPriority w:val="99"/>
    <w:semiHidden/>
    <w:rsid w:val="00D46E3E"/>
    <w:pPr>
      <w:spacing w:after="0" w:line="240" w:lineRule="auto"/>
    </w:pPr>
  </w:style>
  <w:style w:type="character" w:styleId="Hyperlink">
    <w:name w:val="Hyperlink"/>
    <w:basedOn w:val="DefaultParagraphFont"/>
    <w:uiPriority w:val="99"/>
    <w:unhideWhenUsed/>
    <w:rsid w:val="004261E4"/>
    <w:rPr>
      <w:color w:val="0000FF" w:themeColor="hyperlink"/>
      <w:u w:val="single"/>
    </w:rPr>
  </w:style>
  <w:style w:type="character" w:customStyle="1" w:styleId="UnresolvedMention">
    <w:name w:val="Unresolved Mention"/>
    <w:basedOn w:val="DefaultParagraphFont"/>
    <w:uiPriority w:val="99"/>
    <w:semiHidden/>
    <w:unhideWhenUsed/>
    <w:rsid w:val="004261E4"/>
    <w:rPr>
      <w:color w:val="605E5C"/>
      <w:shd w:val="clear" w:color="auto" w:fill="E1DFDD"/>
    </w:rPr>
  </w:style>
  <w:style w:type="character" w:styleId="CommentReference">
    <w:name w:val="annotation reference"/>
    <w:basedOn w:val="DefaultParagraphFont"/>
    <w:uiPriority w:val="99"/>
    <w:semiHidden/>
    <w:unhideWhenUsed/>
    <w:rsid w:val="00654FF5"/>
    <w:rPr>
      <w:sz w:val="16"/>
      <w:szCs w:val="16"/>
    </w:rPr>
  </w:style>
  <w:style w:type="paragraph" w:styleId="CommentText">
    <w:name w:val="annotation text"/>
    <w:basedOn w:val="Normal"/>
    <w:link w:val="CommentTextChar"/>
    <w:uiPriority w:val="99"/>
    <w:unhideWhenUsed/>
    <w:rsid w:val="00654FF5"/>
    <w:pPr>
      <w:spacing w:line="240" w:lineRule="auto"/>
    </w:pPr>
    <w:rPr>
      <w:sz w:val="20"/>
      <w:szCs w:val="20"/>
    </w:rPr>
  </w:style>
  <w:style w:type="character" w:customStyle="1" w:styleId="CommentTextChar">
    <w:name w:val="Comment Text Char"/>
    <w:basedOn w:val="DefaultParagraphFont"/>
    <w:link w:val="CommentText"/>
    <w:uiPriority w:val="99"/>
    <w:rsid w:val="00654FF5"/>
    <w:rPr>
      <w:sz w:val="20"/>
      <w:szCs w:val="20"/>
    </w:rPr>
  </w:style>
  <w:style w:type="paragraph" w:styleId="CommentSubject">
    <w:name w:val="annotation subject"/>
    <w:basedOn w:val="CommentText"/>
    <w:next w:val="CommentText"/>
    <w:link w:val="CommentSubjectChar"/>
    <w:uiPriority w:val="99"/>
    <w:semiHidden/>
    <w:unhideWhenUsed/>
    <w:rsid w:val="00654FF5"/>
    <w:rPr>
      <w:b/>
      <w:bCs/>
    </w:rPr>
  </w:style>
  <w:style w:type="character" w:customStyle="1" w:styleId="CommentSubjectChar">
    <w:name w:val="Comment Subject Char"/>
    <w:basedOn w:val="CommentTextChar"/>
    <w:link w:val="CommentSubject"/>
    <w:uiPriority w:val="99"/>
    <w:semiHidden/>
    <w:rsid w:val="00654F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452313">
      <w:bodyDiv w:val="1"/>
      <w:marLeft w:val="0"/>
      <w:marRight w:val="0"/>
      <w:marTop w:val="0"/>
      <w:marBottom w:val="0"/>
      <w:divBdr>
        <w:top w:val="none" w:sz="0" w:space="0" w:color="auto"/>
        <w:left w:val="none" w:sz="0" w:space="0" w:color="auto"/>
        <w:bottom w:val="none" w:sz="0" w:space="0" w:color="auto"/>
        <w:right w:val="none" w:sz="0" w:space="0" w:color="auto"/>
      </w:divBdr>
    </w:div>
    <w:div w:id="933048833">
      <w:bodyDiv w:val="1"/>
      <w:marLeft w:val="0"/>
      <w:marRight w:val="0"/>
      <w:marTop w:val="0"/>
      <w:marBottom w:val="0"/>
      <w:divBdr>
        <w:top w:val="none" w:sz="0" w:space="0" w:color="auto"/>
        <w:left w:val="none" w:sz="0" w:space="0" w:color="auto"/>
        <w:bottom w:val="none" w:sz="0" w:space="0" w:color="auto"/>
        <w:right w:val="none" w:sz="0" w:space="0" w:color="auto"/>
      </w:divBdr>
    </w:div>
    <w:div w:id="2034258341">
      <w:bodyDiv w:val="1"/>
      <w:marLeft w:val="0"/>
      <w:marRight w:val="0"/>
      <w:marTop w:val="0"/>
      <w:marBottom w:val="0"/>
      <w:divBdr>
        <w:top w:val="none" w:sz="0" w:space="0" w:color="auto"/>
        <w:left w:val="none" w:sz="0" w:space="0" w:color="auto"/>
        <w:bottom w:val="none" w:sz="0" w:space="0" w:color="auto"/>
        <w:right w:val="none" w:sz="0" w:space="0" w:color="auto"/>
      </w:divBdr>
      <w:divsChild>
        <w:div w:id="47002280">
          <w:marLeft w:val="480"/>
          <w:marRight w:val="0"/>
          <w:marTop w:val="0"/>
          <w:marBottom w:val="0"/>
          <w:divBdr>
            <w:top w:val="none" w:sz="0" w:space="0" w:color="auto"/>
            <w:left w:val="none" w:sz="0" w:space="0" w:color="auto"/>
            <w:bottom w:val="none" w:sz="0" w:space="0" w:color="auto"/>
            <w:right w:val="none" w:sz="0" w:space="0" w:color="auto"/>
          </w:divBdr>
          <w:divsChild>
            <w:div w:id="20100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http://schemas.microsoft.com/sharepoint/v3">Final BAO approved manuscript</DocumentType>
    <DocumentDescription xmlns="http://schemas.microsoft.com/sharepoint/v3">Bureau review and approval</DocumentDescription>
  </documentManagement>
</p:properties>
</file>

<file path=customXml/item3.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EFAC538733D41643A496BFDB030EC5D2" ma:contentTypeVersion="1" ma:contentTypeDescription="Information Product Document Content Type" ma:contentTypeScope="" ma:versionID="62cc3854591187aeecf325a079a3ee7f">
  <xsd:schema xmlns:xsd="http://www.w3.org/2001/XMLSchema" xmlns:xs="http://www.w3.org/2001/XMLSchema" xmlns:p="http://schemas.microsoft.com/office/2006/metadata/properties" xmlns:ns1="http://schemas.microsoft.com/sharepoint/v3" targetNamespace="http://schemas.microsoft.com/office/2006/metadata/properties" ma:root="true" ma:fieldsID="9b52e2e0daa89aa8c8ff1ddaf0497b5b"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default=""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E581E-21B2-480A-9B57-AFF91685B348}">
  <ds:schemaRefs>
    <ds:schemaRef ds:uri="http://schemas.microsoft.com/sharepoint/v3/contenttype/forms"/>
  </ds:schemaRefs>
</ds:datastoreItem>
</file>

<file path=customXml/itemProps2.xml><?xml version="1.0" encoding="utf-8"?>
<ds:datastoreItem xmlns:ds="http://schemas.openxmlformats.org/officeDocument/2006/customXml" ds:itemID="{B68D3E47-278B-4B3E-B57F-946EDE658F4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2503D51-CE6A-4C48-810A-2823A2947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AB1F40-CFB7-4D4D-87C1-A442CA01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Bureau review and approval</dc:title>
  <dc:creator>Jan Kuiper</dc:creator>
  <cp:lastModifiedBy>Sheela Devi R Rajendran K</cp:lastModifiedBy>
  <cp:revision>29</cp:revision>
  <dcterms:created xsi:type="dcterms:W3CDTF">2025-02-25T21:35:00Z</dcterms:created>
  <dcterms:modified xsi:type="dcterms:W3CDTF">2025-04-07T14:10:00Z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{"style":{"styleID":"http://www.zotero.org/styles/sustainability-science","hasBibliography":true,"bibliographyStyleHasBeenSet":true},"prefs":{"fieldType":"Field","automaticJournalAbbreviations":false,"delayCitationUpdates":false,"noteType":0},"sessionID":</vt:lpwstr>
  </property>
  <property fmtid="{D5CDD505-2E9C-101B-9397-08002B2CF9AE}" pid="3" name="ZOTERO_PREF_2">
    <vt:lpwstr>"ppVM9drF","zoteroVersion":"6.0.36","dataVersion":4}</vt:lpwstr>
  </property>
  <property fmtid="{D5CDD505-2E9C-101B-9397-08002B2CF9AE}" pid="4" name="ContentTypeId">
    <vt:lpwstr>0x0101006BD571182E2C4DE7854527CFFCE1B0FE00EFAC538733D41643A496BFDB030EC5D2</vt:lpwstr>
  </property>
</Properties>
</file>